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6069E290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4FE9A05C" w14:textId="77777777" w:rsidR="00F35BAF" w:rsidRPr="00DB58B5" w:rsidRDefault="00F35BAF" w:rsidP="00817ADD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0B9D039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375FCA4" w14:textId="062C50A5" w:rsidR="00F35BAF" w:rsidRPr="00DB58B5" w:rsidRDefault="00817ADD" w:rsidP="00817ADD">
            <w:pPr>
              <w:jc w:val="right"/>
            </w:pPr>
            <w:r w:rsidRPr="00817ADD">
              <w:rPr>
                <w:sz w:val="40"/>
              </w:rPr>
              <w:t>ECE</w:t>
            </w:r>
            <w:r>
              <w:t>/TRANS/WP.29/GRBP/2024/21</w:t>
            </w:r>
          </w:p>
        </w:tc>
      </w:tr>
      <w:tr w:rsidR="00F35BAF" w:rsidRPr="00DB58B5" w14:paraId="7F726482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92596FC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0DEE8A46" wp14:editId="133B5921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21E383D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00A96B73" w14:textId="77777777" w:rsidR="00F35BAF" w:rsidRDefault="00817ADD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12456A84" w14:textId="77777777" w:rsidR="00817ADD" w:rsidRDefault="00817ADD" w:rsidP="00817ADD">
            <w:pPr>
              <w:spacing w:line="240" w:lineRule="exact"/>
            </w:pPr>
            <w:r>
              <w:t>3 juillet 2024</w:t>
            </w:r>
          </w:p>
          <w:p w14:paraId="0BB94B0B" w14:textId="77777777" w:rsidR="00817ADD" w:rsidRDefault="00817ADD" w:rsidP="00817ADD">
            <w:pPr>
              <w:spacing w:line="240" w:lineRule="exact"/>
            </w:pPr>
            <w:r>
              <w:t>Français</w:t>
            </w:r>
          </w:p>
          <w:p w14:paraId="2C6024D9" w14:textId="0546B891" w:rsidR="00817ADD" w:rsidRPr="00DB58B5" w:rsidRDefault="00817ADD" w:rsidP="00817ADD">
            <w:pPr>
              <w:spacing w:line="240" w:lineRule="exact"/>
            </w:pPr>
            <w:r>
              <w:t>Original : anglais</w:t>
            </w:r>
          </w:p>
        </w:tc>
      </w:tr>
    </w:tbl>
    <w:p w14:paraId="6286BA99" w14:textId="2A3DE715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2D7619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14:paraId="65B164A9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1DC199E8" w14:textId="06557620" w:rsidR="00817ADD" w:rsidRDefault="00817ADD" w:rsidP="00AF0CB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 w:rsidR="002D7619"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273A184C" w14:textId="1A676D47" w:rsidR="00817ADD" w:rsidRDefault="00817ADD" w:rsidP="00F9573C">
      <w:pPr>
        <w:spacing w:before="120" w:after="120" w:line="240" w:lineRule="exact"/>
        <w:rPr>
          <w:b/>
        </w:rPr>
      </w:pPr>
      <w:bookmarkStart w:id="0" w:name="_GoBack"/>
      <w:bookmarkEnd w:id="0"/>
      <w:r>
        <w:rPr>
          <w:b/>
        </w:rPr>
        <w:t>Groupe de travail du bruit et des pneumatiques</w:t>
      </w:r>
    </w:p>
    <w:p w14:paraId="7AC2EC3B" w14:textId="5461F0FE" w:rsidR="00817ADD" w:rsidRDefault="00817ADD" w:rsidP="00F9573C">
      <w:pPr>
        <w:spacing w:before="120" w:line="240" w:lineRule="exact"/>
        <w:rPr>
          <w:b/>
        </w:rPr>
      </w:pPr>
      <w:r>
        <w:rPr>
          <w:b/>
          <w:bCs/>
          <w:lang w:val="fr-FR"/>
        </w:rPr>
        <w:t xml:space="preserve">Quatre-vingtième </w:t>
      </w:r>
      <w:r>
        <w:rPr>
          <w:b/>
        </w:rPr>
        <w:t>session</w:t>
      </w:r>
    </w:p>
    <w:p w14:paraId="2F20455C" w14:textId="77777777" w:rsidR="00817ADD" w:rsidRPr="002A22A2" w:rsidRDefault="00817ADD" w:rsidP="00817ADD">
      <w:pPr>
        <w:rPr>
          <w:lang w:val="fr-FR"/>
        </w:rPr>
      </w:pPr>
      <w:r>
        <w:rPr>
          <w:lang w:val="fr-FR"/>
        </w:rPr>
        <w:t>Genève, 17-20 septembre 2024</w:t>
      </w:r>
    </w:p>
    <w:p w14:paraId="04119AA4" w14:textId="22A8F533" w:rsidR="00817ADD" w:rsidRPr="002A22A2" w:rsidRDefault="00817ADD" w:rsidP="00817ADD">
      <w:pPr>
        <w:rPr>
          <w:lang w:val="fr-FR"/>
        </w:rPr>
      </w:pPr>
      <w:r>
        <w:rPr>
          <w:lang w:val="fr-FR"/>
        </w:rPr>
        <w:t>Point 4 de l</w:t>
      </w:r>
      <w:r w:rsidR="002D7619">
        <w:rPr>
          <w:lang w:val="fr-FR"/>
        </w:rPr>
        <w:t>’</w:t>
      </w:r>
      <w:r>
        <w:rPr>
          <w:lang w:val="fr-FR"/>
        </w:rPr>
        <w:t>ordre du jour provisoire</w:t>
      </w:r>
    </w:p>
    <w:p w14:paraId="32662C3E" w14:textId="37E74C0F" w:rsidR="00817ADD" w:rsidRPr="002A22A2" w:rsidRDefault="00817ADD" w:rsidP="00817ADD">
      <w:pPr>
        <w:rPr>
          <w:lang w:val="fr-FR"/>
        </w:rPr>
      </w:pPr>
      <w:r>
        <w:rPr>
          <w:b/>
          <w:bCs/>
          <w:lang w:val="fr-FR"/>
        </w:rPr>
        <w:t xml:space="preserve">Règlement ONU </w:t>
      </w:r>
      <w:r w:rsidRPr="00817ADD">
        <w:rPr>
          <w:rFonts w:eastAsia="MS Mincho"/>
          <w:b/>
          <w:bCs/>
          <w:szCs w:val="22"/>
          <w:lang w:val="fr-FR"/>
        </w:rPr>
        <w:t>n</w:t>
      </w:r>
      <w:r w:rsidRPr="00817ADD">
        <w:rPr>
          <w:rFonts w:eastAsia="MS Mincho"/>
          <w:b/>
          <w:bCs/>
          <w:szCs w:val="22"/>
          <w:vertAlign w:val="superscript"/>
          <w:lang w:val="fr-FR"/>
        </w:rPr>
        <w:t>o</w:t>
      </w:r>
      <w:r>
        <w:rPr>
          <w:b/>
          <w:bCs/>
          <w:lang w:val="fr-FR"/>
        </w:rPr>
        <w:t> </w:t>
      </w:r>
      <w:r>
        <w:rPr>
          <w:b/>
          <w:bCs/>
          <w:lang w:val="fr-FR"/>
        </w:rPr>
        <w:t>92 (Silencieux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 xml:space="preserve">échappement </w:t>
      </w:r>
      <w:r>
        <w:rPr>
          <w:b/>
          <w:bCs/>
          <w:lang w:val="fr-FR"/>
        </w:rPr>
        <w:br/>
      </w:r>
      <w:r>
        <w:rPr>
          <w:b/>
          <w:bCs/>
          <w:lang w:val="fr-FR"/>
        </w:rPr>
        <w:t>de remplacement pour les motocycles)</w:t>
      </w:r>
    </w:p>
    <w:p w14:paraId="14BC15E0" w14:textId="06ADA454" w:rsidR="00817ADD" w:rsidRPr="002A22A2" w:rsidRDefault="00817ADD" w:rsidP="00817ADD">
      <w:pPr>
        <w:pStyle w:val="HChG"/>
        <w:rPr>
          <w:szCs w:val="28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Proposition de complément 1 à la série 02 d</w:t>
      </w:r>
      <w:r w:rsidR="002D7619">
        <w:rPr>
          <w:lang w:val="fr-FR"/>
        </w:rPr>
        <w:t>’</w:t>
      </w:r>
      <w:r>
        <w:rPr>
          <w:lang w:val="fr-FR"/>
        </w:rPr>
        <w:t xml:space="preserve">amendements </w:t>
      </w:r>
      <w:r>
        <w:rPr>
          <w:lang w:val="fr-FR"/>
        </w:rPr>
        <w:br/>
        <w:t xml:space="preserve">au Règlement </w:t>
      </w:r>
      <w:r w:rsidRPr="00817ADD">
        <w:t>ONU</w:t>
      </w:r>
      <w:r>
        <w:rPr>
          <w:lang w:val="fr-FR"/>
        </w:rPr>
        <w:t xml:space="preserve"> </w:t>
      </w:r>
      <w:r w:rsidRPr="00817ADD">
        <w:rPr>
          <w:rFonts w:eastAsia="MS Mincho"/>
          <w:szCs w:val="22"/>
          <w:lang w:val="fr-FR"/>
        </w:rPr>
        <w:t>n</w:t>
      </w:r>
      <w:r w:rsidRPr="00817ADD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> </w:t>
      </w:r>
      <w:r>
        <w:rPr>
          <w:lang w:val="fr-FR"/>
        </w:rPr>
        <w:t>92</w:t>
      </w:r>
    </w:p>
    <w:p w14:paraId="6874E242" w14:textId="55CA53F9" w:rsidR="00F9573C" w:rsidRDefault="00817ADD" w:rsidP="00817ADD">
      <w:pPr>
        <w:pStyle w:val="H1G"/>
        <w:rPr>
          <w:b w:val="0"/>
          <w:bCs/>
          <w:sz w:val="20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Communication des experts de l</w:t>
      </w:r>
      <w:r w:rsidR="002D7619">
        <w:rPr>
          <w:lang w:val="fr-FR"/>
        </w:rPr>
        <w:t>’</w:t>
      </w:r>
      <w:r>
        <w:rPr>
          <w:lang w:val="fr-FR"/>
        </w:rPr>
        <w:t>Allemagne, du Royaume des Pays-Bas, du Royaume-Uni de Grande-Bretagne et d</w:t>
      </w:r>
      <w:r w:rsidR="002D7619">
        <w:rPr>
          <w:lang w:val="fr-FR"/>
        </w:rPr>
        <w:t>’</w:t>
      </w:r>
      <w:r>
        <w:rPr>
          <w:lang w:val="fr-FR"/>
        </w:rPr>
        <w:t xml:space="preserve">Irlande du Nord, </w:t>
      </w:r>
      <w:r>
        <w:rPr>
          <w:lang w:val="fr-FR"/>
        </w:rPr>
        <w:br/>
      </w:r>
      <w:r>
        <w:rPr>
          <w:lang w:val="fr-FR"/>
        </w:rPr>
        <w:t>de la Suisse et de la Commission européenne</w:t>
      </w:r>
      <w:r w:rsidR="000B2515" w:rsidRPr="000B2515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79126CA7" w14:textId="685EDA80" w:rsidR="00235CA9" w:rsidRDefault="00235CA9" w:rsidP="00235CA9">
      <w:pPr>
        <w:pStyle w:val="SingleTxtG"/>
        <w:ind w:firstLine="567"/>
        <w:rPr>
          <w:lang w:val="fr-FR"/>
        </w:rPr>
      </w:pPr>
      <w:r>
        <w:rPr>
          <w:lang w:val="fr-FR"/>
        </w:rPr>
        <w:t>Le texte ci-après a été établi par un groupe d</w:t>
      </w:r>
      <w:r w:rsidR="002D7619">
        <w:rPr>
          <w:lang w:val="fr-FR"/>
        </w:rPr>
        <w:t>’</w:t>
      </w:r>
      <w:r>
        <w:rPr>
          <w:lang w:val="fr-FR"/>
        </w:rPr>
        <w:t>intérêt spécial chargé du Règlement ONU n</w:t>
      </w:r>
      <w:r>
        <w:rPr>
          <w:vertAlign w:val="superscript"/>
          <w:lang w:val="fr-FR"/>
        </w:rPr>
        <w:t>o</w:t>
      </w:r>
      <w:r>
        <w:rPr>
          <w:lang w:val="fr-FR"/>
        </w:rPr>
        <w:t> 92, comme convenu à l</w:t>
      </w:r>
      <w:r w:rsidR="002D7619">
        <w:rPr>
          <w:lang w:val="fr-FR"/>
        </w:rPr>
        <w:t>’</w:t>
      </w:r>
      <w:r>
        <w:rPr>
          <w:lang w:val="fr-FR"/>
        </w:rPr>
        <w:t>issue d</w:t>
      </w:r>
      <w:r w:rsidR="002D7619">
        <w:rPr>
          <w:lang w:val="fr-FR"/>
        </w:rPr>
        <w:t>’</w:t>
      </w:r>
      <w:r>
        <w:rPr>
          <w:lang w:val="fr-FR"/>
        </w:rPr>
        <w:t xml:space="preserve">un débat à la soixante-dix-septième session du Groupe de travail du bruit et des pneumatiques (ECE/TRANS/WP.29/GRBP/77, </w:t>
      </w:r>
      <w:r w:rsidRPr="000B2515">
        <w:rPr>
          <w:lang w:val="fr-FR"/>
        </w:rPr>
        <w:t>par. 11, et</w:t>
      </w:r>
      <w:r>
        <w:rPr>
          <w:lang w:val="fr-FR"/>
        </w:rPr>
        <w:t xml:space="preserve"> document informel GRBP-77-20) concernant les prescriptions dudit Règlement relatives aux silencieux d</w:t>
      </w:r>
      <w:r w:rsidR="002D7619">
        <w:rPr>
          <w:lang w:val="fr-FR"/>
        </w:rPr>
        <w:t>’</w:t>
      </w:r>
      <w:r>
        <w:rPr>
          <w:lang w:val="fr-FR"/>
        </w:rPr>
        <w:t>échappement de remplacement non d</w:t>
      </w:r>
      <w:r w:rsidR="002D7619">
        <w:rPr>
          <w:lang w:val="fr-FR"/>
        </w:rPr>
        <w:t>’</w:t>
      </w:r>
      <w:r>
        <w:rPr>
          <w:lang w:val="fr-FR"/>
        </w:rPr>
        <w:t>origine. Les modifications qu</w:t>
      </w:r>
      <w:r w:rsidR="002D7619">
        <w:rPr>
          <w:lang w:val="fr-FR"/>
        </w:rPr>
        <w:t>’</w:t>
      </w:r>
      <w:r>
        <w:rPr>
          <w:lang w:val="fr-FR"/>
        </w:rPr>
        <w:t>il est proposé d</w:t>
      </w:r>
      <w:r w:rsidR="002D7619">
        <w:rPr>
          <w:lang w:val="fr-FR"/>
        </w:rPr>
        <w:t>’</w:t>
      </w:r>
      <w:r>
        <w:rPr>
          <w:lang w:val="fr-FR"/>
        </w:rPr>
        <w:t>apporter au texte actuel du Règlement figurent en caractères gras pour les ajouts et biffés pour les suppressions</w:t>
      </w:r>
      <w:r>
        <w:rPr>
          <w:lang w:val="fr-FR"/>
        </w:rPr>
        <w:t>.</w:t>
      </w:r>
    </w:p>
    <w:p w14:paraId="07C7ECC7" w14:textId="77777777" w:rsidR="00235CA9" w:rsidRDefault="00235CA9">
      <w:pPr>
        <w:suppressAutoHyphens w:val="0"/>
        <w:kinsoku/>
        <w:overflowPunct/>
        <w:autoSpaceDE/>
        <w:autoSpaceDN/>
        <w:adjustRightInd/>
        <w:snapToGrid/>
        <w:spacing w:after="200" w:line="276" w:lineRule="auto"/>
        <w:rPr>
          <w:lang w:val="fr-FR"/>
        </w:rPr>
      </w:pPr>
      <w:r>
        <w:rPr>
          <w:lang w:val="fr-FR"/>
        </w:rPr>
        <w:br w:type="page"/>
      </w:r>
    </w:p>
    <w:p w14:paraId="6330BDBC" w14:textId="63EA1DE2" w:rsidR="00235CA9" w:rsidRPr="00235CA9" w:rsidRDefault="00235CA9" w:rsidP="00235CA9">
      <w:pPr>
        <w:pStyle w:val="HChG"/>
      </w:pPr>
      <w:r>
        <w:rPr>
          <w:lang w:val="fr-FR"/>
        </w:rPr>
        <w:lastRenderedPageBreak/>
        <w:tab/>
        <w:t>I.</w:t>
      </w:r>
      <w:r>
        <w:rPr>
          <w:lang w:val="fr-FR"/>
        </w:rPr>
        <w:tab/>
        <w:t>Proposition</w:t>
      </w:r>
    </w:p>
    <w:p w14:paraId="5FEBB355" w14:textId="011E7939" w:rsidR="00235CA9" w:rsidRPr="002A22A2" w:rsidRDefault="00235CA9" w:rsidP="00235CA9">
      <w:pPr>
        <w:pStyle w:val="SingleTxtG"/>
        <w:rPr>
          <w:lang w:val="fr-FR"/>
        </w:rPr>
      </w:pPr>
      <w:r w:rsidRPr="00235CA9">
        <w:rPr>
          <w:i/>
          <w:iCs/>
          <w:lang w:val="fr-FR"/>
        </w:rPr>
        <w:t>Table des matières</w:t>
      </w:r>
      <w:r>
        <w:rPr>
          <w:lang w:val="fr-FR"/>
        </w:rPr>
        <w:t xml:space="preserve">, </w:t>
      </w:r>
      <w:r>
        <w:rPr>
          <w:i/>
          <w:iCs/>
          <w:lang w:val="fr-FR"/>
        </w:rPr>
        <w:t>a</w:t>
      </w:r>
      <w:r w:rsidRPr="00235CA9">
        <w:rPr>
          <w:i/>
          <w:iCs/>
          <w:lang w:val="fr-FR"/>
        </w:rPr>
        <w:t>nnexes</w:t>
      </w:r>
      <w:r>
        <w:rPr>
          <w:lang w:val="fr-FR"/>
        </w:rPr>
        <w:t>, ajouter à la fin :</w:t>
      </w:r>
    </w:p>
    <w:p w14:paraId="704B9C24" w14:textId="3A8F2DEE" w:rsidR="00235CA9" w:rsidRPr="002A22A2" w:rsidRDefault="002E3830" w:rsidP="002E3830">
      <w:pPr>
        <w:pStyle w:val="H23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235CA9" w:rsidRPr="002E3830">
        <w:rPr>
          <w:b w:val="0"/>
          <w:bCs/>
          <w:lang w:val="fr-FR"/>
        </w:rPr>
        <w:t>« </w:t>
      </w:r>
      <w:r w:rsidR="00235CA9">
        <w:rPr>
          <w:lang w:val="fr-FR"/>
        </w:rPr>
        <w:t>5</w:t>
      </w:r>
      <w:r w:rsidR="00235CA9">
        <w:rPr>
          <w:lang w:val="fr-FR"/>
        </w:rPr>
        <w:tab/>
        <w:t xml:space="preserve">Recommandation concernant la conformité aux dispositions relatives </w:t>
      </w:r>
      <w:r>
        <w:rPr>
          <w:lang w:val="fr-FR"/>
        </w:rPr>
        <w:br/>
      </w:r>
      <w:r w:rsidR="00235CA9">
        <w:rPr>
          <w:lang w:val="fr-FR"/>
        </w:rPr>
        <w:t>à la protection contre toute manipulation non autorisée</w:t>
      </w:r>
      <w:r>
        <w:rPr>
          <w:b w:val="0"/>
          <w:bCs/>
          <w:lang w:val="fr-FR"/>
        </w:rPr>
        <w:t xml:space="preserve"> </w:t>
      </w:r>
      <w:r w:rsidR="00235CA9" w:rsidRPr="002E3830">
        <w:rPr>
          <w:b w:val="0"/>
          <w:bCs/>
          <w:lang w:val="fr-FR"/>
        </w:rPr>
        <w:t>»</w:t>
      </w:r>
    </w:p>
    <w:p w14:paraId="1FB2103C" w14:textId="2945E521" w:rsidR="00235CA9" w:rsidRPr="002A22A2" w:rsidRDefault="00235CA9" w:rsidP="00235CA9">
      <w:pPr>
        <w:pStyle w:val="SingleTxtG"/>
        <w:rPr>
          <w:lang w:val="fr-FR"/>
        </w:rPr>
      </w:pPr>
      <w:r>
        <w:rPr>
          <w:i/>
          <w:iCs/>
          <w:lang w:val="fr-FR"/>
        </w:rPr>
        <w:t>Ajouter les nouveaux paragraphes 2.8, 2.9, 2.10, 2.11, 2.12, 2.13</w:t>
      </w:r>
      <w:r>
        <w:rPr>
          <w:lang w:val="fr-FR"/>
        </w:rPr>
        <w:t xml:space="preserve"> </w:t>
      </w:r>
      <w:r>
        <w:rPr>
          <w:i/>
          <w:iCs/>
          <w:lang w:val="fr-FR"/>
        </w:rPr>
        <w:t>et 2.14</w:t>
      </w:r>
      <w:r>
        <w:rPr>
          <w:lang w:val="fr-FR"/>
        </w:rPr>
        <w:t>, libellés comme suit :</w:t>
      </w:r>
    </w:p>
    <w:p w14:paraId="0D258AB8" w14:textId="59A8B61B" w:rsidR="00235CA9" w:rsidRPr="00235CA9" w:rsidRDefault="00235CA9" w:rsidP="00235CA9">
      <w:pPr>
        <w:pStyle w:val="SingleTxtG"/>
        <w:ind w:left="2268" w:hanging="1134"/>
        <w:rPr>
          <w:lang w:val="fr-FR"/>
        </w:rPr>
      </w:pPr>
      <w:r w:rsidRPr="006D49AB">
        <w:rPr>
          <w:lang w:val="fr-FR"/>
        </w:rPr>
        <w:t>« </w:t>
      </w:r>
      <w:r w:rsidRPr="006D49AB">
        <w:rPr>
          <w:b/>
          <w:bCs/>
          <w:lang w:val="fr-FR"/>
        </w:rPr>
        <w:t>2.8</w:t>
      </w:r>
      <w:r w:rsidRPr="006D49AB">
        <w:rPr>
          <w:lang w:val="fr-FR"/>
        </w:rPr>
        <w:tab/>
        <w:t>“</w:t>
      </w:r>
      <w:r w:rsidRPr="006D49AB">
        <w:rPr>
          <w:b/>
          <w:bCs/>
          <w:i/>
          <w:iCs/>
          <w:lang w:val="fr-FR"/>
        </w:rPr>
        <w:t>Cône de sortie</w:t>
      </w:r>
      <w:r w:rsidRPr="006D49AB">
        <w:rPr>
          <w:b/>
          <w:bCs/>
          <w:lang w:val="fr-FR"/>
        </w:rPr>
        <w:t>”, l</w:t>
      </w:r>
      <w:r>
        <w:rPr>
          <w:b/>
          <w:bCs/>
          <w:lang w:val="fr-FR"/>
        </w:rPr>
        <w:t>a</w:t>
      </w:r>
      <w:r w:rsidRPr="006D49AB">
        <w:rPr>
          <w:b/>
          <w:bCs/>
          <w:lang w:val="fr-FR"/>
        </w:rPr>
        <w:t xml:space="preserve"> derni</w:t>
      </w:r>
      <w:r>
        <w:rPr>
          <w:b/>
          <w:bCs/>
          <w:lang w:val="fr-FR"/>
        </w:rPr>
        <w:t>ère</w:t>
      </w:r>
      <w:r w:rsidRPr="006D49AB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 xml:space="preserve">pièce </w:t>
      </w:r>
      <w:r w:rsidRPr="006D49AB">
        <w:rPr>
          <w:b/>
          <w:bCs/>
          <w:lang w:val="fr-FR"/>
        </w:rPr>
        <w:t>du silencieux d</w:t>
      </w:r>
      <w:r w:rsidR="002D7619">
        <w:rPr>
          <w:b/>
          <w:bCs/>
          <w:lang w:val="fr-FR"/>
        </w:rPr>
        <w:t>’</w:t>
      </w:r>
      <w:r w:rsidRPr="006D49AB">
        <w:rPr>
          <w:b/>
          <w:bCs/>
          <w:lang w:val="fr-FR"/>
        </w:rPr>
        <w:t>échappement</w:t>
      </w:r>
      <w:r>
        <w:rPr>
          <w:b/>
          <w:bCs/>
          <w:lang w:val="fr-FR"/>
        </w:rPr>
        <w:t>,</w:t>
      </w:r>
      <w:r w:rsidRPr="006D49AB">
        <w:rPr>
          <w:b/>
          <w:bCs/>
          <w:lang w:val="fr-FR"/>
        </w:rPr>
        <w:t xml:space="preserve"> par </w:t>
      </w:r>
      <w:r>
        <w:rPr>
          <w:b/>
          <w:bCs/>
          <w:lang w:val="fr-FR"/>
        </w:rPr>
        <w:t>laquelle</w:t>
      </w:r>
      <w:r w:rsidRPr="006D49AB">
        <w:rPr>
          <w:b/>
          <w:bCs/>
          <w:lang w:val="fr-FR"/>
        </w:rPr>
        <w:t xml:space="preserve"> les gaz d</w:t>
      </w:r>
      <w:r w:rsidR="002D7619">
        <w:rPr>
          <w:b/>
          <w:bCs/>
          <w:lang w:val="fr-FR"/>
        </w:rPr>
        <w:t>’</w:t>
      </w:r>
      <w:r w:rsidRPr="006D49AB">
        <w:rPr>
          <w:b/>
          <w:bCs/>
          <w:lang w:val="fr-FR"/>
        </w:rPr>
        <w:t xml:space="preserve">échappement </w:t>
      </w:r>
      <w:r>
        <w:rPr>
          <w:b/>
          <w:bCs/>
          <w:lang w:val="fr-FR"/>
        </w:rPr>
        <w:t>sont rejetés</w:t>
      </w:r>
      <w:r w:rsidRPr="006D49AB">
        <w:rPr>
          <w:b/>
          <w:bCs/>
          <w:lang w:val="fr-FR"/>
        </w:rPr>
        <w:t xml:space="preserve"> dans l</w:t>
      </w:r>
      <w:r w:rsidR="002D7619">
        <w:rPr>
          <w:b/>
          <w:bCs/>
          <w:lang w:val="fr-FR"/>
        </w:rPr>
        <w:t>’</w:t>
      </w:r>
      <w:r w:rsidRPr="006D49AB">
        <w:rPr>
          <w:b/>
          <w:bCs/>
          <w:lang w:val="fr-FR"/>
        </w:rPr>
        <w:t>air (voir la figure 1) ;</w:t>
      </w:r>
    </w:p>
    <w:p w14:paraId="4ED6BBE2" w14:textId="4342381E" w:rsidR="00235CA9" w:rsidRPr="006D49AB" w:rsidRDefault="00235CA9" w:rsidP="00235CA9">
      <w:pPr>
        <w:pStyle w:val="SingleTxtG"/>
        <w:spacing w:after="240" w:line="240" w:lineRule="auto"/>
        <w:ind w:left="2268"/>
        <w:rPr>
          <w:b/>
          <w:lang w:val="fr-FR"/>
        </w:rPr>
      </w:pPr>
      <w:r>
        <w:rPr>
          <w:noProof/>
        </w:rPr>
        <w:drawing>
          <wp:inline distT="0" distB="0" distL="0" distR="0" wp14:anchorId="5E6FB229" wp14:editId="3A9746DF">
            <wp:extent cx="3167380" cy="1445260"/>
            <wp:effectExtent l="0" t="0" r="0" b="2540"/>
            <wp:docPr id="16" name="Image 16" descr="Une image contenant croquis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croquis, dessi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75BCE" w14:textId="2F9D4EAB" w:rsidR="00235CA9" w:rsidRPr="002A22A2" w:rsidRDefault="00235CA9" w:rsidP="00235CA9">
      <w:pPr>
        <w:pStyle w:val="SingleTxtG"/>
        <w:ind w:left="2268"/>
        <w:rPr>
          <w:b/>
          <w:i/>
          <w:color w:val="000000"/>
          <w:lang w:val="fr-FR"/>
        </w:rPr>
      </w:pPr>
      <w:r>
        <w:rPr>
          <w:b/>
          <w:bCs/>
          <w:i/>
          <w:iCs/>
          <w:lang w:val="fr-FR"/>
        </w:rPr>
        <w:t>Figure 1 : Silencieux d</w:t>
      </w:r>
      <w:r w:rsidR="002D7619">
        <w:rPr>
          <w:b/>
          <w:bCs/>
          <w:i/>
          <w:iCs/>
          <w:lang w:val="fr-FR"/>
        </w:rPr>
        <w:t>’</w:t>
      </w:r>
      <w:r>
        <w:rPr>
          <w:b/>
          <w:bCs/>
          <w:i/>
          <w:iCs/>
          <w:lang w:val="fr-FR"/>
        </w:rPr>
        <w:t>échappement</w:t>
      </w:r>
    </w:p>
    <w:p w14:paraId="7099D90E" w14:textId="6FFF4FA2" w:rsidR="00235CA9" w:rsidRPr="002A22A2" w:rsidRDefault="00235CA9" w:rsidP="00235CA9">
      <w:pPr>
        <w:pStyle w:val="SingleTxtG"/>
        <w:ind w:left="2268" w:hanging="1134"/>
        <w:rPr>
          <w:b/>
          <w:color w:val="000000"/>
          <w:lang w:val="fr-FR"/>
        </w:rPr>
      </w:pPr>
      <w:r>
        <w:rPr>
          <w:b/>
          <w:bCs/>
          <w:lang w:val="fr-FR"/>
        </w:rPr>
        <w:t>2.9</w:t>
      </w:r>
      <w:r>
        <w:rPr>
          <w:lang w:val="fr-FR"/>
        </w:rPr>
        <w:tab/>
      </w:r>
      <w:r>
        <w:rPr>
          <w:lang w:val="fr-FR"/>
        </w:rPr>
        <w:tab/>
        <w:t>“</w:t>
      </w:r>
      <w:r>
        <w:rPr>
          <w:b/>
          <w:bCs/>
          <w:i/>
          <w:iCs/>
          <w:lang w:val="fr-FR"/>
        </w:rPr>
        <w:t>Corps d</w:t>
      </w:r>
      <w:r w:rsidR="002D7619">
        <w:rPr>
          <w:b/>
          <w:bCs/>
          <w:i/>
          <w:iCs/>
          <w:lang w:val="fr-FR"/>
        </w:rPr>
        <w:t>’</w:t>
      </w:r>
      <w:r>
        <w:rPr>
          <w:b/>
          <w:bCs/>
          <w:i/>
          <w:iCs/>
          <w:lang w:val="fr-FR"/>
        </w:rPr>
        <w:t>échappement</w:t>
      </w:r>
      <w:r>
        <w:rPr>
          <w:b/>
          <w:bCs/>
          <w:lang w:val="fr-FR"/>
        </w:rPr>
        <w:t>”,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enveloppe ou la pièce externe principale du 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 ;</w:t>
      </w:r>
    </w:p>
    <w:p w14:paraId="5928EB97" w14:textId="0DF8E13B" w:rsidR="00235CA9" w:rsidRPr="002A22A2" w:rsidRDefault="00235CA9" w:rsidP="00235CA9">
      <w:pPr>
        <w:pStyle w:val="SingleTxtG"/>
        <w:ind w:left="2268" w:hanging="1134"/>
        <w:rPr>
          <w:b/>
          <w:color w:val="010302"/>
          <w:lang w:val="fr-FR"/>
        </w:rPr>
      </w:pPr>
      <w:r>
        <w:rPr>
          <w:b/>
          <w:bCs/>
          <w:lang w:val="fr-FR"/>
        </w:rPr>
        <w:t>2.10</w:t>
      </w:r>
      <w:r>
        <w:rPr>
          <w:lang w:val="fr-FR"/>
        </w:rPr>
        <w:tab/>
        <w:t>“</w:t>
      </w:r>
      <w:r>
        <w:rPr>
          <w:b/>
          <w:bCs/>
          <w:i/>
          <w:iCs/>
          <w:lang w:val="fr-FR"/>
        </w:rPr>
        <w:t>Chicane</w:t>
      </w:r>
      <w:r>
        <w:rPr>
          <w:b/>
          <w:bCs/>
          <w:lang w:val="fr-FR"/>
        </w:rPr>
        <w:t>” (couramment appelée “dB killer”),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élément du 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 qui contribue à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atténuation du bruit en limitant le débit des gaz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 rejetés dans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air ;</w:t>
      </w:r>
    </w:p>
    <w:p w14:paraId="11E2E34A" w14:textId="5E9B14DE" w:rsidR="00235CA9" w:rsidRPr="002A22A2" w:rsidRDefault="00235CA9" w:rsidP="00235CA9">
      <w:pPr>
        <w:pStyle w:val="SingleTxtG"/>
        <w:ind w:left="2268" w:hanging="1134"/>
        <w:rPr>
          <w:b/>
          <w:color w:val="010302"/>
          <w:lang w:val="fr-FR"/>
        </w:rPr>
      </w:pPr>
      <w:r>
        <w:rPr>
          <w:b/>
          <w:bCs/>
          <w:lang w:val="fr-FR"/>
        </w:rPr>
        <w:t>2.11</w:t>
      </w:r>
      <w:r>
        <w:rPr>
          <w:lang w:val="fr-FR"/>
        </w:rPr>
        <w:tab/>
        <w:t>“</w:t>
      </w:r>
      <w:r>
        <w:rPr>
          <w:b/>
          <w:bCs/>
          <w:i/>
          <w:iCs/>
          <w:lang w:val="fr-FR"/>
        </w:rPr>
        <w:t>Élément de fixation</w:t>
      </w:r>
      <w:r>
        <w:rPr>
          <w:b/>
          <w:bCs/>
          <w:lang w:val="fr-FR"/>
        </w:rPr>
        <w:t>”, un dispositif servant à attacher mécaniquement deux éléments ;</w:t>
      </w:r>
    </w:p>
    <w:p w14:paraId="483642C8" w14:textId="04BAF30C" w:rsidR="00235CA9" w:rsidRPr="002A22A2" w:rsidRDefault="00235CA9" w:rsidP="00235CA9">
      <w:pPr>
        <w:pStyle w:val="SingleTxtG"/>
        <w:ind w:left="2268" w:hanging="1134"/>
        <w:rPr>
          <w:b/>
          <w:color w:val="000000"/>
          <w:lang w:val="fr-FR"/>
        </w:rPr>
      </w:pPr>
      <w:r>
        <w:rPr>
          <w:b/>
          <w:bCs/>
          <w:lang w:val="fr-FR"/>
        </w:rPr>
        <w:t>2.12</w:t>
      </w:r>
      <w:r>
        <w:rPr>
          <w:lang w:val="fr-FR"/>
        </w:rPr>
        <w:tab/>
      </w:r>
      <w:r w:rsidRPr="0013751F">
        <w:rPr>
          <w:b/>
          <w:bCs/>
          <w:lang w:val="fr-FR"/>
        </w:rPr>
        <w:t>“</w:t>
      </w:r>
      <w:r>
        <w:rPr>
          <w:b/>
          <w:bCs/>
          <w:i/>
          <w:iCs/>
          <w:lang w:val="fr-FR"/>
        </w:rPr>
        <w:t>Protection contre toute manipulation non autorisée</w:t>
      </w:r>
      <w:r>
        <w:rPr>
          <w:b/>
          <w:bCs/>
          <w:lang w:val="fr-FR"/>
        </w:rPr>
        <w:t>”, toute mesure visant :</w:t>
      </w:r>
    </w:p>
    <w:p w14:paraId="64ACD5A2" w14:textId="1E86387B" w:rsidR="00235CA9" w:rsidRPr="002A22A2" w:rsidRDefault="00235CA9" w:rsidP="00235CA9">
      <w:pPr>
        <w:spacing w:after="120"/>
        <w:ind w:left="2835" w:right="1134" w:hanging="567"/>
        <w:jc w:val="both"/>
        <w:rPr>
          <w:b/>
          <w:color w:val="000000"/>
          <w:lang w:val="fr-FR"/>
        </w:rPr>
      </w:pPr>
      <w:r>
        <w:rPr>
          <w:b/>
          <w:bCs/>
          <w:lang w:val="fr-FR"/>
        </w:rPr>
        <w:t>-</w:t>
      </w:r>
      <w:r>
        <w:rPr>
          <w:b/>
          <w:bCs/>
          <w:lang w:val="fr-FR"/>
        </w:rPr>
        <w:tab/>
      </w:r>
      <w:r w:rsidR="00351DE5">
        <w:rPr>
          <w:b/>
          <w:bCs/>
          <w:lang w:val="fr-FR"/>
        </w:rPr>
        <w:t>À</w:t>
      </w:r>
      <w:r>
        <w:rPr>
          <w:b/>
          <w:bCs/>
          <w:lang w:val="fr-FR"/>
        </w:rPr>
        <w:t xml:space="preserve"> empêcher et dissuader toute modification illégale ;</w:t>
      </w:r>
    </w:p>
    <w:p w14:paraId="558CA608" w14:textId="4F00E91D" w:rsidR="00235CA9" w:rsidRPr="002A22A2" w:rsidRDefault="00235CA9" w:rsidP="00235CA9">
      <w:pPr>
        <w:spacing w:after="120"/>
        <w:ind w:left="2835" w:right="1134" w:hanging="567"/>
        <w:jc w:val="both"/>
        <w:rPr>
          <w:b/>
          <w:color w:val="000000"/>
          <w:lang w:val="fr-FR"/>
        </w:rPr>
      </w:pPr>
      <w:r>
        <w:rPr>
          <w:b/>
          <w:bCs/>
          <w:lang w:val="fr-FR"/>
        </w:rPr>
        <w:t>-</w:t>
      </w:r>
      <w:r>
        <w:rPr>
          <w:b/>
          <w:bCs/>
          <w:lang w:val="fr-FR"/>
        </w:rPr>
        <w:tab/>
      </w:r>
      <w:r w:rsidR="00351DE5">
        <w:rPr>
          <w:b/>
          <w:bCs/>
          <w:lang w:val="fr-FR"/>
        </w:rPr>
        <w:t>À</w:t>
      </w:r>
      <w:r>
        <w:rPr>
          <w:b/>
          <w:bCs/>
          <w:lang w:val="fr-FR"/>
        </w:rPr>
        <w:t xml:space="preserve"> faciliter la détection de toute modification illégale.</w:t>
      </w:r>
    </w:p>
    <w:p w14:paraId="0FCA5641" w14:textId="3BBEDBC1" w:rsidR="00235CA9" w:rsidRPr="002A22A2" w:rsidRDefault="00235CA9" w:rsidP="00235CA9">
      <w:pPr>
        <w:spacing w:after="120"/>
        <w:ind w:left="2268" w:right="1134" w:hanging="1134"/>
        <w:jc w:val="both"/>
        <w:rPr>
          <w:b/>
          <w:color w:val="000000"/>
          <w:spacing w:val="-2"/>
          <w:lang w:val="fr-FR"/>
        </w:rPr>
      </w:pPr>
      <w:r>
        <w:rPr>
          <w:b/>
          <w:bCs/>
          <w:lang w:val="fr-FR"/>
        </w:rPr>
        <w:t>2.13</w:t>
      </w:r>
      <w:r>
        <w:rPr>
          <w:lang w:val="fr-FR"/>
        </w:rPr>
        <w:tab/>
      </w:r>
      <w:r>
        <w:rPr>
          <w:b/>
          <w:bCs/>
          <w:lang w:val="fr-FR"/>
        </w:rPr>
        <w:t>“</w:t>
      </w:r>
      <w:r>
        <w:rPr>
          <w:b/>
          <w:bCs/>
          <w:i/>
          <w:iCs/>
          <w:lang w:val="fr-FR"/>
        </w:rPr>
        <w:t>Manipulation non autorisée</w:t>
      </w:r>
      <w:r>
        <w:rPr>
          <w:b/>
          <w:bCs/>
          <w:lang w:val="fr-FR"/>
        </w:rPr>
        <w:t>”, toute action à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issue de laquelle le 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 n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est plus conforme au type homologué ;</w:t>
      </w:r>
    </w:p>
    <w:p w14:paraId="605BAAD1" w14:textId="663282B4" w:rsidR="00235CA9" w:rsidRPr="002A22A2" w:rsidRDefault="00235CA9" w:rsidP="00235CA9">
      <w:pPr>
        <w:spacing w:after="120"/>
        <w:ind w:left="2268" w:right="1134" w:hanging="1134"/>
        <w:jc w:val="both"/>
        <w:rPr>
          <w:lang w:val="fr-FR"/>
        </w:rPr>
      </w:pPr>
      <w:r>
        <w:rPr>
          <w:b/>
          <w:bCs/>
          <w:lang w:val="fr-FR"/>
        </w:rPr>
        <w:t>2.14</w:t>
      </w:r>
      <w:r>
        <w:rPr>
          <w:lang w:val="fr-FR"/>
        </w:rPr>
        <w:tab/>
      </w:r>
      <w:r w:rsidRPr="003026DF">
        <w:rPr>
          <w:b/>
          <w:bCs/>
          <w:lang w:val="fr-FR"/>
        </w:rPr>
        <w:t>“</w:t>
      </w:r>
      <w:r>
        <w:rPr>
          <w:b/>
          <w:bCs/>
          <w:i/>
          <w:iCs/>
          <w:lang w:val="fr-FR"/>
        </w:rPr>
        <w:t>Dégâts irréversibles</w:t>
      </w:r>
      <w:r>
        <w:rPr>
          <w:b/>
          <w:bCs/>
          <w:lang w:val="fr-FR"/>
        </w:rPr>
        <w:t>” (en ce qui concerne la protection contre toute manipulation non autorisée des 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échappement), tout dégât constituant une preuve permanente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une manipulation non autorisée.</w:t>
      </w:r>
      <w:r>
        <w:rPr>
          <w:lang w:val="fr-FR"/>
        </w:rPr>
        <w:t> ».</w:t>
      </w:r>
    </w:p>
    <w:p w14:paraId="37B4FE66" w14:textId="77777777" w:rsidR="00235CA9" w:rsidRPr="002A22A2" w:rsidRDefault="00235CA9" w:rsidP="00235CA9">
      <w:pPr>
        <w:pStyle w:val="SingleTxtG"/>
        <w:rPr>
          <w:lang w:val="fr-FR"/>
        </w:rPr>
      </w:pPr>
      <w:r>
        <w:rPr>
          <w:i/>
          <w:iCs/>
          <w:lang w:val="fr-FR"/>
        </w:rPr>
        <w:t>Paragraphe 3.2 a)</w:t>
      </w:r>
      <w:r>
        <w:rPr>
          <w:lang w:val="fr-FR"/>
        </w:rPr>
        <w:t>, modification sans objet en français.</w:t>
      </w:r>
    </w:p>
    <w:p w14:paraId="35906D2A" w14:textId="77777777" w:rsidR="00235CA9" w:rsidRPr="002A22A2" w:rsidRDefault="00235CA9" w:rsidP="00235CA9">
      <w:pPr>
        <w:pStyle w:val="SingleTxtG"/>
        <w:rPr>
          <w:lang w:val="fr-FR"/>
        </w:rPr>
      </w:pPr>
      <w:r>
        <w:rPr>
          <w:i/>
          <w:iCs/>
          <w:lang w:val="fr-FR"/>
        </w:rPr>
        <w:t>Paragraphe 3.3 b)</w:t>
      </w:r>
      <w:r>
        <w:rPr>
          <w:lang w:val="fr-FR"/>
        </w:rPr>
        <w:t>, modification sans objet en français.</w:t>
      </w:r>
    </w:p>
    <w:p w14:paraId="00B8C37F" w14:textId="77777777" w:rsidR="00235CA9" w:rsidRPr="002A22A2" w:rsidRDefault="00235CA9" w:rsidP="00235CA9">
      <w:pPr>
        <w:pStyle w:val="SingleTxtG"/>
        <w:rPr>
          <w:lang w:val="fr-FR"/>
        </w:rPr>
      </w:pPr>
      <w:r>
        <w:rPr>
          <w:i/>
          <w:iCs/>
          <w:lang w:val="fr-FR"/>
        </w:rPr>
        <w:t>Paragraphe 4.1 a)</w:t>
      </w:r>
      <w:r>
        <w:rPr>
          <w:lang w:val="fr-FR"/>
        </w:rPr>
        <w:t>, lire :</w:t>
      </w:r>
    </w:p>
    <w:p w14:paraId="4B308D71" w14:textId="46E41CB2" w:rsidR="00235CA9" w:rsidRPr="002A22A2" w:rsidRDefault="00235CA9" w:rsidP="00235CA9">
      <w:pPr>
        <w:spacing w:after="120"/>
        <w:ind w:left="2268" w:right="1134" w:hanging="1134"/>
        <w:jc w:val="both"/>
        <w:rPr>
          <w:lang w:val="fr-FR"/>
        </w:rPr>
      </w:pPr>
      <w:r>
        <w:rPr>
          <w:lang w:val="fr-FR"/>
        </w:rPr>
        <w:t>« 4.1</w:t>
      </w:r>
      <w:r>
        <w:rPr>
          <w:lang w:val="fr-FR"/>
        </w:rPr>
        <w:tab/>
        <w:t>…</w:t>
      </w:r>
    </w:p>
    <w:p w14:paraId="20AF0BA2" w14:textId="382DAA0A" w:rsidR="00235CA9" w:rsidRPr="002A22A2" w:rsidRDefault="00235CA9" w:rsidP="00235CA9">
      <w:pPr>
        <w:spacing w:after="120"/>
        <w:ind w:left="2835" w:right="1134" w:hanging="567"/>
        <w:jc w:val="both"/>
        <w:rPr>
          <w:lang w:val="fr-FR"/>
        </w:rPr>
      </w:pPr>
      <w:r>
        <w:rPr>
          <w:lang w:val="fr-FR"/>
        </w:rPr>
        <w:t>a)</w:t>
      </w:r>
      <w:r>
        <w:rPr>
          <w:lang w:val="fr-FR"/>
        </w:rPr>
        <w:tab/>
        <w:t xml:space="preserve">La marque de fabrique ou de commerce du fabricant du silencieux </w:t>
      </w:r>
      <w:proofErr w:type="spellStart"/>
      <w:r>
        <w:rPr>
          <w:strike/>
          <w:lang w:val="fr-FR"/>
        </w:rPr>
        <w:t>et</w:t>
      </w:r>
      <w:r>
        <w:rPr>
          <w:b/>
          <w:bCs/>
          <w:lang w:val="fr-FR"/>
        </w:rPr>
        <w:t>ou</w:t>
      </w:r>
      <w:proofErr w:type="spellEnd"/>
      <w:r>
        <w:rPr>
          <w:lang w:val="fr-FR"/>
        </w:rPr>
        <w:t xml:space="preserve"> de ses éléments ;</w:t>
      </w:r>
    </w:p>
    <w:p w14:paraId="765E1426" w14:textId="77777777" w:rsidR="00235CA9" w:rsidRPr="002A22A2" w:rsidRDefault="00235CA9" w:rsidP="00235CA9">
      <w:pPr>
        <w:spacing w:after="120"/>
        <w:ind w:left="2835" w:right="1134" w:hanging="567"/>
        <w:jc w:val="both"/>
        <w:rPr>
          <w:lang w:val="fr-FR"/>
        </w:rPr>
      </w:pPr>
      <w:r>
        <w:rPr>
          <w:lang w:val="fr-FR"/>
        </w:rPr>
        <w:t>… ».</w:t>
      </w:r>
    </w:p>
    <w:p w14:paraId="1237EEE4" w14:textId="77777777" w:rsidR="00235CA9" w:rsidRPr="002A22A2" w:rsidRDefault="00235CA9" w:rsidP="00235CA9">
      <w:pPr>
        <w:spacing w:after="120"/>
        <w:ind w:left="2268" w:right="1134" w:hanging="1134"/>
        <w:jc w:val="both"/>
        <w:rPr>
          <w:lang w:val="fr-FR"/>
        </w:rPr>
      </w:pPr>
      <w:r>
        <w:rPr>
          <w:i/>
          <w:iCs/>
          <w:lang w:val="fr-FR"/>
        </w:rPr>
        <w:t>Paragraphe 4.6</w:t>
      </w:r>
      <w:r>
        <w:rPr>
          <w:lang w:val="fr-FR"/>
        </w:rPr>
        <w:t>, lire :</w:t>
      </w:r>
    </w:p>
    <w:p w14:paraId="06D468B0" w14:textId="4AE10A9D" w:rsidR="00235CA9" w:rsidRPr="002A22A2" w:rsidRDefault="00235CA9" w:rsidP="00235CA9">
      <w:pPr>
        <w:spacing w:after="120"/>
        <w:ind w:left="2268" w:right="1134" w:hanging="1134"/>
        <w:jc w:val="both"/>
        <w:rPr>
          <w:lang w:val="fr-FR"/>
        </w:rPr>
      </w:pPr>
      <w:r>
        <w:rPr>
          <w:lang w:val="fr-FR"/>
        </w:rPr>
        <w:t>« 4.6</w:t>
      </w:r>
      <w:r>
        <w:rPr>
          <w:lang w:val="fr-FR"/>
        </w:rPr>
        <w:tab/>
        <w:t>Le fabricant doit fournir :</w:t>
      </w:r>
    </w:p>
    <w:p w14:paraId="1DC0E2D5" w14:textId="423F627B" w:rsidR="00235CA9" w:rsidRPr="002A22A2" w:rsidRDefault="00235CA9" w:rsidP="00235CA9">
      <w:pPr>
        <w:spacing w:after="120"/>
        <w:ind w:left="2835" w:right="1134" w:hanging="567"/>
        <w:jc w:val="both"/>
        <w:rPr>
          <w:lang w:val="fr-FR"/>
        </w:rPr>
      </w:pPr>
      <w:r>
        <w:rPr>
          <w:lang w:val="fr-FR"/>
        </w:rPr>
        <w:t>a)</w:t>
      </w:r>
      <w:r>
        <w:rPr>
          <w:lang w:val="fr-FR"/>
        </w:rPr>
        <w:tab/>
        <w:t>Les instructions expliquant en détail la méthode correcte de montage sur le véhicule ;</w:t>
      </w:r>
    </w:p>
    <w:p w14:paraId="0BCAD661" w14:textId="3660FFBA" w:rsidR="00235CA9" w:rsidRPr="002A22A2" w:rsidRDefault="00235CA9" w:rsidP="00235CA9">
      <w:pPr>
        <w:spacing w:after="120"/>
        <w:ind w:left="2835" w:right="1134" w:hanging="567"/>
        <w:jc w:val="both"/>
        <w:rPr>
          <w:lang w:val="fr-FR"/>
        </w:rPr>
      </w:pPr>
      <w:r>
        <w:rPr>
          <w:lang w:val="fr-FR"/>
        </w:rPr>
        <w:t>b)</w:t>
      </w:r>
      <w:r>
        <w:rPr>
          <w:lang w:val="fr-FR"/>
        </w:rPr>
        <w:tab/>
        <w:t>Les instructions pour la manutention du silencieux ;</w:t>
      </w:r>
    </w:p>
    <w:p w14:paraId="7F8F0846" w14:textId="6C83686C" w:rsidR="00235CA9" w:rsidRPr="002A22A2" w:rsidRDefault="00235CA9" w:rsidP="00235CA9">
      <w:pPr>
        <w:spacing w:after="120"/>
        <w:ind w:left="2835" w:right="1134" w:hanging="567"/>
        <w:jc w:val="both"/>
        <w:rPr>
          <w:lang w:val="fr-FR"/>
        </w:rPr>
      </w:pPr>
      <w:r>
        <w:rPr>
          <w:lang w:val="fr-FR"/>
        </w:rPr>
        <w:lastRenderedPageBreak/>
        <w:t>c)</w:t>
      </w:r>
      <w:r>
        <w:rPr>
          <w:lang w:val="fr-FR"/>
        </w:rPr>
        <w:tab/>
        <w:t>Une liste des éléments avec le numéro des pièces correspondantes, à l</w:t>
      </w:r>
      <w:r w:rsidR="002D7619">
        <w:rPr>
          <w:lang w:val="fr-FR"/>
        </w:rPr>
        <w:t>’</w:t>
      </w:r>
      <w:r>
        <w:rPr>
          <w:lang w:val="fr-FR"/>
        </w:rPr>
        <w:t>exclusion des pièces de fixation</w:t>
      </w:r>
      <w:r>
        <w:rPr>
          <w:strike/>
          <w:lang w:val="fr-FR"/>
        </w:rPr>
        <w:t>.</w:t>
      </w:r>
      <w:r w:rsidRPr="00235CA9">
        <w:rPr>
          <w:lang w:val="fr-FR"/>
        </w:rPr>
        <w:t> </w:t>
      </w:r>
      <w:r>
        <w:rPr>
          <w:b/>
          <w:bCs/>
          <w:lang w:val="fr-FR"/>
        </w:rPr>
        <w:t>;</w:t>
      </w:r>
    </w:p>
    <w:p w14:paraId="2D3D58BF" w14:textId="19195044" w:rsidR="00235CA9" w:rsidRPr="002A22A2" w:rsidRDefault="00235CA9" w:rsidP="00235CA9">
      <w:pPr>
        <w:spacing w:after="120"/>
        <w:ind w:left="2268" w:right="1134"/>
        <w:jc w:val="both"/>
        <w:rPr>
          <w:lang w:val="fr-FR"/>
        </w:rPr>
      </w:pPr>
      <w:r>
        <w:rPr>
          <w:b/>
          <w:bCs/>
          <w:lang w:val="fr-FR"/>
        </w:rPr>
        <w:t>d)</w:t>
      </w:r>
      <w:r>
        <w:rPr>
          <w:lang w:val="fr-FR"/>
        </w:rPr>
        <w:tab/>
      </w:r>
      <w:r>
        <w:rPr>
          <w:b/>
          <w:bCs/>
          <w:lang w:val="fr-FR"/>
        </w:rPr>
        <w:t>La marque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homologation.</w:t>
      </w:r>
      <w:r>
        <w:rPr>
          <w:lang w:val="fr-FR"/>
        </w:rPr>
        <w:t> ».</w:t>
      </w:r>
    </w:p>
    <w:p w14:paraId="25825FD8" w14:textId="77777777" w:rsidR="00235CA9" w:rsidRPr="002A22A2" w:rsidRDefault="00235CA9" w:rsidP="00235CA9">
      <w:pPr>
        <w:spacing w:after="120"/>
        <w:ind w:left="2268" w:right="1134" w:hanging="1134"/>
        <w:jc w:val="both"/>
        <w:rPr>
          <w:lang w:val="fr-FR"/>
        </w:rPr>
      </w:pPr>
      <w:r>
        <w:rPr>
          <w:i/>
          <w:iCs/>
          <w:lang w:val="fr-FR"/>
        </w:rPr>
        <w:t>Paragraphe 5.2</w:t>
      </w:r>
      <w:r>
        <w:rPr>
          <w:lang w:val="fr-FR"/>
        </w:rPr>
        <w:t>, modification sans objet en français.</w:t>
      </w:r>
    </w:p>
    <w:p w14:paraId="15A3ADC0" w14:textId="77777777" w:rsidR="00235CA9" w:rsidRPr="002A22A2" w:rsidRDefault="00235CA9" w:rsidP="00235CA9">
      <w:pPr>
        <w:spacing w:after="120"/>
        <w:ind w:left="2268" w:right="1134" w:hanging="1134"/>
        <w:jc w:val="both"/>
        <w:rPr>
          <w:lang w:val="fr-FR"/>
        </w:rPr>
      </w:pPr>
      <w:r>
        <w:rPr>
          <w:i/>
          <w:iCs/>
          <w:lang w:val="fr-FR"/>
        </w:rPr>
        <w:t>Paragraphe 5.6</w:t>
      </w:r>
      <w:r>
        <w:rPr>
          <w:lang w:val="fr-FR"/>
        </w:rPr>
        <w:t>, modification sans objet en français.</w:t>
      </w:r>
    </w:p>
    <w:p w14:paraId="434D4EC7" w14:textId="77777777" w:rsidR="00235CA9" w:rsidRPr="002A22A2" w:rsidRDefault="00235CA9" w:rsidP="00235CA9">
      <w:pPr>
        <w:spacing w:after="120"/>
        <w:ind w:left="2268" w:right="1134" w:hanging="1134"/>
        <w:jc w:val="both"/>
        <w:rPr>
          <w:lang w:val="fr-FR"/>
        </w:rPr>
      </w:pPr>
      <w:bookmarkStart w:id="1" w:name="_Hlk170403454"/>
      <w:r>
        <w:rPr>
          <w:i/>
          <w:iCs/>
          <w:lang w:val="fr-FR"/>
        </w:rPr>
        <w:t>Paragraphes 6.1 b) et h)</w:t>
      </w:r>
      <w:r w:rsidRPr="00235CA9">
        <w:rPr>
          <w:lang w:val="fr-FR"/>
        </w:rPr>
        <w:t>,</w:t>
      </w:r>
      <w:r>
        <w:rPr>
          <w:i/>
          <w:iCs/>
          <w:lang w:val="fr-FR"/>
        </w:rPr>
        <w:t xml:space="preserve"> </w:t>
      </w:r>
      <w:r>
        <w:rPr>
          <w:lang w:val="fr-FR"/>
        </w:rPr>
        <w:t>lire :</w:t>
      </w:r>
    </w:p>
    <w:bookmarkEnd w:id="1"/>
    <w:p w14:paraId="07D412B2" w14:textId="77777777" w:rsidR="00235CA9" w:rsidRPr="002A22A2" w:rsidRDefault="00235CA9" w:rsidP="00235CA9">
      <w:pPr>
        <w:spacing w:after="120"/>
        <w:ind w:left="2268" w:right="1134" w:hanging="1134"/>
        <w:jc w:val="both"/>
        <w:rPr>
          <w:lang w:val="fr-FR"/>
        </w:rPr>
      </w:pPr>
      <w:r>
        <w:rPr>
          <w:lang w:val="fr-FR"/>
        </w:rPr>
        <w:t>« 6.1</w:t>
      </w:r>
      <w:r>
        <w:rPr>
          <w:lang w:val="fr-FR"/>
        </w:rPr>
        <w:tab/>
        <w:t>…</w:t>
      </w:r>
    </w:p>
    <w:p w14:paraId="6DDDE771" w14:textId="6C7182C9" w:rsidR="00235CA9" w:rsidRPr="002A22A2" w:rsidRDefault="00235CA9" w:rsidP="00235CA9">
      <w:pPr>
        <w:spacing w:after="120"/>
        <w:ind w:left="2835" w:right="1134" w:hanging="567"/>
        <w:jc w:val="both"/>
        <w:rPr>
          <w:lang w:val="fr-FR"/>
        </w:rPr>
      </w:pPr>
      <w:r>
        <w:rPr>
          <w:lang w:val="fr-FR"/>
        </w:rPr>
        <w:t>b)</w:t>
      </w:r>
      <w:r>
        <w:rPr>
          <w:lang w:val="fr-FR"/>
        </w:rPr>
        <w:tab/>
        <w:t xml:space="preserve">Il présente une résistance acceptable </w:t>
      </w:r>
      <w:r>
        <w:rPr>
          <w:strike/>
          <w:lang w:val="fr-FR"/>
        </w:rPr>
        <w:t xml:space="preserve">aux phénomènes de </w:t>
      </w:r>
      <w:r>
        <w:rPr>
          <w:b/>
          <w:bCs/>
          <w:lang w:val="fr-FR"/>
        </w:rPr>
        <w:t xml:space="preserve">à la </w:t>
      </w:r>
      <w:r>
        <w:rPr>
          <w:lang w:val="fr-FR"/>
        </w:rPr>
        <w:t xml:space="preserve">corrosion </w:t>
      </w:r>
      <w:r>
        <w:rPr>
          <w:strike/>
          <w:lang w:val="fr-FR"/>
        </w:rPr>
        <w:t xml:space="preserve">auxquels </w:t>
      </w:r>
      <w:r>
        <w:rPr>
          <w:b/>
          <w:bCs/>
          <w:lang w:val="fr-FR"/>
        </w:rPr>
        <w:t>à laquelle</w:t>
      </w:r>
      <w:r w:rsidRPr="002E3830">
        <w:rPr>
          <w:lang w:val="fr-FR"/>
        </w:rPr>
        <w:t xml:space="preserve"> </w:t>
      </w:r>
      <w:r>
        <w:rPr>
          <w:lang w:val="fr-FR"/>
        </w:rPr>
        <w:t>il est exposé, dans des conditions normales d</w:t>
      </w:r>
      <w:r w:rsidR="002D7619">
        <w:rPr>
          <w:lang w:val="fr-FR"/>
        </w:rPr>
        <w:t>’</w:t>
      </w:r>
      <w:r>
        <w:rPr>
          <w:lang w:val="fr-FR"/>
        </w:rPr>
        <w:t>utilisation du véhicule ;</w:t>
      </w:r>
    </w:p>
    <w:p w14:paraId="7504BD67" w14:textId="77777777" w:rsidR="00235CA9" w:rsidRPr="002A22A2" w:rsidRDefault="00235CA9" w:rsidP="00235CA9">
      <w:pPr>
        <w:spacing w:after="120"/>
        <w:ind w:left="2835" w:right="1134" w:hanging="567"/>
        <w:jc w:val="both"/>
        <w:rPr>
          <w:lang w:val="fr-FR"/>
        </w:rPr>
      </w:pPr>
      <w:r>
        <w:rPr>
          <w:lang w:val="fr-FR"/>
        </w:rPr>
        <w:t>…</w:t>
      </w:r>
    </w:p>
    <w:p w14:paraId="51E3133A" w14:textId="4CB29974" w:rsidR="00235CA9" w:rsidRPr="002A22A2" w:rsidRDefault="00235CA9" w:rsidP="00235CA9">
      <w:pPr>
        <w:spacing w:after="120"/>
        <w:ind w:left="2835" w:right="1134" w:hanging="567"/>
        <w:jc w:val="both"/>
        <w:rPr>
          <w:lang w:val="fr-FR"/>
        </w:rPr>
      </w:pPr>
      <w:r>
        <w:rPr>
          <w:lang w:val="fr-FR"/>
        </w:rPr>
        <w:t>h)</w:t>
      </w:r>
      <w:r>
        <w:rPr>
          <w:lang w:val="fr-FR"/>
        </w:rPr>
        <w:tab/>
      </w:r>
      <w:r w:rsidRPr="00FD2222">
        <w:rPr>
          <w:lang w:val="fr-FR"/>
        </w:rPr>
        <w:t xml:space="preserve">Il soit protégé </w:t>
      </w:r>
      <w:r>
        <w:rPr>
          <w:lang w:val="fr-FR"/>
        </w:rPr>
        <w:t>contre toute modification non autorisée</w:t>
      </w:r>
      <w:r w:rsidRPr="00FD2222">
        <w:rPr>
          <w:lang w:val="fr-FR"/>
        </w:rPr>
        <w:t xml:space="preserve"> d</w:t>
      </w:r>
      <w:r w:rsidR="002D7619">
        <w:rPr>
          <w:lang w:val="fr-FR"/>
        </w:rPr>
        <w:t>’</w:t>
      </w:r>
      <w:r w:rsidRPr="00FD2222">
        <w:rPr>
          <w:lang w:val="fr-FR"/>
        </w:rPr>
        <w:t>une façon compatible avec les prescriptions d</w:t>
      </w:r>
      <w:r w:rsidR="002D7619">
        <w:rPr>
          <w:lang w:val="fr-FR"/>
        </w:rPr>
        <w:t>’</w:t>
      </w:r>
      <w:r w:rsidRPr="00FD2222">
        <w:rPr>
          <w:lang w:val="fr-FR"/>
        </w:rPr>
        <w:t>entretien et d</w:t>
      </w:r>
      <w:r w:rsidR="002D7619">
        <w:rPr>
          <w:lang w:val="fr-FR"/>
        </w:rPr>
        <w:t>’</w:t>
      </w:r>
      <w:r w:rsidRPr="00FD2222">
        <w:rPr>
          <w:lang w:val="fr-FR"/>
        </w:rPr>
        <w:t>installation clairement définies.</w:t>
      </w:r>
      <w:r>
        <w:rPr>
          <w:lang w:val="fr-FR"/>
        </w:rPr>
        <w:t> ».</w:t>
      </w:r>
    </w:p>
    <w:p w14:paraId="0F6566D3" w14:textId="77777777" w:rsidR="00235CA9" w:rsidRPr="002A22A2" w:rsidRDefault="00235CA9" w:rsidP="00235CA9">
      <w:pPr>
        <w:spacing w:after="120"/>
        <w:ind w:left="2268" w:right="1134" w:hanging="1134"/>
        <w:jc w:val="both"/>
        <w:rPr>
          <w:lang w:val="fr-FR"/>
        </w:rPr>
      </w:pPr>
      <w:r>
        <w:rPr>
          <w:i/>
          <w:iCs/>
          <w:lang w:val="fr-FR"/>
        </w:rPr>
        <w:t>Paragraphe 6.2</w:t>
      </w:r>
      <w:r>
        <w:rPr>
          <w:lang w:val="fr-FR"/>
        </w:rPr>
        <w:t>, lire :</w:t>
      </w:r>
    </w:p>
    <w:p w14:paraId="40265C75" w14:textId="77777777" w:rsidR="00235CA9" w:rsidRPr="002A22A2" w:rsidRDefault="00235CA9" w:rsidP="00235CA9">
      <w:pPr>
        <w:spacing w:after="120"/>
        <w:ind w:left="1701" w:right="1134" w:hanging="567"/>
        <w:jc w:val="both"/>
        <w:rPr>
          <w:lang w:val="fr-FR"/>
        </w:rPr>
      </w:pPr>
      <w:r>
        <w:rPr>
          <w:lang w:val="fr-FR"/>
        </w:rPr>
        <w:t>« 6.2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Prescriptions relatives aux niveaux sonores</w:t>
      </w:r>
    </w:p>
    <w:p w14:paraId="1AB5CA00" w14:textId="3836B346" w:rsidR="00235CA9" w:rsidRPr="002A22A2" w:rsidRDefault="00235CA9" w:rsidP="00235CA9">
      <w:pPr>
        <w:spacing w:after="120"/>
        <w:ind w:left="2268" w:right="1134"/>
        <w:jc w:val="both"/>
        <w:rPr>
          <w:lang w:val="fr-FR"/>
        </w:rPr>
      </w:pPr>
      <w:r>
        <w:rPr>
          <w:lang w:val="fr-FR"/>
        </w:rPr>
        <w:tab/>
        <w:t>L</w:t>
      </w:r>
      <w:r w:rsidR="002D7619">
        <w:rPr>
          <w:lang w:val="fr-FR"/>
        </w:rPr>
        <w:t>’</w:t>
      </w:r>
      <w:r>
        <w:rPr>
          <w:lang w:val="fr-FR"/>
        </w:rPr>
        <w:t>efficacité acoustique du silencieux d</w:t>
      </w:r>
      <w:r w:rsidR="002D7619">
        <w:rPr>
          <w:lang w:val="fr-FR"/>
        </w:rPr>
        <w:t>’</w:t>
      </w:r>
      <w:r>
        <w:rPr>
          <w:lang w:val="fr-FR"/>
        </w:rPr>
        <w:t>échappement de remplacement ou de ses éléments est vérifiée par les méthodes décrites dans les Règlements ONU</w:t>
      </w:r>
      <w:r w:rsidR="0006105C">
        <w:rPr>
          <w:lang w:val="fr-FR"/>
        </w:rPr>
        <w:t> </w:t>
      </w:r>
      <w:r>
        <w:rPr>
          <w:lang w:val="fr-FR"/>
        </w:rPr>
        <w:t>n</w:t>
      </w:r>
      <w:r>
        <w:rPr>
          <w:vertAlign w:val="superscript"/>
          <w:lang w:val="fr-FR"/>
        </w:rPr>
        <w:t>os</w:t>
      </w:r>
      <w:r>
        <w:rPr>
          <w:lang w:val="fr-FR"/>
        </w:rPr>
        <w:t> 9, 41 ou 63. Aux fins de l</w:t>
      </w:r>
      <w:r w:rsidR="002D7619">
        <w:rPr>
          <w:lang w:val="fr-FR"/>
        </w:rPr>
        <w:t>’</w:t>
      </w:r>
      <w:r>
        <w:rPr>
          <w:lang w:val="fr-FR"/>
        </w:rPr>
        <w:t>application du présent paragraphe, il doit notamment être fait référence à la série d</w:t>
      </w:r>
      <w:r w:rsidR="002D7619">
        <w:rPr>
          <w:lang w:val="fr-FR"/>
        </w:rPr>
        <w:t>’</w:t>
      </w:r>
      <w:r>
        <w:rPr>
          <w:lang w:val="fr-FR"/>
        </w:rPr>
        <w:t>amendements au Règlement ONU</w:t>
      </w:r>
      <w:r w:rsidR="0006105C">
        <w:rPr>
          <w:lang w:val="fr-FR"/>
        </w:rPr>
        <w:t> </w:t>
      </w:r>
      <w:r>
        <w:rPr>
          <w:lang w:val="fr-FR"/>
        </w:rPr>
        <w:t>n</w:t>
      </w:r>
      <w:r>
        <w:rPr>
          <w:vertAlign w:val="superscript"/>
          <w:lang w:val="fr-FR"/>
        </w:rPr>
        <w:t>o</w:t>
      </w:r>
      <w:r>
        <w:rPr>
          <w:lang w:val="fr-FR"/>
        </w:rPr>
        <w:t> 92 en vigueur à la date de l</w:t>
      </w:r>
      <w:r w:rsidR="002D7619">
        <w:rPr>
          <w:lang w:val="fr-FR"/>
        </w:rPr>
        <w:t>’</w:t>
      </w:r>
      <w:r>
        <w:rPr>
          <w:lang w:val="fr-FR"/>
        </w:rPr>
        <w:t>homologation de type du véhicule neuf. Le silencieux d</w:t>
      </w:r>
      <w:r w:rsidR="002D7619">
        <w:rPr>
          <w:lang w:val="fr-FR"/>
        </w:rPr>
        <w:t>’</w:t>
      </w:r>
      <w:r>
        <w:rPr>
          <w:lang w:val="fr-FR"/>
        </w:rPr>
        <w:t>échappement de remplacement ou ses éléments étant montés sur le véhicule visé à l</w:t>
      </w:r>
      <w:r w:rsidR="002D7619">
        <w:rPr>
          <w:lang w:val="fr-FR"/>
        </w:rPr>
        <w:t>’</w:t>
      </w:r>
      <w:r>
        <w:rPr>
          <w:lang w:val="fr-FR"/>
        </w:rPr>
        <w:t>alinéa c) du paragraphe 3.3 ci-dessus, les valeurs du niveau sonore obtenues selon les deux méthodes (à l</w:t>
      </w:r>
      <w:r w:rsidR="002D7619">
        <w:rPr>
          <w:lang w:val="fr-FR"/>
        </w:rPr>
        <w:t>’</w:t>
      </w:r>
      <w:r>
        <w:rPr>
          <w:lang w:val="fr-FR"/>
        </w:rPr>
        <w:t>arrêt et en marche) doivent satisfaire à la condition suivante :</w:t>
      </w:r>
    </w:p>
    <w:p w14:paraId="4B131F24" w14:textId="3F17E79B" w:rsidR="00235CA9" w:rsidRPr="002A22A2" w:rsidRDefault="00235CA9" w:rsidP="0006105C">
      <w:pPr>
        <w:spacing w:after="120"/>
        <w:ind w:left="2268" w:right="1134"/>
        <w:jc w:val="both"/>
        <w:rPr>
          <w:lang w:val="fr-FR"/>
        </w:rPr>
      </w:pPr>
      <w:r>
        <w:rPr>
          <w:lang w:val="fr-FR"/>
        </w:rPr>
        <w:tab/>
        <w:t xml:space="preserve">Ne </w:t>
      </w:r>
      <w:r>
        <w:rPr>
          <w:strike/>
          <w:lang w:val="fr-FR"/>
        </w:rPr>
        <w:t xml:space="preserve">pas </w:t>
      </w:r>
      <w:r>
        <w:rPr>
          <w:lang w:val="fr-FR"/>
        </w:rPr>
        <w:t xml:space="preserve">dépasser </w:t>
      </w:r>
      <w:r>
        <w:rPr>
          <w:strike/>
          <w:lang w:val="fr-FR"/>
        </w:rPr>
        <w:t xml:space="preserve">les </w:t>
      </w:r>
      <w:r>
        <w:rPr>
          <w:b/>
          <w:bCs/>
          <w:lang w:val="fr-FR"/>
        </w:rPr>
        <w:t>ni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une ni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autre des</w:t>
      </w:r>
      <w:r w:rsidRPr="002E3830">
        <w:rPr>
          <w:lang w:val="fr-FR"/>
        </w:rPr>
        <w:t xml:space="preserve"> </w:t>
      </w:r>
      <w:r>
        <w:rPr>
          <w:lang w:val="fr-FR"/>
        </w:rPr>
        <w:t>valeurs mesurées, conformément aux prescriptions de l</w:t>
      </w:r>
      <w:r w:rsidR="002D7619">
        <w:rPr>
          <w:lang w:val="fr-FR"/>
        </w:rPr>
        <w:t>’</w:t>
      </w:r>
      <w:r>
        <w:rPr>
          <w:lang w:val="fr-FR"/>
        </w:rPr>
        <w:t>alinéa c) du paragraphe 3.3, avec le même véhicule équipé du silencieux d</w:t>
      </w:r>
      <w:r w:rsidR="002D7619">
        <w:rPr>
          <w:lang w:val="fr-FR"/>
        </w:rPr>
        <w:t>’</w:t>
      </w:r>
      <w:r>
        <w:rPr>
          <w:lang w:val="fr-FR"/>
        </w:rPr>
        <w:t>origine tant pendant l</w:t>
      </w:r>
      <w:r w:rsidR="002D7619">
        <w:rPr>
          <w:lang w:val="fr-FR"/>
        </w:rPr>
        <w:t>’</w:t>
      </w:r>
      <w:r>
        <w:rPr>
          <w:lang w:val="fr-FR"/>
        </w:rPr>
        <w:t>essai en marche que pendant l</w:t>
      </w:r>
      <w:r w:rsidR="002D7619">
        <w:rPr>
          <w:lang w:val="fr-FR"/>
        </w:rPr>
        <w:t>’</w:t>
      </w:r>
      <w:r>
        <w:rPr>
          <w:lang w:val="fr-FR"/>
        </w:rPr>
        <w:t>essai à l</w:t>
      </w:r>
      <w:r w:rsidR="002D7619">
        <w:rPr>
          <w:lang w:val="fr-FR"/>
        </w:rPr>
        <w:t>’</w:t>
      </w:r>
      <w:r>
        <w:rPr>
          <w:lang w:val="fr-FR"/>
        </w:rPr>
        <w:t>arrêt. ».</w:t>
      </w:r>
    </w:p>
    <w:p w14:paraId="379E8A4F" w14:textId="77777777" w:rsidR="00235CA9" w:rsidRPr="002A22A2" w:rsidRDefault="00235CA9" w:rsidP="00235CA9">
      <w:pPr>
        <w:spacing w:after="120"/>
        <w:ind w:left="2268" w:right="1134" w:hanging="1134"/>
        <w:jc w:val="both"/>
        <w:rPr>
          <w:lang w:val="fr-FR"/>
        </w:rPr>
      </w:pPr>
      <w:r>
        <w:rPr>
          <w:i/>
          <w:iCs/>
          <w:lang w:val="fr-FR"/>
        </w:rPr>
        <w:t>Paragraphe 6.3.1</w:t>
      </w:r>
      <w:r>
        <w:rPr>
          <w:lang w:val="fr-FR"/>
        </w:rPr>
        <w:t>, lire :</w:t>
      </w:r>
    </w:p>
    <w:p w14:paraId="582CD78F" w14:textId="4ABBE9CF" w:rsidR="00235CA9" w:rsidRPr="002A22A2" w:rsidRDefault="00235CA9" w:rsidP="00235CA9">
      <w:pPr>
        <w:pStyle w:val="SingleTxtG"/>
        <w:spacing w:line="240" w:lineRule="auto"/>
        <w:ind w:left="2268" w:hanging="1134"/>
        <w:rPr>
          <w:lang w:val="fr-FR"/>
        </w:rPr>
      </w:pPr>
      <w:r>
        <w:rPr>
          <w:lang w:val="fr-FR"/>
        </w:rPr>
        <w:t>« 6.3.1</w:t>
      </w:r>
      <w:r>
        <w:rPr>
          <w:lang w:val="fr-FR"/>
        </w:rPr>
        <w:tab/>
        <w:t>Dispositions relatives à la protection contre toute manipulation non autorisée</w:t>
      </w:r>
    </w:p>
    <w:p w14:paraId="4B566124" w14:textId="1D3D0C9B" w:rsidR="00235CA9" w:rsidRPr="002A22A2" w:rsidRDefault="00235CA9" w:rsidP="00235CA9">
      <w:pPr>
        <w:spacing w:after="120"/>
        <w:ind w:left="2268" w:right="1134"/>
        <w:jc w:val="both"/>
        <w:rPr>
          <w:b/>
          <w:bCs/>
          <w:lang w:val="fr-FR"/>
        </w:rPr>
      </w:pPr>
      <w:r w:rsidRPr="00C14DA1">
        <w:rPr>
          <w:strike/>
          <w:lang w:val="fr-FR"/>
        </w:rPr>
        <w:t>Les silencieux d</w:t>
      </w:r>
      <w:r w:rsidR="002D7619">
        <w:rPr>
          <w:strike/>
          <w:lang w:val="fr-FR"/>
        </w:rPr>
        <w:t>’</w:t>
      </w:r>
      <w:r w:rsidRPr="00C14DA1">
        <w:rPr>
          <w:strike/>
          <w:lang w:val="fr-FR"/>
        </w:rPr>
        <w:t>échappement de remplacement non d</w:t>
      </w:r>
      <w:r w:rsidR="002D7619">
        <w:rPr>
          <w:strike/>
          <w:lang w:val="fr-FR"/>
        </w:rPr>
        <w:t>’</w:t>
      </w:r>
      <w:r w:rsidRPr="00C14DA1">
        <w:rPr>
          <w:strike/>
          <w:lang w:val="fr-FR"/>
        </w:rPr>
        <w:t>origine ou leurs éléments doivent être conçus de telle sorte qu</w:t>
      </w:r>
      <w:r w:rsidR="002D7619">
        <w:rPr>
          <w:strike/>
          <w:lang w:val="fr-FR"/>
        </w:rPr>
        <w:t>’</w:t>
      </w:r>
      <w:r w:rsidRPr="00C14DA1">
        <w:rPr>
          <w:strike/>
          <w:lang w:val="fr-FR"/>
        </w:rPr>
        <w:t>il ne soit pas possible d</w:t>
      </w:r>
      <w:r w:rsidR="002D7619">
        <w:rPr>
          <w:strike/>
          <w:lang w:val="fr-FR"/>
        </w:rPr>
        <w:t>’</w:t>
      </w:r>
      <w:r w:rsidRPr="00C14DA1">
        <w:rPr>
          <w:strike/>
          <w:lang w:val="fr-FR"/>
        </w:rPr>
        <w:t>en retirer les chicanes ou les cônes de sortie, ainsi que toute pièce servant principalement à atténuer le bruit. Les pièces indispensables doivent être fixées de telle sorte qu</w:t>
      </w:r>
      <w:r w:rsidR="002D7619">
        <w:rPr>
          <w:strike/>
          <w:lang w:val="fr-FR"/>
        </w:rPr>
        <w:t>’</w:t>
      </w:r>
      <w:r w:rsidRPr="00C14DA1">
        <w:rPr>
          <w:strike/>
          <w:lang w:val="fr-FR"/>
        </w:rPr>
        <w:t>elles ne puissent être enlevées facilement (par</w:t>
      </w:r>
      <w:r w:rsidR="002E3830">
        <w:rPr>
          <w:strike/>
          <w:lang w:val="fr-FR"/>
        </w:rPr>
        <w:t xml:space="preserve"> </w:t>
      </w:r>
      <w:r w:rsidRPr="00C14DA1">
        <w:rPr>
          <w:strike/>
          <w:lang w:val="fr-FR"/>
        </w:rPr>
        <w:t>exemple être boulonnées) et que leur retrait causerait des dégâts irréversibles pour l</w:t>
      </w:r>
      <w:r w:rsidR="002D7619">
        <w:rPr>
          <w:strike/>
          <w:lang w:val="fr-FR"/>
        </w:rPr>
        <w:t>’</w:t>
      </w:r>
      <w:r w:rsidRPr="00C14DA1">
        <w:rPr>
          <w:strike/>
          <w:lang w:val="fr-FR"/>
        </w:rPr>
        <w:t>ensemble.</w:t>
      </w:r>
      <w:r>
        <w:rPr>
          <w:strike/>
          <w:lang w:val="fr-FR"/>
        </w:rPr>
        <w:t xml:space="preserve"> </w:t>
      </w:r>
      <w:r>
        <w:rPr>
          <w:b/>
          <w:bCs/>
          <w:lang w:val="fr-FR"/>
        </w:rPr>
        <w:t>Les 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 de remplacement non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origine et leurs éléments doivent être conçus et fabriqués en tenant compte des mesures de protection</w:t>
      </w:r>
      <w:r w:rsidR="0006105C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contre toute manipulation non autorisée,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>de telle sorte qu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il ne soit pas possible de retirer les éléments contribuant à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atténuation du bruit ou de les rendre inefficaces.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>Toute manipulation non autorisée doit causer des dégâts irréversibles</w:t>
      </w:r>
      <w:r w:rsidR="0006105C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pour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ensemble.</w:t>
      </w:r>
    </w:p>
    <w:p w14:paraId="4BD973E6" w14:textId="77777777" w:rsidR="00235CA9" w:rsidRPr="002A22A2" w:rsidRDefault="00235CA9" w:rsidP="00235CA9">
      <w:pPr>
        <w:spacing w:after="120"/>
        <w:ind w:left="2268" w:right="1134"/>
        <w:jc w:val="both"/>
        <w:rPr>
          <w:b/>
          <w:bCs/>
          <w:lang w:val="fr-FR"/>
        </w:rPr>
      </w:pPr>
      <w:r>
        <w:rPr>
          <w:b/>
          <w:bCs/>
          <w:lang w:val="fr-FR"/>
        </w:rPr>
        <w:t>Le logiciel du silencieux (le cas échéant) doit être conçu et programmé en tenant compte des mesures de protection contre toute manipulation non autorisée.</w:t>
      </w:r>
    </w:p>
    <w:p w14:paraId="704025E1" w14:textId="4467B779" w:rsidR="00235CA9" w:rsidRPr="002A22A2" w:rsidRDefault="00235CA9" w:rsidP="00235CA9">
      <w:pPr>
        <w:spacing w:after="120"/>
        <w:ind w:left="2268" w:right="1134"/>
        <w:jc w:val="both"/>
        <w:rPr>
          <w:b/>
          <w:bCs/>
          <w:lang w:val="fr-FR"/>
        </w:rPr>
      </w:pPr>
      <w:r>
        <w:rPr>
          <w:b/>
          <w:bCs/>
          <w:lang w:val="fr-FR"/>
        </w:rPr>
        <w:t>À la demande de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autorité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homologation de type ou de son service technique, le fabricant du silencieux doit décrire les mesures de protection contre toute manipulation non autorisée qu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il a appliquées et en démontrer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efficacité pratique.</w:t>
      </w:r>
    </w:p>
    <w:p w14:paraId="67FA1515" w14:textId="021C13B5" w:rsidR="00235CA9" w:rsidRPr="00351DE5" w:rsidRDefault="00235CA9" w:rsidP="00235CA9">
      <w:pPr>
        <w:spacing w:after="120"/>
        <w:ind w:left="2268" w:right="1134"/>
        <w:jc w:val="both"/>
        <w:rPr>
          <w:lang w:val="fr-FR"/>
        </w:rPr>
      </w:pPr>
      <w:r w:rsidRPr="006A2FE2">
        <w:rPr>
          <w:b/>
          <w:bCs/>
          <w:lang w:val="fr-FR"/>
        </w:rPr>
        <w:lastRenderedPageBreak/>
        <w:t>La conformité aux présentes dispositions relatives à la protection contre toute manipulation non autorisée doit être garantie dans tous les cas, indépendamment de l</w:t>
      </w:r>
      <w:r w:rsidR="002D7619">
        <w:rPr>
          <w:b/>
          <w:bCs/>
          <w:lang w:val="fr-FR"/>
        </w:rPr>
        <w:t>’</w:t>
      </w:r>
      <w:r w:rsidRPr="006A2FE2">
        <w:rPr>
          <w:b/>
          <w:bCs/>
          <w:lang w:val="fr-FR"/>
        </w:rPr>
        <w:t>année de production du véhicule ou du règlement relatif au bruit au titre duquel l</w:t>
      </w:r>
      <w:r w:rsidR="002D7619">
        <w:rPr>
          <w:b/>
          <w:bCs/>
          <w:lang w:val="fr-FR"/>
        </w:rPr>
        <w:t>’</w:t>
      </w:r>
      <w:r w:rsidRPr="006A2FE2">
        <w:rPr>
          <w:b/>
          <w:bCs/>
          <w:lang w:val="fr-FR"/>
        </w:rPr>
        <w:t>homologation de type du véhicule pour lequel le silencieux est conçu a été accordée. On trouvera à l</w:t>
      </w:r>
      <w:r w:rsidR="002D7619">
        <w:rPr>
          <w:b/>
          <w:bCs/>
          <w:lang w:val="fr-FR"/>
        </w:rPr>
        <w:t>’</w:t>
      </w:r>
      <w:r w:rsidRPr="006A2FE2">
        <w:rPr>
          <w:b/>
          <w:bCs/>
          <w:lang w:val="fr-FR"/>
        </w:rPr>
        <w:t>annexe 5 une recommandation concernant la conformité aux dispositions relatives à la protection contre toute manipulation non autorisée. Les principes généraux énoncés dans ladite annexe s</w:t>
      </w:r>
      <w:r w:rsidR="002D7619">
        <w:rPr>
          <w:b/>
          <w:bCs/>
          <w:lang w:val="fr-FR"/>
        </w:rPr>
        <w:t>’</w:t>
      </w:r>
      <w:r w:rsidRPr="006A2FE2">
        <w:rPr>
          <w:b/>
          <w:bCs/>
          <w:lang w:val="fr-FR"/>
        </w:rPr>
        <w:t>appliquent également à l</w:t>
      </w:r>
      <w:r w:rsidR="002D7619">
        <w:rPr>
          <w:b/>
          <w:bCs/>
          <w:lang w:val="fr-FR"/>
        </w:rPr>
        <w:t>’</w:t>
      </w:r>
      <w:r w:rsidRPr="006A2FE2">
        <w:rPr>
          <w:b/>
          <w:bCs/>
          <w:lang w:val="fr-FR"/>
        </w:rPr>
        <w:t xml:space="preserve">évaluation des conceptions et des </w:t>
      </w:r>
      <w:r>
        <w:rPr>
          <w:b/>
          <w:bCs/>
          <w:lang w:val="fr-FR"/>
        </w:rPr>
        <w:t>modèles</w:t>
      </w:r>
      <w:r w:rsidRPr="006A2FE2">
        <w:rPr>
          <w:b/>
          <w:bCs/>
          <w:lang w:val="fr-FR"/>
        </w:rPr>
        <w:t xml:space="preserve"> qui n</w:t>
      </w:r>
      <w:r w:rsidR="002D7619">
        <w:rPr>
          <w:b/>
          <w:bCs/>
          <w:lang w:val="fr-FR"/>
        </w:rPr>
        <w:t>’</w:t>
      </w:r>
      <w:r w:rsidRPr="006A2FE2">
        <w:rPr>
          <w:b/>
          <w:bCs/>
          <w:lang w:val="fr-FR"/>
        </w:rPr>
        <w:t xml:space="preserve">y sont pas </w:t>
      </w:r>
      <w:r>
        <w:rPr>
          <w:b/>
          <w:bCs/>
          <w:lang w:val="fr-FR"/>
        </w:rPr>
        <w:t>mentionné</w:t>
      </w:r>
      <w:r w:rsidRPr="006A2FE2">
        <w:rPr>
          <w:b/>
          <w:bCs/>
          <w:lang w:val="fr-FR"/>
        </w:rPr>
        <w:t>s.</w:t>
      </w:r>
      <w:r w:rsidRPr="005D35E1">
        <w:rPr>
          <w:lang w:val="fr-FR"/>
        </w:rPr>
        <w:t> ».</w:t>
      </w:r>
    </w:p>
    <w:p w14:paraId="0007B9A6" w14:textId="77777777" w:rsidR="00235CA9" w:rsidRPr="006E437C" w:rsidRDefault="00235CA9" w:rsidP="00235CA9">
      <w:pPr>
        <w:spacing w:after="120"/>
        <w:ind w:left="2268" w:right="1134" w:hanging="1134"/>
        <w:jc w:val="both"/>
        <w:rPr>
          <w:lang w:val="fr-FR"/>
        </w:rPr>
      </w:pPr>
      <w:r w:rsidRPr="006E437C">
        <w:rPr>
          <w:i/>
          <w:iCs/>
          <w:lang w:val="fr-FR"/>
        </w:rPr>
        <w:t>Paragraphe 6.3.4.3</w:t>
      </w:r>
      <w:r w:rsidRPr="006E437C">
        <w:rPr>
          <w:lang w:val="fr-FR"/>
        </w:rPr>
        <w:t>, modification sans objet en français.</w:t>
      </w:r>
    </w:p>
    <w:p w14:paraId="4369C1D0" w14:textId="77777777" w:rsidR="00235CA9" w:rsidRPr="006E437C" w:rsidRDefault="00235CA9" w:rsidP="00235CA9">
      <w:pPr>
        <w:spacing w:after="120"/>
        <w:ind w:left="2268" w:right="1134" w:hanging="1134"/>
        <w:jc w:val="both"/>
        <w:rPr>
          <w:lang w:val="fr-FR"/>
        </w:rPr>
      </w:pPr>
      <w:r w:rsidRPr="006E437C">
        <w:rPr>
          <w:i/>
          <w:iCs/>
          <w:lang w:val="fr-FR"/>
        </w:rPr>
        <w:t>Paragraphe 6.3.4.9.1</w:t>
      </w:r>
      <w:r w:rsidRPr="006E437C">
        <w:rPr>
          <w:lang w:val="fr-FR"/>
        </w:rPr>
        <w:t>, lire :</w:t>
      </w:r>
    </w:p>
    <w:p w14:paraId="4B3D1E5B" w14:textId="6008C78D" w:rsidR="00235CA9" w:rsidRPr="006E437C" w:rsidRDefault="00235CA9" w:rsidP="00235CA9">
      <w:pPr>
        <w:spacing w:after="120"/>
        <w:ind w:left="2268" w:right="1134" w:hanging="1134"/>
        <w:jc w:val="both"/>
        <w:rPr>
          <w:color w:val="000000"/>
          <w:lang w:val="fr-FR"/>
        </w:rPr>
      </w:pPr>
      <w:r w:rsidRPr="006E437C">
        <w:rPr>
          <w:lang w:val="fr-FR"/>
        </w:rPr>
        <w:t>« 6.3.4.9.1</w:t>
      </w:r>
      <w:r w:rsidRPr="006E437C">
        <w:rPr>
          <w:lang w:val="fr-FR"/>
        </w:rPr>
        <w:tab/>
        <w:t xml:space="preserve">Le document supplémentaire prescrit au paragraphe 6.3.4.8 </w:t>
      </w:r>
      <w:proofErr w:type="spellStart"/>
      <w:r w:rsidRPr="006E437C">
        <w:rPr>
          <w:strike/>
          <w:lang w:val="fr-FR"/>
        </w:rPr>
        <w:t>permet</w:t>
      </w:r>
      <w:r w:rsidRPr="006E437C">
        <w:rPr>
          <w:b/>
          <w:bCs/>
          <w:lang w:val="fr-FR"/>
        </w:rPr>
        <w:t>permettant</w:t>
      </w:r>
      <w:proofErr w:type="spellEnd"/>
      <w:r w:rsidRPr="00D76A65">
        <w:rPr>
          <w:lang w:val="fr-FR"/>
        </w:rPr>
        <w:t xml:space="preserve"> </w:t>
      </w:r>
      <w:r w:rsidRPr="006E437C">
        <w:rPr>
          <w:lang w:val="fr-FR"/>
        </w:rPr>
        <w:t>à l</w:t>
      </w:r>
      <w:r w:rsidR="002D7619" w:rsidRPr="006E437C">
        <w:rPr>
          <w:lang w:val="fr-FR"/>
        </w:rPr>
        <w:t>’</w:t>
      </w:r>
      <w:r w:rsidRPr="006E437C">
        <w:rPr>
          <w:lang w:val="fr-FR"/>
        </w:rPr>
        <w:t>autorité d</w:t>
      </w:r>
      <w:r w:rsidR="002D7619" w:rsidRPr="006E437C">
        <w:rPr>
          <w:lang w:val="fr-FR"/>
        </w:rPr>
        <w:t>’</w:t>
      </w:r>
      <w:r w:rsidRPr="006E437C">
        <w:rPr>
          <w:lang w:val="fr-FR"/>
        </w:rPr>
        <w:t>homologation d</w:t>
      </w:r>
      <w:r w:rsidR="002D7619" w:rsidRPr="006E437C">
        <w:rPr>
          <w:lang w:val="fr-FR"/>
        </w:rPr>
        <w:t>’</w:t>
      </w:r>
      <w:r w:rsidRPr="006E437C">
        <w:rPr>
          <w:lang w:val="fr-FR"/>
        </w:rPr>
        <w:t>apprécier la ou les stratégies de réduction des émissions sonores mises en place pour assurer le bon fonctionnement des silencieux d</w:t>
      </w:r>
      <w:r w:rsidR="002D7619" w:rsidRPr="006E437C">
        <w:rPr>
          <w:lang w:val="fr-FR"/>
        </w:rPr>
        <w:t>’</w:t>
      </w:r>
      <w:r w:rsidRPr="006E437C">
        <w:rPr>
          <w:lang w:val="fr-FR"/>
        </w:rPr>
        <w:t>échappement de remplacement non d</w:t>
      </w:r>
      <w:r w:rsidR="002D7619" w:rsidRPr="006E437C">
        <w:rPr>
          <w:lang w:val="fr-FR"/>
        </w:rPr>
        <w:t>’</w:t>
      </w:r>
      <w:r w:rsidRPr="006E437C">
        <w:rPr>
          <w:lang w:val="fr-FR"/>
        </w:rPr>
        <w:t>origine</w:t>
      </w:r>
      <w:r w:rsidRPr="006E437C">
        <w:rPr>
          <w:strike/>
          <w:lang w:val="fr-FR"/>
        </w:rPr>
        <w:t>. Il</w:t>
      </w:r>
      <w:r w:rsidRPr="006E437C">
        <w:rPr>
          <w:lang w:val="fr-FR"/>
        </w:rPr>
        <w:t xml:space="preserve"> doit être communiqué :</w:t>
      </w:r>
    </w:p>
    <w:p w14:paraId="02C26FB7" w14:textId="01FA4100" w:rsidR="00235CA9" w:rsidRPr="002A22A2" w:rsidRDefault="00235CA9" w:rsidP="00235CA9">
      <w:pPr>
        <w:spacing w:after="120"/>
        <w:ind w:left="2832" w:right="1134" w:hanging="564"/>
        <w:jc w:val="both"/>
        <w:rPr>
          <w:color w:val="000000"/>
          <w:lang w:val="fr-FR"/>
        </w:rPr>
      </w:pPr>
      <w:r w:rsidRPr="006E437C">
        <w:rPr>
          <w:lang w:val="fr-FR"/>
        </w:rPr>
        <w:t>a)</w:t>
      </w:r>
      <w:r w:rsidRPr="006E437C">
        <w:rPr>
          <w:lang w:val="fr-FR"/>
        </w:rPr>
        <w:tab/>
        <w:t>Dans le “dossier supplémentaire</w:t>
      </w:r>
      <w:r>
        <w:rPr>
          <w:lang w:val="fr-FR"/>
        </w:rPr>
        <w:t xml:space="preserve"> officiel”, qui peut être transmis aux parties intéressées sur demande ;</w:t>
      </w:r>
    </w:p>
    <w:p w14:paraId="78446D1C" w14:textId="2BEB6E7B" w:rsidR="00235CA9" w:rsidRPr="002A22A2" w:rsidRDefault="00235CA9" w:rsidP="00235CA9">
      <w:pPr>
        <w:spacing w:after="120"/>
        <w:ind w:left="2832" w:right="1134" w:hanging="564"/>
        <w:jc w:val="both"/>
        <w:rPr>
          <w:lang w:val="fr-FR"/>
        </w:rPr>
      </w:pPr>
      <w:r>
        <w:rPr>
          <w:lang w:val="fr-FR"/>
        </w:rPr>
        <w:t>b)</w:t>
      </w:r>
      <w:r>
        <w:rPr>
          <w:lang w:val="fr-FR"/>
        </w:rPr>
        <w:tab/>
        <w:t>Dans le “dossier supplémentaire détaillé”, qui doit rester strictement confidentiel. ».</w:t>
      </w:r>
    </w:p>
    <w:p w14:paraId="741ABCC3" w14:textId="22A9AA9A" w:rsidR="00235CA9" w:rsidRPr="002A22A2" w:rsidRDefault="00235CA9" w:rsidP="00235CA9">
      <w:pPr>
        <w:spacing w:after="120"/>
        <w:ind w:left="2268" w:right="1134" w:hanging="1134"/>
        <w:jc w:val="both"/>
        <w:rPr>
          <w:lang w:val="fr-FR"/>
        </w:rPr>
      </w:pPr>
      <w:r>
        <w:rPr>
          <w:i/>
          <w:iCs/>
          <w:lang w:val="fr-FR"/>
        </w:rPr>
        <w:t>Paragraphes 12.1, 12.2, 12.3 et 12.4</w:t>
      </w:r>
      <w:r>
        <w:rPr>
          <w:lang w:val="fr-FR"/>
        </w:rPr>
        <w:t>, lire :</w:t>
      </w:r>
    </w:p>
    <w:p w14:paraId="40C883D8" w14:textId="44BA2877" w:rsidR="00235CA9" w:rsidRPr="005F6E33" w:rsidRDefault="00235CA9" w:rsidP="00235CA9">
      <w:pPr>
        <w:tabs>
          <w:tab w:val="left" w:pos="2268"/>
        </w:tabs>
        <w:spacing w:after="120"/>
        <w:ind w:left="2268" w:right="1134" w:hanging="1134"/>
        <w:jc w:val="both"/>
        <w:rPr>
          <w:lang w:val="fr-FR"/>
        </w:rPr>
      </w:pPr>
      <w:r>
        <w:rPr>
          <w:lang w:val="fr-FR"/>
        </w:rPr>
        <w:t>« 12.1</w:t>
      </w:r>
      <w:r>
        <w:rPr>
          <w:lang w:val="fr-FR"/>
        </w:rPr>
        <w:tab/>
      </w:r>
      <w:r w:rsidRPr="00FD2222">
        <w:rPr>
          <w:bCs/>
          <w:color w:val="000000"/>
          <w:lang w:val="fr-FR" w:eastAsia="de-DE"/>
        </w:rPr>
        <w:t>À compter de la date officielle d</w:t>
      </w:r>
      <w:r w:rsidR="002D7619">
        <w:rPr>
          <w:bCs/>
          <w:color w:val="000000"/>
          <w:lang w:val="fr-FR" w:eastAsia="de-DE"/>
        </w:rPr>
        <w:t>’</w:t>
      </w:r>
      <w:r w:rsidRPr="00FD2222">
        <w:rPr>
          <w:bCs/>
          <w:color w:val="000000"/>
          <w:lang w:val="fr-FR" w:eastAsia="de-DE"/>
        </w:rPr>
        <w:t xml:space="preserve">entrée en vigueur </w:t>
      </w:r>
      <w:r w:rsidRPr="009D1F8E">
        <w:rPr>
          <w:bCs/>
          <w:strike/>
          <w:color w:val="000000"/>
          <w:lang w:val="fr-FR" w:eastAsia="de-DE"/>
        </w:rPr>
        <w:t xml:space="preserve">de </w:t>
      </w:r>
      <w:r>
        <w:rPr>
          <w:b/>
          <w:color w:val="000000"/>
          <w:lang w:val="fr-FR" w:eastAsia="de-DE"/>
        </w:rPr>
        <w:t>du complément 1 à</w:t>
      </w:r>
      <w:r w:rsidRPr="00D76A65">
        <w:rPr>
          <w:bCs/>
          <w:color w:val="000000"/>
          <w:lang w:val="fr-FR" w:eastAsia="de-DE"/>
        </w:rPr>
        <w:t xml:space="preserve"> </w:t>
      </w:r>
      <w:r w:rsidRPr="00FD2222">
        <w:rPr>
          <w:bCs/>
          <w:color w:val="000000"/>
          <w:lang w:val="fr-FR" w:eastAsia="de-DE"/>
        </w:rPr>
        <w:t>la série 02 d</w:t>
      </w:r>
      <w:r w:rsidR="002D7619">
        <w:rPr>
          <w:bCs/>
          <w:color w:val="000000"/>
          <w:lang w:val="fr-FR" w:eastAsia="de-DE"/>
        </w:rPr>
        <w:t>’</w:t>
      </w:r>
      <w:r w:rsidRPr="00FD2222">
        <w:rPr>
          <w:bCs/>
          <w:color w:val="000000"/>
          <w:lang w:val="fr-FR" w:eastAsia="de-DE"/>
        </w:rPr>
        <w:t>amendements, aucune Partie contractante appliquant le</w:t>
      </w:r>
      <w:r>
        <w:rPr>
          <w:bCs/>
          <w:color w:val="000000"/>
          <w:lang w:val="fr-FR" w:eastAsia="de-DE"/>
        </w:rPr>
        <w:t xml:space="preserve"> présent</w:t>
      </w:r>
      <w:r w:rsidRPr="00FD2222">
        <w:rPr>
          <w:bCs/>
          <w:color w:val="000000"/>
          <w:lang w:val="fr-FR" w:eastAsia="de-DE"/>
        </w:rPr>
        <w:t xml:space="preserve"> Règlement ne pourra refuser d</w:t>
      </w:r>
      <w:r w:rsidR="002D7619">
        <w:rPr>
          <w:bCs/>
          <w:color w:val="000000"/>
          <w:lang w:val="fr-FR" w:eastAsia="de-DE"/>
        </w:rPr>
        <w:t>’</w:t>
      </w:r>
      <w:r w:rsidRPr="00FD2222">
        <w:rPr>
          <w:bCs/>
          <w:color w:val="000000"/>
          <w:lang w:val="fr-FR" w:eastAsia="de-DE"/>
        </w:rPr>
        <w:t xml:space="preserve">accorder </w:t>
      </w:r>
      <w:r>
        <w:rPr>
          <w:bCs/>
          <w:color w:val="000000"/>
          <w:lang w:val="fr-FR" w:eastAsia="de-DE"/>
        </w:rPr>
        <w:t xml:space="preserve">des homologations de type au titre </w:t>
      </w:r>
      <w:r w:rsidRPr="00FD2222">
        <w:rPr>
          <w:bCs/>
          <w:color w:val="000000"/>
          <w:lang w:val="fr-FR" w:eastAsia="de-DE"/>
        </w:rPr>
        <w:t>du présent Règlement</w:t>
      </w:r>
      <w:r>
        <w:rPr>
          <w:bCs/>
          <w:color w:val="000000"/>
          <w:lang w:val="fr-FR" w:eastAsia="de-DE"/>
        </w:rPr>
        <w:t xml:space="preserve"> </w:t>
      </w:r>
      <w:r w:rsidRPr="00FD2222">
        <w:rPr>
          <w:bCs/>
          <w:color w:val="000000"/>
          <w:lang w:val="fr-FR" w:eastAsia="de-DE"/>
        </w:rPr>
        <w:t xml:space="preserve">tel que modifié par </w:t>
      </w:r>
      <w:r>
        <w:rPr>
          <w:b/>
          <w:color w:val="000000"/>
          <w:lang w:val="fr-FR" w:eastAsia="de-DE"/>
        </w:rPr>
        <w:t>le complément 1 à</w:t>
      </w:r>
      <w:r w:rsidRPr="00D76A65">
        <w:rPr>
          <w:bCs/>
          <w:color w:val="000000"/>
          <w:lang w:val="fr-FR" w:eastAsia="de-DE"/>
        </w:rPr>
        <w:t xml:space="preserve"> </w:t>
      </w:r>
      <w:r w:rsidRPr="00FD2222">
        <w:rPr>
          <w:bCs/>
          <w:color w:val="000000"/>
          <w:lang w:val="fr-FR" w:eastAsia="de-DE"/>
        </w:rPr>
        <w:t>la série 02 d</w:t>
      </w:r>
      <w:r w:rsidR="002D7619">
        <w:rPr>
          <w:bCs/>
          <w:color w:val="000000"/>
          <w:lang w:val="fr-FR" w:eastAsia="de-DE"/>
        </w:rPr>
        <w:t>’</w:t>
      </w:r>
      <w:r w:rsidRPr="00FD2222">
        <w:rPr>
          <w:bCs/>
          <w:color w:val="000000"/>
          <w:lang w:val="fr-FR" w:eastAsia="de-DE"/>
        </w:rPr>
        <w:t>amendements</w:t>
      </w:r>
      <w:r>
        <w:rPr>
          <w:bCs/>
          <w:color w:val="000000"/>
          <w:lang w:val="fr-FR" w:eastAsia="de-DE"/>
        </w:rPr>
        <w:t xml:space="preserve"> ou d</w:t>
      </w:r>
      <w:r w:rsidR="002D7619">
        <w:rPr>
          <w:bCs/>
          <w:color w:val="000000"/>
          <w:lang w:val="fr-FR" w:eastAsia="de-DE"/>
        </w:rPr>
        <w:t>’</w:t>
      </w:r>
      <w:r>
        <w:rPr>
          <w:bCs/>
          <w:color w:val="000000"/>
          <w:lang w:val="fr-FR" w:eastAsia="de-DE"/>
        </w:rPr>
        <w:t>accepter les homologations ainsi délivrées</w:t>
      </w:r>
      <w:r w:rsidRPr="00FD2222">
        <w:rPr>
          <w:bCs/>
          <w:color w:val="000000"/>
          <w:lang w:val="fr-FR" w:eastAsia="de-DE"/>
        </w:rPr>
        <w:t>.</w:t>
      </w:r>
    </w:p>
    <w:p w14:paraId="6776CACF" w14:textId="247E30AE" w:rsidR="00235CA9" w:rsidRPr="002A22A2" w:rsidRDefault="00235CA9" w:rsidP="00235CA9">
      <w:pPr>
        <w:tabs>
          <w:tab w:val="left" w:pos="2268"/>
        </w:tabs>
        <w:spacing w:after="120"/>
        <w:ind w:left="2268" w:right="1134" w:hanging="1134"/>
        <w:jc w:val="both"/>
        <w:rPr>
          <w:bCs/>
          <w:lang w:val="fr-FR"/>
        </w:rPr>
      </w:pPr>
      <w:r>
        <w:rPr>
          <w:lang w:val="fr-FR"/>
        </w:rPr>
        <w:t>12.2</w:t>
      </w:r>
      <w:r>
        <w:rPr>
          <w:lang w:val="fr-FR"/>
        </w:rPr>
        <w:tab/>
        <w:t>Passé un délai de douze mois après l</w:t>
      </w:r>
      <w:r w:rsidR="002D7619">
        <w:rPr>
          <w:lang w:val="fr-FR"/>
        </w:rPr>
        <w:t>’</w:t>
      </w:r>
      <w:r>
        <w:rPr>
          <w:lang w:val="fr-FR"/>
        </w:rPr>
        <w:t xml:space="preserve">entrée en vigueur </w:t>
      </w:r>
      <w:r>
        <w:rPr>
          <w:strike/>
          <w:lang w:val="fr-FR"/>
        </w:rPr>
        <w:t xml:space="preserve">de </w:t>
      </w:r>
      <w:r>
        <w:rPr>
          <w:b/>
          <w:bCs/>
          <w:lang w:val="fr-FR"/>
        </w:rPr>
        <w:t>du complément 1 à</w:t>
      </w:r>
      <w:r w:rsidRPr="00D76A65">
        <w:rPr>
          <w:lang w:val="fr-FR"/>
        </w:rPr>
        <w:t xml:space="preserve"> </w:t>
      </w:r>
      <w:r>
        <w:rPr>
          <w:lang w:val="fr-FR"/>
        </w:rPr>
        <w:t>la série 02 d</w:t>
      </w:r>
      <w:r w:rsidR="002D7619">
        <w:rPr>
          <w:lang w:val="fr-FR"/>
        </w:rPr>
        <w:t>’</w:t>
      </w:r>
      <w:r>
        <w:rPr>
          <w:lang w:val="fr-FR"/>
        </w:rPr>
        <w:t>amendements, les Parties contractantes appliquant le présent Règlement</w:t>
      </w:r>
      <w:r w:rsidR="00351DE5">
        <w:rPr>
          <w:lang w:val="fr-FR"/>
        </w:rPr>
        <w:t xml:space="preserve"> </w:t>
      </w:r>
      <w:r>
        <w:rPr>
          <w:lang w:val="fr-FR"/>
        </w:rPr>
        <w:t>ne pourront accorder d</w:t>
      </w:r>
      <w:r w:rsidR="002D7619">
        <w:rPr>
          <w:lang w:val="fr-FR"/>
        </w:rPr>
        <w:t>’</w:t>
      </w:r>
      <w:r>
        <w:rPr>
          <w:lang w:val="fr-FR"/>
        </w:rPr>
        <w:t xml:space="preserve">homologation de type que si le type </w:t>
      </w:r>
      <w:r>
        <w:rPr>
          <w:bCs/>
          <w:color w:val="000000"/>
          <w:lang w:val="fr-FR" w:eastAsia="de-DE"/>
        </w:rPr>
        <w:t>de l</w:t>
      </w:r>
      <w:r w:rsidR="002D7619">
        <w:rPr>
          <w:bCs/>
          <w:color w:val="000000"/>
          <w:lang w:val="fr-FR" w:eastAsia="de-DE"/>
        </w:rPr>
        <w:t>’</w:t>
      </w:r>
      <w:r>
        <w:rPr>
          <w:bCs/>
          <w:color w:val="000000"/>
          <w:lang w:val="fr-FR" w:eastAsia="de-DE"/>
        </w:rPr>
        <w:t xml:space="preserve">élément </w:t>
      </w:r>
      <w:r w:rsidRPr="00FD2222">
        <w:rPr>
          <w:bCs/>
          <w:color w:val="000000"/>
          <w:lang w:val="fr-FR" w:eastAsia="de-DE"/>
        </w:rPr>
        <w:t xml:space="preserve">ou </w:t>
      </w:r>
      <w:r>
        <w:rPr>
          <w:bCs/>
          <w:color w:val="000000"/>
          <w:lang w:val="fr-FR" w:eastAsia="de-DE"/>
        </w:rPr>
        <w:t xml:space="preserve">du composant </w:t>
      </w:r>
      <w:r w:rsidRPr="00FD2222">
        <w:rPr>
          <w:bCs/>
          <w:color w:val="000000"/>
          <w:lang w:val="fr-FR" w:eastAsia="de-DE"/>
        </w:rPr>
        <w:t xml:space="preserve">technique </w:t>
      </w:r>
      <w:r>
        <w:rPr>
          <w:lang w:val="fr-FR"/>
        </w:rPr>
        <w:t xml:space="preserve">à homologuer satisfait aux prescriptions dudit Règlement tel que modifié par </w:t>
      </w:r>
      <w:r>
        <w:rPr>
          <w:b/>
          <w:bCs/>
          <w:lang w:val="fr-FR"/>
        </w:rPr>
        <w:t>le complément 1 à</w:t>
      </w:r>
      <w:r w:rsidRPr="00D76A65">
        <w:rPr>
          <w:lang w:val="fr-FR"/>
        </w:rPr>
        <w:t xml:space="preserve"> </w:t>
      </w:r>
      <w:r>
        <w:rPr>
          <w:lang w:val="fr-FR"/>
        </w:rPr>
        <w:t>la série 02 d</w:t>
      </w:r>
      <w:r w:rsidR="002D7619">
        <w:rPr>
          <w:lang w:val="fr-FR"/>
        </w:rPr>
        <w:t>’</w:t>
      </w:r>
      <w:r>
        <w:rPr>
          <w:lang w:val="fr-FR"/>
        </w:rPr>
        <w:t>amendements.</w:t>
      </w:r>
    </w:p>
    <w:p w14:paraId="534F6321" w14:textId="30864E55" w:rsidR="00235CA9" w:rsidRPr="002A22A2" w:rsidRDefault="00235CA9" w:rsidP="00235CA9">
      <w:pPr>
        <w:tabs>
          <w:tab w:val="left" w:pos="2268"/>
        </w:tabs>
        <w:spacing w:after="120"/>
        <w:ind w:left="2268" w:right="1134" w:hanging="1134"/>
        <w:jc w:val="both"/>
        <w:rPr>
          <w:bCs/>
          <w:lang w:val="fr-FR"/>
        </w:rPr>
      </w:pPr>
      <w:r>
        <w:rPr>
          <w:lang w:val="fr-FR"/>
        </w:rPr>
        <w:t>12.3</w:t>
      </w:r>
      <w:r>
        <w:rPr>
          <w:lang w:val="fr-FR"/>
        </w:rPr>
        <w:tab/>
        <w:t>Passé un délai de vingt-quatre mois après l</w:t>
      </w:r>
      <w:r w:rsidR="002D7619">
        <w:rPr>
          <w:lang w:val="fr-FR"/>
        </w:rPr>
        <w:t>’</w:t>
      </w:r>
      <w:r>
        <w:rPr>
          <w:lang w:val="fr-FR"/>
        </w:rPr>
        <w:t xml:space="preserve">entrée en vigueur </w:t>
      </w:r>
      <w:r>
        <w:rPr>
          <w:strike/>
          <w:lang w:val="fr-FR"/>
        </w:rPr>
        <w:t xml:space="preserve">de </w:t>
      </w:r>
      <w:r>
        <w:rPr>
          <w:b/>
          <w:bCs/>
          <w:lang w:val="fr-FR"/>
        </w:rPr>
        <w:t>du complément 1 à</w:t>
      </w:r>
      <w:r w:rsidRPr="00D76A65">
        <w:rPr>
          <w:lang w:val="fr-FR"/>
        </w:rPr>
        <w:t xml:space="preserve"> </w:t>
      </w:r>
      <w:r>
        <w:rPr>
          <w:lang w:val="fr-FR"/>
        </w:rPr>
        <w:t>la série 02 d</w:t>
      </w:r>
      <w:r w:rsidR="002D7619">
        <w:rPr>
          <w:lang w:val="fr-FR"/>
        </w:rPr>
        <w:t>’</w:t>
      </w:r>
      <w:r>
        <w:rPr>
          <w:lang w:val="fr-FR"/>
        </w:rPr>
        <w:t>amendements, les Parties contractantes appliquant le présent Règlement</w:t>
      </w:r>
      <w:r w:rsidR="001B3B5A">
        <w:rPr>
          <w:lang w:val="fr-FR"/>
        </w:rPr>
        <w:t xml:space="preserve"> </w:t>
      </w:r>
      <w:r>
        <w:rPr>
          <w:lang w:val="fr-FR"/>
        </w:rPr>
        <w:t>ne pourront accorder d</w:t>
      </w:r>
      <w:r w:rsidR="002D7619">
        <w:rPr>
          <w:lang w:val="fr-FR"/>
        </w:rPr>
        <w:t>’</w:t>
      </w:r>
      <w:r>
        <w:rPr>
          <w:lang w:val="fr-FR"/>
        </w:rPr>
        <w:t xml:space="preserve">extensions pour des homologations existantes que si le type </w:t>
      </w:r>
      <w:r>
        <w:rPr>
          <w:bCs/>
          <w:color w:val="000000"/>
          <w:lang w:val="fr-FR" w:eastAsia="de-DE"/>
        </w:rPr>
        <w:t>de l</w:t>
      </w:r>
      <w:r w:rsidR="002D7619">
        <w:rPr>
          <w:bCs/>
          <w:color w:val="000000"/>
          <w:lang w:val="fr-FR" w:eastAsia="de-DE"/>
        </w:rPr>
        <w:t>’</w:t>
      </w:r>
      <w:r>
        <w:rPr>
          <w:bCs/>
          <w:color w:val="000000"/>
          <w:lang w:val="fr-FR" w:eastAsia="de-DE"/>
        </w:rPr>
        <w:t xml:space="preserve">élément </w:t>
      </w:r>
      <w:r w:rsidRPr="00FD2222">
        <w:rPr>
          <w:bCs/>
          <w:color w:val="000000"/>
          <w:lang w:val="fr-FR" w:eastAsia="de-DE"/>
        </w:rPr>
        <w:t xml:space="preserve">ou </w:t>
      </w:r>
      <w:r>
        <w:rPr>
          <w:bCs/>
          <w:color w:val="000000"/>
          <w:lang w:val="fr-FR" w:eastAsia="de-DE"/>
        </w:rPr>
        <w:t xml:space="preserve">du composant </w:t>
      </w:r>
      <w:r w:rsidRPr="00FD2222">
        <w:rPr>
          <w:bCs/>
          <w:color w:val="000000"/>
          <w:lang w:val="fr-FR" w:eastAsia="de-DE"/>
        </w:rPr>
        <w:t xml:space="preserve">technique </w:t>
      </w:r>
      <w:r>
        <w:rPr>
          <w:lang w:val="fr-FR"/>
        </w:rPr>
        <w:t xml:space="preserve">à homologuer satisfait aux prescriptions dudit Règlement tel que modifié par </w:t>
      </w:r>
      <w:r>
        <w:rPr>
          <w:b/>
          <w:bCs/>
          <w:lang w:val="fr-FR"/>
        </w:rPr>
        <w:t>le complément 1 à</w:t>
      </w:r>
      <w:r w:rsidRPr="001B3B5A">
        <w:rPr>
          <w:lang w:val="fr-FR"/>
        </w:rPr>
        <w:t xml:space="preserve"> </w:t>
      </w:r>
      <w:r>
        <w:rPr>
          <w:lang w:val="fr-FR"/>
        </w:rPr>
        <w:t>la série 02 d</w:t>
      </w:r>
      <w:r w:rsidR="002D7619">
        <w:rPr>
          <w:lang w:val="fr-FR"/>
        </w:rPr>
        <w:t>’</w:t>
      </w:r>
      <w:r>
        <w:rPr>
          <w:lang w:val="fr-FR"/>
        </w:rPr>
        <w:t>amendements.</w:t>
      </w:r>
    </w:p>
    <w:p w14:paraId="279AD377" w14:textId="71523840" w:rsidR="00235CA9" w:rsidRPr="002A22A2" w:rsidRDefault="00235CA9" w:rsidP="00235CA9">
      <w:pPr>
        <w:tabs>
          <w:tab w:val="left" w:pos="2268"/>
        </w:tabs>
        <w:spacing w:after="120"/>
        <w:ind w:left="2268" w:right="1134" w:hanging="1134"/>
        <w:jc w:val="both"/>
        <w:rPr>
          <w:lang w:val="fr-FR"/>
        </w:rPr>
      </w:pPr>
      <w:r>
        <w:rPr>
          <w:lang w:val="fr-FR"/>
        </w:rPr>
        <w:t>12.4</w:t>
      </w:r>
      <w:r>
        <w:rPr>
          <w:lang w:val="fr-FR"/>
        </w:rPr>
        <w:tab/>
        <w:t>Même après l</w:t>
      </w:r>
      <w:r w:rsidR="002D7619">
        <w:rPr>
          <w:lang w:val="fr-FR"/>
        </w:rPr>
        <w:t>’</w:t>
      </w:r>
      <w:r>
        <w:rPr>
          <w:lang w:val="fr-FR"/>
        </w:rPr>
        <w:t xml:space="preserve">entrée en vigueur </w:t>
      </w:r>
      <w:r>
        <w:rPr>
          <w:strike/>
          <w:lang w:val="fr-FR"/>
        </w:rPr>
        <w:t xml:space="preserve">de </w:t>
      </w:r>
      <w:r>
        <w:rPr>
          <w:b/>
          <w:bCs/>
          <w:lang w:val="fr-FR"/>
        </w:rPr>
        <w:t xml:space="preserve">du complément 1 à </w:t>
      </w:r>
      <w:r>
        <w:rPr>
          <w:lang w:val="fr-FR"/>
        </w:rPr>
        <w:t>la série 02 d</w:t>
      </w:r>
      <w:r w:rsidR="002D7619">
        <w:rPr>
          <w:lang w:val="fr-FR"/>
        </w:rPr>
        <w:t>’</w:t>
      </w:r>
      <w:r>
        <w:rPr>
          <w:lang w:val="fr-FR"/>
        </w:rPr>
        <w:t>amendements au présent Règlement, les homologations d</w:t>
      </w:r>
      <w:r w:rsidR="002D7619">
        <w:rPr>
          <w:lang w:val="fr-FR"/>
        </w:rPr>
        <w:t>’</w:t>
      </w:r>
      <w:r>
        <w:rPr>
          <w:lang w:val="fr-FR"/>
        </w:rPr>
        <w:t>éléments ou de composants techniques délivrées au titre de la précédente série d</w:t>
      </w:r>
      <w:r w:rsidR="002D7619">
        <w:rPr>
          <w:lang w:val="fr-FR"/>
        </w:rPr>
        <w:t>’</w:t>
      </w:r>
      <w:r>
        <w:rPr>
          <w:lang w:val="fr-FR"/>
        </w:rPr>
        <w:t>amendements audit Règlement resteront valides et les Parties contractantes appliquant le présent Règlement seront tenues de continuer à les accepter. ».</w:t>
      </w:r>
    </w:p>
    <w:p w14:paraId="79AF33F9" w14:textId="0D714963" w:rsidR="00235CA9" w:rsidRPr="002A22A2" w:rsidRDefault="00235CA9" w:rsidP="00235CA9">
      <w:pPr>
        <w:spacing w:after="120"/>
        <w:ind w:left="2268" w:right="1134" w:hanging="1134"/>
        <w:jc w:val="both"/>
        <w:rPr>
          <w:lang w:val="fr-FR"/>
        </w:rPr>
      </w:pPr>
      <w:r>
        <w:rPr>
          <w:i/>
          <w:iCs/>
          <w:lang w:val="fr-FR"/>
        </w:rPr>
        <w:t>Annexe 1, points 16.1, 16.2, 16.3</w:t>
      </w:r>
      <w:r>
        <w:rPr>
          <w:lang w:val="fr-FR"/>
        </w:rPr>
        <w:t xml:space="preserve"> </w:t>
      </w:r>
      <w:r>
        <w:rPr>
          <w:i/>
          <w:iCs/>
          <w:lang w:val="fr-FR"/>
        </w:rPr>
        <w:t>et 16.4</w:t>
      </w:r>
      <w:r>
        <w:rPr>
          <w:lang w:val="fr-FR"/>
        </w:rPr>
        <w:t>, lire :</w:t>
      </w:r>
    </w:p>
    <w:p w14:paraId="5169DD0E" w14:textId="421321EB" w:rsidR="00235CA9" w:rsidRPr="002A22A2" w:rsidRDefault="00235CA9" w:rsidP="00235CA9">
      <w:pPr>
        <w:tabs>
          <w:tab w:val="right" w:leader="dot" w:pos="8505"/>
        </w:tabs>
        <w:spacing w:after="120"/>
        <w:ind w:left="2268" w:right="1134" w:hanging="1134"/>
        <w:jc w:val="both"/>
        <w:rPr>
          <w:lang w:val="fr-FR"/>
        </w:rPr>
      </w:pPr>
      <w:r>
        <w:rPr>
          <w:lang w:val="fr-FR"/>
        </w:rPr>
        <w:t>« 16.1</w:t>
      </w:r>
      <w:r>
        <w:rPr>
          <w:lang w:val="fr-FR"/>
        </w:rPr>
        <w:tab/>
        <w:t xml:space="preserve">Valeur </w:t>
      </w:r>
      <w:proofErr w:type="spellStart"/>
      <w:r>
        <w:rPr>
          <w:lang w:val="fr-FR"/>
        </w:rPr>
        <w:t>L</w:t>
      </w:r>
      <w:r>
        <w:rPr>
          <w:vertAlign w:val="subscript"/>
          <w:lang w:val="fr-FR"/>
        </w:rPr>
        <w:t>wot</w:t>
      </w:r>
      <w:proofErr w:type="spellEnd"/>
      <w:r>
        <w:rPr>
          <w:lang w:val="fr-FR"/>
        </w:rPr>
        <w:t xml:space="preserve"> obtenue lors de l</w:t>
      </w:r>
      <w:r w:rsidR="002D7619">
        <w:rPr>
          <w:lang w:val="fr-FR"/>
        </w:rPr>
        <w:t>’</w:t>
      </w:r>
      <w:r>
        <w:rPr>
          <w:lang w:val="fr-FR"/>
        </w:rPr>
        <w:t xml:space="preserve">essai à pleins gaz : </w:t>
      </w:r>
      <w:r>
        <w:rPr>
          <w:lang w:val="fr-FR"/>
        </w:rPr>
        <w:tab/>
        <w:t xml:space="preserve"> </w:t>
      </w:r>
      <w:proofErr w:type="spellStart"/>
      <w:r>
        <w:rPr>
          <w:lang w:val="fr-FR"/>
        </w:rPr>
        <w:t>d</w:t>
      </w:r>
      <w:r>
        <w:rPr>
          <w:strike/>
          <w:lang w:val="fr-FR"/>
        </w:rPr>
        <w:t>b</w:t>
      </w:r>
      <w:r>
        <w:rPr>
          <w:b/>
          <w:bCs/>
          <w:lang w:val="fr-FR"/>
        </w:rPr>
        <w:t>B</w:t>
      </w:r>
      <w:proofErr w:type="spellEnd"/>
      <w:r>
        <w:rPr>
          <w:lang w:val="fr-FR"/>
        </w:rPr>
        <w:t>(A)</w:t>
      </w:r>
    </w:p>
    <w:p w14:paraId="655236D4" w14:textId="3E64746D" w:rsidR="00235CA9" w:rsidRPr="002A22A2" w:rsidRDefault="00235CA9" w:rsidP="00235CA9">
      <w:pPr>
        <w:tabs>
          <w:tab w:val="right" w:leader="dot" w:pos="8505"/>
        </w:tabs>
        <w:spacing w:after="120"/>
        <w:ind w:left="2268" w:right="1134" w:hanging="1134"/>
        <w:jc w:val="both"/>
        <w:rPr>
          <w:lang w:val="fr-FR"/>
        </w:rPr>
      </w:pPr>
      <w:r>
        <w:rPr>
          <w:lang w:val="fr-FR"/>
        </w:rPr>
        <w:t>16.2</w:t>
      </w:r>
      <w:r>
        <w:rPr>
          <w:lang w:val="fr-FR"/>
        </w:rPr>
        <w:tab/>
        <w:t>Valeur obtenue lors de l</w:t>
      </w:r>
      <w:r w:rsidR="002D7619">
        <w:rPr>
          <w:lang w:val="fr-FR"/>
        </w:rPr>
        <w:t>’</w:t>
      </w:r>
      <w:r>
        <w:rPr>
          <w:lang w:val="fr-FR"/>
        </w:rPr>
        <w:t xml:space="preserve">essai à vitesse constante </w:t>
      </w:r>
      <w:proofErr w:type="spellStart"/>
      <w:r>
        <w:rPr>
          <w:lang w:val="fr-FR"/>
        </w:rPr>
        <w:t>L</w:t>
      </w:r>
      <w:r>
        <w:rPr>
          <w:vertAlign w:val="subscript"/>
          <w:lang w:val="fr-FR"/>
        </w:rPr>
        <w:t>crs</w:t>
      </w:r>
      <w:proofErr w:type="spellEnd"/>
      <w:r>
        <w:rPr>
          <w:lang w:val="fr-FR"/>
        </w:rPr>
        <w:t xml:space="preserve"> : </w:t>
      </w:r>
      <w:r>
        <w:rPr>
          <w:lang w:val="fr-FR"/>
        </w:rPr>
        <w:tab/>
        <w:t xml:space="preserve"> </w:t>
      </w:r>
      <w:proofErr w:type="spellStart"/>
      <w:r>
        <w:rPr>
          <w:lang w:val="fr-FR"/>
        </w:rPr>
        <w:t>d</w:t>
      </w:r>
      <w:r>
        <w:rPr>
          <w:strike/>
          <w:lang w:val="fr-FR"/>
        </w:rPr>
        <w:t>b</w:t>
      </w:r>
      <w:r>
        <w:rPr>
          <w:b/>
          <w:bCs/>
          <w:lang w:val="fr-FR"/>
        </w:rPr>
        <w:t>B</w:t>
      </w:r>
      <w:proofErr w:type="spellEnd"/>
      <w:r>
        <w:rPr>
          <w:lang w:val="fr-FR"/>
        </w:rPr>
        <w:t>(A)</w:t>
      </w:r>
    </w:p>
    <w:p w14:paraId="1E0E4D91" w14:textId="77777777" w:rsidR="00235CA9" w:rsidRPr="002A22A2" w:rsidRDefault="00235CA9" w:rsidP="00235CA9">
      <w:pPr>
        <w:tabs>
          <w:tab w:val="right" w:leader="dot" w:pos="8505"/>
        </w:tabs>
        <w:spacing w:after="120"/>
        <w:ind w:left="2268" w:right="1134" w:hanging="1134"/>
        <w:jc w:val="both"/>
        <w:rPr>
          <w:lang w:val="fr-FR"/>
        </w:rPr>
      </w:pPr>
      <w:r>
        <w:rPr>
          <w:lang w:val="fr-FR"/>
        </w:rPr>
        <w:t>16.3</w:t>
      </w:r>
      <w:r>
        <w:rPr>
          <w:lang w:val="fr-FR"/>
        </w:rPr>
        <w:tab/>
        <w:t xml:space="preserve">Facteur de puissance partielle </w:t>
      </w:r>
      <w:proofErr w:type="spellStart"/>
      <w:r>
        <w:rPr>
          <w:lang w:val="fr-FR"/>
        </w:rPr>
        <w:t>k</w:t>
      </w:r>
      <w:r>
        <w:rPr>
          <w:vertAlign w:val="subscript"/>
          <w:lang w:val="fr-FR"/>
        </w:rPr>
        <w:t>p</w:t>
      </w:r>
      <w:proofErr w:type="spellEnd"/>
      <w:r>
        <w:rPr>
          <w:lang w:val="fr-FR"/>
        </w:rPr>
        <w:t xml:space="preserve"> :</w:t>
      </w:r>
      <w:r>
        <w:rPr>
          <w:lang w:val="fr-FR"/>
        </w:rPr>
        <w:tab/>
        <w:t xml:space="preserve"> </w:t>
      </w:r>
      <w:proofErr w:type="spellStart"/>
      <w:r>
        <w:rPr>
          <w:lang w:val="fr-FR"/>
        </w:rPr>
        <w:t>d</w:t>
      </w:r>
      <w:r>
        <w:rPr>
          <w:strike/>
          <w:lang w:val="fr-FR"/>
        </w:rPr>
        <w:t>b</w:t>
      </w:r>
      <w:r>
        <w:rPr>
          <w:b/>
          <w:bCs/>
          <w:lang w:val="fr-FR"/>
        </w:rPr>
        <w:t>B</w:t>
      </w:r>
      <w:proofErr w:type="spellEnd"/>
      <w:r>
        <w:rPr>
          <w:lang w:val="fr-FR"/>
        </w:rPr>
        <w:t>(A)</w:t>
      </w:r>
    </w:p>
    <w:p w14:paraId="25C27265" w14:textId="7C06C36D" w:rsidR="00235CA9" w:rsidRPr="002A22A2" w:rsidRDefault="00235CA9" w:rsidP="00235CA9">
      <w:pPr>
        <w:tabs>
          <w:tab w:val="right" w:leader="dot" w:pos="8505"/>
        </w:tabs>
        <w:spacing w:after="120"/>
        <w:ind w:left="2268" w:right="1134" w:hanging="1134"/>
        <w:jc w:val="both"/>
        <w:rPr>
          <w:lang w:val="fr-FR"/>
        </w:rPr>
      </w:pPr>
      <w:r>
        <w:rPr>
          <w:lang w:val="fr-FR"/>
        </w:rPr>
        <w:t>16.4</w:t>
      </w:r>
      <w:r>
        <w:rPr>
          <w:lang w:val="fr-FR"/>
        </w:rPr>
        <w:tab/>
        <w:t>Résultat final de l</w:t>
      </w:r>
      <w:r w:rsidR="002D7619">
        <w:rPr>
          <w:lang w:val="fr-FR"/>
        </w:rPr>
        <w:t>’</w:t>
      </w:r>
      <w:r>
        <w:rPr>
          <w:lang w:val="fr-FR"/>
        </w:rPr>
        <w:t xml:space="preserve">essai </w:t>
      </w:r>
      <w:proofErr w:type="spellStart"/>
      <w:r>
        <w:rPr>
          <w:lang w:val="fr-FR"/>
        </w:rPr>
        <w:t>L</w:t>
      </w:r>
      <w:r>
        <w:rPr>
          <w:vertAlign w:val="subscript"/>
          <w:lang w:val="fr-FR"/>
        </w:rPr>
        <w:t>urban</w:t>
      </w:r>
      <w:proofErr w:type="spellEnd"/>
      <w:r>
        <w:rPr>
          <w:lang w:val="fr-FR"/>
        </w:rPr>
        <w:t xml:space="preserve"> :</w:t>
      </w:r>
      <w:r>
        <w:rPr>
          <w:lang w:val="fr-FR"/>
        </w:rPr>
        <w:tab/>
        <w:t xml:space="preserve"> </w:t>
      </w:r>
      <w:proofErr w:type="spellStart"/>
      <w:r>
        <w:rPr>
          <w:lang w:val="fr-FR"/>
        </w:rPr>
        <w:t>d</w:t>
      </w:r>
      <w:r>
        <w:rPr>
          <w:strike/>
          <w:lang w:val="fr-FR"/>
        </w:rPr>
        <w:t>b</w:t>
      </w:r>
      <w:r>
        <w:rPr>
          <w:b/>
          <w:bCs/>
          <w:lang w:val="fr-FR"/>
        </w:rPr>
        <w:t>B</w:t>
      </w:r>
      <w:proofErr w:type="spellEnd"/>
      <w:r>
        <w:rPr>
          <w:lang w:val="fr-FR"/>
        </w:rPr>
        <w:t>(A) ».</w:t>
      </w:r>
    </w:p>
    <w:p w14:paraId="2FAB4171" w14:textId="77777777" w:rsidR="00235CA9" w:rsidRPr="002A22A2" w:rsidRDefault="00235CA9" w:rsidP="00235CA9">
      <w:pPr>
        <w:spacing w:after="120"/>
        <w:ind w:left="2268" w:right="1134" w:hanging="1134"/>
        <w:jc w:val="both"/>
        <w:rPr>
          <w:lang w:val="fr-FR"/>
        </w:rPr>
      </w:pPr>
      <w:r>
        <w:rPr>
          <w:i/>
          <w:iCs/>
          <w:lang w:val="fr-FR"/>
        </w:rPr>
        <w:t>Annexe 3, paragraphe 4</w:t>
      </w:r>
      <w:r>
        <w:rPr>
          <w:lang w:val="fr-FR"/>
        </w:rPr>
        <w:t>, modification sans objet en français.</w:t>
      </w:r>
    </w:p>
    <w:p w14:paraId="57FA6118" w14:textId="77777777" w:rsidR="00235CA9" w:rsidRDefault="00235CA9" w:rsidP="00235CA9">
      <w:pPr>
        <w:suppressAutoHyphens w:val="0"/>
        <w:spacing w:line="240" w:lineRule="auto"/>
        <w:rPr>
          <w:i/>
          <w:iCs/>
          <w:lang w:val="fr-FR"/>
        </w:rPr>
      </w:pPr>
      <w:r>
        <w:rPr>
          <w:i/>
          <w:iCs/>
          <w:lang w:val="fr-FR"/>
        </w:rPr>
        <w:br w:type="page"/>
      </w:r>
    </w:p>
    <w:p w14:paraId="3B6BB5C7" w14:textId="77777777" w:rsidR="00235CA9" w:rsidRPr="002A22A2" w:rsidRDefault="00235CA9" w:rsidP="00235CA9">
      <w:pPr>
        <w:spacing w:after="120"/>
        <w:ind w:left="2268" w:right="1134" w:hanging="1134"/>
        <w:jc w:val="both"/>
        <w:rPr>
          <w:lang w:val="fr-FR"/>
        </w:rPr>
      </w:pPr>
      <w:r>
        <w:rPr>
          <w:i/>
          <w:iCs/>
          <w:lang w:val="fr-FR"/>
        </w:rPr>
        <w:lastRenderedPageBreak/>
        <w:t>Ajouter la nouvelle annexe 5</w:t>
      </w:r>
      <w:r>
        <w:rPr>
          <w:lang w:val="fr-FR"/>
        </w:rPr>
        <w:t>, libellée comme suit :</w:t>
      </w:r>
    </w:p>
    <w:p w14:paraId="2E2967E3" w14:textId="77777777" w:rsidR="00235CA9" w:rsidRPr="002A22A2" w:rsidRDefault="00235CA9" w:rsidP="00235CA9">
      <w:pPr>
        <w:pStyle w:val="HChG"/>
        <w:ind w:left="1276" w:right="850" w:hanging="1276"/>
        <w:rPr>
          <w:lang w:val="fr-FR"/>
        </w:rPr>
      </w:pPr>
      <w:r w:rsidRPr="00B61BFE">
        <w:rPr>
          <w:b w:val="0"/>
          <w:bCs/>
          <w:sz w:val="20"/>
          <w:szCs w:val="14"/>
          <w:lang w:val="fr-FR"/>
        </w:rPr>
        <w:t>« </w:t>
      </w:r>
      <w:r>
        <w:rPr>
          <w:bCs/>
          <w:lang w:val="fr-FR"/>
        </w:rPr>
        <w:t>Annexe 5</w:t>
      </w:r>
    </w:p>
    <w:p w14:paraId="05834C15" w14:textId="387910A1" w:rsidR="00235CA9" w:rsidRPr="002A22A2" w:rsidRDefault="00351DE5" w:rsidP="00351DE5">
      <w:pPr>
        <w:pStyle w:val="HChG"/>
        <w:rPr>
          <w:b w:val="0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235CA9">
        <w:rPr>
          <w:lang w:val="fr-FR"/>
        </w:rPr>
        <w:t xml:space="preserve">Recommandation concernant la conformité </w:t>
      </w:r>
      <w:r w:rsidR="00235CA9">
        <w:rPr>
          <w:lang w:val="fr-FR"/>
        </w:rPr>
        <w:br/>
        <w:t xml:space="preserve">aux dispositions relatives à la protection </w:t>
      </w:r>
      <w:r w:rsidR="00235CA9">
        <w:rPr>
          <w:lang w:val="fr-FR"/>
        </w:rPr>
        <w:br/>
        <w:t xml:space="preserve">contre toute manipulation </w:t>
      </w:r>
      <w:r w:rsidR="00235CA9" w:rsidRPr="00351DE5">
        <w:t>non</w:t>
      </w:r>
      <w:r w:rsidR="00235CA9">
        <w:rPr>
          <w:lang w:val="fr-FR"/>
        </w:rPr>
        <w:t xml:space="preserve"> autorisée</w:t>
      </w:r>
    </w:p>
    <w:p w14:paraId="190A623A" w14:textId="0FCD85DC" w:rsidR="00235CA9" w:rsidRPr="002A22A2" w:rsidRDefault="00235CA9" w:rsidP="00351DE5">
      <w:pPr>
        <w:spacing w:after="120"/>
        <w:ind w:left="2268" w:right="1134" w:hanging="1134"/>
        <w:jc w:val="both"/>
        <w:rPr>
          <w:b/>
          <w:bCs/>
          <w:lang w:val="fr-FR"/>
        </w:rPr>
      </w:pPr>
      <w:r>
        <w:rPr>
          <w:b/>
          <w:bCs/>
          <w:lang w:val="fr-FR"/>
        </w:rPr>
        <w:t>(Voir le paragraphe 6.3.1 du présent Règlement)</w:t>
      </w:r>
    </w:p>
    <w:p w14:paraId="105431A1" w14:textId="43F9E9AA" w:rsidR="00235CA9" w:rsidRPr="00351DE5" w:rsidRDefault="004421B8" w:rsidP="004421B8">
      <w:pPr>
        <w:pStyle w:val="H1G"/>
        <w:ind w:left="2268"/>
        <w:rPr>
          <w:rFonts w:asciiTheme="majorBidi" w:hAnsiTheme="majorBidi" w:cstheme="majorBidi"/>
        </w:rPr>
      </w:pPr>
      <w:r>
        <w:rPr>
          <w:lang w:val="fr-FR"/>
        </w:rPr>
        <w:t>1.</w:t>
      </w:r>
      <w:r>
        <w:rPr>
          <w:lang w:val="fr-FR"/>
        </w:rPr>
        <w:tab/>
      </w:r>
      <w:r w:rsidR="00235CA9" w:rsidRPr="00351DE5">
        <w:rPr>
          <w:lang w:val="fr-FR"/>
        </w:rPr>
        <w:t>Introduction</w:t>
      </w:r>
    </w:p>
    <w:p w14:paraId="0900AA09" w14:textId="7648AF14" w:rsidR="00235CA9" w:rsidRPr="002A22A2" w:rsidRDefault="00235CA9" w:rsidP="00351DE5">
      <w:pPr>
        <w:spacing w:after="120"/>
        <w:ind w:left="2268" w:right="1134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La présente annexe constitue une recommandation à prendre en considération : les fabricants devraient s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y conformer ou justifier pourquoi ils utilisent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autres solutions pour atteindre le même objectif.</w:t>
      </w:r>
    </w:p>
    <w:p w14:paraId="7987C5C0" w14:textId="59ED8353" w:rsidR="00235CA9" w:rsidRPr="002A22A2" w:rsidRDefault="00235CA9" w:rsidP="00351DE5">
      <w:pPr>
        <w:spacing w:after="120"/>
        <w:ind w:left="2268" w:right="1134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On trouvera dans la présente annexe :</w:t>
      </w:r>
    </w:p>
    <w:p w14:paraId="68BA5693" w14:textId="153B546E" w:rsidR="00235CA9" w:rsidRPr="002A22A2" w:rsidRDefault="00351DE5" w:rsidP="00235CA9">
      <w:pPr>
        <w:pStyle w:val="a"/>
        <w:numPr>
          <w:ilvl w:val="0"/>
          <w:numId w:val="20"/>
        </w:numPr>
        <w:snapToGrid w:val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U</w:t>
      </w:r>
      <w:r w:rsidR="00235CA9">
        <w:rPr>
          <w:b/>
          <w:bCs/>
          <w:lang w:val="fr-FR"/>
        </w:rPr>
        <w:t>ne aide à l</w:t>
      </w:r>
      <w:r w:rsidR="002D7619">
        <w:rPr>
          <w:b/>
          <w:bCs/>
          <w:lang w:val="fr-FR"/>
        </w:rPr>
        <w:t>’</w:t>
      </w:r>
      <w:r w:rsidR="00235CA9">
        <w:rPr>
          <w:b/>
          <w:bCs/>
          <w:lang w:val="fr-FR"/>
        </w:rPr>
        <w:t>interprétation des définitions en ce qui concerne la protection des silencieux d</w:t>
      </w:r>
      <w:r w:rsidR="002D7619">
        <w:rPr>
          <w:b/>
          <w:bCs/>
          <w:lang w:val="fr-FR"/>
        </w:rPr>
        <w:t>’</w:t>
      </w:r>
      <w:r w:rsidR="00235CA9">
        <w:rPr>
          <w:b/>
          <w:bCs/>
          <w:lang w:val="fr-FR"/>
        </w:rPr>
        <w:t>échappement contre toute manipulation non autorisée ;</w:t>
      </w:r>
    </w:p>
    <w:p w14:paraId="4F98411C" w14:textId="7B235330" w:rsidR="00235CA9" w:rsidRPr="002A22A2" w:rsidRDefault="00351DE5" w:rsidP="00235CA9">
      <w:pPr>
        <w:pStyle w:val="a"/>
        <w:numPr>
          <w:ilvl w:val="0"/>
          <w:numId w:val="20"/>
        </w:numPr>
        <w:snapToGrid w:val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D</w:t>
      </w:r>
      <w:r w:rsidR="00235CA9">
        <w:rPr>
          <w:b/>
          <w:bCs/>
          <w:lang w:val="fr-FR"/>
        </w:rPr>
        <w:t>es orientations et des bonnes pratiques pour les conceptions, les modèles et les méthodes de fabrication des silencieux existants.</w:t>
      </w:r>
    </w:p>
    <w:p w14:paraId="1F06A4BE" w14:textId="21FC79C5" w:rsidR="00235CA9" w:rsidRPr="002A22A2" w:rsidRDefault="00235CA9" w:rsidP="00351DE5">
      <w:pPr>
        <w:spacing w:after="120"/>
        <w:ind w:left="2268" w:right="1134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La présente annexe est basée sur les méthodes de construction couramment utilisées à ce jour (2024) et ne prétend pas être exhaustive.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>Les principes généraux énoncés au paragraphe 3.1 s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appliquent également à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évaluation des conceptions et des modèles qui n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y sont pas mentionnés.</w:t>
      </w:r>
    </w:p>
    <w:p w14:paraId="5CEAD122" w14:textId="288257B6" w:rsidR="00235CA9" w:rsidRPr="00351DE5" w:rsidRDefault="004421B8" w:rsidP="004421B8">
      <w:pPr>
        <w:pStyle w:val="H1G"/>
        <w:ind w:left="2268"/>
        <w:rPr>
          <w:rFonts w:asciiTheme="majorBidi" w:hAnsiTheme="majorBidi" w:cstheme="majorBidi"/>
        </w:rPr>
      </w:pPr>
      <w:r>
        <w:rPr>
          <w:lang w:val="fr-FR"/>
        </w:rPr>
        <w:t>2.</w:t>
      </w:r>
      <w:r>
        <w:rPr>
          <w:lang w:val="fr-FR"/>
        </w:rPr>
        <w:tab/>
      </w:r>
      <w:r w:rsidR="00235CA9" w:rsidRPr="00351DE5">
        <w:rPr>
          <w:lang w:val="fr-FR"/>
        </w:rPr>
        <w:t>Interprétation des définitions</w:t>
      </w:r>
    </w:p>
    <w:p w14:paraId="3765E376" w14:textId="6AE1DBE8" w:rsidR="00235CA9" w:rsidRPr="002A22A2" w:rsidRDefault="00235CA9" w:rsidP="004421B8">
      <w:pPr>
        <w:spacing w:after="120"/>
        <w:ind w:left="2268" w:right="1134" w:hanging="1134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2.1</w:t>
      </w:r>
      <w:r>
        <w:rPr>
          <w:lang w:val="fr-FR"/>
        </w:rPr>
        <w:tab/>
      </w:r>
      <w:r>
        <w:rPr>
          <w:b/>
          <w:bCs/>
          <w:lang w:val="fr-FR"/>
        </w:rPr>
        <w:t>Définition de “protection contre toute manipulation non autorisée”</w:t>
      </w:r>
    </w:p>
    <w:p w14:paraId="5AD4051A" w14:textId="60D43CEC" w:rsidR="00235CA9" w:rsidRPr="002A22A2" w:rsidRDefault="00235CA9" w:rsidP="00351DE5">
      <w:pPr>
        <w:pStyle w:val="para"/>
        <w:snapToGrid w:val="0"/>
        <w:ind w:firstLine="0"/>
        <w:rPr>
          <w:rFonts w:asciiTheme="majorBidi" w:hAnsiTheme="majorBidi" w:cstheme="majorBidi"/>
          <w:b/>
          <w:bCs/>
          <w:color w:val="000000"/>
          <w:lang w:val="fr-FR"/>
        </w:rPr>
      </w:pPr>
      <w:r>
        <w:rPr>
          <w:lang w:val="fr-FR"/>
        </w:rPr>
        <w:tab/>
      </w:r>
      <w:r>
        <w:rPr>
          <w:b/>
          <w:bCs/>
          <w:lang w:val="fr-FR"/>
        </w:rPr>
        <w:t>Le paragraphe 2.12 du présent Règlement est libellé comme suit :</w:t>
      </w:r>
    </w:p>
    <w:p w14:paraId="12D48B1E" w14:textId="04D2E6C9" w:rsidR="00235CA9" w:rsidRPr="002A22A2" w:rsidRDefault="00235CA9" w:rsidP="00235CA9">
      <w:pPr>
        <w:spacing w:after="120"/>
        <w:ind w:left="2268" w:right="1134"/>
        <w:jc w:val="both"/>
        <w:rPr>
          <w:rFonts w:asciiTheme="majorBidi" w:hAnsiTheme="majorBidi" w:cstheme="majorBidi"/>
          <w:b/>
          <w:bCs/>
          <w:color w:val="000000"/>
          <w:spacing w:val="-2"/>
          <w:lang w:val="fr-FR"/>
        </w:rPr>
      </w:pPr>
      <w:r>
        <w:rPr>
          <w:b/>
          <w:bCs/>
          <w:lang w:val="fr-FR"/>
        </w:rPr>
        <w:t>“</w:t>
      </w:r>
      <w:r>
        <w:rPr>
          <w:b/>
          <w:bCs/>
          <w:i/>
          <w:iCs/>
          <w:lang w:val="fr-FR"/>
        </w:rPr>
        <w:t>Protection contre toute manipulation non autorisée</w:t>
      </w:r>
      <w:r>
        <w:rPr>
          <w:b/>
          <w:bCs/>
          <w:lang w:val="fr-FR"/>
        </w:rPr>
        <w:t>”, toute activité visant :</w:t>
      </w:r>
    </w:p>
    <w:p w14:paraId="7EE9BB1D" w14:textId="6C361A32" w:rsidR="00235CA9" w:rsidRPr="002A22A2" w:rsidRDefault="00351DE5" w:rsidP="00235CA9">
      <w:pPr>
        <w:pStyle w:val="Paragraphedeliste"/>
        <w:numPr>
          <w:ilvl w:val="0"/>
          <w:numId w:val="20"/>
        </w:numPr>
        <w:snapToGrid w:val="0"/>
        <w:spacing w:after="120"/>
        <w:ind w:left="2835" w:right="1134" w:hanging="567"/>
        <w:jc w:val="both"/>
        <w:rPr>
          <w:rFonts w:asciiTheme="majorBidi" w:hAnsiTheme="majorBidi" w:cstheme="majorBidi"/>
          <w:b/>
          <w:bCs/>
          <w:color w:val="000000"/>
          <w:spacing w:val="-2"/>
          <w:lang w:val="fr-FR"/>
        </w:rPr>
      </w:pPr>
      <w:r>
        <w:rPr>
          <w:b/>
          <w:bCs/>
          <w:lang w:val="fr-FR"/>
        </w:rPr>
        <w:t>À</w:t>
      </w:r>
      <w:r w:rsidR="00235CA9">
        <w:rPr>
          <w:b/>
          <w:bCs/>
          <w:lang w:val="fr-FR"/>
        </w:rPr>
        <w:t xml:space="preserve"> empêcher et dissuader toute modification illégale ;</w:t>
      </w:r>
    </w:p>
    <w:p w14:paraId="67BC30BB" w14:textId="45F6659F" w:rsidR="00235CA9" w:rsidRPr="002A22A2" w:rsidRDefault="00351DE5" w:rsidP="00235CA9">
      <w:pPr>
        <w:pStyle w:val="Paragraphedeliste"/>
        <w:numPr>
          <w:ilvl w:val="0"/>
          <w:numId w:val="20"/>
        </w:numPr>
        <w:snapToGrid w:val="0"/>
        <w:spacing w:after="120"/>
        <w:ind w:left="2835" w:right="1134" w:hanging="567"/>
        <w:jc w:val="both"/>
        <w:rPr>
          <w:rFonts w:asciiTheme="majorBidi" w:hAnsiTheme="majorBidi" w:cstheme="majorBidi"/>
          <w:b/>
          <w:bCs/>
          <w:color w:val="000000"/>
          <w:spacing w:val="-2"/>
          <w:lang w:val="fr-FR"/>
        </w:rPr>
      </w:pPr>
      <w:r>
        <w:rPr>
          <w:b/>
          <w:bCs/>
          <w:lang w:val="fr-FR"/>
        </w:rPr>
        <w:t>À</w:t>
      </w:r>
      <w:r w:rsidR="00235CA9">
        <w:rPr>
          <w:b/>
          <w:bCs/>
          <w:lang w:val="fr-FR"/>
        </w:rPr>
        <w:t xml:space="preserve"> faciliter la détection de toute modification illégale.</w:t>
      </w:r>
    </w:p>
    <w:p w14:paraId="39A67709" w14:textId="180241C3" w:rsidR="00235CA9" w:rsidRPr="002A22A2" w:rsidRDefault="00235CA9" w:rsidP="00235CA9">
      <w:pPr>
        <w:spacing w:after="120"/>
        <w:ind w:left="2268" w:right="1134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La protection contre toute manipulation non autorisée présuppose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existence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une conception aux fins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inviolabilité.</w:t>
      </w:r>
    </w:p>
    <w:p w14:paraId="42316CD6" w14:textId="2022AC8C" w:rsidR="00235CA9" w:rsidRPr="002A22A2" w:rsidRDefault="00235CA9" w:rsidP="00235CA9">
      <w:pPr>
        <w:pStyle w:val="a"/>
        <w:snapToGrid w:val="0"/>
        <w:ind w:left="2268" w:firstLine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Par “conception aux fins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inviolabilité”, on entend une conception dans laquelle sont spécifiées les mesures de protection contre toute manipulation non autorisée que le fabricant du 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 de remplacement non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origine prendra afin de se conformer au présent Règlement.</w:t>
      </w:r>
    </w:p>
    <w:p w14:paraId="7D291C0A" w14:textId="26F82E0E" w:rsidR="00235CA9" w:rsidRPr="002A22A2" w:rsidRDefault="00235CA9" w:rsidP="00235CA9">
      <w:pPr>
        <w:pStyle w:val="a"/>
        <w:snapToGrid w:val="0"/>
        <w:ind w:left="2268" w:firstLine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La conception aux fins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inviolabilité fait partie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une conception intégrée de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ensemble du 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 de remplacement non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origine.</w:t>
      </w:r>
    </w:p>
    <w:p w14:paraId="2D25A4B8" w14:textId="4E6BE219" w:rsidR="00235CA9" w:rsidRPr="002A22A2" w:rsidRDefault="00235CA9" w:rsidP="00235CA9">
      <w:pPr>
        <w:pStyle w:val="a"/>
        <w:snapToGrid w:val="0"/>
        <w:ind w:left="2268" w:firstLine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efficacité de la conception en ce qui concerne le respect des prescriptions relatives à la protection contre toute manipulation non autorisée est évaluée dans le cadre de la validation du produit (par exemple, norme ISO</w:t>
      </w:r>
      <w:r w:rsidR="00351DE5">
        <w:rPr>
          <w:b/>
          <w:bCs/>
          <w:lang w:val="fr-FR"/>
        </w:rPr>
        <w:t> </w:t>
      </w:r>
      <w:r>
        <w:rPr>
          <w:b/>
          <w:bCs/>
          <w:lang w:val="fr-FR"/>
        </w:rPr>
        <w:t>9001:2015, clause 8.3).</w:t>
      </w:r>
      <w:r w:rsidR="00371F6E">
        <w:rPr>
          <w:lang w:val="fr-FR"/>
        </w:rPr>
        <w:t xml:space="preserve"> </w:t>
      </w:r>
      <w:r>
        <w:rPr>
          <w:b/>
          <w:bCs/>
          <w:lang w:val="fr-FR"/>
        </w:rPr>
        <w:t>Pour confirmer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efficacité de la conception, ou déterminer s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il est nécessaire de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optimiser davantage, le 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 de remplacement non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origine doit être évalué conformément à la clause 8.5 de la norme ISO 9001:2015 ou au moyen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un système de qualité comparable.</w:t>
      </w:r>
    </w:p>
    <w:p w14:paraId="182CEEB4" w14:textId="77777777" w:rsidR="00235CA9" w:rsidRPr="002A22A2" w:rsidRDefault="00235CA9" w:rsidP="00351DE5">
      <w:pPr>
        <w:pStyle w:val="a"/>
        <w:snapToGrid w:val="0"/>
        <w:ind w:left="2268" w:firstLine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lastRenderedPageBreak/>
        <w:t>Modification illégale</w:t>
      </w:r>
    </w:p>
    <w:p w14:paraId="0ECE2A4A" w14:textId="57F7C982" w:rsidR="00235CA9" w:rsidRPr="002A22A2" w:rsidRDefault="00235CA9" w:rsidP="00351DE5">
      <w:pPr>
        <w:pStyle w:val="a"/>
        <w:snapToGrid w:val="0"/>
        <w:ind w:left="2268" w:firstLine="0"/>
        <w:rPr>
          <w:rFonts w:asciiTheme="majorBidi" w:hAnsiTheme="majorBidi" w:cstheme="majorBidi"/>
          <w:b/>
          <w:bCs/>
          <w:color w:val="000000"/>
          <w:spacing w:val="-2"/>
          <w:lang w:val="fr-FR"/>
        </w:rPr>
      </w:pPr>
      <w:bookmarkStart w:id="2" w:name="_Hlk171591383"/>
      <w:r>
        <w:rPr>
          <w:b/>
          <w:bCs/>
          <w:lang w:val="fr-FR"/>
        </w:rPr>
        <w:t xml:space="preserve">Dans le contexte du présent Règlement, </w:t>
      </w:r>
      <w:bookmarkEnd w:id="2"/>
      <w:r>
        <w:rPr>
          <w:b/>
          <w:bCs/>
          <w:lang w:val="fr-FR"/>
        </w:rPr>
        <w:t>on entend par “modification illégale” toute action délibérée en conséquence de laquelle le 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 est moins efficace ou n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est plus conforme au type homologué.</w:t>
      </w:r>
    </w:p>
    <w:p w14:paraId="16390385" w14:textId="02316B35" w:rsidR="00235CA9" w:rsidRPr="002A22A2" w:rsidRDefault="00235CA9" w:rsidP="00351DE5">
      <w:pPr>
        <w:pStyle w:val="a"/>
        <w:snapToGrid w:val="0"/>
        <w:ind w:left="2268" w:firstLine="0"/>
        <w:rPr>
          <w:rFonts w:asciiTheme="majorBidi" w:hAnsiTheme="majorBidi" w:cstheme="majorBidi"/>
          <w:b/>
          <w:bCs/>
          <w:color w:val="000000"/>
          <w:spacing w:val="-2"/>
          <w:lang w:val="fr-FR"/>
        </w:rPr>
      </w:pPr>
      <w:r>
        <w:rPr>
          <w:b/>
          <w:bCs/>
          <w:lang w:val="fr-FR"/>
        </w:rPr>
        <w:t>La détérioration due à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utilisation prévue du véhicule n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est pas considérée comme “illégale”.</w:t>
      </w:r>
    </w:p>
    <w:p w14:paraId="2448C65B" w14:textId="697D67FB" w:rsidR="00235CA9" w:rsidRPr="002A22A2" w:rsidRDefault="00235CA9" w:rsidP="004421B8">
      <w:pPr>
        <w:spacing w:after="120"/>
        <w:ind w:left="2268" w:right="1134" w:hanging="1134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2.2</w:t>
      </w:r>
      <w:r>
        <w:rPr>
          <w:lang w:val="fr-FR"/>
        </w:rPr>
        <w:tab/>
      </w:r>
      <w:r>
        <w:rPr>
          <w:b/>
          <w:bCs/>
          <w:lang w:val="fr-FR"/>
        </w:rPr>
        <w:t>Définition des “dégâts irréversibles”</w:t>
      </w:r>
    </w:p>
    <w:p w14:paraId="16EE5E03" w14:textId="49321123" w:rsidR="00235CA9" w:rsidRPr="002A22A2" w:rsidRDefault="00235CA9" w:rsidP="00351DE5">
      <w:pPr>
        <w:pStyle w:val="a"/>
        <w:snapToGrid w:val="0"/>
        <w:ind w:left="2268" w:firstLine="0"/>
        <w:rPr>
          <w:rFonts w:asciiTheme="majorBidi" w:hAnsiTheme="majorBidi" w:cstheme="majorBidi"/>
          <w:b/>
          <w:bCs/>
          <w:lang w:val="fr-FR"/>
        </w:rPr>
      </w:pPr>
      <w:bookmarkStart w:id="3" w:name="_Hlk171591131"/>
      <w:r>
        <w:rPr>
          <w:lang w:val="fr-FR"/>
        </w:rPr>
        <w:tab/>
      </w:r>
      <w:r>
        <w:rPr>
          <w:b/>
          <w:bCs/>
          <w:lang w:val="fr-FR"/>
        </w:rPr>
        <w:t>Le paragraphe 2.14 du présent Règlement est libellé comme suit :</w:t>
      </w:r>
      <w:bookmarkEnd w:id="3"/>
    </w:p>
    <w:p w14:paraId="51996178" w14:textId="3E677881" w:rsidR="00235CA9" w:rsidRPr="002A22A2" w:rsidRDefault="00235CA9" w:rsidP="00351DE5">
      <w:pPr>
        <w:pStyle w:val="a"/>
        <w:snapToGrid w:val="0"/>
        <w:ind w:left="2268" w:firstLine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“</w:t>
      </w:r>
      <w:r>
        <w:rPr>
          <w:b/>
          <w:bCs/>
          <w:i/>
          <w:iCs/>
          <w:lang w:val="fr-FR"/>
        </w:rPr>
        <w:t>Dégâts irréversibles</w:t>
      </w:r>
      <w:r>
        <w:rPr>
          <w:b/>
          <w:bCs/>
          <w:lang w:val="fr-FR"/>
        </w:rPr>
        <w:t>” (en ce qui concerne la manipulation non autorisée des 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échappement), tout dégât constituant une preuve permanente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une manipulation non autorisée.</w:t>
      </w:r>
    </w:p>
    <w:p w14:paraId="043D2445" w14:textId="77777777" w:rsidR="00235CA9" w:rsidRPr="00BB798D" w:rsidRDefault="00235CA9" w:rsidP="00235CA9">
      <w:pPr>
        <w:pStyle w:val="para"/>
        <w:snapToGrid w:val="0"/>
        <w:ind w:left="3402"/>
        <w:rPr>
          <w:rFonts w:asciiTheme="majorBidi" w:hAnsiTheme="majorBidi" w:cstheme="majorBidi"/>
          <w:b/>
          <w:bCs/>
        </w:rPr>
      </w:pPr>
      <w:r>
        <w:rPr>
          <w:b/>
          <w:bCs/>
          <w:lang w:val="fr-FR"/>
        </w:rPr>
        <w:t>Preuve permanente</w:t>
      </w:r>
    </w:p>
    <w:p w14:paraId="38A51F38" w14:textId="62CC632E" w:rsidR="00235CA9" w:rsidRPr="002A22A2" w:rsidRDefault="00235CA9" w:rsidP="00235CA9">
      <w:pPr>
        <w:pStyle w:val="Paragraphedeliste"/>
        <w:numPr>
          <w:ilvl w:val="0"/>
          <w:numId w:val="18"/>
        </w:numPr>
        <w:tabs>
          <w:tab w:val="right" w:pos="851"/>
        </w:tabs>
        <w:snapToGrid w:val="0"/>
        <w:spacing w:after="120"/>
        <w:ind w:left="2694" w:right="1134"/>
        <w:jc w:val="both"/>
        <w:rPr>
          <w:rFonts w:asciiTheme="majorBidi" w:hAnsiTheme="majorBidi" w:cstheme="majorBidi"/>
          <w:b/>
          <w:bCs/>
          <w:color w:val="000000"/>
          <w:lang w:val="fr-FR"/>
        </w:rPr>
      </w:pPr>
      <w:r>
        <w:rPr>
          <w:b/>
          <w:bCs/>
          <w:lang w:val="fr-FR"/>
        </w:rPr>
        <w:t>En ce qui concerne le matériel, on entend par “preuve permanente” des dégâts sur des pièces du silencieux qui sont facilement visibles et ne peuvent pas être effacés à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aide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outils classiques.</w:t>
      </w:r>
    </w:p>
    <w:p w14:paraId="31AB6B01" w14:textId="22E965E5" w:rsidR="00235CA9" w:rsidRPr="002A22A2" w:rsidRDefault="00235CA9" w:rsidP="00235CA9">
      <w:pPr>
        <w:pStyle w:val="Paragraphedeliste"/>
        <w:numPr>
          <w:ilvl w:val="1"/>
          <w:numId w:val="18"/>
        </w:numPr>
        <w:tabs>
          <w:tab w:val="right" w:pos="851"/>
        </w:tabs>
        <w:snapToGrid w:val="0"/>
        <w:spacing w:after="120"/>
        <w:ind w:left="3119" w:right="1134" w:hanging="425"/>
        <w:jc w:val="both"/>
        <w:rPr>
          <w:rFonts w:asciiTheme="majorBidi" w:hAnsiTheme="majorBidi" w:cstheme="majorBidi"/>
          <w:b/>
          <w:bCs/>
          <w:color w:val="000000"/>
          <w:lang w:val="fr-FR"/>
        </w:rPr>
      </w:pPr>
      <w:r>
        <w:rPr>
          <w:b/>
          <w:bCs/>
          <w:lang w:val="fr-FR"/>
        </w:rPr>
        <w:t>Les outils classiques sont ceux que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on trouve habituellement dans des magasins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outillage, tels que les cl</w:t>
      </w:r>
      <w:r w:rsidR="00E438C2">
        <w:rPr>
          <w:b/>
          <w:bCs/>
          <w:lang w:val="fr-FR"/>
        </w:rPr>
        <w:t>é</w:t>
      </w:r>
      <w:r>
        <w:rPr>
          <w:b/>
          <w:bCs/>
          <w:lang w:val="fr-FR"/>
        </w:rPr>
        <w:t xml:space="preserve">s Allen ou </w:t>
      </w:r>
      <w:proofErr w:type="spellStart"/>
      <w:r>
        <w:rPr>
          <w:b/>
          <w:bCs/>
          <w:lang w:val="fr-FR"/>
        </w:rPr>
        <w:t>Torx</w:t>
      </w:r>
      <w:proofErr w:type="spellEnd"/>
      <w:r>
        <w:rPr>
          <w:b/>
          <w:bCs/>
          <w:lang w:val="fr-FR"/>
        </w:rPr>
        <w:t>, les tournevis, les pinces ou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autres outils à main.</w:t>
      </w:r>
    </w:p>
    <w:p w14:paraId="1834E007" w14:textId="2C08D6D2" w:rsidR="00235CA9" w:rsidRPr="002A22A2" w:rsidRDefault="00235CA9" w:rsidP="00235CA9">
      <w:pPr>
        <w:pStyle w:val="Paragraphedeliste"/>
        <w:numPr>
          <w:ilvl w:val="0"/>
          <w:numId w:val="18"/>
        </w:numPr>
        <w:tabs>
          <w:tab w:val="right" w:pos="851"/>
        </w:tabs>
        <w:snapToGrid w:val="0"/>
        <w:spacing w:after="120"/>
        <w:ind w:left="2694" w:right="1134"/>
        <w:jc w:val="both"/>
        <w:rPr>
          <w:rFonts w:asciiTheme="majorBidi" w:hAnsiTheme="majorBidi" w:cstheme="majorBidi"/>
          <w:b/>
          <w:bCs/>
          <w:color w:val="000000"/>
          <w:lang w:val="fr-FR"/>
        </w:rPr>
      </w:pPr>
      <w:r>
        <w:rPr>
          <w:b/>
          <w:bCs/>
          <w:lang w:val="fr-FR"/>
        </w:rPr>
        <w:t>En ce qui concerne le logiciel (le cas échéant), on entend par “preuve permanente” une modification du logiciel du 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 qui est facile à détecter.</w:t>
      </w:r>
    </w:p>
    <w:p w14:paraId="3F833E24" w14:textId="5C30BA1F" w:rsidR="00235CA9" w:rsidRPr="004421B8" w:rsidRDefault="00235CA9" w:rsidP="004421B8">
      <w:pPr>
        <w:pStyle w:val="H1G"/>
        <w:ind w:left="2268"/>
      </w:pPr>
      <w:r w:rsidRPr="00351DE5">
        <w:rPr>
          <w:lang w:val="fr-FR"/>
        </w:rPr>
        <w:t>3.</w:t>
      </w:r>
      <w:r w:rsidRPr="00351DE5">
        <w:rPr>
          <w:lang w:val="fr-FR"/>
        </w:rPr>
        <w:tab/>
      </w:r>
      <w:r w:rsidR="004421B8">
        <w:rPr>
          <w:lang w:val="fr-FR"/>
        </w:rPr>
        <w:tab/>
      </w:r>
      <w:r w:rsidRPr="00351DE5">
        <w:rPr>
          <w:lang w:val="fr-FR"/>
        </w:rPr>
        <w:t>Orientations relatives à l</w:t>
      </w:r>
      <w:r w:rsidR="002D7619">
        <w:rPr>
          <w:lang w:val="fr-FR"/>
        </w:rPr>
        <w:t>’</w:t>
      </w:r>
      <w:r w:rsidRPr="00351DE5">
        <w:rPr>
          <w:lang w:val="fr-FR"/>
        </w:rPr>
        <w:t>application des prescriptions</w:t>
      </w:r>
    </w:p>
    <w:p w14:paraId="28F3BD80" w14:textId="3531A480" w:rsidR="00235CA9" w:rsidRPr="002A22A2" w:rsidRDefault="00235CA9" w:rsidP="00235CA9">
      <w:pPr>
        <w:spacing w:after="120"/>
        <w:ind w:left="2268" w:right="1134"/>
        <w:jc w:val="both"/>
        <w:rPr>
          <w:rFonts w:asciiTheme="majorBidi" w:hAnsiTheme="majorBidi" w:cstheme="majorBidi"/>
          <w:b/>
          <w:bCs/>
          <w:lang w:val="fr-FR"/>
        </w:rPr>
      </w:pPr>
      <w:bookmarkStart w:id="4" w:name="_Hlk171591297"/>
      <w:r>
        <w:rPr>
          <w:b/>
          <w:bCs/>
          <w:lang w:val="fr-FR"/>
        </w:rPr>
        <w:t xml:space="preserve">Le paragraphe 6.3.1 du présent </w:t>
      </w:r>
      <w:r w:rsidRPr="004036CD">
        <w:rPr>
          <w:b/>
          <w:bCs/>
          <w:lang w:val="fr-FR"/>
        </w:rPr>
        <w:t xml:space="preserve">Règlement </w:t>
      </w:r>
      <w:bookmarkEnd w:id="4"/>
      <w:r w:rsidRPr="004036CD">
        <w:rPr>
          <w:b/>
          <w:bCs/>
          <w:lang w:val="fr-FR"/>
        </w:rPr>
        <w:t>e</w:t>
      </w:r>
      <w:r>
        <w:rPr>
          <w:b/>
          <w:bCs/>
          <w:lang w:val="fr-FR"/>
        </w:rPr>
        <w:t>st libellé comme suit :</w:t>
      </w:r>
    </w:p>
    <w:p w14:paraId="29B9A9D9" w14:textId="77777777" w:rsidR="00235CA9" w:rsidRPr="002A22A2" w:rsidRDefault="00235CA9" w:rsidP="00351DE5">
      <w:pPr>
        <w:pStyle w:val="a"/>
        <w:snapToGrid w:val="0"/>
        <w:ind w:left="2268" w:firstLine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Dispositions relatives à la protection contre toute manipulation non autorisée</w:t>
      </w:r>
    </w:p>
    <w:p w14:paraId="52B5B536" w14:textId="647D733D" w:rsidR="00235CA9" w:rsidRPr="002A22A2" w:rsidRDefault="00235CA9" w:rsidP="00351DE5">
      <w:pPr>
        <w:pStyle w:val="a"/>
        <w:snapToGrid w:val="0"/>
        <w:ind w:left="2268" w:firstLine="0"/>
        <w:rPr>
          <w:b/>
          <w:bCs/>
          <w:lang w:val="fr-FR"/>
        </w:rPr>
      </w:pPr>
      <w:r>
        <w:rPr>
          <w:b/>
          <w:bCs/>
          <w:lang w:val="fr-FR"/>
        </w:rPr>
        <w:t>Les 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 de remplacement non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origine et leurs éléments doivent être conçus et fabriqués en tenant compte des mesures de protection</w:t>
      </w:r>
      <w:r w:rsidR="00351DE5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contre toute manipulation non autorisée,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>de telle sorte qu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il ne soit pas possible de retirer les éléments contribuant à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atténuation du bruit ou de les rendre inefficaces.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>Toute manipulation non autorisée doit causer des dégâts irréversibles</w:t>
      </w:r>
      <w:r w:rsidR="00351DE5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pour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ensemble.</w:t>
      </w:r>
    </w:p>
    <w:p w14:paraId="1FF5A81E" w14:textId="77777777" w:rsidR="00235CA9" w:rsidRPr="002A22A2" w:rsidRDefault="00235CA9" w:rsidP="00351DE5">
      <w:pPr>
        <w:pStyle w:val="a"/>
        <w:snapToGrid w:val="0"/>
        <w:ind w:left="2268" w:firstLine="0"/>
        <w:rPr>
          <w:b/>
          <w:bCs/>
          <w:lang w:val="fr-FR"/>
        </w:rPr>
      </w:pPr>
      <w:r>
        <w:rPr>
          <w:b/>
          <w:bCs/>
          <w:lang w:val="fr-FR"/>
        </w:rPr>
        <w:t>Le logiciel du silencieux (le cas échéant) doit être conçu et programmé en tenant compte des mesures de protection contre toute manipulation non autorisée.</w:t>
      </w:r>
    </w:p>
    <w:p w14:paraId="2E3F5606" w14:textId="74AB5A81" w:rsidR="00235CA9" w:rsidRDefault="00235CA9" w:rsidP="00351DE5">
      <w:pPr>
        <w:pStyle w:val="a"/>
        <w:snapToGrid w:val="0"/>
        <w:ind w:left="2268" w:firstLine="0"/>
        <w:rPr>
          <w:b/>
          <w:bCs/>
          <w:lang w:val="fr-FR"/>
        </w:rPr>
      </w:pPr>
      <w:r>
        <w:rPr>
          <w:b/>
          <w:bCs/>
          <w:lang w:val="fr-FR"/>
        </w:rPr>
        <w:tab/>
        <w:t>À la demande de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autorité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homologation de type ou de son service technique, le fabricant du silencieux doit décrire les mesures de protection contre toute manipulation non autorisée qu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il a appliquées et en démontrer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efficacité pratique.</w:t>
      </w:r>
    </w:p>
    <w:p w14:paraId="4ED3F6D3" w14:textId="77777777" w:rsidR="00235CA9" w:rsidRPr="002A22A2" w:rsidRDefault="00235CA9" w:rsidP="004421B8">
      <w:pPr>
        <w:spacing w:after="120"/>
        <w:ind w:left="2268" w:right="1134" w:hanging="1134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3.1</w:t>
      </w:r>
      <w:r>
        <w:rPr>
          <w:lang w:val="fr-FR"/>
        </w:rPr>
        <w:tab/>
      </w:r>
      <w:r>
        <w:rPr>
          <w:b/>
          <w:bCs/>
          <w:lang w:val="fr-FR"/>
        </w:rPr>
        <w:t>Principes généraux</w:t>
      </w:r>
    </w:p>
    <w:p w14:paraId="34B0E3E8" w14:textId="3EF76BCA" w:rsidR="00235CA9" w:rsidRPr="002A22A2" w:rsidRDefault="00235CA9" w:rsidP="004421B8">
      <w:pPr>
        <w:spacing w:after="120"/>
        <w:ind w:left="2268" w:right="1134" w:hanging="1134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3.1.1</w:t>
      </w:r>
      <w:r>
        <w:rPr>
          <w:lang w:val="fr-FR"/>
        </w:rPr>
        <w:tab/>
      </w:r>
      <w:r>
        <w:rPr>
          <w:b/>
          <w:bCs/>
          <w:lang w:val="fr-FR"/>
        </w:rPr>
        <w:t>Les fabricants de 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 doivent appliquer des mesures de protection contre toute manipulation non autorisée afin que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intégrité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un tel silencieux ne puisse pas être compromise.</w:t>
      </w:r>
    </w:p>
    <w:p w14:paraId="0123FA4D" w14:textId="56BB1ADB" w:rsidR="00235CA9" w:rsidRPr="002A22A2" w:rsidRDefault="00235CA9" w:rsidP="004421B8">
      <w:pPr>
        <w:spacing w:after="120"/>
        <w:ind w:left="2268" w:right="1134" w:hanging="1134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3.1.2</w:t>
      </w:r>
      <w:r>
        <w:rPr>
          <w:lang w:val="fr-FR"/>
        </w:rPr>
        <w:tab/>
      </w:r>
      <w:r w:rsidRPr="00F84EE0">
        <w:rPr>
          <w:b/>
          <w:bCs/>
          <w:lang w:val="fr-FR"/>
        </w:rPr>
        <w:t>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utilisateur final ne doit pas pouvoir modifier un 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 de remplacement non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origine au point qu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il ne soit plus conforme à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homologation de type sans devoir déployer des efforts considérables (par exemple, meuler, souder ou fraiser).</w:t>
      </w:r>
    </w:p>
    <w:p w14:paraId="5C46063B" w14:textId="77777777" w:rsidR="00235CA9" w:rsidRPr="00E438C2" w:rsidRDefault="00235CA9" w:rsidP="004421B8">
      <w:pPr>
        <w:spacing w:after="120"/>
        <w:ind w:left="2268" w:right="1134" w:hanging="1134"/>
        <w:jc w:val="both"/>
        <w:rPr>
          <w:rFonts w:asciiTheme="majorBidi" w:hAnsiTheme="majorBidi" w:cstheme="majorBidi"/>
          <w:b/>
          <w:bCs/>
          <w:lang w:val="fr-FR"/>
        </w:rPr>
      </w:pPr>
      <w:r w:rsidRPr="00E438C2">
        <w:rPr>
          <w:b/>
          <w:bCs/>
          <w:lang w:val="fr-FR"/>
        </w:rPr>
        <w:t>3.1.3</w:t>
      </w:r>
      <w:r w:rsidRPr="00E438C2">
        <w:rPr>
          <w:lang w:val="fr-FR"/>
        </w:rPr>
        <w:tab/>
      </w:r>
      <w:r w:rsidRPr="00E438C2">
        <w:rPr>
          <w:b/>
          <w:bCs/>
          <w:lang w:val="fr-FR"/>
        </w:rPr>
        <w:t>Toute modification illégale doit être facile à détecter.</w:t>
      </w:r>
    </w:p>
    <w:p w14:paraId="0569F05D" w14:textId="34B6F646" w:rsidR="00235CA9" w:rsidRPr="00E438C2" w:rsidRDefault="00235CA9" w:rsidP="004421B8">
      <w:pPr>
        <w:spacing w:after="120"/>
        <w:ind w:left="2268" w:right="1134" w:hanging="1134"/>
        <w:jc w:val="both"/>
        <w:rPr>
          <w:rFonts w:asciiTheme="majorBidi" w:hAnsiTheme="majorBidi" w:cstheme="majorBidi"/>
          <w:b/>
          <w:bCs/>
          <w:lang w:val="fr-FR"/>
        </w:rPr>
      </w:pPr>
      <w:r w:rsidRPr="00E438C2">
        <w:rPr>
          <w:b/>
          <w:bCs/>
          <w:lang w:val="fr-FR"/>
        </w:rPr>
        <w:lastRenderedPageBreak/>
        <w:t>3.2</w:t>
      </w:r>
      <w:r w:rsidRPr="00E438C2">
        <w:rPr>
          <w:lang w:val="fr-FR"/>
        </w:rPr>
        <w:tab/>
      </w:r>
      <w:r w:rsidRPr="00E438C2">
        <w:rPr>
          <w:b/>
          <w:bCs/>
          <w:lang w:val="fr-FR"/>
        </w:rPr>
        <w:t>Bonnes pratiques relatives aux éléments du silencieux d</w:t>
      </w:r>
      <w:r w:rsidR="002D7619" w:rsidRPr="00E438C2">
        <w:rPr>
          <w:b/>
          <w:bCs/>
          <w:lang w:val="fr-FR"/>
        </w:rPr>
        <w:t>’</w:t>
      </w:r>
      <w:r w:rsidRPr="00E438C2">
        <w:rPr>
          <w:b/>
          <w:bCs/>
          <w:lang w:val="fr-FR"/>
        </w:rPr>
        <w:t>échappement de remplacement non d</w:t>
      </w:r>
      <w:r w:rsidR="002D7619" w:rsidRPr="00E438C2">
        <w:rPr>
          <w:b/>
          <w:bCs/>
          <w:lang w:val="fr-FR"/>
        </w:rPr>
        <w:t>’</w:t>
      </w:r>
      <w:r w:rsidRPr="00E438C2">
        <w:rPr>
          <w:b/>
          <w:bCs/>
          <w:lang w:val="fr-FR"/>
        </w:rPr>
        <w:t>origine ayant pour fonction principale de contribuer à l</w:t>
      </w:r>
      <w:r w:rsidR="002D7619" w:rsidRPr="00E438C2">
        <w:rPr>
          <w:b/>
          <w:bCs/>
          <w:lang w:val="fr-FR"/>
        </w:rPr>
        <w:t>’</w:t>
      </w:r>
      <w:r w:rsidRPr="00E438C2">
        <w:rPr>
          <w:b/>
          <w:bCs/>
          <w:lang w:val="fr-FR"/>
        </w:rPr>
        <w:t>atténuation du bruit</w:t>
      </w:r>
    </w:p>
    <w:p w14:paraId="4C36C014" w14:textId="77777777" w:rsidR="00235CA9" w:rsidRPr="00E438C2" w:rsidRDefault="00235CA9" w:rsidP="004421B8">
      <w:pPr>
        <w:spacing w:after="120"/>
        <w:ind w:left="2268" w:right="1134" w:hanging="1134"/>
        <w:jc w:val="both"/>
        <w:rPr>
          <w:rFonts w:asciiTheme="majorBidi" w:hAnsiTheme="majorBidi" w:cstheme="majorBidi"/>
          <w:b/>
          <w:bCs/>
          <w:lang w:val="fr-FR"/>
        </w:rPr>
      </w:pPr>
      <w:r w:rsidRPr="00E438C2">
        <w:rPr>
          <w:b/>
          <w:bCs/>
          <w:lang w:val="fr-FR"/>
        </w:rPr>
        <w:t>3.2.1</w:t>
      </w:r>
      <w:r w:rsidRPr="00E438C2">
        <w:rPr>
          <w:lang w:val="fr-FR"/>
        </w:rPr>
        <w:tab/>
      </w:r>
      <w:r w:rsidRPr="00E438C2">
        <w:rPr>
          <w:b/>
          <w:bCs/>
          <w:lang w:val="fr-FR"/>
        </w:rPr>
        <w:t>La soudure est considérée comme la méthode de construction à privilégier pour les métaux et les alliages afin de protéger le silencieux contre toute manipulation non autorisée.</w:t>
      </w:r>
    </w:p>
    <w:p w14:paraId="6B73A41E" w14:textId="7CD80E84" w:rsidR="00235CA9" w:rsidRPr="002A22A2" w:rsidRDefault="00235CA9" w:rsidP="004421B8">
      <w:pPr>
        <w:spacing w:after="120"/>
        <w:ind w:left="2268" w:right="1134" w:hanging="1134"/>
        <w:jc w:val="both"/>
        <w:rPr>
          <w:rFonts w:asciiTheme="majorBidi" w:hAnsiTheme="majorBidi" w:cstheme="majorBidi"/>
          <w:b/>
          <w:bCs/>
          <w:lang w:val="fr-FR"/>
        </w:rPr>
      </w:pPr>
      <w:r w:rsidRPr="00E438C2">
        <w:rPr>
          <w:b/>
          <w:bCs/>
          <w:lang w:val="fr-FR"/>
        </w:rPr>
        <w:t>3.2.2</w:t>
      </w:r>
      <w:r w:rsidRPr="00E438C2">
        <w:rPr>
          <w:lang w:val="fr-FR"/>
        </w:rPr>
        <w:tab/>
      </w:r>
      <w:r w:rsidRPr="00E438C2">
        <w:rPr>
          <w:b/>
          <w:bCs/>
          <w:lang w:val="fr-FR"/>
        </w:rPr>
        <w:t>Méthodes de fixation possibles</w:t>
      </w:r>
      <w:r>
        <w:rPr>
          <w:b/>
          <w:bCs/>
          <w:lang w:val="fr-FR"/>
        </w:rPr>
        <w:t xml:space="preserve"> permettant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assurer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inviolabilité :</w:t>
      </w:r>
    </w:p>
    <w:p w14:paraId="4E6BFF78" w14:textId="1AE9A0B3" w:rsidR="00235CA9" w:rsidRPr="002A22A2" w:rsidRDefault="00235CA9" w:rsidP="00235CA9">
      <w:pPr>
        <w:pStyle w:val="a"/>
        <w:snapToGrid w:val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a)</w:t>
      </w:r>
      <w:r>
        <w:rPr>
          <w:lang w:val="fr-FR"/>
        </w:rPr>
        <w:tab/>
      </w:r>
      <w:r>
        <w:rPr>
          <w:b/>
          <w:bCs/>
          <w:lang w:val="fr-FR"/>
        </w:rPr>
        <w:t>Soudure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un périmètre suffisant pour que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élément ne puisse pas être retiré ;</w:t>
      </w:r>
    </w:p>
    <w:p w14:paraId="20348014" w14:textId="75D6A14C" w:rsidR="00235CA9" w:rsidRPr="002A22A2" w:rsidRDefault="00235CA9" w:rsidP="00235CA9">
      <w:pPr>
        <w:pStyle w:val="a"/>
        <w:snapToGrid w:val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b)</w:t>
      </w:r>
      <w:r>
        <w:rPr>
          <w:lang w:val="fr-FR"/>
        </w:rPr>
        <w:tab/>
      </w:r>
      <w:r>
        <w:rPr>
          <w:b/>
          <w:bCs/>
          <w:lang w:val="fr-FR"/>
        </w:rPr>
        <w:t>Collage permanent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un périmètre suffisant pour que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élément ne puisse pas être retiré ;</w:t>
      </w:r>
    </w:p>
    <w:p w14:paraId="19223ECF" w14:textId="77777777" w:rsidR="00235CA9" w:rsidRPr="002A22A2" w:rsidRDefault="00235CA9" w:rsidP="00235CA9">
      <w:pPr>
        <w:pStyle w:val="a"/>
        <w:snapToGrid w:val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c)</w:t>
      </w:r>
      <w:r>
        <w:rPr>
          <w:lang w:val="fr-FR"/>
        </w:rPr>
        <w:tab/>
      </w:r>
      <w:r>
        <w:rPr>
          <w:b/>
          <w:bCs/>
          <w:lang w:val="fr-FR"/>
        </w:rPr>
        <w:t>Utilisation de rivets en acier inoxydable en nombre suffisant.</w:t>
      </w:r>
    </w:p>
    <w:p w14:paraId="51D03FE0" w14:textId="77777777" w:rsidR="00235CA9" w:rsidRPr="002A22A2" w:rsidRDefault="00235CA9" w:rsidP="004421B8">
      <w:pPr>
        <w:spacing w:after="120"/>
        <w:ind w:left="2268" w:right="1134" w:hanging="1134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3.2.3</w:t>
      </w:r>
      <w:r>
        <w:rPr>
          <w:lang w:val="fr-FR"/>
        </w:rPr>
        <w:tab/>
      </w:r>
      <w:r>
        <w:rPr>
          <w:b/>
          <w:bCs/>
          <w:lang w:val="fr-FR"/>
        </w:rPr>
        <w:t>Les méthodes de fixation suivantes sont réputées insuffisantes dans tous les cas :</w:t>
      </w:r>
    </w:p>
    <w:p w14:paraId="3D2F4273" w14:textId="77777777" w:rsidR="00235CA9" w:rsidRPr="002A22A2" w:rsidRDefault="00235CA9" w:rsidP="00235CA9">
      <w:pPr>
        <w:pStyle w:val="a"/>
        <w:snapToGrid w:val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a)</w:t>
      </w:r>
      <w:r>
        <w:rPr>
          <w:lang w:val="fr-FR"/>
        </w:rPr>
        <w:tab/>
      </w:r>
      <w:r>
        <w:rPr>
          <w:b/>
          <w:bCs/>
          <w:lang w:val="fr-FR"/>
        </w:rPr>
        <w:t>Éléments de fixation par tige filetée ;</w:t>
      </w:r>
    </w:p>
    <w:p w14:paraId="591519F5" w14:textId="77777777" w:rsidR="00235CA9" w:rsidRPr="002A22A2" w:rsidRDefault="00235CA9" w:rsidP="00235CA9">
      <w:pPr>
        <w:pStyle w:val="a"/>
        <w:snapToGrid w:val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b)</w:t>
      </w:r>
      <w:r>
        <w:rPr>
          <w:lang w:val="fr-FR"/>
        </w:rPr>
        <w:tab/>
      </w:r>
      <w:r>
        <w:rPr>
          <w:b/>
          <w:bCs/>
          <w:lang w:val="fr-FR"/>
        </w:rPr>
        <w:t>Rivets en aluminium ;</w:t>
      </w:r>
    </w:p>
    <w:p w14:paraId="1991A03A" w14:textId="292FD35A" w:rsidR="00235CA9" w:rsidRPr="002A22A2" w:rsidRDefault="00235CA9" w:rsidP="00235CA9">
      <w:pPr>
        <w:pStyle w:val="a"/>
        <w:snapToGrid w:val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c)</w:t>
      </w:r>
      <w:r>
        <w:rPr>
          <w:lang w:val="fr-FR"/>
        </w:rPr>
        <w:tab/>
      </w:r>
      <w:r>
        <w:rPr>
          <w:b/>
          <w:bCs/>
          <w:lang w:val="fr-FR"/>
        </w:rPr>
        <w:t>Anneaux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arrêt (circlips) ;</w:t>
      </w:r>
    </w:p>
    <w:p w14:paraId="02BC8AD8" w14:textId="77777777" w:rsidR="00235CA9" w:rsidRPr="002A22A2" w:rsidRDefault="00235CA9" w:rsidP="00235CA9">
      <w:pPr>
        <w:pStyle w:val="a"/>
        <w:snapToGrid w:val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d)</w:t>
      </w:r>
      <w:r>
        <w:rPr>
          <w:lang w:val="fr-FR"/>
        </w:rPr>
        <w:tab/>
      </w:r>
      <w:r>
        <w:rPr>
          <w:b/>
          <w:bCs/>
          <w:lang w:val="fr-FR"/>
        </w:rPr>
        <w:t>Éléments de fixation classiques.</w:t>
      </w:r>
    </w:p>
    <w:p w14:paraId="162735AC" w14:textId="77777777" w:rsidR="00235CA9" w:rsidRPr="002A22A2" w:rsidRDefault="00235CA9" w:rsidP="004421B8">
      <w:pPr>
        <w:spacing w:after="120"/>
        <w:ind w:left="2268" w:right="1134" w:hanging="1134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3.2.4</w:t>
      </w:r>
      <w:r>
        <w:rPr>
          <w:lang w:val="fr-FR"/>
        </w:rPr>
        <w:tab/>
      </w:r>
      <w:r>
        <w:rPr>
          <w:b/>
          <w:bCs/>
          <w:lang w:val="fr-FR"/>
        </w:rPr>
        <w:t>Points de fixation possibles :</w:t>
      </w:r>
    </w:p>
    <w:p w14:paraId="7942B99C" w14:textId="6B188CFD" w:rsidR="00235CA9" w:rsidRPr="002A22A2" w:rsidRDefault="00235CA9" w:rsidP="00235CA9">
      <w:pPr>
        <w:pStyle w:val="a"/>
        <w:snapToGrid w:val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a)</w:t>
      </w:r>
      <w:r>
        <w:rPr>
          <w:lang w:val="fr-FR"/>
        </w:rPr>
        <w:tab/>
      </w:r>
      <w:r>
        <w:rPr>
          <w:b/>
          <w:bCs/>
          <w:lang w:val="fr-FR"/>
        </w:rPr>
        <w:t>Corps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 ;</w:t>
      </w:r>
    </w:p>
    <w:p w14:paraId="0FD79A60" w14:textId="31142491" w:rsidR="00235CA9" w:rsidRPr="002A22A2" w:rsidRDefault="00235CA9" w:rsidP="00235CA9">
      <w:pPr>
        <w:pStyle w:val="a"/>
        <w:snapToGrid w:val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b)</w:t>
      </w:r>
      <w:r>
        <w:rPr>
          <w:lang w:val="fr-FR"/>
        </w:rPr>
        <w:tab/>
      </w:r>
      <w:r>
        <w:rPr>
          <w:b/>
          <w:bCs/>
          <w:lang w:val="fr-FR"/>
        </w:rPr>
        <w:t>Tuyau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 du silencieux ;</w:t>
      </w:r>
    </w:p>
    <w:p w14:paraId="5D49FC5C" w14:textId="77777777" w:rsidR="00235CA9" w:rsidRPr="002A22A2" w:rsidRDefault="00235CA9" w:rsidP="00235CA9">
      <w:pPr>
        <w:pStyle w:val="a"/>
        <w:snapToGrid w:val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c)</w:t>
      </w:r>
      <w:r>
        <w:rPr>
          <w:lang w:val="fr-FR"/>
        </w:rPr>
        <w:tab/>
      </w:r>
      <w:r>
        <w:rPr>
          <w:b/>
          <w:bCs/>
          <w:lang w:val="fr-FR"/>
        </w:rPr>
        <w:t>Cône de sortie, uniquement si les deux conditions ci-après sont satisfaites :</w:t>
      </w:r>
    </w:p>
    <w:p w14:paraId="7A634B0E" w14:textId="5B184C9E" w:rsidR="00235CA9" w:rsidRPr="002A22A2" w:rsidRDefault="00235CA9" w:rsidP="00351DE5">
      <w:pPr>
        <w:pStyle w:val="a"/>
        <w:snapToGrid w:val="0"/>
        <w:ind w:left="3402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-</w:t>
      </w:r>
      <w:r>
        <w:rPr>
          <w:b/>
          <w:bCs/>
          <w:lang w:val="fr-FR"/>
        </w:rPr>
        <w:tab/>
        <w:t xml:space="preserve">Le cône de sortie constitue une pièce fixe du silencieux </w:t>
      </w:r>
      <w:r>
        <w:rPr>
          <w:b/>
          <w:bCs/>
          <w:lang w:val="fr-FR"/>
        </w:rPr>
        <w:tab/>
        <w:t>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 ;</w:t>
      </w:r>
    </w:p>
    <w:p w14:paraId="4E435F08" w14:textId="2CB8005D" w:rsidR="00235CA9" w:rsidRPr="002A22A2" w:rsidRDefault="00235CA9" w:rsidP="00351DE5">
      <w:pPr>
        <w:pStyle w:val="a"/>
        <w:snapToGrid w:val="0"/>
        <w:ind w:left="3402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-</w:t>
      </w:r>
      <w:r>
        <w:rPr>
          <w:b/>
          <w:bCs/>
          <w:lang w:val="fr-FR"/>
        </w:rPr>
        <w:tab/>
        <w:t>Il n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est pas possible de retirer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une quelconque des pièces du cône de sortie.</w:t>
      </w:r>
    </w:p>
    <w:p w14:paraId="09A194FE" w14:textId="2DF646F0" w:rsidR="00235CA9" w:rsidRPr="002A22A2" w:rsidRDefault="00235CA9" w:rsidP="004421B8">
      <w:pPr>
        <w:spacing w:after="120"/>
        <w:ind w:left="2268" w:right="1134" w:hanging="1134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3.3</w:t>
      </w:r>
      <w:r>
        <w:rPr>
          <w:lang w:val="fr-FR"/>
        </w:rPr>
        <w:tab/>
      </w:r>
      <w:r>
        <w:rPr>
          <w:b/>
          <w:bCs/>
          <w:lang w:val="fr-FR"/>
        </w:rPr>
        <w:t>Bonnes pratiques relatives aux éléments du 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 de remplacement non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origine ne contribuant pas à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atténuation du bruit</w:t>
      </w:r>
    </w:p>
    <w:p w14:paraId="16DD9B02" w14:textId="5B3CD3D6" w:rsidR="00235CA9" w:rsidRPr="002A22A2" w:rsidRDefault="00235CA9" w:rsidP="004421B8">
      <w:pPr>
        <w:spacing w:after="120"/>
        <w:ind w:left="2268" w:right="1134" w:hanging="1134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3.3.1</w:t>
      </w:r>
      <w:r>
        <w:rPr>
          <w:lang w:val="fr-FR"/>
        </w:rPr>
        <w:tab/>
      </w:r>
      <w:r>
        <w:rPr>
          <w:b/>
          <w:bCs/>
          <w:lang w:val="fr-FR"/>
        </w:rPr>
        <w:t>Les embouts ayant une fonction esthétique peuvent être fixés au moyen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éléments de fixation classiques à condition :</w:t>
      </w:r>
    </w:p>
    <w:p w14:paraId="4E90612F" w14:textId="18133D22" w:rsidR="00235CA9" w:rsidRPr="002A22A2" w:rsidRDefault="00235CA9" w:rsidP="00235CA9">
      <w:pPr>
        <w:pStyle w:val="a"/>
        <w:snapToGrid w:val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a)</w:t>
      </w:r>
      <w:r>
        <w:rPr>
          <w:lang w:val="fr-FR"/>
        </w:rPr>
        <w:tab/>
      </w:r>
      <w:r>
        <w:rPr>
          <w:b/>
          <w:bCs/>
          <w:lang w:val="fr-FR"/>
        </w:rPr>
        <w:t>Que le retrait de l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embout ne facilite pas le retrait des chicanes ou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autres dispositifs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atténuation sonore ; et</w:t>
      </w:r>
    </w:p>
    <w:p w14:paraId="13ED3087" w14:textId="58DA1E0B" w:rsidR="00235CA9" w:rsidRPr="002A22A2" w:rsidRDefault="00235CA9" w:rsidP="00235CA9">
      <w:pPr>
        <w:pStyle w:val="a"/>
        <w:snapToGrid w:val="0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b)</w:t>
      </w:r>
      <w:r>
        <w:rPr>
          <w:lang w:val="fr-FR"/>
        </w:rPr>
        <w:tab/>
      </w:r>
      <w:r>
        <w:rPr>
          <w:b/>
          <w:bCs/>
          <w:lang w:val="fr-FR"/>
        </w:rPr>
        <w:t>Qu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il ne s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agisse pas de pièces utiles à la fonction du silencieux ou du pot de détente.</w:t>
      </w:r>
    </w:p>
    <w:p w14:paraId="0D6B6677" w14:textId="23506807" w:rsidR="00235CA9" w:rsidRPr="002A22A2" w:rsidRDefault="00235CA9" w:rsidP="004421B8">
      <w:pPr>
        <w:spacing w:after="120"/>
        <w:ind w:left="2268" w:right="1134" w:hanging="1134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3.4</w:t>
      </w:r>
      <w:r>
        <w:rPr>
          <w:lang w:val="fr-FR"/>
        </w:rPr>
        <w:tab/>
      </w:r>
      <w:r>
        <w:rPr>
          <w:b/>
          <w:bCs/>
          <w:lang w:val="fr-FR"/>
        </w:rPr>
        <w:t>Bonnes pratiques relatives au logiciel du silencieux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échappement de remplacement non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origine (le cas échéant)</w:t>
      </w:r>
    </w:p>
    <w:p w14:paraId="6C469847" w14:textId="77777777" w:rsidR="00235CA9" w:rsidRPr="002A22A2" w:rsidRDefault="00235CA9" w:rsidP="004421B8">
      <w:pPr>
        <w:spacing w:after="120"/>
        <w:ind w:left="2268" w:right="1134" w:hanging="1134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3.4.1</w:t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bCs/>
          <w:lang w:val="fr-FR"/>
        </w:rPr>
        <w:t>Méthodes possibles de protection du logiciel contre toute manipulation non autorisée :</w:t>
      </w:r>
    </w:p>
    <w:p w14:paraId="6B4CCCB5" w14:textId="6654F50B" w:rsidR="00235CA9" w:rsidRPr="002A22A2" w:rsidRDefault="00235CA9" w:rsidP="00235CA9">
      <w:pPr>
        <w:pStyle w:val="Paragraphedeliste"/>
        <w:suppressAutoHyphens w:val="0"/>
        <w:snapToGrid w:val="0"/>
        <w:spacing w:after="120"/>
        <w:ind w:left="2835" w:right="1134" w:hanging="567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a)</w:t>
      </w:r>
      <w:r>
        <w:rPr>
          <w:lang w:val="fr-FR"/>
        </w:rPr>
        <w:tab/>
      </w:r>
      <w:r>
        <w:rPr>
          <w:b/>
          <w:bCs/>
          <w:lang w:val="fr-FR"/>
        </w:rPr>
        <w:t>Utilisation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un boîtier de commande scellé qui</w:t>
      </w:r>
      <w:r w:rsidRPr="00F4091A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présentera des signes visibles en cas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ouverture aux fins de modification du logiciel ;</w:t>
      </w:r>
    </w:p>
    <w:p w14:paraId="7C5631C3" w14:textId="6A12A6F5" w:rsidR="00235CA9" w:rsidRPr="002A22A2" w:rsidRDefault="00235CA9" w:rsidP="00351DE5">
      <w:pPr>
        <w:pStyle w:val="Paragraphedeliste"/>
        <w:keepNext/>
        <w:suppressAutoHyphens w:val="0"/>
        <w:snapToGrid w:val="0"/>
        <w:spacing w:after="120"/>
        <w:ind w:left="2835" w:right="1134" w:hanging="567"/>
        <w:jc w:val="both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b)</w:t>
      </w:r>
      <w:r>
        <w:rPr>
          <w:lang w:val="fr-FR"/>
        </w:rPr>
        <w:tab/>
      </w:r>
      <w:r>
        <w:rPr>
          <w:b/>
          <w:bCs/>
          <w:lang w:val="fr-FR"/>
        </w:rPr>
        <w:t>Protection des interfaces de mise à jour du logiciel :</w:t>
      </w:r>
    </w:p>
    <w:p w14:paraId="11C00958" w14:textId="689BE270" w:rsidR="00235CA9" w:rsidRPr="002A22A2" w:rsidRDefault="00235CA9" w:rsidP="00351DE5">
      <w:pPr>
        <w:pStyle w:val="a"/>
        <w:keepNext/>
        <w:snapToGrid w:val="0"/>
        <w:ind w:left="3402"/>
        <w:rPr>
          <w:rFonts w:asciiTheme="majorBidi" w:hAnsiTheme="majorBidi" w:cstheme="majorBidi"/>
          <w:b/>
          <w:bCs/>
          <w:lang w:val="fr-FR"/>
        </w:rPr>
      </w:pPr>
      <w:r>
        <w:rPr>
          <w:b/>
          <w:bCs/>
          <w:lang w:val="fr-FR"/>
        </w:rPr>
        <w:t>-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  <w:t>Au moyen de mesures de contrôle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accès ;</w:t>
      </w:r>
    </w:p>
    <w:p w14:paraId="0F33200E" w14:textId="7BCB505A" w:rsidR="00235CA9" w:rsidRPr="00351DE5" w:rsidRDefault="00235CA9" w:rsidP="00235CA9">
      <w:pPr>
        <w:pStyle w:val="a"/>
        <w:snapToGrid w:val="0"/>
        <w:ind w:left="3402"/>
        <w:rPr>
          <w:bCs/>
          <w:lang w:val="fr-FR"/>
        </w:rPr>
      </w:pPr>
      <w:r>
        <w:rPr>
          <w:b/>
          <w:bCs/>
          <w:lang w:val="fr-FR"/>
        </w:rPr>
        <w:lastRenderedPageBreak/>
        <w:t>-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  <w:t>Au moyen d</w:t>
      </w:r>
      <w:r w:rsidR="002D7619">
        <w:rPr>
          <w:b/>
          <w:bCs/>
          <w:lang w:val="fr-FR"/>
        </w:rPr>
        <w:t>’</w:t>
      </w:r>
      <w:r>
        <w:rPr>
          <w:b/>
          <w:bCs/>
          <w:lang w:val="fr-FR"/>
        </w:rPr>
        <w:t>un registre de gestion des versions (permettant de comparer la date de la dernière version sûre avec la date sûre initiale du logiciel).</w:t>
      </w:r>
      <w:r>
        <w:rPr>
          <w:lang w:val="fr-FR"/>
        </w:rPr>
        <w:t> ».</w:t>
      </w:r>
    </w:p>
    <w:p w14:paraId="37617D92" w14:textId="65D69BF6" w:rsidR="00235CA9" w:rsidRDefault="00235CA9" w:rsidP="00351DE5">
      <w:pPr>
        <w:pStyle w:val="HChG"/>
        <w:rPr>
          <w:lang w:val="fr-FR"/>
        </w:rPr>
      </w:pPr>
      <w:r>
        <w:rPr>
          <w:lang w:val="fr-FR"/>
        </w:rPr>
        <w:tab/>
        <w:t>II.</w:t>
      </w:r>
      <w:r>
        <w:rPr>
          <w:lang w:val="fr-FR"/>
        </w:rPr>
        <w:tab/>
        <w:t>Justification</w:t>
      </w:r>
    </w:p>
    <w:p w14:paraId="6CCF48EC" w14:textId="762A2EB8" w:rsidR="00351DE5" w:rsidRDefault="002D7619" w:rsidP="002D7619">
      <w:pPr>
        <w:pStyle w:val="SingleTxtG"/>
        <w:rPr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  <w:t>Le paragraphe 6.3.1 a pour objet de prévenir toute modification non autorisée des silencieux d</w:t>
      </w:r>
      <w:r>
        <w:rPr>
          <w:lang w:val="fr-FR"/>
        </w:rPr>
        <w:t>’</w:t>
      </w:r>
      <w:r>
        <w:rPr>
          <w:lang w:val="fr-FR"/>
        </w:rPr>
        <w:t>échappement de remplacement non d</w:t>
      </w:r>
      <w:r>
        <w:rPr>
          <w:lang w:val="fr-FR"/>
        </w:rPr>
        <w:t>’</w:t>
      </w:r>
      <w:r>
        <w:rPr>
          <w:lang w:val="fr-FR"/>
        </w:rPr>
        <w:t>origine, et donc de protéger la population contre des nuisances sonores excessives et illégales. Pour cette raison, il a été étoffé et étayé par l</w:t>
      </w:r>
      <w:r>
        <w:rPr>
          <w:lang w:val="fr-FR"/>
        </w:rPr>
        <w:t>’</w:t>
      </w:r>
      <w:r>
        <w:rPr>
          <w:lang w:val="fr-FR"/>
        </w:rPr>
        <w:t xml:space="preserve">annexe 5, </w:t>
      </w:r>
      <w:r w:rsidRPr="00351DE5">
        <w:t>dans</w:t>
      </w:r>
      <w:r>
        <w:rPr>
          <w:lang w:val="fr-FR"/>
        </w:rPr>
        <w:t xml:space="preserve"> laquelle figurent des orientations et des bonnes pratiques fondées sur les mesures de protection contre toute modification non autorisée qui sont acceptables en 2024. Les définitions 2.8 à 2.14 ont été ajoutées, ainsi de nouvelles dispositions transitoires aux paragraphes 12.1 à 12.4.</w:t>
      </w:r>
    </w:p>
    <w:p w14:paraId="3A7C66E3" w14:textId="31039964" w:rsidR="002D7619" w:rsidRDefault="002D7619" w:rsidP="002D7619">
      <w:pPr>
        <w:pStyle w:val="SingleTxtG"/>
        <w:rPr>
          <w:lang w:val="fr-FR"/>
        </w:rPr>
      </w:pPr>
      <w:r>
        <w:rPr>
          <w:lang w:val="fr-FR"/>
        </w:rPr>
        <w:t>2</w:t>
      </w:r>
      <w:r>
        <w:rPr>
          <w:lang w:val="fr-FR"/>
        </w:rPr>
        <w:t>.</w:t>
      </w:r>
      <w:r>
        <w:rPr>
          <w:lang w:val="fr-FR"/>
        </w:rPr>
        <w:tab/>
        <w:t>La mention d</w:t>
      </w:r>
      <w:r>
        <w:rPr>
          <w:lang w:val="fr-FR"/>
        </w:rPr>
        <w:t>’</w:t>
      </w:r>
      <w:r>
        <w:rPr>
          <w:lang w:val="fr-FR"/>
        </w:rPr>
        <w:t>une date précise (2024) servira à rappeler que l</w:t>
      </w:r>
      <w:r>
        <w:rPr>
          <w:lang w:val="fr-FR"/>
        </w:rPr>
        <w:t>’</w:t>
      </w:r>
      <w:r>
        <w:rPr>
          <w:lang w:val="fr-FR"/>
        </w:rPr>
        <w:t>annexe doit être régulièrement actualisée à mesure que de nouvelles technologies apparaissent.</w:t>
      </w:r>
    </w:p>
    <w:p w14:paraId="58F6943E" w14:textId="4AB1FCFA" w:rsidR="00351DE5" w:rsidRPr="00351DE5" w:rsidRDefault="002D7619" w:rsidP="002D7619">
      <w:pPr>
        <w:pStyle w:val="SingleTxtG"/>
        <w:rPr>
          <w:lang w:val="fr-FR"/>
        </w:rPr>
      </w:pPr>
      <w:r>
        <w:rPr>
          <w:lang w:val="fr-FR"/>
        </w:rPr>
        <w:t>3</w:t>
      </w:r>
      <w:r>
        <w:rPr>
          <w:lang w:val="fr-FR"/>
        </w:rPr>
        <w:t>.</w:t>
      </w:r>
      <w:r>
        <w:rPr>
          <w:lang w:val="fr-FR"/>
        </w:rPr>
        <w:tab/>
        <w:t>La présente proposition se veut technologiquement neutre.</w:t>
      </w:r>
    </w:p>
    <w:p w14:paraId="321B24A1" w14:textId="5CFEC645" w:rsidR="00235CA9" w:rsidRDefault="002D7619" w:rsidP="00351DE5">
      <w:pPr>
        <w:pStyle w:val="SingleTxtG"/>
        <w:rPr>
          <w:lang w:val="fr-FR"/>
        </w:rPr>
      </w:pPr>
      <w:r>
        <w:rPr>
          <w:lang w:val="fr-FR"/>
        </w:rPr>
        <w:t>4</w:t>
      </w:r>
      <w:r>
        <w:rPr>
          <w:lang w:val="fr-FR"/>
        </w:rPr>
        <w:t>.</w:t>
      </w:r>
      <w:r>
        <w:rPr>
          <w:lang w:val="fr-FR"/>
        </w:rPr>
        <w:tab/>
        <w:t>Des corrections ont été apportées aux paragraphes 3.2 a), 3.3 b), 4.1 a), 4.6, 5.2, 5.6, 6.1 b), 6.1 h), 6.2, 6.3.4.3 et 6.3.4.9.1, ainsi qu</w:t>
      </w:r>
      <w:r>
        <w:rPr>
          <w:lang w:val="fr-FR"/>
        </w:rPr>
        <w:t>’</w:t>
      </w:r>
      <w:r>
        <w:rPr>
          <w:lang w:val="fr-FR"/>
        </w:rPr>
        <w:t>à l</w:t>
      </w:r>
      <w:r>
        <w:rPr>
          <w:lang w:val="fr-FR"/>
        </w:rPr>
        <w:t>’</w:t>
      </w:r>
      <w:r>
        <w:rPr>
          <w:lang w:val="fr-FR"/>
        </w:rPr>
        <w:t>annexe 1 (par</w:t>
      </w:r>
      <w:r w:rsidR="00F85855">
        <w:rPr>
          <w:lang w:val="fr-FR"/>
        </w:rPr>
        <w:t>. </w:t>
      </w:r>
      <w:r>
        <w:rPr>
          <w:lang w:val="fr-FR"/>
        </w:rPr>
        <w:t>16.1, 16.2, 16.3 et 16.4) et au paragraphe 4 de l</w:t>
      </w:r>
      <w:r>
        <w:rPr>
          <w:lang w:val="fr-FR"/>
        </w:rPr>
        <w:t>’</w:t>
      </w:r>
      <w:r>
        <w:rPr>
          <w:lang w:val="fr-FR"/>
        </w:rPr>
        <w:t>annexe 3, sans incidence sur l</w:t>
      </w:r>
      <w:r>
        <w:rPr>
          <w:lang w:val="fr-FR"/>
        </w:rPr>
        <w:t>’</w:t>
      </w:r>
      <w:r>
        <w:rPr>
          <w:lang w:val="fr-FR"/>
        </w:rPr>
        <w:t>intention des paragraphes.</w:t>
      </w:r>
    </w:p>
    <w:p w14:paraId="75D6EB39" w14:textId="1E3659BF" w:rsidR="002D7619" w:rsidRPr="002D7619" w:rsidRDefault="002D7619" w:rsidP="002D7619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2D7619" w:rsidRPr="002D7619" w:rsidSect="00817AD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4298C" w14:textId="77777777" w:rsidR="00350562" w:rsidRDefault="00350562" w:rsidP="00F95C08">
      <w:pPr>
        <w:spacing w:line="240" w:lineRule="auto"/>
      </w:pPr>
    </w:p>
  </w:endnote>
  <w:endnote w:type="continuationSeparator" w:id="0">
    <w:p w14:paraId="57105F80" w14:textId="77777777" w:rsidR="00350562" w:rsidRPr="00AC3823" w:rsidRDefault="00350562" w:rsidP="00AC3823">
      <w:pPr>
        <w:pStyle w:val="Pieddepage"/>
      </w:pPr>
    </w:p>
  </w:endnote>
  <w:endnote w:type="continuationNotice" w:id="1">
    <w:p w14:paraId="0DA4AF58" w14:textId="77777777" w:rsidR="00350562" w:rsidRDefault="003505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156C" w14:textId="5AFFC9C0" w:rsidR="00817ADD" w:rsidRPr="00817ADD" w:rsidRDefault="00817ADD" w:rsidP="00817ADD">
    <w:pPr>
      <w:pStyle w:val="Pieddepage"/>
      <w:tabs>
        <w:tab w:val="right" w:pos="9638"/>
      </w:tabs>
    </w:pPr>
    <w:r w:rsidRPr="00817ADD">
      <w:rPr>
        <w:b/>
        <w:sz w:val="18"/>
      </w:rPr>
      <w:fldChar w:fldCharType="begin"/>
    </w:r>
    <w:r w:rsidRPr="00817ADD">
      <w:rPr>
        <w:b/>
        <w:sz w:val="18"/>
      </w:rPr>
      <w:instrText xml:space="preserve"> PAGE  \* MERGEFORMAT </w:instrText>
    </w:r>
    <w:r w:rsidRPr="00817ADD">
      <w:rPr>
        <w:b/>
        <w:sz w:val="18"/>
      </w:rPr>
      <w:fldChar w:fldCharType="separate"/>
    </w:r>
    <w:r w:rsidRPr="00817ADD">
      <w:rPr>
        <w:b/>
        <w:noProof/>
        <w:sz w:val="18"/>
      </w:rPr>
      <w:t>2</w:t>
    </w:r>
    <w:r w:rsidRPr="00817ADD">
      <w:rPr>
        <w:b/>
        <w:sz w:val="18"/>
      </w:rPr>
      <w:fldChar w:fldCharType="end"/>
    </w:r>
    <w:r>
      <w:rPr>
        <w:b/>
        <w:sz w:val="18"/>
      </w:rPr>
      <w:tab/>
    </w:r>
    <w:r>
      <w:t>GE.24-11959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A7901" w14:textId="17BF7AD7" w:rsidR="00817ADD" w:rsidRPr="00817ADD" w:rsidRDefault="00817ADD" w:rsidP="00817ADD">
    <w:pPr>
      <w:pStyle w:val="Pieddepage"/>
      <w:tabs>
        <w:tab w:val="right" w:pos="9638"/>
      </w:tabs>
      <w:rPr>
        <w:b/>
        <w:sz w:val="18"/>
      </w:rPr>
    </w:pPr>
    <w:r>
      <w:t>GE.24-11959</w:t>
    </w:r>
    <w:r>
      <w:tab/>
    </w:r>
    <w:r w:rsidRPr="00817ADD">
      <w:rPr>
        <w:b/>
        <w:sz w:val="18"/>
      </w:rPr>
      <w:fldChar w:fldCharType="begin"/>
    </w:r>
    <w:r w:rsidRPr="00817ADD">
      <w:rPr>
        <w:b/>
        <w:sz w:val="18"/>
      </w:rPr>
      <w:instrText xml:space="preserve"> PAGE  \* MERGEFORMAT </w:instrText>
    </w:r>
    <w:r w:rsidRPr="00817ADD">
      <w:rPr>
        <w:b/>
        <w:sz w:val="18"/>
      </w:rPr>
      <w:fldChar w:fldCharType="separate"/>
    </w:r>
    <w:r w:rsidRPr="00817ADD">
      <w:rPr>
        <w:b/>
        <w:noProof/>
        <w:sz w:val="18"/>
      </w:rPr>
      <w:t>3</w:t>
    </w:r>
    <w:r w:rsidRPr="00817AD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4EF9F" w14:textId="0326DC5C" w:rsidR="007F20FA" w:rsidRPr="00817ADD" w:rsidRDefault="00817ADD" w:rsidP="00817ADD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55F1FF51" wp14:editId="75D8B9A5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24-11959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D0E0294" wp14:editId="0034C647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7413238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110724    110724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A41F4" w14:textId="77777777" w:rsidR="00350562" w:rsidRPr="00AC3823" w:rsidRDefault="00350562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694429BA" w14:textId="77777777" w:rsidR="00350562" w:rsidRPr="00AC3823" w:rsidRDefault="00350562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A3CEDB9" w14:textId="77777777" w:rsidR="00350562" w:rsidRPr="00AC3823" w:rsidRDefault="00350562">
      <w:pPr>
        <w:spacing w:line="240" w:lineRule="auto"/>
        <w:rPr>
          <w:sz w:val="2"/>
          <w:szCs w:val="2"/>
        </w:rPr>
      </w:pPr>
    </w:p>
  </w:footnote>
  <w:footnote w:id="2">
    <w:p w14:paraId="69055A65" w14:textId="58AD3EA8" w:rsidR="000B2515" w:rsidRPr="000B2515" w:rsidRDefault="000B2515">
      <w:pPr>
        <w:pStyle w:val="Notedebasdepage"/>
      </w:pPr>
      <w:r>
        <w:rPr>
          <w:rStyle w:val="Appelnotedebasdep"/>
        </w:rPr>
        <w:tab/>
      </w:r>
      <w:r w:rsidRPr="000B2515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>
        <w:rPr>
          <w:lang w:val="fr-FR"/>
        </w:rPr>
        <w:t>Conformément au programme de travail du Comité des transports intérieurs pour 2024 tel qu</w:t>
      </w:r>
      <w:r w:rsidR="002E3830">
        <w:rPr>
          <w:lang w:val="fr-FR"/>
        </w:rPr>
        <w:t>’</w:t>
      </w:r>
      <w:r>
        <w:rPr>
          <w:lang w:val="fr-FR"/>
        </w:rPr>
        <w:t>il figure dans le projet de budget-programme pour 2024 (A/78/6 (Sect. 20), tableau 20.5), le Forum mondial a pour mission d</w:t>
      </w:r>
      <w:r w:rsidR="002E3830">
        <w:rPr>
          <w:lang w:val="fr-FR"/>
        </w:rPr>
        <w:t>’</w:t>
      </w:r>
      <w:r>
        <w:rPr>
          <w:lang w:val="fr-FR"/>
        </w:rPr>
        <w:t>élaborer, d</w:t>
      </w:r>
      <w:r w:rsidR="002E3830">
        <w:rPr>
          <w:lang w:val="fr-FR"/>
        </w:rPr>
        <w:t>’</w:t>
      </w:r>
      <w:r>
        <w:rPr>
          <w:lang w:val="fr-FR"/>
        </w:rPr>
        <w:t>harmoniser et de mettre à jour les Règlements ONU en vue d</w:t>
      </w:r>
      <w:r w:rsidR="002E3830">
        <w:rPr>
          <w:lang w:val="fr-FR"/>
        </w:rPr>
        <w:t>’</w:t>
      </w:r>
      <w:r>
        <w:rPr>
          <w:lang w:val="fr-FR"/>
        </w:rPr>
        <w:t>améliorer les caractéristiques fonctionnelles des véhicules. Le présent document est soumis en vertu de ce mandat</w:t>
      </w:r>
      <w:r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E564F" w14:textId="2AD75111" w:rsidR="00817ADD" w:rsidRPr="00817ADD" w:rsidRDefault="00817ADD">
    <w:pPr>
      <w:pStyle w:val="En-tte"/>
    </w:pPr>
    <w:fldSimple w:instr=" TITLE  \* MERGEFORMAT ">
      <w:r w:rsidR="00351DE5">
        <w:t>ECE/TRANS/WP.29/GRBP/2024/21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C13E" w14:textId="3D60C345" w:rsidR="00817ADD" w:rsidRPr="00817ADD" w:rsidRDefault="00817ADD" w:rsidP="00817ADD">
    <w:pPr>
      <w:pStyle w:val="En-tte"/>
      <w:jc w:val="right"/>
    </w:pPr>
    <w:fldSimple w:instr=" TITLE  \* MERGEFORMAT ">
      <w:r w:rsidR="00351DE5">
        <w:t>ECE/TRANS/WP.29/GRBP/2024/21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501D"/>
    <w:multiLevelType w:val="hybridMultilevel"/>
    <w:tmpl w:val="D598B9A4"/>
    <w:lvl w:ilvl="0" w:tplc="B94C13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55" w:hanging="360"/>
      </w:pPr>
    </w:lvl>
    <w:lvl w:ilvl="2" w:tplc="0807001B" w:tentative="1">
      <w:start w:val="1"/>
      <w:numFmt w:val="lowerRoman"/>
      <w:lvlText w:val="%3."/>
      <w:lvlJc w:val="right"/>
      <w:pPr>
        <w:ind w:left="2475" w:hanging="180"/>
      </w:pPr>
    </w:lvl>
    <w:lvl w:ilvl="3" w:tplc="0807000F" w:tentative="1">
      <w:start w:val="1"/>
      <w:numFmt w:val="decimal"/>
      <w:lvlText w:val="%4."/>
      <w:lvlJc w:val="left"/>
      <w:pPr>
        <w:ind w:left="3195" w:hanging="360"/>
      </w:pPr>
    </w:lvl>
    <w:lvl w:ilvl="4" w:tplc="08070019" w:tentative="1">
      <w:start w:val="1"/>
      <w:numFmt w:val="lowerLetter"/>
      <w:lvlText w:val="%5."/>
      <w:lvlJc w:val="left"/>
      <w:pPr>
        <w:ind w:left="3915" w:hanging="360"/>
      </w:pPr>
    </w:lvl>
    <w:lvl w:ilvl="5" w:tplc="0807001B" w:tentative="1">
      <w:start w:val="1"/>
      <w:numFmt w:val="lowerRoman"/>
      <w:lvlText w:val="%6."/>
      <w:lvlJc w:val="right"/>
      <w:pPr>
        <w:ind w:left="4635" w:hanging="180"/>
      </w:pPr>
    </w:lvl>
    <w:lvl w:ilvl="6" w:tplc="0807000F" w:tentative="1">
      <w:start w:val="1"/>
      <w:numFmt w:val="decimal"/>
      <w:lvlText w:val="%7."/>
      <w:lvlJc w:val="left"/>
      <w:pPr>
        <w:ind w:left="5355" w:hanging="360"/>
      </w:pPr>
    </w:lvl>
    <w:lvl w:ilvl="7" w:tplc="08070019" w:tentative="1">
      <w:start w:val="1"/>
      <w:numFmt w:val="lowerLetter"/>
      <w:lvlText w:val="%8."/>
      <w:lvlJc w:val="left"/>
      <w:pPr>
        <w:ind w:left="6075" w:hanging="360"/>
      </w:pPr>
    </w:lvl>
    <w:lvl w:ilvl="8" w:tplc="0807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064B178B"/>
    <w:multiLevelType w:val="hybridMultilevel"/>
    <w:tmpl w:val="0B3EA800"/>
    <w:lvl w:ilvl="0" w:tplc="7146FD38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06B2014B"/>
    <w:multiLevelType w:val="hybridMultilevel"/>
    <w:tmpl w:val="AA04E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D97BA0"/>
    <w:multiLevelType w:val="hybridMultilevel"/>
    <w:tmpl w:val="65D07D40"/>
    <w:lvl w:ilvl="0" w:tplc="2550D9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C784B9D"/>
    <w:multiLevelType w:val="hybridMultilevel"/>
    <w:tmpl w:val="D068B550"/>
    <w:lvl w:ilvl="0" w:tplc="583A19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A2B2183"/>
    <w:multiLevelType w:val="hybridMultilevel"/>
    <w:tmpl w:val="5204E958"/>
    <w:lvl w:ilvl="0" w:tplc="63B8DE6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3074B46"/>
    <w:multiLevelType w:val="hybridMultilevel"/>
    <w:tmpl w:val="129404E8"/>
    <w:lvl w:ilvl="0" w:tplc="B29A3C70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6F8F22E9"/>
    <w:multiLevelType w:val="hybridMultilevel"/>
    <w:tmpl w:val="532647F8"/>
    <w:lvl w:ilvl="0" w:tplc="8FA413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FCE7763"/>
    <w:multiLevelType w:val="hybridMultilevel"/>
    <w:tmpl w:val="D4CAE1A6"/>
    <w:lvl w:ilvl="0" w:tplc="A56240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40F3748"/>
    <w:multiLevelType w:val="hybridMultilevel"/>
    <w:tmpl w:val="BB1A8860"/>
    <w:lvl w:ilvl="0" w:tplc="037871B6">
      <w:start w:val="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063019209">
    <w:abstractNumId w:val="19"/>
  </w:num>
  <w:num w:numId="2" w16cid:durableId="680355819">
    <w:abstractNumId w:val="16"/>
  </w:num>
  <w:num w:numId="3" w16cid:durableId="2033410096">
    <w:abstractNumId w:val="13"/>
  </w:num>
  <w:num w:numId="4" w16cid:durableId="1118255785">
    <w:abstractNumId w:val="8"/>
  </w:num>
  <w:num w:numId="5" w16cid:durableId="1005941803">
    <w:abstractNumId w:val="3"/>
  </w:num>
  <w:num w:numId="6" w16cid:durableId="337580738">
    <w:abstractNumId w:val="2"/>
  </w:num>
  <w:num w:numId="7" w16cid:durableId="1016225069">
    <w:abstractNumId w:val="1"/>
  </w:num>
  <w:num w:numId="8" w16cid:durableId="1237126553">
    <w:abstractNumId w:val="0"/>
  </w:num>
  <w:num w:numId="9" w16cid:durableId="1433815603">
    <w:abstractNumId w:val="9"/>
  </w:num>
  <w:num w:numId="10" w16cid:durableId="1919168572">
    <w:abstractNumId w:val="7"/>
  </w:num>
  <w:num w:numId="11" w16cid:durableId="1737242840">
    <w:abstractNumId w:val="6"/>
  </w:num>
  <w:num w:numId="12" w16cid:durableId="2075736014">
    <w:abstractNumId w:val="5"/>
  </w:num>
  <w:num w:numId="13" w16cid:durableId="760105757">
    <w:abstractNumId w:val="4"/>
  </w:num>
  <w:num w:numId="14" w16cid:durableId="1703287561">
    <w:abstractNumId w:val="19"/>
  </w:num>
  <w:num w:numId="15" w16cid:durableId="1013187896">
    <w:abstractNumId w:val="16"/>
  </w:num>
  <w:num w:numId="16" w16cid:durableId="1303075508">
    <w:abstractNumId w:val="13"/>
  </w:num>
  <w:num w:numId="17" w16cid:durableId="595208445">
    <w:abstractNumId w:val="18"/>
  </w:num>
  <w:num w:numId="18" w16cid:durableId="876237355">
    <w:abstractNumId w:val="12"/>
  </w:num>
  <w:num w:numId="19" w16cid:durableId="628635465">
    <w:abstractNumId w:val="10"/>
  </w:num>
  <w:num w:numId="20" w16cid:durableId="1978214962">
    <w:abstractNumId w:val="22"/>
  </w:num>
  <w:num w:numId="21" w16cid:durableId="251861458">
    <w:abstractNumId w:val="11"/>
  </w:num>
  <w:num w:numId="22" w16cid:durableId="1481263781">
    <w:abstractNumId w:val="21"/>
  </w:num>
  <w:num w:numId="23" w16cid:durableId="754322623">
    <w:abstractNumId w:val="15"/>
  </w:num>
  <w:num w:numId="24" w16cid:durableId="1287853545">
    <w:abstractNumId w:val="20"/>
  </w:num>
  <w:num w:numId="25" w16cid:durableId="1281718864">
    <w:abstractNumId w:val="14"/>
  </w:num>
  <w:num w:numId="26" w16cid:durableId="18799014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62"/>
    <w:rsid w:val="00017F94"/>
    <w:rsid w:val="00023842"/>
    <w:rsid w:val="000334F9"/>
    <w:rsid w:val="00045FEB"/>
    <w:rsid w:val="0006105C"/>
    <w:rsid w:val="0007796D"/>
    <w:rsid w:val="000B2515"/>
    <w:rsid w:val="000B7790"/>
    <w:rsid w:val="00111F2F"/>
    <w:rsid w:val="0014365E"/>
    <w:rsid w:val="00143C66"/>
    <w:rsid w:val="00176178"/>
    <w:rsid w:val="001B3B5A"/>
    <w:rsid w:val="001F525A"/>
    <w:rsid w:val="00201148"/>
    <w:rsid w:val="00223272"/>
    <w:rsid w:val="00235CA9"/>
    <w:rsid w:val="0024779E"/>
    <w:rsid w:val="00257168"/>
    <w:rsid w:val="002744B8"/>
    <w:rsid w:val="002832AC"/>
    <w:rsid w:val="002D7619"/>
    <w:rsid w:val="002D7C93"/>
    <w:rsid w:val="002E3830"/>
    <w:rsid w:val="00305801"/>
    <w:rsid w:val="00350562"/>
    <w:rsid w:val="00351DE5"/>
    <w:rsid w:val="00371F6E"/>
    <w:rsid w:val="003916DE"/>
    <w:rsid w:val="004036CD"/>
    <w:rsid w:val="00421996"/>
    <w:rsid w:val="00441C3B"/>
    <w:rsid w:val="004421B8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5D719B"/>
    <w:rsid w:val="00660F4C"/>
    <w:rsid w:val="006E437C"/>
    <w:rsid w:val="0071601D"/>
    <w:rsid w:val="00722DBE"/>
    <w:rsid w:val="007A62E6"/>
    <w:rsid w:val="007F20FA"/>
    <w:rsid w:val="0080684C"/>
    <w:rsid w:val="00817ADD"/>
    <w:rsid w:val="00871C75"/>
    <w:rsid w:val="008776DC"/>
    <w:rsid w:val="008C6386"/>
    <w:rsid w:val="008D5EF9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CB4B08"/>
    <w:rsid w:val="00D3439C"/>
    <w:rsid w:val="00D7622E"/>
    <w:rsid w:val="00D76A65"/>
    <w:rsid w:val="00DB1831"/>
    <w:rsid w:val="00DD3BFD"/>
    <w:rsid w:val="00DF6678"/>
    <w:rsid w:val="00E0299A"/>
    <w:rsid w:val="00E438C2"/>
    <w:rsid w:val="00E85C74"/>
    <w:rsid w:val="00EA6547"/>
    <w:rsid w:val="00ED7237"/>
    <w:rsid w:val="00EF2E22"/>
    <w:rsid w:val="00F35BAF"/>
    <w:rsid w:val="00F660DF"/>
    <w:rsid w:val="00F85855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67A47"/>
  <w15:docId w15:val="{9C740F93-3004-46A8-953D-80DCD2BA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rsid w:val="00817ADD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paragraph" w:customStyle="1" w:styleId="a">
    <w:name w:val="(a)"/>
    <w:basedOn w:val="Normal"/>
    <w:rsid w:val="00235CA9"/>
    <w:pPr>
      <w:kinsoku/>
      <w:overflowPunct/>
      <w:autoSpaceDE/>
      <w:autoSpaceDN/>
      <w:adjustRightInd/>
      <w:snapToGrid/>
      <w:spacing w:after="120"/>
      <w:ind w:left="2835" w:right="1134" w:hanging="567"/>
      <w:jc w:val="both"/>
    </w:pPr>
    <w:rPr>
      <w:rFonts w:eastAsia="Times New Roman"/>
      <w:lang w:val="en-GB"/>
    </w:rPr>
  </w:style>
  <w:style w:type="paragraph" w:customStyle="1" w:styleId="para">
    <w:name w:val="para"/>
    <w:basedOn w:val="SingleTxtG"/>
    <w:link w:val="paraChar"/>
    <w:rsid w:val="00235CA9"/>
    <w:pPr>
      <w:kinsoku/>
      <w:overflowPunct/>
      <w:autoSpaceDE/>
      <w:autoSpaceDN/>
      <w:adjustRightInd/>
      <w:snapToGrid/>
      <w:ind w:left="2268" w:hanging="1134"/>
    </w:pPr>
    <w:rPr>
      <w:rFonts w:eastAsia="Times New Roman"/>
      <w:lang w:val="en-GB"/>
    </w:rPr>
  </w:style>
  <w:style w:type="character" w:customStyle="1" w:styleId="SingleTxtGChar">
    <w:name w:val="_ Single Txt_G Char"/>
    <w:link w:val="SingleTxtG"/>
    <w:rsid w:val="00235CA9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1GChar">
    <w:name w:val="_ H_1_G Char"/>
    <w:link w:val="H1G"/>
    <w:rsid w:val="00235CA9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paragraph" w:customStyle="1" w:styleId="SingleTxtGFirstline1cmSingleTxtGFirstline1cm">
    <w:name w:val="_ Single Txt_G + First line:  1 cm_ Single Txt_G + First line:  1 cm"/>
    <w:basedOn w:val="Normal"/>
    <w:link w:val="SingleTxtGFirstline1cmSingleTxtGFirstline1cmChar"/>
    <w:rsid w:val="00235CA9"/>
    <w:pPr>
      <w:tabs>
        <w:tab w:val="left" w:pos="1080"/>
      </w:tabs>
      <w:suppressAutoHyphens w:val="0"/>
      <w:kinsoku/>
      <w:overflowPunct/>
      <w:autoSpaceDE/>
      <w:autoSpaceDN/>
      <w:adjustRightInd/>
      <w:snapToGrid/>
      <w:spacing w:line="240" w:lineRule="auto"/>
      <w:ind w:left="1080"/>
      <w:jc w:val="both"/>
    </w:pPr>
    <w:rPr>
      <w:rFonts w:eastAsia="Times New Roman"/>
      <w:sz w:val="22"/>
      <w:szCs w:val="22"/>
      <w:lang w:val="en-US"/>
    </w:rPr>
  </w:style>
  <w:style w:type="character" w:customStyle="1" w:styleId="SingleTxtGFirstline1cmSingleTxtGFirstline1cmChar">
    <w:name w:val="_ Single Txt_G + First line:  1 cm_ Single Txt_G + First line:  1 cm Char"/>
    <w:link w:val="SingleTxtGFirstline1cmSingleTxtGFirstline1cm"/>
    <w:rsid w:val="00235CA9"/>
    <w:rPr>
      <w:rFonts w:ascii="Times New Roman" w:hAnsi="Times New Roman" w:cs="Times New Roman"/>
      <w:lang w:val="en-US" w:eastAsia="en-US"/>
    </w:rPr>
  </w:style>
  <w:style w:type="character" w:customStyle="1" w:styleId="paraChar">
    <w:name w:val="para Char"/>
    <w:link w:val="para"/>
    <w:rsid w:val="00235CA9"/>
    <w:rPr>
      <w:rFonts w:ascii="Times New Roman" w:hAnsi="Times New Roman" w:cs="Times New Roman"/>
      <w:sz w:val="20"/>
      <w:szCs w:val="20"/>
      <w:lang w:val="en-GB" w:eastAsia="en-US"/>
    </w:rPr>
  </w:style>
  <w:style w:type="paragraph" w:styleId="Paragraphedeliste">
    <w:name w:val="List Paragraph"/>
    <w:aliases w:val="Paragraph number"/>
    <w:basedOn w:val="Normal"/>
    <w:link w:val="ParagraphedelisteCar"/>
    <w:uiPriority w:val="34"/>
    <w:rsid w:val="00235CA9"/>
    <w:pPr>
      <w:kinsoku/>
      <w:overflowPunct/>
      <w:autoSpaceDE/>
      <w:autoSpaceDN/>
      <w:adjustRightInd/>
      <w:snapToGrid/>
      <w:ind w:left="708"/>
    </w:pPr>
    <w:rPr>
      <w:rFonts w:eastAsia="Times New Roman"/>
      <w:lang w:val="en-GB"/>
    </w:rPr>
  </w:style>
  <w:style w:type="character" w:customStyle="1" w:styleId="ParagraphedelisteCar">
    <w:name w:val="Paragraphe de liste Car"/>
    <w:aliases w:val="Paragraph number Car"/>
    <w:basedOn w:val="Policepardfaut"/>
    <w:link w:val="Paragraphedeliste"/>
    <w:uiPriority w:val="34"/>
    <w:locked/>
    <w:rsid w:val="00235CA9"/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BAA4B-5C20-400F-AEC8-39E407C456A3}"/>
</file>

<file path=customXml/itemProps2.xml><?xml version="1.0" encoding="utf-8"?>
<ds:datastoreItem xmlns:ds="http://schemas.openxmlformats.org/officeDocument/2006/customXml" ds:itemID="{91834A81-A5E9-4209-B3C8-651E2172650F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</TotalTime>
  <Pages>8</Pages>
  <Words>2247</Words>
  <Characters>15734</Characters>
  <Application>Microsoft Office Word</Application>
  <DocSecurity>0</DocSecurity>
  <Lines>1311</Lines>
  <Paragraphs>719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ECE/TRANS/WP.29/GRBP/2024/21</vt:lpstr>
    </vt:vector>
  </TitlesOfParts>
  <Company>DCM</Company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ECE/TRANS/WP.29/GRBP/2024/21</dc:title>
  <dc:subject/>
  <dc:creator>Corinne ROBERT</dc:creator>
  <cp:keywords/>
  <cp:lastModifiedBy>Corinne ROBERT</cp:lastModifiedBy>
  <cp:revision>2</cp:revision>
  <cp:lastPrinted>2014-05-14T10:59:00Z</cp:lastPrinted>
  <dcterms:created xsi:type="dcterms:W3CDTF">2024-07-11T10:09:00Z</dcterms:created>
  <dcterms:modified xsi:type="dcterms:W3CDTF">2024-07-11T10:09:00Z</dcterms:modified>
</cp:coreProperties>
</file>