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14:paraId="054A69B9" w14:textId="77777777" w:rsidTr="00227437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DFC30B" w14:textId="77777777" w:rsidR="00421A10" w:rsidRPr="00DB58B5" w:rsidRDefault="00AB0A84" w:rsidP="00AB0A84">
            <w:pPr>
              <w:jc w:val="right"/>
            </w:pPr>
            <w:r w:rsidRPr="00AB0A84">
              <w:rPr>
                <w:sz w:val="40"/>
              </w:rPr>
              <w:t>E</w:t>
            </w:r>
            <w:r>
              <w:t>/ECE/TRANS/505/Rev.3/Add.148/Rev.1/Amend.1</w:t>
            </w:r>
          </w:p>
        </w:tc>
      </w:tr>
      <w:tr w:rsidR="00421A10" w:rsidRPr="00DB58B5" w14:paraId="5DF910E0" w14:textId="77777777" w:rsidTr="00227437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C680D4" w14:textId="77777777" w:rsidR="00421A10" w:rsidRPr="00A574B7" w:rsidRDefault="00421A10" w:rsidP="00227437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448F558" w14:textId="77777777" w:rsidR="00421A10" w:rsidRPr="00DB58B5" w:rsidRDefault="00AB0A84" w:rsidP="00227437">
            <w:pPr>
              <w:spacing w:before="480" w:line="240" w:lineRule="exact"/>
            </w:pPr>
            <w:r>
              <w:t>5 décembre 2023</w:t>
            </w:r>
          </w:p>
        </w:tc>
      </w:tr>
    </w:tbl>
    <w:p w14:paraId="25B40B46" w14:textId="77777777" w:rsidR="00AB0A84" w:rsidRPr="002D29B7" w:rsidRDefault="00AB0A84" w:rsidP="00AB0A84">
      <w:pPr>
        <w:pStyle w:val="HChG"/>
        <w:rPr>
          <w:lang w:val="fr-FR"/>
        </w:rPr>
      </w:pPr>
      <w:r w:rsidRPr="002D29B7">
        <w:rPr>
          <w:lang w:val="fr-FR"/>
        </w:rPr>
        <w:tab/>
      </w:r>
      <w:r w:rsidRPr="002D29B7">
        <w:rPr>
          <w:lang w:val="fr-FR"/>
        </w:rPr>
        <w:tab/>
        <w:t>Accord</w:t>
      </w:r>
    </w:p>
    <w:p w14:paraId="07213C59" w14:textId="56C83522" w:rsidR="00AB0A84" w:rsidRPr="002D29B7" w:rsidRDefault="00AB0A84" w:rsidP="00AB0A84">
      <w:pPr>
        <w:pStyle w:val="H1G"/>
        <w:rPr>
          <w:lang w:val="fr-FR"/>
        </w:rPr>
      </w:pPr>
      <w:r w:rsidRPr="002D29B7">
        <w:rPr>
          <w:lang w:val="fr-FR"/>
        </w:rPr>
        <w:tab/>
      </w:r>
      <w:r w:rsidRPr="002D29B7">
        <w:rPr>
          <w:lang w:val="fr-FR"/>
        </w:rPr>
        <w:tab/>
      </w:r>
      <w:r w:rsidRPr="0006406D">
        <w:rPr>
          <w:color w:val="000000"/>
          <w:szCs w:val="24"/>
          <w:lang w:val="fr-FR"/>
        </w:rPr>
        <w:t>Concernant l</w:t>
      </w:r>
      <w:r>
        <w:rPr>
          <w:color w:val="000000"/>
          <w:szCs w:val="24"/>
          <w:lang w:val="fr-FR"/>
        </w:rPr>
        <w:t>’</w:t>
      </w:r>
      <w:r w:rsidRPr="0006406D">
        <w:rPr>
          <w:color w:val="000000"/>
          <w:szCs w:val="24"/>
          <w:lang w:val="fr-FR"/>
        </w:rPr>
        <w:t>adoption de Règlements techniques harmonisés de l</w:t>
      </w:r>
      <w:r>
        <w:rPr>
          <w:color w:val="000000"/>
          <w:szCs w:val="24"/>
          <w:lang w:val="fr-FR"/>
        </w:rPr>
        <w:t>’</w:t>
      </w:r>
      <w:r w:rsidRPr="0006406D">
        <w:rPr>
          <w:color w:val="000000"/>
          <w:szCs w:val="24"/>
          <w:lang w:val="fr-FR"/>
        </w:rPr>
        <w:t>ONU applicables aux véhicules à roues et aux équipements et pièces susceptibles d</w:t>
      </w:r>
      <w:r>
        <w:rPr>
          <w:color w:val="000000"/>
          <w:szCs w:val="24"/>
          <w:lang w:val="fr-FR"/>
        </w:rPr>
        <w:t>’</w:t>
      </w:r>
      <w:r w:rsidRPr="0006406D">
        <w:rPr>
          <w:color w:val="000000"/>
          <w:szCs w:val="24"/>
          <w:lang w:val="fr-FR"/>
        </w:rPr>
        <w:t xml:space="preserve">être montés ou utilisés sur les véhicules à roues </w:t>
      </w:r>
      <w:r>
        <w:rPr>
          <w:color w:val="000000"/>
          <w:szCs w:val="24"/>
          <w:lang w:val="fr-FR"/>
        </w:rPr>
        <w:br/>
      </w:r>
      <w:r w:rsidRPr="0006406D">
        <w:rPr>
          <w:color w:val="000000"/>
          <w:szCs w:val="24"/>
          <w:lang w:val="fr-FR"/>
        </w:rPr>
        <w:t>et les conditions de reconnaissance réciproque des homologations délivrées conformément à ces Règlements</w:t>
      </w:r>
      <w:r w:rsidRPr="002D29B7">
        <w:rPr>
          <w:b w:val="0"/>
          <w:bCs/>
          <w:sz w:val="20"/>
          <w:szCs w:val="16"/>
          <w:lang w:val="fr-FR"/>
        </w:rPr>
        <w:footnoteReference w:customMarkFollows="1" w:id="2"/>
        <w:t>*</w:t>
      </w:r>
    </w:p>
    <w:p w14:paraId="7B115D8B" w14:textId="5A4703EF" w:rsidR="00421A10" w:rsidRDefault="00AB0A84" w:rsidP="00AB0A84">
      <w:pPr>
        <w:pStyle w:val="SingleTxtG"/>
        <w:rPr>
          <w:lang w:val="fr-FR"/>
        </w:rPr>
      </w:pPr>
      <w:r w:rsidRPr="002D29B7">
        <w:rPr>
          <w:lang w:val="fr-FR"/>
        </w:rPr>
        <w:t>(Révision 3, comprenant les amendements entrés en vigueur le 14 septembre 2017</w:t>
      </w:r>
      <w:r w:rsidRPr="0006406D">
        <w:rPr>
          <w:lang w:val="fr-FR"/>
        </w:rPr>
        <w:t>)</w:t>
      </w:r>
    </w:p>
    <w:p w14:paraId="438EF61E" w14:textId="2A121F61" w:rsidR="00AB0A84" w:rsidRPr="0029791D" w:rsidRDefault="00120B7D" w:rsidP="00AB0A84">
      <w:pPr>
        <w:ind w:left="1134" w:right="1134"/>
        <w:jc w:val="center"/>
      </w:pPr>
      <w:r>
        <w:t>_______________</w:t>
      </w:r>
    </w:p>
    <w:p w14:paraId="782B2BE9" w14:textId="77777777" w:rsidR="00AB0A84" w:rsidRDefault="0029791D" w:rsidP="00AB0A84">
      <w:pPr>
        <w:pStyle w:val="H1G"/>
      </w:pPr>
      <w:r>
        <w:tab/>
      </w:r>
      <w:r>
        <w:tab/>
      </w:r>
      <w:r w:rsidR="00421A10" w:rsidRPr="006549FF">
        <w:t xml:space="preserve">Additif </w:t>
      </w:r>
      <w:r w:rsidR="00AB0A84">
        <w:t>148 −</w:t>
      </w:r>
      <w:r w:rsidR="00267CF8">
        <w:t xml:space="preserve"> </w:t>
      </w:r>
      <w:r w:rsidR="00421A10" w:rsidRPr="006549FF">
        <w:t>Règlement</w:t>
      </w:r>
      <w:r w:rsidR="00421A10">
        <w:t xml:space="preserve"> </w:t>
      </w:r>
      <w:r w:rsidR="000B0996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AB0A84">
        <w:t>149</w:t>
      </w:r>
    </w:p>
    <w:p w14:paraId="643E8A11" w14:textId="4EF62D95" w:rsidR="00421A10" w:rsidRPr="006549FF" w:rsidRDefault="00AB0A84" w:rsidP="00AB0A84">
      <w:pPr>
        <w:pStyle w:val="H1G"/>
      </w:pPr>
      <w:r>
        <w:tab/>
      </w:r>
      <w:r>
        <w:tab/>
        <w:t>Révision 1 − Amendement 1</w:t>
      </w:r>
    </w:p>
    <w:p w14:paraId="069480ED" w14:textId="0D4290EB" w:rsidR="00AB0A84" w:rsidRPr="002D29B7" w:rsidRDefault="00AB0A84" w:rsidP="00AB0A84">
      <w:pPr>
        <w:pStyle w:val="SingleTxtG"/>
        <w:rPr>
          <w:szCs w:val="24"/>
          <w:lang w:val="fr-FR"/>
        </w:rPr>
      </w:pPr>
      <w:r w:rsidRPr="002D29B7">
        <w:rPr>
          <w:bCs/>
          <w:lang w:val="fr-FR"/>
        </w:rPr>
        <w:t xml:space="preserve">Complément 1 </w:t>
      </w:r>
      <w:r w:rsidRPr="0006406D">
        <w:rPr>
          <w:bCs/>
          <w:color w:val="000000"/>
          <w:lang w:val="fr-FR"/>
        </w:rPr>
        <w:t>à la série 01 d</w:t>
      </w:r>
      <w:r>
        <w:rPr>
          <w:bCs/>
          <w:color w:val="000000"/>
          <w:lang w:val="fr-FR"/>
        </w:rPr>
        <w:t>’</w:t>
      </w:r>
      <w:r w:rsidRPr="0006406D">
        <w:rPr>
          <w:bCs/>
          <w:color w:val="000000"/>
          <w:lang w:val="fr-FR"/>
        </w:rPr>
        <w:t>amendements</w:t>
      </w:r>
      <w:r w:rsidRPr="002D29B7">
        <w:rPr>
          <w:bCs/>
          <w:lang w:val="fr-FR"/>
        </w:rPr>
        <w:t xml:space="preserve"> </w:t>
      </w:r>
      <w:r w:rsidR="00120B7D">
        <w:rPr>
          <w:bCs/>
          <w:lang w:val="fr-FR"/>
        </w:rPr>
        <w:t>−</w:t>
      </w:r>
      <w:r w:rsidRPr="002D29B7">
        <w:rPr>
          <w:bCs/>
          <w:lang w:val="fr-FR"/>
        </w:rPr>
        <w:t xml:space="preserve"> Date d</w:t>
      </w:r>
      <w:r>
        <w:rPr>
          <w:bCs/>
          <w:lang w:val="fr-FR"/>
        </w:rPr>
        <w:t>’</w:t>
      </w:r>
      <w:r w:rsidRPr="002D29B7">
        <w:rPr>
          <w:bCs/>
          <w:lang w:val="fr-FR"/>
        </w:rPr>
        <w:t>entrée en vigueur : 24 septembre 2023</w:t>
      </w:r>
    </w:p>
    <w:p w14:paraId="0A22BAE0" w14:textId="66B5531E" w:rsidR="00AB0A84" w:rsidRPr="002D29B7" w:rsidRDefault="00AB0A84" w:rsidP="00AB0A84">
      <w:pPr>
        <w:pStyle w:val="H1G"/>
        <w:rPr>
          <w:lang w:val="fr-FR"/>
        </w:rPr>
      </w:pPr>
      <w:r w:rsidRPr="002D29B7">
        <w:rPr>
          <w:lang w:val="fr-FR"/>
        </w:rPr>
        <w:tab/>
      </w:r>
      <w:r w:rsidRPr="002D29B7">
        <w:rPr>
          <w:lang w:val="fr-FR"/>
        </w:rPr>
        <w:tab/>
      </w:r>
      <w:r w:rsidRPr="0006406D">
        <w:rPr>
          <w:rFonts w:eastAsia="Times New Roman"/>
          <w:lang w:val="fr-FR"/>
        </w:rPr>
        <w:t>Prescriptions</w:t>
      </w:r>
      <w:r w:rsidRPr="0006406D">
        <w:rPr>
          <w:lang w:val="fr-FR"/>
        </w:rPr>
        <w:t xml:space="preserve"> </w:t>
      </w:r>
      <w:r w:rsidRPr="0006406D">
        <w:rPr>
          <w:rFonts w:eastAsia="Times New Roman"/>
          <w:lang w:val="fr-FR"/>
        </w:rPr>
        <w:t>uniformes</w:t>
      </w:r>
      <w:r w:rsidRPr="0006406D">
        <w:rPr>
          <w:lang w:val="fr-FR"/>
        </w:rPr>
        <w:t xml:space="preserve"> </w:t>
      </w:r>
      <w:r w:rsidRPr="0006406D">
        <w:rPr>
          <w:rFonts w:eastAsia="Times New Roman"/>
          <w:lang w:val="fr-FR"/>
        </w:rPr>
        <w:t>relatives</w:t>
      </w:r>
      <w:r w:rsidRPr="0006406D">
        <w:rPr>
          <w:lang w:val="fr-FR"/>
        </w:rPr>
        <w:t xml:space="preserve"> à </w:t>
      </w:r>
      <w:r w:rsidRPr="0006406D">
        <w:rPr>
          <w:rFonts w:eastAsia="Times New Roman"/>
          <w:lang w:val="fr-FR"/>
        </w:rPr>
        <w:t>l</w:t>
      </w:r>
      <w:r>
        <w:rPr>
          <w:rFonts w:eastAsia="Times New Roman"/>
          <w:lang w:val="fr-FR"/>
        </w:rPr>
        <w:t>’</w:t>
      </w:r>
      <w:r w:rsidRPr="0006406D">
        <w:rPr>
          <w:rFonts w:eastAsia="Times New Roman"/>
          <w:lang w:val="fr-FR"/>
        </w:rPr>
        <w:t>homologation</w:t>
      </w:r>
      <w:r w:rsidRPr="0006406D">
        <w:rPr>
          <w:lang w:val="fr-FR"/>
        </w:rPr>
        <w:t xml:space="preserve"> des dispositifs (feux) et systèmes d</w:t>
      </w:r>
      <w:r>
        <w:rPr>
          <w:lang w:val="fr-FR"/>
        </w:rPr>
        <w:t>’</w:t>
      </w:r>
      <w:r w:rsidRPr="0006406D">
        <w:rPr>
          <w:lang w:val="fr-FR"/>
        </w:rPr>
        <w:t>éclairage de la route pour les véhicules à moteur</w:t>
      </w:r>
    </w:p>
    <w:p w14:paraId="234F7CDD" w14:textId="760B2639" w:rsidR="00AB0A84" w:rsidRDefault="00AB0A84" w:rsidP="00120B7D">
      <w:pPr>
        <w:pStyle w:val="SingleTxtG"/>
      </w:pPr>
      <w:r w:rsidRPr="0006406D">
        <w:rPr>
          <w:b/>
          <w:lang w:val="fr-FR"/>
        </w:rPr>
        <w:tab/>
      </w:r>
      <w:r w:rsidRPr="0006406D">
        <w:rPr>
          <w:lang w:val="fr-FR" w:eastAsia="en-GB"/>
        </w:rPr>
        <w:t>Le présent document est communiqué uniquement à titre d</w:t>
      </w:r>
      <w:r>
        <w:rPr>
          <w:lang w:val="fr-FR" w:eastAsia="en-GB"/>
        </w:rPr>
        <w:t>’</w:t>
      </w:r>
      <w:r w:rsidRPr="0006406D">
        <w:rPr>
          <w:lang w:val="fr-FR" w:eastAsia="en-GB"/>
        </w:rPr>
        <w:t>information. Le texte authentique, juridiquement contraignant, est celui du document ECE/TRANS/WP.29/2023/38 (tel que modifié par le paragraphe 93 du rapport ECE/TRANS/WP.29/1171).</w:t>
      </w:r>
    </w:p>
    <w:p w14:paraId="7BDB97BE" w14:textId="04040430" w:rsidR="00AB0A84" w:rsidRDefault="00AB0A84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5C59A" wp14:editId="0AD8876F">
                <wp:simplePos x="0" y="0"/>
                <wp:positionH relativeFrom="margin">
                  <wp:posOffset>-1270</wp:posOffset>
                </wp:positionH>
                <wp:positionV relativeFrom="margin">
                  <wp:posOffset>6263640</wp:posOffset>
                </wp:positionV>
                <wp:extent cx="6120130" cy="1151890"/>
                <wp:effectExtent l="0" t="0" r="0" b="0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FDC0D" w14:textId="77777777" w:rsidR="00C65B1B" w:rsidRPr="0029791D" w:rsidRDefault="00C65B1B" w:rsidP="00AB0A84">
                            <w:pPr>
                              <w:spacing w:after="60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3749CD78" w14:textId="77777777" w:rsidR="00C65B1B" w:rsidRDefault="00834EB0" w:rsidP="00C65B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0010A437" wp14:editId="19787D5E">
                                  <wp:extent cx="914400" cy="771525"/>
                                  <wp:effectExtent l="0" t="0" r="0" b="9525"/>
                                  <wp:docPr id="1200084487" name="Image 12000844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5C39E8" w14:textId="77777777" w:rsidR="00C65B1B" w:rsidRDefault="00C65B1B" w:rsidP="00C65B1B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5C59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.1pt;margin-top:493.2pt;width:481.9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" stroked="f">
                <v:textbox inset="0,0,0,0">
                  <w:txbxContent>
                    <w:p w14:paraId="4E1FDC0D" w14:textId="77777777" w:rsidR="00C65B1B" w:rsidRPr="0029791D" w:rsidRDefault="00C65B1B" w:rsidP="00AB0A84">
                      <w:pPr>
                        <w:spacing w:after="60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3749CD78" w14:textId="77777777" w:rsidR="00C65B1B" w:rsidRDefault="00834EB0" w:rsidP="00C65B1B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0010A437" wp14:editId="19787D5E">
                            <wp:extent cx="914400" cy="771525"/>
                            <wp:effectExtent l="0" t="0" r="0" b="9525"/>
                            <wp:docPr id="1200084487" name="Image 12000844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55C39E8" w14:textId="77777777" w:rsidR="00C65B1B" w:rsidRDefault="00C65B1B" w:rsidP="00C65B1B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br w:type="page"/>
      </w:r>
    </w:p>
    <w:p w14:paraId="7742CCE0" w14:textId="53D12924" w:rsidR="00AB0A84" w:rsidRPr="00F10AF9" w:rsidRDefault="00AB0A84" w:rsidP="00AB0A84">
      <w:pPr>
        <w:kinsoku/>
        <w:overflowPunct/>
        <w:autoSpaceDE/>
        <w:autoSpaceDN/>
        <w:adjustRightInd/>
        <w:spacing w:after="120"/>
        <w:ind w:left="1134" w:right="1134"/>
        <w:jc w:val="both"/>
        <w:rPr>
          <w:rFonts w:asciiTheme="majorBidi" w:eastAsia="Times New Roman" w:hAnsiTheme="majorBidi" w:cstheme="majorBidi"/>
        </w:rPr>
      </w:pPr>
      <w:r w:rsidRPr="00F10AF9">
        <w:rPr>
          <w:rFonts w:asciiTheme="majorBidi" w:eastAsia="Times New Roman" w:hAnsiTheme="majorBidi" w:cstheme="majorBidi"/>
          <w:i/>
          <w:iCs/>
        </w:rPr>
        <w:lastRenderedPageBreak/>
        <w:tab/>
        <w:t>Introduction</w:t>
      </w:r>
      <w:r w:rsidRPr="00F10AF9">
        <w:rPr>
          <w:rFonts w:asciiTheme="majorBidi" w:eastAsia="Times New Roman" w:hAnsiTheme="majorBidi" w:cstheme="majorBidi"/>
        </w:rPr>
        <w:t>, ajouter à la fin un nouveau paragraphe libellé comme suit :</w:t>
      </w:r>
    </w:p>
    <w:p w14:paraId="58BA98AC" w14:textId="07655816" w:rsidR="00AB0A84" w:rsidRPr="002D29B7" w:rsidRDefault="00AB0A84" w:rsidP="00AB0A84">
      <w:pPr>
        <w:pStyle w:val="SingleTxtG"/>
        <w:ind w:firstLine="567"/>
        <w:rPr>
          <w:lang w:val="fr-FR"/>
        </w:rPr>
      </w:pPr>
      <w:r w:rsidRPr="002D29B7">
        <w:rPr>
          <w:lang w:val="fr-FR"/>
        </w:rPr>
        <w:t>« Pour ce qui est des marques d</w:t>
      </w:r>
      <w:r>
        <w:rPr>
          <w:lang w:val="fr-FR"/>
        </w:rPr>
        <w:t>’</w:t>
      </w:r>
      <w:r w:rsidRPr="002D29B7">
        <w:rPr>
          <w:lang w:val="fr-FR"/>
        </w:rPr>
        <w:t>homologation, le présent Règlement comprend des prescriptions relatives à l</w:t>
      </w:r>
      <w:r>
        <w:rPr>
          <w:lang w:val="fr-FR"/>
        </w:rPr>
        <w:t>’</w:t>
      </w:r>
      <w:r w:rsidRPr="002D29B7">
        <w:rPr>
          <w:lang w:val="fr-FR"/>
        </w:rPr>
        <w:t>utilisation d</w:t>
      </w:r>
      <w:r>
        <w:rPr>
          <w:lang w:val="fr-FR"/>
        </w:rPr>
        <w:t>’</w:t>
      </w:r>
      <w:r w:rsidRPr="002D29B7">
        <w:rPr>
          <w:lang w:val="fr-FR"/>
        </w:rPr>
        <w:t>un identifiant unique qui permet d</w:t>
      </w:r>
      <w:r>
        <w:rPr>
          <w:lang w:val="fr-FR"/>
        </w:rPr>
        <w:t>’</w:t>
      </w:r>
      <w:r w:rsidRPr="002D29B7">
        <w:rPr>
          <w:lang w:val="fr-FR"/>
        </w:rPr>
        <w:t>accéder à une base de données électronique sécurisée créée par la CEE (conformément à l</w:t>
      </w:r>
      <w:r>
        <w:rPr>
          <w:lang w:val="fr-FR"/>
        </w:rPr>
        <w:t>’</w:t>
      </w:r>
      <w:r w:rsidRPr="002D29B7">
        <w:rPr>
          <w:lang w:val="fr-FR"/>
        </w:rPr>
        <w:t>annexe 5 de l</w:t>
      </w:r>
      <w:r>
        <w:rPr>
          <w:lang w:val="fr-FR"/>
        </w:rPr>
        <w:t>’</w:t>
      </w:r>
      <w:r w:rsidRPr="002D29B7">
        <w:rPr>
          <w:lang w:val="fr-FR"/>
        </w:rPr>
        <w:t>Accord de 1958), dans laquelle sont enregistrés tous les documents concernant les homologations de type. Lorsque cet identifiant unique est utilisé, il n</w:t>
      </w:r>
      <w:r>
        <w:rPr>
          <w:lang w:val="fr-FR"/>
        </w:rPr>
        <w:t>’</w:t>
      </w:r>
      <w:r w:rsidRPr="002D29B7">
        <w:rPr>
          <w:lang w:val="fr-FR"/>
        </w:rPr>
        <w:t>est pas obligatoire d</w:t>
      </w:r>
      <w:r>
        <w:rPr>
          <w:lang w:val="fr-FR"/>
        </w:rPr>
        <w:t>’</w:t>
      </w:r>
      <w:r w:rsidRPr="002D29B7">
        <w:rPr>
          <w:lang w:val="fr-FR"/>
        </w:rPr>
        <w:t>apposer sur les feux la marque d</w:t>
      </w:r>
      <w:r>
        <w:rPr>
          <w:lang w:val="fr-FR"/>
        </w:rPr>
        <w:t>’</w:t>
      </w:r>
      <w:r w:rsidRPr="002D29B7">
        <w:rPr>
          <w:lang w:val="fr-FR"/>
        </w:rPr>
        <w:t xml:space="preserve">homologation de type usuelle (marque </w:t>
      </w:r>
      <w:r w:rsidRPr="00F10AF9">
        <w:rPr>
          <w:lang w:val="fr-FR"/>
        </w:rPr>
        <w:t>“E”</w:t>
      </w:r>
      <w:r w:rsidRPr="002D29B7">
        <w:rPr>
          <w:lang w:val="fr-FR"/>
        </w:rPr>
        <w:t>). S</w:t>
      </w:r>
      <w:r>
        <w:rPr>
          <w:lang w:val="fr-FR"/>
        </w:rPr>
        <w:t>’</w:t>
      </w:r>
      <w:r w:rsidRPr="002D29B7">
        <w:rPr>
          <w:lang w:val="fr-FR"/>
        </w:rPr>
        <w:t>il n</w:t>
      </w:r>
      <w:r>
        <w:rPr>
          <w:lang w:val="fr-FR"/>
        </w:rPr>
        <w:t>’</w:t>
      </w:r>
      <w:r w:rsidRPr="002D29B7">
        <w:rPr>
          <w:lang w:val="fr-FR"/>
        </w:rPr>
        <w:t>est pas possible de l</w:t>
      </w:r>
      <w:r>
        <w:rPr>
          <w:lang w:val="fr-FR"/>
        </w:rPr>
        <w:t>’</w:t>
      </w:r>
      <w:r w:rsidRPr="002D29B7">
        <w:rPr>
          <w:lang w:val="fr-FR"/>
        </w:rPr>
        <w:t>utiliser, pour des raisons techniques (par exemple si l</w:t>
      </w:r>
      <w:r>
        <w:rPr>
          <w:lang w:val="fr-FR"/>
        </w:rPr>
        <w:t>’</w:t>
      </w:r>
      <w:r w:rsidRPr="002D29B7">
        <w:rPr>
          <w:lang w:val="fr-FR"/>
        </w:rPr>
        <w:t>accès à la base de données en ligne de la CEE n</w:t>
      </w:r>
      <w:r>
        <w:rPr>
          <w:lang w:val="fr-FR"/>
        </w:rPr>
        <w:t>’</w:t>
      </w:r>
      <w:r w:rsidRPr="002D29B7">
        <w:rPr>
          <w:lang w:val="fr-FR"/>
        </w:rPr>
        <w:t>est pas sécurisé ou si celle-ci ne fonctionne pas), il est obligatoire d</w:t>
      </w:r>
      <w:r>
        <w:rPr>
          <w:lang w:val="fr-FR"/>
        </w:rPr>
        <w:t>’</w:t>
      </w:r>
      <w:r w:rsidRPr="002D29B7">
        <w:rPr>
          <w:lang w:val="fr-FR"/>
        </w:rPr>
        <w:t>apposer la marque d</w:t>
      </w:r>
      <w:r>
        <w:rPr>
          <w:lang w:val="fr-FR"/>
        </w:rPr>
        <w:t>’</w:t>
      </w:r>
      <w:r w:rsidRPr="002D29B7">
        <w:rPr>
          <w:lang w:val="fr-FR"/>
        </w:rPr>
        <w:t>homologation de type usuelle jusqu</w:t>
      </w:r>
      <w:r>
        <w:rPr>
          <w:lang w:val="fr-FR"/>
        </w:rPr>
        <w:t>’</w:t>
      </w:r>
      <w:r w:rsidRPr="002D29B7">
        <w:rPr>
          <w:lang w:val="fr-FR"/>
        </w:rPr>
        <w:t>à ce qu</w:t>
      </w:r>
      <w:r>
        <w:rPr>
          <w:lang w:val="fr-FR"/>
        </w:rPr>
        <w:t>’</w:t>
      </w:r>
      <w:r w:rsidRPr="002D29B7">
        <w:rPr>
          <w:lang w:val="fr-FR"/>
        </w:rPr>
        <w:t>il soit possible d</w:t>
      </w:r>
      <w:r>
        <w:rPr>
          <w:lang w:val="fr-FR"/>
        </w:rPr>
        <w:t>’</w:t>
      </w:r>
      <w:r w:rsidRPr="002D29B7">
        <w:rPr>
          <w:lang w:val="fr-FR"/>
        </w:rPr>
        <w:t>utiliser l</w:t>
      </w:r>
      <w:r>
        <w:rPr>
          <w:lang w:val="fr-FR"/>
        </w:rPr>
        <w:t>’</w:t>
      </w:r>
      <w:r w:rsidRPr="002D29B7">
        <w:rPr>
          <w:lang w:val="fr-FR"/>
        </w:rPr>
        <w:t>identifiant unique. En outre, l</w:t>
      </w:r>
      <w:r>
        <w:rPr>
          <w:lang w:val="fr-FR"/>
        </w:rPr>
        <w:t>’</w:t>
      </w:r>
      <w:r w:rsidRPr="002D29B7">
        <w:rPr>
          <w:lang w:val="fr-FR"/>
        </w:rPr>
        <w:t>identifiant unique n</w:t>
      </w:r>
      <w:r>
        <w:rPr>
          <w:lang w:val="fr-FR"/>
        </w:rPr>
        <w:t>’</w:t>
      </w:r>
      <w:r w:rsidRPr="002D29B7">
        <w:rPr>
          <w:lang w:val="fr-FR"/>
        </w:rPr>
        <w:t>est utilisable que si le document de synthèse correspondant (ECE/TRANS/WP.29/1159, par. 89) a été défini dans le présent Règlement et si la base de données permet d</w:t>
      </w:r>
      <w:r>
        <w:rPr>
          <w:lang w:val="fr-FR"/>
        </w:rPr>
        <w:t>’</w:t>
      </w:r>
      <w:r w:rsidRPr="002D29B7">
        <w:rPr>
          <w:lang w:val="fr-FR"/>
        </w:rPr>
        <w:t>y accéder. ».</w:t>
      </w:r>
    </w:p>
    <w:p w14:paraId="3B75F85C" w14:textId="1A60909A" w:rsidR="005F0207" w:rsidRPr="00AB0A84" w:rsidRDefault="00AB0A84" w:rsidP="00AB0A8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AB0A84" w:rsidSect="00AB0A8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5721" w14:textId="77777777" w:rsidR="000A2C07" w:rsidRDefault="000A2C07"/>
  </w:endnote>
  <w:endnote w:type="continuationSeparator" w:id="0">
    <w:p w14:paraId="0DF22747" w14:textId="77777777" w:rsidR="000A2C07" w:rsidRDefault="000A2C07">
      <w:pPr>
        <w:pStyle w:val="Pieddepage"/>
      </w:pPr>
    </w:p>
  </w:endnote>
  <w:endnote w:type="continuationNotice" w:id="1">
    <w:p w14:paraId="3D3099B0" w14:textId="77777777" w:rsidR="000A2C07" w:rsidRPr="00C451B9" w:rsidRDefault="000A2C07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70AF" w14:textId="77777777" w:rsidR="00AB0A84" w:rsidRPr="00AB0A84" w:rsidRDefault="00AB0A84" w:rsidP="00AB0A84">
    <w:pPr>
      <w:pStyle w:val="Pieddepage"/>
      <w:tabs>
        <w:tab w:val="right" w:pos="9638"/>
      </w:tabs>
    </w:pPr>
    <w:r w:rsidRPr="00AB0A84">
      <w:rPr>
        <w:b/>
        <w:sz w:val="18"/>
      </w:rPr>
      <w:fldChar w:fldCharType="begin"/>
    </w:r>
    <w:r w:rsidRPr="00AB0A84">
      <w:rPr>
        <w:b/>
        <w:sz w:val="18"/>
      </w:rPr>
      <w:instrText xml:space="preserve"> PAGE  \* MERGEFORMAT </w:instrText>
    </w:r>
    <w:r w:rsidRPr="00AB0A84">
      <w:rPr>
        <w:b/>
        <w:sz w:val="18"/>
      </w:rPr>
      <w:fldChar w:fldCharType="separate"/>
    </w:r>
    <w:r w:rsidRPr="00AB0A84">
      <w:rPr>
        <w:b/>
        <w:noProof/>
        <w:sz w:val="18"/>
      </w:rPr>
      <w:t>2</w:t>
    </w:r>
    <w:r w:rsidRPr="00AB0A84">
      <w:rPr>
        <w:b/>
        <w:sz w:val="18"/>
      </w:rPr>
      <w:fldChar w:fldCharType="end"/>
    </w:r>
    <w:r>
      <w:rPr>
        <w:b/>
        <w:sz w:val="18"/>
      </w:rPr>
      <w:tab/>
    </w:r>
    <w:r>
      <w:t>GE.23-24256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CD1A5" w14:textId="77777777" w:rsidR="00AB0A84" w:rsidRPr="00AB0A84" w:rsidRDefault="00AB0A84" w:rsidP="00AB0A84">
    <w:pPr>
      <w:pStyle w:val="Pieddepage"/>
      <w:tabs>
        <w:tab w:val="right" w:pos="9638"/>
      </w:tabs>
      <w:rPr>
        <w:b/>
        <w:sz w:val="18"/>
      </w:rPr>
    </w:pPr>
    <w:r>
      <w:t>GE.23-24256</w:t>
    </w:r>
    <w:r>
      <w:tab/>
    </w:r>
    <w:r w:rsidRPr="00AB0A84">
      <w:rPr>
        <w:b/>
        <w:sz w:val="18"/>
      </w:rPr>
      <w:fldChar w:fldCharType="begin"/>
    </w:r>
    <w:r w:rsidRPr="00AB0A84">
      <w:rPr>
        <w:b/>
        <w:sz w:val="18"/>
      </w:rPr>
      <w:instrText xml:space="preserve"> PAGE  \* MERGEFORMAT </w:instrText>
    </w:r>
    <w:r w:rsidRPr="00AB0A84">
      <w:rPr>
        <w:b/>
        <w:sz w:val="18"/>
      </w:rPr>
      <w:fldChar w:fldCharType="separate"/>
    </w:r>
    <w:r w:rsidRPr="00AB0A84">
      <w:rPr>
        <w:b/>
        <w:noProof/>
        <w:sz w:val="18"/>
      </w:rPr>
      <w:t>3</w:t>
    </w:r>
    <w:r w:rsidRPr="00AB0A8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13288" w14:textId="3BA57B8A" w:rsidR="00A66781" w:rsidRPr="00AB0A84" w:rsidRDefault="00AB0A84" w:rsidP="00AB0A84">
    <w:pPr>
      <w:spacing w:before="120" w:line="240" w:lineRule="auto"/>
    </w:pPr>
    <w:r>
      <w:t>GE.</w:t>
    </w:r>
    <w:r w:rsidR="00834EB0">
      <w:rPr>
        <w:noProof/>
        <w:lang w:eastAsia="fr-CH"/>
      </w:rPr>
      <w:drawing>
        <wp:anchor distT="0" distB="0" distL="114300" distR="114300" simplePos="0" relativeHeight="251657728" behindDoc="0" locked="0" layoutInCell="1" allowOverlap="1" wp14:anchorId="3E8AB696" wp14:editId="6A8B5DC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23-24256  (F)</w:t>
    </w:r>
    <w:r>
      <w:rPr>
        <w:noProof/>
      </w:rPr>
      <w:drawing>
        <wp:anchor distT="0" distB="0" distL="114300" distR="114300" simplePos="0" relativeHeight="251658752" behindDoc="0" locked="0" layoutInCell="1" allowOverlap="1" wp14:anchorId="26EDBAB8" wp14:editId="0920E5E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12434265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040324    050324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BE28" w14:textId="77777777" w:rsidR="000A2C07" w:rsidRPr="00D27D5E" w:rsidRDefault="000A2C0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B4FCB8" w14:textId="77777777" w:rsidR="000A2C07" w:rsidRPr="00D171D4" w:rsidRDefault="000A2C07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1D771E13" w14:textId="77777777" w:rsidR="000A2C07" w:rsidRPr="00C451B9" w:rsidRDefault="000A2C07" w:rsidP="00C451B9">
      <w:pPr>
        <w:spacing w:line="240" w:lineRule="auto"/>
        <w:rPr>
          <w:sz w:val="2"/>
          <w:szCs w:val="2"/>
        </w:rPr>
      </w:pPr>
    </w:p>
  </w:footnote>
  <w:footnote w:id="2">
    <w:p w14:paraId="68D40A6B" w14:textId="2C7BFC91" w:rsidR="00AB0A84" w:rsidRPr="0006406D" w:rsidRDefault="00AB0A84" w:rsidP="00AB0A84">
      <w:pPr>
        <w:pStyle w:val="Notedebasdepage"/>
      </w:pPr>
      <w:r w:rsidRPr="00805060">
        <w:rPr>
          <w:sz w:val="20"/>
          <w:szCs w:val="22"/>
          <w:lang w:val="fr-FR"/>
        </w:rPr>
        <w:tab/>
        <w:t>*</w:t>
      </w:r>
      <w:r w:rsidRPr="00805060">
        <w:rPr>
          <w:sz w:val="20"/>
          <w:szCs w:val="22"/>
          <w:lang w:val="fr-FR"/>
        </w:rPr>
        <w:tab/>
      </w:r>
      <w:r w:rsidRPr="0006406D">
        <w:t>Anciens titres de l’Accord :</w:t>
      </w:r>
    </w:p>
    <w:p w14:paraId="29A09532" w14:textId="3C139AB8" w:rsidR="00AB0A84" w:rsidRPr="0006406D" w:rsidRDefault="00AB0A84" w:rsidP="00AB0A84">
      <w:pPr>
        <w:pStyle w:val="Notedebasdepage"/>
      </w:pPr>
      <w:r w:rsidRPr="0006406D">
        <w:tab/>
      </w:r>
      <w:r w:rsidRPr="0006406D">
        <w:tab/>
        <w:t>Accord concernant l’adoption de conditions uniformes d’homologation et la reconnaissance réciproque de l’homologation des équipements et pièces de véhicules à moteur, en date, à Genève, du</w:t>
      </w:r>
      <w:r>
        <w:t> </w:t>
      </w:r>
      <w:r w:rsidRPr="0006406D">
        <w:t>20 mars 1958 (version originale) ;</w:t>
      </w:r>
    </w:p>
    <w:p w14:paraId="5D241DB7" w14:textId="008FECCC" w:rsidR="00AB0A84" w:rsidRPr="00476276" w:rsidRDefault="00AB0A84" w:rsidP="00AB0A84">
      <w:pPr>
        <w:pStyle w:val="Notedebasdepage"/>
        <w:rPr>
          <w:lang w:val="fr-FR"/>
        </w:rPr>
      </w:pPr>
      <w:r w:rsidRPr="0006406D">
        <w:tab/>
      </w:r>
      <w:r w:rsidRPr="0006406D">
        <w:tab/>
        <w:t>Accord concernant l’adoption de prescriptions techniques uniformes applicables aux véhicules à</w:t>
      </w:r>
      <w:r>
        <w:t> </w:t>
      </w:r>
      <w:r w:rsidRPr="0006406D">
        <w:t>roues, aux équipements et aux pièces susceptibles d’être montés ou utilisés sur un véhicule à roues et les conditions de reconnaissance réciproque des homologations délivrées conformément à ces prescriptions, en date, à Genève, du 5 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9D24" w14:textId="77777777" w:rsidR="00AB0A84" w:rsidRPr="00AB0A84" w:rsidRDefault="00AB0A84">
    <w:pPr>
      <w:pStyle w:val="En-tte"/>
    </w:pPr>
    <w:fldSimple w:instr=" TITLE  \* MERGEFORMAT ">
      <w:r>
        <w:t>E/ECE/TRANS/505/Rev.3/Add.148/Rev.1/Amend.1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8656" w14:textId="77777777" w:rsidR="00AB0A84" w:rsidRPr="00AB0A84" w:rsidRDefault="00AB0A84" w:rsidP="00AB0A84">
    <w:pPr>
      <w:pStyle w:val="En-tte"/>
      <w:jc w:val="right"/>
    </w:pPr>
    <w:fldSimple w:instr=" TITLE  \* MERGEFORMAT ">
      <w:r>
        <w:t>E/ECE/TRANS/505/Rev.3/Add.148/Rev.1/Amend.1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939796200">
    <w:abstractNumId w:val="2"/>
  </w:num>
  <w:num w:numId="2" w16cid:durableId="1467159994">
    <w:abstractNumId w:val="1"/>
  </w:num>
  <w:num w:numId="3" w16cid:durableId="1233273190">
    <w:abstractNumId w:val="0"/>
  </w:num>
  <w:num w:numId="4" w16cid:durableId="447354392">
    <w:abstractNumId w:val="2"/>
  </w:num>
  <w:num w:numId="5" w16cid:durableId="1909076237">
    <w:abstractNumId w:val="1"/>
  </w:num>
  <w:num w:numId="6" w16cid:durableId="212626822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C07"/>
    <w:rsid w:val="00010850"/>
    <w:rsid w:val="0001470D"/>
    <w:rsid w:val="00015953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40539"/>
    <w:rsid w:val="00040598"/>
    <w:rsid w:val="00047F10"/>
    <w:rsid w:val="00052157"/>
    <w:rsid w:val="0005346D"/>
    <w:rsid w:val="00055FE4"/>
    <w:rsid w:val="000641CE"/>
    <w:rsid w:val="00067310"/>
    <w:rsid w:val="000725B5"/>
    <w:rsid w:val="00077E35"/>
    <w:rsid w:val="0008669E"/>
    <w:rsid w:val="00090599"/>
    <w:rsid w:val="000A1501"/>
    <w:rsid w:val="000A2494"/>
    <w:rsid w:val="000A2C07"/>
    <w:rsid w:val="000A6B7E"/>
    <w:rsid w:val="000B0996"/>
    <w:rsid w:val="000C6CDB"/>
    <w:rsid w:val="000C76A8"/>
    <w:rsid w:val="000D5C25"/>
    <w:rsid w:val="000E4F06"/>
    <w:rsid w:val="000E5601"/>
    <w:rsid w:val="000F41F2"/>
    <w:rsid w:val="000F782E"/>
    <w:rsid w:val="0010373B"/>
    <w:rsid w:val="0011415F"/>
    <w:rsid w:val="00120B7D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996"/>
    <w:rsid w:val="00190D5D"/>
    <w:rsid w:val="00192EEB"/>
    <w:rsid w:val="00194484"/>
    <w:rsid w:val="001A2040"/>
    <w:rsid w:val="001A20FB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3449"/>
    <w:rsid w:val="00204B66"/>
    <w:rsid w:val="002059CE"/>
    <w:rsid w:val="00206AD4"/>
    <w:rsid w:val="00224B8B"/>
    <w:rsid w:val="00225A8C"/>
    <w:rsid w:val="00227437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67CF8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B1B50"/>
    <w:rsid w:val="002D25CA"/>
    <w:rsid w:val="002D3DA4"/>
    <w:rsid w:val="002E2F5C"/>
    <w:rsid w:val="002E3835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47360"/>
    <w:rsid w:val="003515AA"/>
    <w:rsid w:val="003559BE"/>
    <w:rsid w:val="00364F13"/>
    <w:rsid w:val="0036776C"/>
    <w:rsid w:val="00372A7A"/>
    <w:rsid w:val="00372D1D"/>
    <w:rsid w:val="00373ADF"/>
    <w:rsid w:val="00374106"/>
    <w:rsid w:val="0037679A"/>
    <w:rsid w:val="0038047C"/>
    <w:rsid w:val="00382062"/>
    <w:rsid w:val="00387BE2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79E7"/>
    <w:rsid w:val="00454F8D"/>
    <w:rsid w:val="004567EB"/>
    <w:rsid w:val="00460E72"/>
    <w:rsid w:val="00464191"/>
    <w:rsid w:val="00467412"/>
    <w:rsid w:val="00476265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1DC7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B4DCA"/>
    <w:rsid w:val="005C549A"/>
    <w:rsid w:val="005D0035"/>
    <w:rsid w:val="005D7719"/>
    <w:rsid w:val="005E1B9B"/>
    <w:rsid w:val="005E32D1"/>
    <w:rsid w:val="005E5D1F"/>
    <w:rsid w:val="005F0207"/>
    <w:rsid w:val="006025BC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24AD"/>
    <w:rsid w:val="006A6B31"/>
    <w:rsid w:val="006A6C95"/>
    <w:rsid w:val="006A7B29"/>
    <w:rsid w:val="006B0EB2"/>
    <w:rsid w:val="006B0FF8"/>
    <w:rsid w:val="006B4590"/>
    <w:rsid w:val="006C340C"/>
    <w:rsid w:val="006F1D0B"/>
    <w:rsid w:val="006F27A8"/>
    <w:rsid w:val="006F3493"/>
    <w:rsid w:val="006F3544"/>
    <w:rsid w:val="0070347C"/>
    <w:rsid w:val="007102D2"/>
    <w:rsid w:val="00714A66"/>
    <w:rsid w:val="0071658C"/>
    <w:rsid w:val="007176C1"/>
    <w:rsid w:val="00720BC0"/>
    <w:rsid w:val="0072116B"/>
    <w:rsid w:val="00725063"/>
    <w:rsid w:val="00732E72"/>
    <w:rsid w:val="00734447"/>
    <w:rsid w:val="00741D90"/>
    <w:rsid w:val="007524A4"/>
    <w:rsid w:val="007607B1"/>
    <w:rsid w:val="00765296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7734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4EB0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B44C4"/>
    <w:rsid w:val="008C322B"/>
    <w:rsid w:val="008C4B74"/>
    <w:rsid w:val="008D1156"/>
    <w:rsid w:val="008D59DB"/>
    <w:rsid w:val="008E0319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42052"/>
    <w:rsid w:val="009516B7"/>
    <w:rsid w:val="009545F1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5060"/>
    <w:rsid w:val="00A56945"/>
    <w:rsid w:val="00A57027"/>
    <w:rsid w:val="00A5750C"/>
    <w:rsid w:val="00A66781"/>
    <w:rsid w:val="00A72C35"/>
    <w:rsid w:val="00A752BB"/>
    <w:rsid w:val="00A81F93"/>
    <w:rsid w:val="00A9247E"/>
    <w:rsid w:val="00AA0DCA"/>
    <w:rsid w:val="00AA7796"/>
    <w:rsid w:val="00AB0A84"/>
    <w:rsid w:val="00AC3BD0"/>
    <w:rsid w:val="00AC67A1"/>
    <w:rsid w:val="00AC7977"/>
    <w:rsid w:val="00AC7E56"/>
    <w:rsid w:val="00AE2617"/>
    <w:rsid w:val="00AE352C"/>
    <w:rsid w:val="00AE4CCA"/>
    <w:rsid w:val="00AE79AC"/>
    <w:rsid w:val="00AF068B"/>
    <w:rsid w:val="00B01AAD"/>
    <w:rsid w:val="00B101DB"/>
    <w:rsid w:val="00B129E4"/>
    <w:rsid w:val="00B21751"/>
    <w:rsid w:val="00B256F0"/>
    <w:rsid w:val="00B25EA9"/>
    <w:rsid w:val="00B31D7D"/>
    <w:rsid w:val="00B32E2D"/>
    <w:rsid w:val="00B4005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24E6"/>
    <w:rsid w:val="00B75E66"/>
    <w:rsid w:val="00B773BF"/>
    <w:rsid w:val="00BC3F20"/>
    <w:rsid w:val="00BC76F0"/>
    <w:rsid w:val="00BD13E6"/>
    <w:rsid w:val="00BD28B2"/>
    <w:rsid w:val="00BD5A8D"/>
    <w:rsid w:val="00BD7343"/>
    <w:rsid w:val="00BE7C74"/>
    <w:rsid w:val="00BF0556"/>
    <w:rsid w:val="00BF346F"/>
    <w:rsid w:val="00BF37EE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B1B"/>
    <w:rsid w:val="00C67D23"/>
    <w:rsid w:val="00C71827"/>
    <w:rsid w:val="00C75D25"/>
    <w:rsid w:val="00C825E5"/>
    <w:rsid w:val="00C95EB8"/>
    <w:rsid w:val="00C97EC1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2F1"/>
    <w:rsid w:val="00D06712"/>
    <w:rsid w:val="00D14C21"/>
    <w:rsid w:val="00D14F42"/>
    <w:rsid w:val="00D171D4"/>
    <w:rsid w:val="00D20BFE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21F3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50C1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2B33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F9A5BFC"/>
  <w15:docId w15:val="{13704707-15E9-4BA9-9BE6-32BA2630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6A8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="SimSun"/>
      <w:lang w:val="fr-CH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7E773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E7734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E7734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E7734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E7734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E7734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E7734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E7734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E7734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6025BC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7E7734"/>
  </w:style>
  <w:style w:type="paragraph" w:styleId="Notedebasdepage">
    <w:name w:val="footnote text"/>
    <w:aliases w:val="5_G"/>
    <w:basedOn w:val="Normal"/>
    <w:link w:val="NotedebasdepageCar"/>
    <w:qFormat/>
    <w:rsid w:val="007E773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7E7734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7E7734"/>
  </w:style>
  <w:style w:type="character" w:styleId="Appelnotedebasdep">
    <w:name w:val="footnote reference"/>
    <w:aliases w:val="4_G"/>
    <w:qFormat/>
    <w:rsid w:val="007E7734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7E7734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uiPriority w:val="99"/>
    <w:qFormat/>
    <w:rsid w:val="007E773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7E773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7E773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7E773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7E773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7E773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7E773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7E773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7E773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7E773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E773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E7734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E7734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7E7734"/>
    <w:pPr>
      <w:suppressAutoHyphens/>
      <w:spacing w:line="240" w:lineRule="atLeast"/>
    </w:pPr>
    <w:rPr>
      <w:rFonts w:eastAsia="SimSun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6025BC"/>
    <w:rPr>
      <w:rFonts w:eastAsia="SimSun"/>
      <w:lang w:val="fr-CH" w:eastAsia="en-US"/>
    </w:rPr>
  </w:style>
  <w:style w:type="character" w:styleId="Lienhypertexte">
    <w:name w:val="Hyperlink"/>
    <w:semiHidden/>
    <w:rsid w:val="007E7734"/>
    <w:rPr>
      <w:color w:val="0000FF"/>
      <w:u w:val="none"/>
    </w:rPr>
  </w:style>
  <w:style w:type="character" w:styleId="Lienhypertextesuivivisit">
    <w:name w:val="FollowedHyperlink"/>
    <w:semiHidden/>
    <w:rsid w:val="007E7734"/>
    <w:rPr>
      <w:color w:val="0000FF"/>
      <w:u w:val="none"/>
    </w:rPr>
  </w:style>
  <w:style w:type="paragraph" w:customStyle="1" w:styleId="ParNoG">
    <w:name w:val="_ParNo_G"/>
    <w:basedOn w:val="Normal"/>
    <w:qFormat/>
    <w:rsid w:val="006025BC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uiPriority w:val="99"/>
    <w:rsid w:val="007E7734"/>
    <w:rPr>
      <w:rFonts w:eastAsia="SimSun"/>
      <w:b/>
      <w:sz w:val="18"/>
      <w:lang w:val="fr-CH" w:eastAsia="en-US"/>
    </w:rPr>
  </w:style>
  <w:style w:type="character" w:customStyle="1" w:styleId="NotedebasdepageCar">
    <w:name w:val="Note de bas de page Car"/>
    <w:aliases w:val="5_G Car"/>
    <w:link w:val="Notedebasdepage"/>
    <w:rsid w:val="007E7734"/>
    <w:rPr>
      <w:rFonts w:eastAsia="SimSun"/>
      <w:sz w:val="18"/>
      <w:lang w:val="fr-CH" w:eastAsia="en-US"/>
    </w:rPr>
  </w:style>
  <w:style w:type="character" w:customStyle="1" w:styleId="NotedefinCar">
    <w:name w:val="Note de fin Car"/>
    <w:aliases w:val="2_G Car"/>
    <w:link w:val="Notedefin"/>
    <w:rsid w:val="007E7734"/>
    <w:rPr>
      <w:rFonts w:eastAsia="SimSun"/>
      <w:sz w:val="18"/>
      <w:lang w:val="fr-CH" w:eastAsia="en-US"/>
    </w:rPr>
  </w:style>
  <w:style w:type="character" w:customStyle="1" w:styleId="PieddepageCar">
    <w:name w:val="Pied de page Car"/>
    <w:aliases w:val="3_G Car"/>
    <w:link w:val="Pieddepage"/>
    <w:rsid w:val="007E7734"/>
    <w:rPr>
      <w:rFonts w:eastAsia="SimSun"/>
      <w:sz w:val="16"/>
      <w:lang w:val="fr-CH" w:eastAsia="en-US"/>
    </w:rPr>
  </w:style>
  <w:style w:type="character" w:customStyle="1" w:styleId="Titre1Car">
    <w:name w:val="Titre 1 Car"/>
    <w:aliases w:val="Table_G Car"/>
    <w:link w:val="Titre1"/>
    <w:rsid w:val="007E7734"/>
    <w:rPr>
      <w:rFonts w:eastAsia="SimSun"/>
      <w:lang w:val="fr-CH" w:eastAsia="en-US"/>
    </w:rPr>
  </w:style>
  <w:style w:type="character" w:customStyle="1" w:styleId="Titre2Car">
    <w:name w:val="Titre 2 Car"/>
    <w:link w:val="Titre2"/>
    <w:semiHidden/>
    <w:rsid w:val="000C76A8"/>
    <w:rPr>
      <w:rFonts w:eastAsia="SimSun"/>
      <w:lang w:val="fr-CH" w:eastAsia="en-US"/>
    </w:rPr>
  </w:style>
  <w:style w:type="character" w:customStyle="1" w:styleId="Titre3Car">
    <w:name w:val="Titre 3 Car"/>
    <w:link w:val="Titre3"/>
    <w:semiHidden/>
    <w:rsid w:val="000C76A8"/>
    <w:rPr>
      <w:rFonts w:eastAsia="SimSun"/>
      <w:lang w:val="fr-CH" w:eastAsia="en-US"/>
    </w:rPr>
  </w:style>
  <w:style w:type="character" w:customStyle="1" w:styleId="Titre4Car">
    <w:name w:val="Titre 4 Car"/>
    <w:link w:val="Titre4"/>
    <w:semiHidden/>
    <w:rsid w:val="000C76A8"/>
    <w:rPr>
      <w:rFonts w:eastAsia="SimSun"/>
      <w:lang w:val="fr-CH" w:eastAsia="en-US"/>
    </w:rPr>
  </w:style>
  <w:style w:type="character" w:customStyle="1" w:styleId="Titre5Car">
    <w:name w:val="Titre 5 Car"/>
    <w:link w:val="Titre5"/>
    <w:semiHidden/>
    <w:rsid w:val="000C76A8"/>
    <w:rPr>
      <w:rFonts w:eastAsia="SimSun"/>
      <w:lang w:val="fr-CH" w:eastAsia="en-US"/>
    </w:rPr>
  </w:style>
  <w:style w:type="character" w:customStyle="1" w:styleId="Titre6Car">
    <w:name w:val="Titre 6 Car"/>
    <w:link w:val="Titre6"/>
    <w:semiHidden/>
    <w:rsid w:val="000C76A8"/>
    <w:rPr>
      <w:rFonts w:eastAsia="SimSun"/>
      <w:lang w:val="fr-CH" w:eastAsia="en-US"/>
    </w:rPr>
  </w:style>
  <w:style w:type="character" w:customStyle="1" w:styleId="Titre7Car">
    <w:name w:val="Titre 7 Car"/>
    <w:link w:val="Titre7"/>
    <w:semiHidden/>
    <w:rsid w:val="000C76A8"/>
    <w:rPr>
      <w:rFonts w:eastAsia="SimSun"/>
      <w:lang w:val="fr-CH" w:eastAsia="en-US"/>
    </w:rPr>
  </w:style>
  <w:style w:type="character" w:customStyle="1" w:styleId="Titre8Car">
    <w:name w:val="Titre 8 Car"/>
    <w:link w:val="Titre8"/>
    <w:semiHidden/>
    <w:rsid w:val="000C76A8"/>
    <w:rPr>
      <w:rFonts w:eastAsia="SimSun"/>
      <w:lang w:val="fr-CH" w:eastAsia="en-US"/>
    </w:rPr>
  </w:style>
  <w:style w:type="character" w:customStyle="1" w:styleId="Titre9Car">
    <w:name w:val="Titre 9 Car"/>
    <w:link w:val="Titre9"/>
    <w:semiHidden/>
    <w:rsid w:val="000C76A8"/>
    <w:rPr>
      <w:rFonts w:eastAsia="SimSun"/>
      <w:lang w:val="fr-CH" w:eastAsia="en-US"/>
    </w:rPr>
  </w:style>
  <w:style w:type="paragraph" w:styleId="Textedebulles">
    <w:name w:val="Balloon Text"/>
    <w:basedOn w:val="Normal"/>
    <w:link w:val="TextedebullesCar"/>
    <w:semiHidden/>
    <w:rsid w:val="00834E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0C76A8"/>
    <w:rPr>
      <w:rFonts w:ascii="Tahoma" w:eastAsia="SimSu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rsid w:val="00AB0A84"/>
    <w:rPr>
      <w:rFonts w:eastAsia="SimSun"/>
      <w:b/>
      <w:sz w:val="2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CE_TRANS_180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1315F-3A1A-41D6-8D11-AD5E998D3C9E}"/>
</file>

<file path=customXml/itemProps2.xml><?xml version="1.0" encoding="utf-8"?>
<ds:datastoreItem xmlns:ds="http://schemas.openxmlformats.org/officeDocument/2006/customXml" ds:itemID="{B40CE90B-74CC-4DD4-8D78-BC4628111AC0}"/>
</file>

<file path=docProps/app.xml><?xml version="1.0" encoding="utf-8"?>
<Properties xmlns="http://schemas.openxmlformats.org/officeDocument/2006/extended-properties" xmlns:vt="http://schemas.openxmlformats.org/officeDocument/2006/docPropsVTypes">
  <Template>ECE_TRANS_180.dotm</Template>
  <TotalTime>0</TotalTime>
  <Pages>2</Pages>
  <Words>319</Words>
  <Characters>1809</Characters>
  <Application>Microsoft Office Word</Application>
  <DocSecurity>0</DocSecurity>
  <Lines>67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ECE/TRANS/180</vt:lpstr>
    </vt:vector>
  </TitlesOfParts>
  <Manager>Corinne</Manager>
  <Company>CSD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E/ECE/TRANS/505/Rev.3/Add.148/Rev.1/Amend.1</dc:title>
  <dc:subject/>
  <dc:creator>Corinne ROBERT</dc:creator>
  <cp:keywords/>
  <cp:lastModifiedBy>Corinne Robert</cp:lastModifiedBy>
  <cp:revision>2</cp:revision>
  <cp:lastPrinted>2008-11-04T16:54:00Z</cp:lastPrinted>
  <dcterms:created xsi:type="dcterms:W3CDTF">2024-03-05T08:18:00Z</dcterms:created>
  <dcterms:modified xsi:type="dcterms:W3CDTF">2024-03-05T08:18:00Z</dcterms:modified>
</cp:coreProperties>
</file>