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8551B" w14:paraId="0C642779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F2A301" w14:textId="77777777" w:rsidR="0068551B" w:rsidRPr="0068551B" w:rsidRDefault="0068551B" w:rsidP="0068551B">
            <w:pPr>
              <w:jc w:val="right"/>
              <w:rPr>
                <w:lang w:val="en-US"/>
              </w:rPr>
            </w:pPr>
            <w:r w:rsidRPr="0068551B">
              <w:rPr>
                <w:sz w:val="40"/>
                <w:lang w:val="en-US"/>
              </w:rPr>
              <w:t>E</w:t>
            </w:r>
            <w:r w:rsidRPr="0068551B">
              <w:rPr>
                <w:lang w:val="en-US"/>
              </w:rPr>
              <w:t>/ECE/324/Rev.2/Add.128/Amend.11−</w:t>
            </w:r>
            <w:r w:rsidRPr="0068551B">
              <w:rPr>
                <w:sz w:val="40"/>
                <w:lang w:val="en-US"/>
              </w:rPr>
              <w:t>E</w:t>
            </w:r>
            <w:r w:rsidRPr="0068551B">
              <w:rPr>
                <w:lang w:val="en-US"/>
              </w:rPr>
              <w:t>/ECE/TRANS/505/Rev.2/Add.128/Amend.11</w:t>
            </w:r>
          </w:p>
        </w:tc>
      </w:tr>
      <w:tr w:rsidR="00421A10" w:rsidRPr="00DB58B5" w14:paraId="1A85251D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4AF2B8" w14:textId="77777777" w:rsidR="00421A10" w:rsidRPr="0068551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4E6BAA" w14:textId="77777777" w:rsidR="00421A10" w:rsidRPr="00DB58B5" w:rsidRDefault="0068551B" w:rsidP="00A27C92">
            <w:pPr>
              <w:spacing w:before="480" w:line="240" w:lineRule="exact"/>
            </w:pPr>
            <w:r>
              <w:t>2 février 2021</w:t>
            </w:r>
          </w:p>
        </w:tc>
      </w:tr>
    </w:tbl>
    <w:p w14:paraId="00ED808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268C7AF" w14:textId="4FF251E2" w:rsidR="00421A10" w:rsidRPr="00583D68" w:rsidRDefault="0029791D" w:rsidP="0029791D">
      <w:pPr>
        <w:pStyle w:val="H1G"/>
      </w:pPr>
      <w:r>
        <w:tab/>
      </w:r>
      <w:r>
        <w:tab/>
      </w:r>
      <w:r w:rsidR="0068551B" w:rsidRPr="00750112">
        <w:rPr>
          <w:rFonts w:eastAsia="Times New Roman"/>
          <w:lang w:val="fr-FR"/>
        </w:rPr>
        <w:t xml:space="preserve">Concernant l’adoption de Règlements techniques harmonisés </w:t>
      </w:r>
      <w:r w:rsidR="00237B67">
        <w:rPr>
          <w:rFonts w:eastAsia="Times New Roman"/>
          <w:lang w:val="fr-FR"/>
        </w:rPr>
        <w:br/>
      </w:r>
      <w:r w:rsidR="0068551B" w:rsidRPr="00750112">
        <w:rPr>
          <w:rFonts w:eastAsia="Times New Roman"/>
          <w:lang w:val="fr-FR"/>
        </w:rPr>
        <w:t xml:space="preserve">de l’ONU applicables aux véhicules à roues et aux équipements </w:t>
      </w:r>
      <w:r w:rsidR="00237B67">
        <w:rPr>
          <w:rFonts w:eastAsia="Times New Roman"/>
          <w:lang w:val="fr-FR"/>
        </w:rPr>
        <w:br/>
      </w:r>
      <w:r w:rsidR="0068551B" w:rsidRPr="00750112">
        <w:rPr>
          <w:rFonts w:eastAsia="Times New Roman"/>
          <w:lang w:val="fr-FR"/>
        </w:rPr>
        <w:t xml:space="preserve">et pièces susceptibles d’être montés ou utilisés sur les véhicules à roues </w:t>
      </w:r>
      <w:r w:rsidR="00237B67">
        <w:rPr>
          <w:rFonts w:eastAsia="Times New Roman"/>
          <w:lang w:val="fr-FR"/>
        </w:rPr>
        <w:br/>
      </w:r>
      <w:r w:rsidR="0068551B" w:rsidRPr="00750112">
        <w:rPr>
          <w:rFonts w:eastAsia="Times New Roman"/>
          <w:lang w:val="fr-FR"/>
        </w:rPr>
        <w:t>et les conditions de reconnaissance réciproque des homologations délivrées conformément à ces Règlements</w:t>
      </w:r>
      <w:r w:rsidR="0068551B" w:rsidRPr="0068551B">
        <w:rPr>
          <w:rStyle w:val="Appelnotedebasdep"/>
          <w:rFonts w:eastAsia="Times New Roman"/>
          <w:b w:val="0"/>
          <w:bCs/>
          <w:sz w:val="20"/>
          <w:vertAlign w:val="baseline"/>
        </w:rPr>
        <w:footnoteReference w:customMarkFollows="1" w:id="2"/>
        <w:t>*</w:t>
      </w:r>
    </w:p>
    <w:p w14:paraId="78C15C17" w14:textId="3B424F8F" w:rsidR="00421A10" w:rsidRPr="00A12483" w:rsidRDefault="0068551B" w:rsidP="0029791D">
      <w:pPr>
        <w:pStyle w:val="SingleTxtG"/>
        <w:jc w:val="left"/>
        <w:rPr>
          <w:b/>
          <w:sz w:val="24"/>
          <w:szCs w:val="24"/>
        </w:rPr>
      </w:pPr>
      <w:r w:rsidRPr="000D5066">
        <w:rPr>
          <w:rFonts w:eastAsia="Times New Roman"/>
          <w:lang w:val="fr-FR"/>
        </w:rPr>
        <w:t>(</w:t>
      </w:r>
      <w:r w:rsidRPr="00750112">
        <w:rPr>
          <w:rFonts w:eastAsia="Times New Roman"/>
          <w:lang w:val="fr-FR"/>
        </w:rPr>
        <w:t>Révision 3, comprenant les amendements entrés en vigueur le 14 septembre 2017</w:t>
      </w:r>
      <w:r w:rsidRPr="000D5066">
        <w:rPr>
          <w:rFonts w:eastAsia="Times New Roman"/>
          <w:lang w:val="fr-FR"/>
        </w:rPr>
        <w:t>)</w:t>
      </w:r>
    </w:p>
    <w:p w14:paraId="2CF6C9B1" w14:textId="77777777" w:rsidR="00421A10" w:rsidRPr="006549FF" w:rsidRDefault="0029791D" w:rsidP="0029791D">
      <w:pPr>
        <w:jc w:val="center"/>
      </w:pPr>
      <w:r>
        <w:t>_______________</w:t>
      </w:r>
    </w:p>
    <w:p w14:paraId="12A459C1" w14:textId="34CAEC98" w:rsidR="00421A10" w:rsidRPr="006549FF" w:rsidRDefault="0029791D" w:rsidP="0029791D">
      <w:pPr>
        <w:pStyle w:val="HChG"/>
      </w:pPr>
      <w:r>
        <w:tab/>
      </w:r>
      <w:r>
        <w:tab/>
      </w:r>
      <w:r w:rsidR="0068551B" w:rsidRPr="000D5066">
        <w:rPr>
          <w:rFonts w:eastAsia="Times New Roman"/>
          <w:sz w:val="24"/>
          <w:lang w:val="fr-FR"/>
        </w:rPr>
        <w:t>Add</w:t>
      </w:r>
      <w:r w:rsidR="0068551B" w:rsidRPr="00750112">
        <w:rPr>
          <w:rFonts w:eastAsia="Times New Roman"/>
          <w:sz w:val="24"/>
          <w:lang w:val="fr-FR"/>
        </w:rPr>
        <w:t>itif</w:t>
      </w:r>
      <w:r w:rsidR="0068551B" w:rsidRPr="000D5066">
        <w:rPr>
          <w:rFonts w:eastAsia="Times New Roman"/>
          <w:sz w:val="24"/>
          <w:lang w:val="fr-FR"/>
        </w:rPr>
        <w:t xml:space="preserve"> 128 </w:t>
      </w:r>
      <w:r w:rsidR="00EC2E2B">
        <w:rPr>
          <w:rFonts w:eastAsia="Times New Roman"/>
          <w:sz w:val="24"/>
          <w:lang w:val="fr-FR"/>
        </w:rPr>
        <w:t>−</w:t>
      </w:r>
      <w:r w:rsidR="0068551B" w:rsidRPr="000D5066">
        <w:rPr>
          <w:rFonts w:eastAsia="Times New Roman"/>
          <w:sz w:val="24"/>
          <w:lang w:val="fr-FR"/>
        </w:rPr>
        <w:t xml:space="preserve"> </w:t>
      </w:r>
      <w:r w:rsidR="0068551B" w:rsidRPr="00750112">
        <w:rPr>
          <w:rFonts w:eastAsia="Times New Roman"/>
          <w:sz w:val="24"/>
          <w:lang w:val="fr-FR"/>
        </w:rPr>
        <w:t>Règlement ONU n</w:t>
      </w:r>
      <w:r w:rsidR="0068551B" w:rsidRPr="00750112">
        <w:rPr>
          <w:rFonts w:eastAsia="Times New Roman"/>
          <w:sz w:val="24"/>
          <w:vertAlign w:val="superscript"/>
          <w:lang w:val="fr-FR"/>
        </w:rPr>
        <w:t>o</w:t>
      </w:r>
      <w:r w:rsidR="00EC2E2B">
        <w:rPr>
          <w:rFonts w:eastAsia="Times New Roman"/>
          <w:sz w:val="24"/>
          <w:lang w:val="fr-FR"/>
        </w:rPr>
        <w:t> </w:t>
      </w:r>
      <w:r w:rsidR="0068551B" w:rsidRPr="000D5066">
        <w:rPr>
          <w:rFonts w:eastAsia="Times New Roman"/>
          <w:sz w:val="24"/>
          <w:lang w:val="fr-FR"/>
        </w:rPr>
        <w:t>129</w:t>
      </w:r>
    </w:p>
    <w:p w14:paraId="4613FB68" w14:textId="31493824" w:rsidR="00421A10" w:rsidRPr="006549FF" w:rsidRDefault="0029791D" w:rsidP="0029791D">
      <w:pPr>
        <w:pStyle w:val="H1G"/>
      </w:pPr>
      <w:r>
        <w:tab/>
      </w:r>
      <w:r>
        <w:tab/>
      </w:r>
      <w:r w:rsidR="0068551B" w:rsidRPr="000D5066">
        <w:rPr>
          <w:rFonts w:eastAsia="Times New Roman"/>
          <w:lang w:val="fr-FR"/>
        </w:rPr>
        <w:t>Amend</w:t>
      </w:r>
      <w:r w:rsidR="0068551B" w:rsidRPr="00750112">
        <w:rPr>
          <w:rFonts w:eastAsia="Times New Roman"/>
          <w:lang w:val="fr-FR"/>
        </w:rPr>
        <w:t>e</w:t>
      </w:r>
      <w:r w:rsidR="0068551B" w:rsidRPr="000D5066">
        <w:rPr>
          <w:rFonts w:eastAsia="Times New Roman"/>
          <w:lang w:val="fr-FR"/>
        </w:rPr>
        <w:t>ment 11</w:t>
      </w:r>
    </w:p>
    <w:p w14:paraId="07A0AAC3" w14:textId="699B4D00" w:rsidR="00421A10" w:rsidRPr="004A7E44" w:rsidRDefault="0068551B" w:rsidP="0068551B">
      <w:pPr>
        <w:pStyle w:val="SingleTxtG"/>
        <w:spacing w:after="0"/>
        <w:jc w:val="left"/>
      </w:pPr>
      <w:r w:rsidRPr="00750112">
        <w:rPr>
          <w:rFonts w:eastAsia="Times New Roman"/>
          <w:spacing w:val="-2"/>
          <w:lang w:val="fr-FR"/>
        </w:rPr>
        <w:t xml:space="preserve">Complément 10 à la version originale du Règlement </w:t>
      </w:r>
      <w:r w:rsidR="00EC2E2B">
        <w:rPr>
          <w:rFonts w:eastAsia="Times New Roman"/>
          <w:spacing w:val="-2"/>
          <w:lang w:val="fr-FR"/>
        </w:rPr>
        <w:t>−</w:t>
      </w:r>
      <w:r w:rsidRPr="00750112">
        <w:rPr>
          <w:rFonts w:eastAsia="Times New Roman"/>
          <w:spacing w:val="-2"/>
          <w:lang w:val="fr-FR"/>
        </w:rPr>
        <w:t xml:space="preserve"> Date d’entrée en vigueur</w:t>
      </w:r>
      <w:r w:rsidR="00EC2E2B">
        <w:rPr>
          <w:rFonts w:eastAsia="Times New Roman"/>
          <w:spacing w:val="-2"/>
          <w:lang w:val="fr-FR"/>
        </w:rPr>
        <w:t> </w:t>
      </w:r>
      <w:r w:rsidRPr="00750112">
        <w:rPr>
          <w:rFonts w:eastAsia="Times New Roman"/>
          <w:spacing w:val="-2"/>
          <w:lang w:val="fr-FR"/>
        </w:rPr>
        <w:t>:</w:t>
      </w:r>
      <w:r w:rsidRPr="000D5066">
        <w:rPr>
          <w:rFonts w:eastAsia="Times New Roman"/>
          <w:spacing w:val="-2"/>
          <w:lang w:val="fr-FR"/>
        </w:rPr>
        <w:t xml:space="preserve"> </w:t>
      </w:r>
      <w:r w:rsidRPr="000D5066">
        <w:rPr>
          <w:rFonts w:eastAsia="Times New Roman"/>
          <w:spacing w:val="-2"/>
          <w:lang w:val="fr-FR"/>
        </w:rPr>
        <w:br/>
      </w:r>
      <w:r w:rsidRPr="000D5066">
        <w:rPr>
          <w:rFonts w:eastAsia="Times New Roman"/>
          <w:lang w:val="fr-FR"/>
        </w:rPr>
        <w:t xml:space="preserve">3 </w:t>
      </w:r>
      <w:r w:rsidRPr="00750112">
        <w:rPr>
          <w:rFonts w:eastAsia="Times New Roman"/>
          <w:lang w:val="fr-FR"/>
        </w:rPr>
        <w:t>janvier</w:t>
      </w:r>
      <w:r w:rsidRPr="000D5066">
        <w:rPr>
          <w:rFonts w:eastAsia="Times New Roman"/>
          <w:lang w:val="fr-FR"/>
        </w:rPr>
        <w:t xml:space="preserve"> 2021</w:t>
      </w:r>
    </w:p>
    <w:p w14:paraId="243C7D01" w14:textId="2DAAACF7" w:rsidR="00421A10" w:rsidRDefault="0029791D" w:rsidP="0029791D">
      <w:pPr>
        <w:pStyle w:val="H1G"/>
      </w:pPr>
      <w:r>
        <w:tab/>
      </w:r>
      <w:r>
        <w:tab/>
      </w:r>
      <w:r w:rsidR="0068551B" w:rsidRPr="0027619B">
        <w:rPr>
          <w:rFonts w:eastAsia="Times New Roman"/>
          <w:bCs/>
          <w:szCs w:val="24"/>
          <w:lang w:val="fr-FR"/>
        </w:rPr>
        <w:t xml:space="preserve">Prescriptions uniformes relatives à l’homologation des systèmes améliorés de retenue pour enfants utilisés à bord </w:t>
      </w:r>
      <w:r w:rsidR="0068551B">
        <w:rPr>
          <w:rFonts w:eastAsia="Times New Roman"/>
          <w:bCs/>
          <w:szCs w:val="24"/>
          <w:lang w:val="fr-FR"/>
        </w:rPr>
        <w:br/>
      </w:r>
      <w:r w:rsidR="0068551B" w:rsidRPr="0027619B">
        <w:rPr>
          <w:rFonts w:eastAsia="Times New Roman"/>
          <w:bCs/>
          <w:szCs w:val="24"/>
          <w:lang w:val="fr-FR"/>
        </w:rPr>
        <w:t>des véhicules automobiles</w:t>
      </w:r>
    </w:p>
    <w:p w14:paraId="3F944D8E" w14:textId="1E27A972" w:rsidR="0068551B" w:rsidRDefault="0068551B" w:rsidP="0068551B">
      <w:pPr>
        <w:pStyle w:val="SingleTxtG"/>
      </w:pPr>
      <w:r w:rsidRPr="00750112">
        <w:rPr>
          <w:lang w:val="fr-FR" w:eastAsia="en-GB"/>
        </w:rPr>
        <w:t>Le présent document est communiqué uniquement à titre d’information. Le texte authentique, juridiquement contraignant, est celui du document</w:t>
      </w:r>
      <w:r w:rsidRPr="000D5066">
        <w:rPr>
          <w:lang w:val="fr-FR" w:eastAsia="en-GB"/>
        </w:rPr>
        <w:t xml:space="preserve"> </w:t>
      </w:r>
      <w:r w:rsidRPr="000D5066">
        <w:rPr>
          <w:spacing w:val="-6"/>
          <w:lang w:val="fr-FR" w:eastAsia="en-GB"/>
        </w:rPr>
        <w:t>ECE/TRANS/WP.29/2020/55.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3E90C" wp14:editId="6B204ECB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38B57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065597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990977E" wp14:editId="0B1073D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25909B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3E90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2CE38B57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065597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990977E" wp14:editId="0B1073D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25909B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7701149" w14:textId="53CF4EF3" w:rsidR="0068551B" w:rsidRDefault="0068551B" w:rsidP="005F0207">
      <w:r>
        <w:br w:type="page"/>
      </w:r>
    </w:p>
    <w:p w14:paraId="79970328" w14:textId="77777777" w:rsidR="00237B67" w:rsidRPr="00750112" w:rsidRDefault="00237B67" w:rsidP="00237B67">
      <w:pPr>
        <w:pStyle w:val="SingleTxtG"/>
        <w:keepNext/>
        <w:rPr>
          <w:lang w:val="fr-FR"/>
        </w:rPr>
      </w:pPr>
      <w:r w:rsidRPr="00750112">
        <w:rPr>
          <w:i/>
          <w:lang w:val="fr-FR"/>
        </w:rPr>
        <w:lastRenderedPageBreak/>
        <w:t>Paragraphe 6.3.1.1</w:t>
      </w:r>
      <w:r w:rsidRPr="00750112">
        <w:rPr>
          <w:lang w:val="fr-FR"/>
        </w:rPr>
        <w:t>, lire :</w:t>
      </w:r>
    </w:p>
    <w:p w14:paraId="31611835" w14:textId="77777777" w:rsidR="00237B67" w:rsidRPr="00750112" w:rsidRDefault="00237B67" w:rsidP="00237B67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750112">
        <w:rPr>
          <w:lang w:val="fr-FR"/>
        </w:rPr>
        <w:t>« 6.3.1.1</w:t>
      </w:r>
      <w:r w:rsidRPr="00750112">
        <w:rPr>
          <w:lang w:val="fr-FR"/>
        </w:rPr>
        <w:tab/>
        <w:t xml:space="preserve">Les fabricants de </w:t>
      </w:r>
      <w:r>
        <w:rPr>
          <w:lang w:val="fr-FR"/>
        </w:rPr>
        <w:t>systèmes</w:t>
      </w:r>
      <w:r w:rsidRPr="00750112">
        <w:rPr>
          <w:lang w:val="fr-FR"/>
        </w:rPr>
        <w:t xml:space="preserve"> améliorés de retenue pour enfants doivent déclarer par écrit que la toxicité des matériaux utilisés dans la fabrication desdits </w:t>
      </w:r>
      <w:r>
        <w:rPr>
          <w:lang w:val="fr-FR"/>
        </w:rPr>
        <w:t>systèmes</w:t>
      </w:r>
      <w:r w:rsidRPr="00750112">
        <w:rPr>
          <w:lang w:val="fr-FR"/>
        </w:rPr>
        <w:t xml:space="preserve"> et qui sont accessibles à l’enfant qui s’y trouve est conforme aux prescriptions énoncées dans la norme EN 71-3:2019 pour les matériaux de la catégorie III, tels qu’ils sont définis au tableau 2 du paragraphe 4.2, selon la méthode d’essai décrite au paragraphe 7.2, en particulier la méthode de prélèvement des matériaux de cette catégorie indiquée dans le tableau 3 du paragraphe 7.2.2. Le service technique se réserve le droit de vérifier l’exactitude de la déclaration. ».</w:t>
      </w:r>
    </w:p>
    <w:p w14:paraId="74EA7AB3" w14:textId="77777777" w:rsidR="00237B67" w:rsidRPr="00750112" w:rsidRDefault="00237B67" w:rsidP="00237B67">
      <w:pPr>
        <w:pStyle w:val="SingleTxtG"/>
        <w:keepNext/>
        <w:rPr>
          <w:i/>
          <w:lang w:val="fr-FR"/>
        </w:rPr>
      </w:pPr>
      <w:r w:rsidRPr="00750112">
        <w:rPr>
          <w:i/>
          <w:lang w:val="fr-FR"/>
        </w:rPr>
        <w:t>Paragraphe 6.6.4.3.1</w:t>
      </w:r>
      <w:r w:rsidRPr="00750112">
        <w:rPr>
          <w:lang w:val="fr-FR"/>
        </w:rPr>
        <w:t>, lire :</w:t>
      </w:r>
    </w:p>
    <w:p w14:paraId="62720FE0" w14:textId="77777777" w:rsidR="00237B67" w:rsidRPr="00750112" w:rsidRDefault="00237B67" w:rsidP="00237B67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750112">
        <w:rPr>
          <w:lang w:val="fr-FR"/>
        </w:rPr>
        <w:t>« 6.6.4.3.1</w:t>
      </w:r>
      <w:r w:rsidRPr="00750112">
        <w:rPr>
          <w:lang w:val="fr-FR"/>
        </w:rPr>
        <w:tab/>
        <w:t>Critères d’évaluation des blessures pour les chocs avant et ...</w:t>
      </w: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1343"/>
        <w:gridCol w:w="597"/>
        <w:gridCol w:w="597"/>
        <w:gridCol w:w="746"/>
        <w:gridCol w:w="746"/>
        <w:gridCol w:w="745"/>
        <w:gridCol w:w="783"/>
        <w:gridCol w:w="753"/>
      </w:tblGrid>
      <w:tr w:rsidR="00237B67" w:rsidRPr="00750112" w14:paraId="70A77D20" w14:textId="77777777" w:rsidTr="00E10041">
        <w:trPr>
          <w:tblHeader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CD7DF1D" w14:textId="77777777" w:rsidR="00237B67" w:rsidRPr="00750112" w:rsidRDefault="00237B67" w:rsidP="00E10041">
            <w:pPr>
              <w:spacing w:before="60" w:after="60"/>
              <w:ind w:left="57" w:right="57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097341B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3B697C0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EE84D1B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0E2F308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D9234CC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D006D79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4747C12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3C89275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rFonts w:eastAsia="MS Mincho"/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</w:tr>
      <w:tr w:rsidR="00237B67" w:rsidRPr="00750112" w14:paraId="2A4BF0DB" w14:textId="77777777" w:rsidTr="00E10041"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820BF" w14:textId="77777777" w:rsidR="00237B67" w:rsidRPr="00750112" w:rsidRDefault="00237B67" w:rsidP="00E10041">
            <w:pPr>
              <w:spacing w:before="60" w:after="60"/>
              <w:ind w:left="57" w:right="57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1D6B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9081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 w:bidi="hi-IN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5771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54D3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2D7E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2AF0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363F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C881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</w:tr>
      <w:tr w:rsidR="00237B67" w:rsidRPr="00750112" w14:paraId="4E4E13F6" w14:textId="77777777" w:rsidTr="00E1004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3D2EE" w14:textId="77777777" w:rsidR="00237B67" w:rsidRPr="002A56FD" w:rsidRDefault="00237B67" w:rsidP="00E10041">
            <w:pPr>
              <w:spacing w:before="60" w:after="60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2A56FD">
              <w:rPr>
                <w:sz w:val="18"/>
                <w:szCs w:val="18"/>
                <w:lang w:val="fr-FR"/>
              </w:rPr>
              <w:t>Accélération résultante de la tête (au bout de 3 ms)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D858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6051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CDAE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6645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7203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83D4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3256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CA4F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</w:tr>
      <w:tr w:rsidR="00237B67" w:rsidRPr="00750112" w14:paraId="7CBF3ABA" w14:textId="77777777" w:rsidTr="00E1004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0A759" w14:textId="77777777" w:rsidR="00237B67" w:rsidRPr="00750112" w:rsidRDefault="00237B67" w:rsidP="00E10041">
            <w:pPr>
              <w:spacing w:before="60" w:after="60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D926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5C26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F35F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6DFC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 w:bidi="hi-IN"/>
              </w:rPr>
            </w:pPr>
          </w:p>
        </w:tc>
      </w:tr>
      <w:tr w:rsidR="00237B67" w:rsidRPr="00750112" w14:paraId="1B5F24A8" w14:textId="77777777" w:rsidTr="00E1004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FE23" w14:textId="77777777" w:rsidR="00237B67" w:rsidRPr="00750112" w:rsidRDefault="00237B67" w:rsidP="00E10041">
            <w:pPr>
              <w:spacing w:before="60" w:after="60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5543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CF4B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613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 w:bidi="hi-I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AF9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 w:bidi="hi-IN"/>
              </w:rPr>
            </w:pPr>
          </w:p>
        </w:tc>
      </w:tr>
      <w:tr w:rsidR="00237B67" w:rsidRPr="00750112" w14:paraId="3F6A3DA8" w14:textId="77777777" w:rsidTr="00E1004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DFE79" w14:textId="77777777" w:rsidR="00237B67" w:rsidRPr="002A56FD" w:rsidRDefault="00237B67" w:rsidP="00E10041">
            <w:pPr>
              <w:spacing w:before="60" w:after="60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2A56FD">
              <w:rPr>
                <w:sz w:val="18"/>
                <w:szCs w:val="18"/>
                <w:lang w:val="fr-FR"/>
              </w:rPr>
              <w:t>Accélération résultante du torse (au bout de 3 ms)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3FB3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8466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3D1B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1EFC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6BDC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A73F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EAF0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C4DD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</w:tr>
      <w:tr w:rsidR="00237B67" w:rsidRPr="00750112" w14:paraId="0EA2FB84" w14:textId="77777777" w:rsidTr="00E1004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3B08" w14:textId="77777777" w:rsidR="00237B67" w:rsidRPr="00750112" w:rsidRDefault="00237B67" w:rsidP="00E10041">
            <w:pPr>
              <w:spacing w:before="60" w:after="60"/>
              <w:ind w:left="57" w:right="57"/>
              <w:rPr>
                <w:rFonts w:eastAsia="MS Mincho"/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9C6A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7AC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112B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76BC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</w:tr>
      <w:tr w:rsidR="00237B67" w:rsidRPr="00750112" w14:paraId="3C5F6FFB" w14:textId="77777777" w:rsidTr="00E1004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D97BC0A" w14:textId="77777777" w:rsidR="00237B67" w:rsidRPr="00750112" w:rsidRDefault="00237B67" w:rsidP="00E10041">
            <w:pPr>
              <w:spacing w:before="60" w:after="60"/>
              <w:ind w:left="57" w:right="57"/>
              <w:rPr>
                <w:rFonts w:eastAsia="MS Mincho"/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15913D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71C78D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011F67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1E6838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90EFDA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4E7148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rFonts w:eastAsia="MS Mincho"/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5CD75C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rFonts w:eastAsia="MS Mincho"/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BEB62A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szCs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</w:tr>
    </w:tbl>
    <w:p w14:paraId="3457BA70" w14:textId="77777777" w:rsidR="00237B67" w:rsidRPr="00750112" w:rsidRDefault="00237B67" w:rsidP="00237B67">
      <w:pPr>
        <w:pStyle w:val="SingleTxtG"/>
        <w:spacing w:before="120"/>
        <w:jc w:val="right"/>
        <w:rPr>
          <w:rFonts w:eastAsia="MS Mincho"/>
          <w:i/>
          <w:lang w:val="fr-FR"/>
        </w:rPr>
      </w:pPr>
      <w:r w:rsidRPr="00750112">
        <w:rPr>
          <w:lang w:val="fr-FR"/>
        </w:rPr>
        <w:t>… ».</w:t>
      </w:r>
    </w:p>
    <w:p w14:paraId="249834C1" w14:textId="77777777" w:rsidR="00237B67" w:rsidRPr="00750112" w:rsidRDefault="00237B67" w:rsidP="00237B67">
      <w:pPr>
        <w:pStyle w:val="SingleTxtG"/>
        <w:keepNext/>
        <w:rPr>
          <w:lang w:val="fr-FR"/>
        </w:rPr>
      </w:pPr>
      <w:r w:rsidRPr="00750112">
        <w:rPr>
          <w:i/>
          <w:iCs/>
          <w:lang w:val="fr-FR"/>
        </w:rPr>
        <w:t>Paragraphe 6.6.4.4.2</w:t>
      </w:r>
      <w:r w:rsidRPr="00750112">
        <w:rPr>
          <w:lang w:val="fr-FR"/>
        </w:rPr>
        <w:t>, lire :</w:t>
      </w:r>
    </w:p>
    <w:p w14:paraId="7E2C9053" w14:textId="77777777" w:rsidR="00237B67" w:rsidRPr="00750112" w:rsidRDefault="00237B67" w:rsidP="00237B67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750112">
        <w:rPr>
          <w:lang w:val="fr-FR"/>
        </w:rPr>
        <w:t>« 6.6.4.4.2</w:t>
      </w:r>
      <w:r w:rsidRPr="00750112">
        <w:rPr>
          <w:lang w:val="fr-FR"/>
        </w:rPr>
        <w:tab/>
        <w:t xml:space="preserve">Lorsque les </w:t>
      </w:r>
      <w:r>
        <w:rPr>
          <w:lang w:val="fr-FR"/>
        </w:rPr>
        <w:t>systèmes</w:t>
      </w:r>
      <w:r w:rsidRPr="00750112">
        <w:rPr>
          <w:lang w:val="fr-FR"/>
        </w:rPr>
        <w:t xml:space="preserve"> améliorés de retenue pour enfants ..., le critère de blessure à la tête (HPC) et l’accélération résultante de la tête (au bout de 3 ms) doivent... ».</w:t>
      </w:r>
    </w:p>
    <w:p w14:paraId="0EA9B38C" w14:textId="77777777" w:rsidR="00237B67" w:rsidRPr="00750112" w:rsidRDefault="00237B67" w:rsidP="00237B67">
      <w:pPr>
        <w:pStyle w:val="SingleTxtG"/>
        <w:keepNext/>
        <w:rPr>
          <w:lang w:val="fr-FR"/>
        </w:rPr>
      </w:pPr>
      <w:r w:rsidRPr="00750112">
        <w:rPr>
          <w:i/>
          <w:iCs/>
          <w:lang w:val="fr-FR"/>
        </w:rPr>
        <w:t>Paragraphe 6.6.4.5.2</w:t>
      </w:r>
      <w:r w:rsidRPr="00750112">
        <w:rPr>
          <w:lang w:val="fr-FR"/>
        </w:rPr>
        <w:t>, lire :</w:t>
      </w:r>
    </w:p>
    <w:p w14:paraId="1F59AAD9" w14:textId="77777777" w:rsidR="00237B67" w:rsidRPr="00750112" w:rsidRDefault="00237B67" w:rsidP="00237B67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750112">
        <w:rPr>
          <w:lang w:val="fr-FR"/>
        </w:rPr>
        <w:t>« 6.6.4.5.2</w:t>
      </w:r>
      <w:r w:rsidRPr="00750112">
        <w:rPr>
          <w:lang w:val="fr-FR"/>
        </w:rPr>
        <w:tab/>
        <w:t>Critères supplémentaires d’évaluation des blessures pour les essais de choc latéral</w:t>
      </w:r>
    </w:p>
    <w:p w14:paraId="4DFC0805" w14:textId="77777777" w:rsidR="00237B67" w:rsidRPr="00750112" w:rsidRDefault="00237B67" w:rsidP="00237B67">
      <w:pPr>
        <w:pStyle w:val="SingleTxtG"/>
        <w:rPr>
          <w:lang w:val="fr-FR"/>
        </w:rPr>
      </w:pPr>
      <w:r w:rsidRPr="00750112">
        <w:rPr>
          <w:lang w:val="fr-FR"/>
        </w:rPr>
        <w:t>…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946"/>
        <w:gridCol w:w="555"/>
        <w:gridCol w:w="724"/>
        <w:gridCol w:w="725"/>
        <w:gridCol w:w="724"/>
        <w:gridCol w:w="725"/>
        <w:gridCol w:w="725"/>
        <w:gridCol w:w="1259"/>
      </w:tblGrid>
      <w:tr w:rsidR="00237B67" w:rsidRPr="00750112" w14:paraId="137BDC21" w14:textId="77777777" w:rsidTr="002A56FD">
        <w:trPr>
          <w:tblHeader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8CC82B4" w14:textId="77777777" w:rsidR="00237B67" w:rsidRPr="00750112" w:rsidRDefault="00237B67" w:rsidP="00E10041">
            <w:pPr>
              <w:spacing w:before="60" w:after="60"/>
              <w:ind w:left="57" w:right="57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BF19E5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512C41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1B66B8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D408806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AF0639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8EB3D0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951D30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bottom"/>
          </w:tcPr>
          <w:p w14:paraId="148D8033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rFonts w:eastAsia="MS Mincho"/>
                <w:i/>
                <w:sz w:val="16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</w:tr>
      <w:tr w:rsidR="00237B67" w:rsidRPr="00750112" w14:paraId="4A7905F1" w14:textId="77777777" w:rsidTr="002A56FD">
        <w:tc>
          <w:tcPr>
            <w:tcW w:w="21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B888ED" w14:textId="77777777" w:rsidR="00237B67" w:rsidRPr="00750112" w:rsidRDefault="00237B67" w:rsidP="00E10041">
            <w:pPr>
              <w:spacing w:before="60" w:after="60"/>
              <w:ind w:left="57" w:right="57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F69A2A5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9176C6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8653E2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94CE9A7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6ACA2BB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7EBAB88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208B2D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  <w:vAlign w:val="center"/>
          </w:tcPr>
          <w:p w14:paraId="2688001C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</w:tr>
      <w:tr w:rsidR="00237B67" w:rsidRPr="00750112" w14:paraId="1C7F5176" w14:textId="77777777" w:rsidTr="002A56FD">
        <w:tc>
          <w:tcPr>
            <w:tcW w:w="2122" w:type="dxa"/>
            <w:shd w:val="clear" w:color="auto" w:fill="auto"/>
            <w:vAlign w:val="bottom"/>
          </w:tcPr>
          <w:p w14:paraId="1FE5CB3D" w14:textId="77777777" w:rsidR="00237B67" w:rsidRPr="002A56FD" w:rsidRDefault="00237B67" w:rsidP="00E10041">
            <w:pPr>
              <w:spacing w:before="60" w:after="60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2A56FD">
              <w:rPr>
                <w:sz w:val="18"/>
                <w:szCs w:val="18"/>
                <w:lang w:val="fr-FR"/>
              </w:rPr>
              <w:t>Accélération résultante de la tête (au bout de 3 ms)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DB2B116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5B406F3C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51F82D42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38ED1C5C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7B65D806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0D1D5FE2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3AF424C3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1259" w:type="dxa"/>
            <w:vMerge/>
            <w:vAlign w:val="bottom"/>
          </w:tcPr>
          <w:p w14:paraId="43332781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b/>
                <w:sz w:val="18"/>
                <w:lang w:val="fr-FR"/>
              </w:rPr>
            </w:pPr>
          </w:p>
        </w:tc>
      </w:tr>
      <w:tr w:rsidR="00237B67" w:rsidRPr="00750112" w14:paraId="558970F0" w14:textId="77777777" w:rsidTr="002A56FD">
        <w:tc>
          <w:tcPr>
            <w:tcW w:w="2122" w:type="dxa"/>
            <w:shd w:val="clear" w:color="auto" w:fill="auto"/>
            <w:vAlign w:val="bottom"/>
          </w:tcPr>
          <w:p w14:paraId="5B64EE49" w14:textId="77777777" w:rsidR="00237B67" w:rsidRPr="00750112" w:rsidRDefault="00237B67" w:rsidP="00E10041">
            <w:pPr>
              <w:spacing w:before="60" w:after="60"/>
              <w:ind w:left="57" w:right="57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A165F3B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575025CF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4882" w:type="dxa"/>
            <w:gridSpan w:val="6"/>
            <w:shd w:val="clear" w:color="auto" w:fill="auto"/>
            <w:vAlign w:val="bottom"/>
          </w:tcPr>
          <w:p w14:paraId="38C76C10" w14:textId="77777777" w:rsidR="00237B67" w:rsidRPr="00750112" w:rsidRDefault="00237B67" w:rsidP="00E10041">
            <w:pPr>
              <w:spacing w:before="60" w:after="60"/>
              <w:ind w:left="57" w:right="57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</w:tr>
      <w:tr w:rsidR="00237B67" w:rsidRPr="00750112" w14:paraId="05D4B2FE" w14:textId="77777777" w:rsidTr="002A56FD"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BE79D6" w14:textId="77777777" w:rsidR="00237B67" w:rsidRPr="00750112" w:rsidRDefault="00237B67" w:rsidP="00E10041">
            <w:pPr>
              <w:spacing w:before="60" w:after="60"/>
              <w:ind w:left="57" w:right="57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A54C7A1" w14:textId="77777777" w:rsidR="00237B67" w:rsidRPr="00750112" w:rsidRDefault="00237B67" w:rsidP="00E10041">
            <w:pPr>
              <w:spacing w:before="60" w:after="60"/>
              <w:ind w:left="57" w:right="57"/>
              <w:jc w:val="center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17B50DE" w14:textId="77777777" w:rsidR="00237B67" w:rsidRPr="00750112" w:rsidRDefault="00237B67" w:rsidP="00E10041">
            <w:pPr>
              <w:spacing w:before="60" w:after="60"/>
              <w:ind w:left="57" w:right="57"/>
              <w:jc w:val="right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  <w:tc>
          <w:tcPr>
            <w:tcW w:w="4882" w:type="dxa"/>
            <w:gridSpan w:val="6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DA2546" w14:textId="77777777" w:rsidR="00237B67" w:rsidRPr="00750112" w:rsidRDefault="00237B67" w:rsidP="00E10041">
            <w:pPr>
              <w:spacing w:before="60" w:after="60"/>
              <w:ind w:left="57" w:right="57"/>
              <w:rPr>
                <w:sz w:val="18"/>
                <w:lang w:val="fr-FR"/>
              </w:rPr>
            </w:pPr>
            <w:r w:rsidRPr="00750112">
              <w:rPr>
                <w:i/>
                <w:iCs/>
                <w:lang w:val="fr-FR"/>
              </w:rPr>
              <w:t>...</w:t>
            </w:r>
          </w:p>
        </w:tc>
      </w:tr>
    </w:tbl>
    <w:p w14:paraId="4BE37578" w14:textId="77777777" w:rsidR="00237B67" w:rsidRPr="00750112" w:rsidRDefault="00237B67" w:rsidP="00237B67">
      <w:pPr>
        <w:pStyle w:val="SingleTxtG"/>
        <w:spacing w:before="120"/>
        <w:jc w:val="right"/>
        <w:rPr>
          <w:lang w:val="fr-FR"/>
        </w:rPr>
      </w:pPr>
      <w:r w:rsidRPr="00750112">
        <w:rPr>
          <w:i/>
          <w:iCs/>
          <w:lang w:val="fr-FR"/>
        </w:rPr>
        <w:t>...</w:t>
      </w:r>
      <w:r w:rsidRPr="00750112">
        <w:rPr>
          <w:lang w:val="fr-FR"/>
        </w:rPr>
        <w:t xml:space="preserve"> ». </w:t>
      </w:r>
    </w:p>
    <w:p w14:paraId="701E5A18" w14:textId="77777777" w:rsidR="00237B67" w:rsidRPr="00750112" w:rsidRDefault="00237B67" w:rsidP="00237B67">
      <w:pPr>
        <w:pStyle w:val="SingleTxtG"/>
        <w:keepNext/>
        <w:rPr>
          <w:lang w:val="fr-FR"/>
        </w:rPr>
      </w:pPr>
      <w:r w:rsidRPr="00750112">
        <w:rPr>
          <w:i/>
          <w:iCs/>
          <w:lang w:val="fr-FR"/>
        </w:rPr>
        <w:t>Paragraphe 8.1</w:t>
      </w:r>
      <w:r w:rsidRPr="00750112">
        <w:rPr>
          <w:lang w:val="fr-FR"/>
        </w:rPr>
        <w:t>, lire :</w:t>
      </w:r>
    </w:p>
    <w:p w14:paraId="57732FA5" w14:textId="77777777" w:rsidR="00237B67" w:rsidRPr="00750112" w:rsidRDefault="00237B67" w:rsidP="00237B67">
      <w:pPr>
        <w:pStyle w:val="SingleTxtG"/>
        <w:keepNext/>
        <w:tabs>
          <w:tab w:val="left" w:pos="2268"/>
        </w:tabs>
        <w:ind w:left="2268" w:hanging="1134"/>
        <w:rPr>
          <w:rFonts w:eastAsia="SimSun"/>
          <w:lang w:val="fr-FR"/>
        </w:rPr>
      </w:pPr>
      <w:r w:rsidRPr="00750112">
        <w:rPr>
          <w:lang w:val="fr-FR"/>
        </w:rPr>
        <w:t>« 8.1</w:t>
      </w:r>
      <w:r w:rsidRPr="00750112">
        <w:rPr>
          <w:lang w:val="fr-FR"/>
        </w:rPr>
        <w:tab/>
        <w:t xml:space="preserve">Le procès-verbal d’essai doit contenir les résultats de tous les essais et de toutes les mesures, notamment les données suivantes : </w:t>
      </w:r>
    </w:p>
    <w:p w14:paraId="78F7C08D" w14:textId="77777777" w:rsidR="00237B67" w:rsidRPr="00750112" w:rsidRDefault="00237B67" w:rsidP="00237B67">
      <w:pPr>
        <w:pStyle w:val="SingleTxtG"/>
        <w:ind w:left="2268"/>
        <w:rPr>
          <w:color w:val="000000"/>
          <w:lang w:val="fr-FR"/>
        </w:rPr>
      </w:pPr>
      <w:r w:rsidRPr="00750112">
        <w:rPr>
          <w:lang w:val="fr-FR"/>
        </w:rPr>
        <w:t>a)</w:t>
      </w:r>
      <w:r w:rsidRPr="00750112">
        <w:rPr>
          <w:lang w:val="fr-FR"/>
        </w:rPr>
        <w:tab/>
        <w:t>…</w:t>
      </w:r>
    </w:p>
    <w:p w14:paraId="53A2EBD7" w14:textId="77777777" w:rsidR="00237B67" w:rsidRPr="00750112" w:rsidRDefault="00237B67" w:rsidP="00237B67">
      <w:pPr>
        <w:pStyle w:val="SingleTxtG"/>
        <w:ind w:left="2268"/>
        <w:rPr>
          <w:color w:val="000000"/>
          <w:lang w:val="fr-FR"/>
        </w:rPr>
      </w:pPr>
      <w:r w:rsidRPr="00750112">
        <w:rPr>
          <w:lang w:val="fr-FR"/>
        </w:rPr>
        <w:t>…</w:t>
      </w:r>
    </w:p>
    <w:p w14:paraId="2C3E7272" w14:textId="77777777" w:rsidR="00237B67" w:rsidRPr="00750112" w:rsidRDefault="00237B67" w:rsidP="00237B67">
      <w:pPr>
        <w:pStyle w:val="SingleTxtG"/>
        <w:ind w:left="2835" w:hanging="567"/>
        <w:rPr>
          <w:bCs/>
          <w:lang w:val="fr-FR"/>
        </w:rPr>
      </w:pPr>
      <w:r w:rsidRPr="00750112">
        <w:rPr>
          <w:lang w:val="fr-FR"/>
        </w:rPr>
        <w:lastRenderedPageBreak/>
        <w:t>i)</w:t>
      </w:r>
      <w:r w:rsidRPr="00750112">
        <w:rPr>
          <w:lang w:val="fr-FR"/>
        </w:rPr>
        <w:tab/>
        <w:t>Les critères suivants : critères de blessure à la tête (HPC), accélération résultante de la tête au bout de 3 ms, force de traction sur le haut du cou, moment de flexion du haut du cou, accélération résultante du torse au bout de 3 ms, déformation du thorax et pression abdominale (lors d’un choc avant et arrière), et ... ».</w:t>
      </w:r>
    </w:p>
    <w:p w14:paraId="72B942FF" w14:textId="77777777" w:rsidR="00237B67" w:rsidRPr="00750112" w:rsidRDefault="00237B67" w:rsidP="00237B67">
      <w:pPr>
        <w:pStyle w:val="SingleTxtG"/>
        <w:keepNext/>
        <w:rPr>
          <w:i/>
          <w:lang w:val="fr-FR"/>
        </w:rPr>
      </w:pPr>
      <w:r w:rsidRPr="00750112">
        <w:rPr>
          <w:i/>
          <w:iCs/>
          <w:lang w:val="fr-FR"/>
        </w:rPr>
        <w:t>Annexe 6, appendice 2</w:t>
      </w:r>
    </w:p>
    <w:p w14:paraId="484C2AB2" w14:textId="77777777" w:rsidR="00237B67" w:rsidRPr="00750112" w:rsidRDefault="00237B67" w:rsidP="00237B67">
      <w:pPr>
        <w:pStyle w:val="SingleTxtG"/>
        <w:keepNext/>
        <w:rPr>
          <w:i/>
          <w:lang w:val="fr-FR"/>
        </w:rPr>
      </w:pPr>
      <w:r w:rsidRPr="00750112">
        <w:rPr>
          <w:i/>
          <w:iCs/>
          <w:lang w:val="fr-FR"/>
        </w:rPr>
        <w:t>Paragraphe 2</w:t>
      </w:r>
      <w:r w:rsidRPr="00750112">
        <w:rPr>
          <w:lang w:val="fr-FR"/>
        </w:rPr>
        <w:t>, lire :</w:t>
      </w:r>
    </w:p>
    <w:p w14:paraId="5314B2FE" w14:textId="044B3A4C" w:rsidR="005F0207" w:rsidRDefault="00237B67" w:rsidP="00237B67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750112">
        <w:rPr>
          <w:lang w:val="fr-FR"/>
        </w:rPr>
        <w:t>« 2.</w:t>
      </w:r>
      <w:r w:rsidRPr="00750112">
        <w:rPr>
          <w:lang w:val="fr-FR"/>
        </w:rPr>
        <w:tab/>
        <w:t xml:space="preserve">Les </w:t>
      </w:r>
      <w:r>
        <w:rPr>
          <w:lang w:val="fr-FR"/>
        </w:rPr>
        <w:t>systèmes</w:t>
      </w:r>
      <w:r w:rsidRPr="00750112">
        <w:rPr>
          <w:lang w:val="fr-FR"/>
        </w:rPr>
        <w:t xml:space="preserve"> améliorés de retenue pour enfants de type “i-Size” et ceux qui sont destinés à un véhicule spécifique doivent être fixés aux points d’ancrage</w:t>
      </w:r>
      <w:r w:rsidR="002A56FD">
        <w:rPr>
          <w:lang w:val="fr-FR"/>
        </w:rPr>
        <w:t xml:space="preserve"> </w:t>
      </w:r>
      <w:r w:rsidRPr="00750112">
        <w:rPr>
          <w:lang w:val="fr-FR"/>
        </w:rPr>
        <w:t>H</w:t>
      </w:r>
      <w:r w:rsidRPr="00750112">
        <w:rPr>
          <w:vertAlign w:val="subscript"/>
          <w:lang w:val="fr-FR"/>
        </w:rPr>
        <w:t>1</w:t>
      </w:r>
      <w:r w:rsidRPr="00750112">
        <w:rPr>
          <w:lang w:val="fr-FR"/>
        </w:rPr>
        <w:t xml:space="preserve"> et H</w:t>
      </w:r>
      <w:r w:rsidRPr="00750112">
        <w:rPr>
          <w:vertAlign w:val="subscript"/>
          <w:lang w:val="fr-FR"/>
        </w:rPr>
        <w:t>2</w:t>
      </w:r>
      <w:r w:rsidRPr="00750112">
        <w:rPr>
          <w:lang w:val="fr-FR"/>
        </w:rPr>
        <w:t>. ».</w:t>
      </w:r>
    </w:p>
    <w:p w14:paraId="483B9E9F" w14:textId="066023B3" w:rsidR="00237B67" w:rsidRPr="00237B67" w:rsidRDefault="00237B67" w:rsidP="00237B6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7B67" w:rsidRPr="00237B67" w:rsidSect="006855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DFE6" w14:textId="77777777" w:rsidR="00E80368" w:rsidRDefault="00E80368"/>
  </w:endnote>
  <w:endnote w:type="continuationSeparator" w:id="0">
    <w:p w14:paraId="14D90D85" w14:textId="77777777" w:rsidR="00E80368" w:rsidRDefault="00E80368">
      <w:pPr>
        <w:pStyle w:val="Pieddepage"/>
      </w:pPr>
    </w:p>
  </w:endnote>
  <w:endnote w:type="continuationNotice" w:id="1">
    <w:p w14:paraId="1EBC063D" w14:textId="77777777" w:rsidR="00E80368" w:rsidRPr="00C451B9" w:rsidRDefault="00E8036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1A79" w14:textId="77777777" w:rsidR="0068551B" w:rsidRPr="0068551B" w:rsidRDefault="0068551B" w:rsidP="0068551B">
    <w:pPr>
      <w:pStyle w:val="Pieddepage"/>
      <w:tabs>
        <w:tab w:val="right" w:pos="9638"/>
      </w:tabs>
    </w:pPr>
    <w:r w:rsidRPr="0068551B">
      <w:rPr>
        <w:b/>
        <w:sz w:val="18"/>
      </w:rPr>
      <w:fldChar w:fldCharType="begin"/>
    </w:r>
    <w:r w:rsidRPr="0068551B">
      <w:rPr>
        <w:b/>
        <w:sz w:val="18"/>
      </w:rPr>
      <w:instrText xml:space="preserve"> PAGE  \* MERGEFORMAT </w:instrText>
    </w:r>
    <w:r w:rsidRPr="0068551B">
      <w:rPr>
        <w:b/>
        <w:sz w:val="18"/>
      </w:rPr>
      <w:fldChar w:fldCharType="separate"/>
    </w:r>
    <w:r w:rsidRPr="0068551B">
      <w:rPr>
        <w:b/>
        <w:noProof/>
        <w:sz w:val="18"/>
      </w:rPr>
      <w:t>2</w:t>
    </w:r>
    <w:r w:rsidRPr="0068551B">
      <w:rPr>
        <w:b/>
        <w:sz w:val="18"/>
      </w:rPr>
      <w:fldChar w:fldCharType="end"/>
    </w:r>
    <w:r>
      <w:rPr>
        <w:b/>
        <w:sz w:val="18"/>
      </w:rPr>
      <w:tab/>
    </w:r>
    <w:r>
      <w:t>GE.21-01327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37C2" w14:textId="77777777" w:rsidR="0068551B" w:rsidRPr="0068551B" w:rsidRDefault="0068551B" w:rsidP="0068551B">
    <w:pPr>
      <w:pStyle w:val="Pieddepage"/>
      <w:tabs>
        <w:tab w:val="right" w:pos="9638"/>
      </w:tabs>
      <w:rPr>
        <w:b/>
        <w:sz w:val="18"/>
      </w:rPr>
    </w:pPr>
    <w:r>
      <w:t>GE.21-01327</w:t>
    </w:r>
    <w:r>
      <w:tab/>
    </w:r>
    <w:r w:rsidRPr="0068551B">
      <w:rPr>
        <w:b/>
        <w:sz w:val="18"/>
      </w:rPr>
      <w:fldChar w:fldCharType="begin"/>
    </w:r>
    <w:r w:rsidRPr="0068551B">
      <w:rPr>
        <w:b/>
        <w:sz w:val="18"/>
      </w:rPr>
      <w:instrText xml:space="preserve"> PAGE  \* MERGEFORMAT </w:instrText>
    </w:r>
    <w:r w:rsidRPr="0068551B">
      <w:rPr>
        <w:b/>
        <w:sz w:val="18"/>
      </w:rPr>
      <w:fldChar w:fldCharType="separate"/>
    </w:r>
    <w:r w:rsidRPr="0068551B">
      <w:rPr>
        <w:b/>
        <w:noProof/>
        <w:sz w:val="18"/>
      </w:rPr>
      <w:t>3</w:t>
    </w:r>
    <w:r w:rsidRPr="006855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E421" w14:textId="5AB23995" w:rsidR="00467F2C" w:rsidRPr="0068551B" w:rsidRDefault="0068551B" w:rsidP="0068551B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95352C6" wp14:editId="1C9B4F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21-01327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01A08EB" wp14:editId="61D4FF6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B67">
      <w:rPr>
        <w:sz w:val="20"/>
      </w:rPr>
      <w:t xml:space="preserve">    090322    100322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F508" w14:textId="77777777" w:rsidR="00E80368" w:rsidRPr="00D27D5E" w:rsidRDefault="00E8036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6D950D" w14:textId="77777777" w:rsidR="00E80368" w:rsidRPr="00D171D4" w:rsidRDefault="00E8036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5BBD4F99" w14:textId="77777777" w:rsidR="00E80368" w:rsidRPr="00C451B9" w:rsidRDefault="00E80368" w:rsidP="00C451B9">
      <w:pPr>
        <w:spacing w:line="240" w:lineRule="auto"/>
        <w:rPr>
          <w:sz w:val="2"/>
          <w:szCs w:val="2"/>
        </w:rPr>
      </w:pPr>
    </w:p>
  </w:footnote>
  <w:footnote w:id="2">
    <w:p w14:paraId="295BDB72" w14:textId="5A51BEEC" w:rsidR="0068551B" w:rsidRPr="00750112" w:rsidRDefault="0068551B" w:rsidP="0068551B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68551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750112">
        <w:rPr>
          <w:lang w:val="fr-FR"/>
        </w:rPr>
        <w:t>Anciens titres de l’Accord</w:t>
      </w:r>
      <w:r>
        <w:rPr>
          <w:lang w:val="fr-FR"/>
        </w:rPr>
        <w:t> </w:t>
      </w:r>
      <w:r w:rsidRPr="00750112">
        <w:rPr>
          <w:lang w:val="fr-FR"/>
        </w:rPr>
        <w:t>:</w:t>
      </w:r>
    </w:p>
    <w:p w14:paraId="43FE7FC0" w14:textId="625C9426" w:rsidR="0068551B" w:rsidRPr="00750112" w:rsidRDefault="0068551B" w:rsidP="0068551B">
      <w:pPr>
        <w:pStyle w:val="Notedebasdepage"/>
        <w:rPr>
          <w:lang w:val="fr-FR"/>
        </w:rPr>
      </w:pPr>
      <w:r w:rsidRPr="00750112">
        <w:rPr>
          <w:lang w:val="fr-FR"/>
        </w:rPr>
        <w:tab/>
      </w:r>
      <w:r w:rsidRPr="00750112"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</w:t>
      </w:r>
      <w:r w:rsidR="00EC2E2B">
        <w:rPr>
          <w:lang w:val="fr-FR"/>
        </w:rPr>
        <w:t> </w:t>
      </w:r>
      <w:r w:rsidRPr="00750112">
        <w:rPr>
          <w:lang w:val="fr-FR"/>
        </w:rPr>
        <w:t>20 mars 1958 (version originale)</w:t>
      </w:r>
      <w:r>
        <w:rPr>
          <w:lang w:val="fr-FR"/>
        </w:rPr>
        <w:t> </w:t>
      </w:r>
      <w:r w:rsidRPr="00750112">
        <w:rPr>
          <w:lang w:val="fr-FR"/>
        </w:rPr>
        <w:t>;</w:t>
      </w:r>
    </w:p>
    <w:p w14:paraId="3B8A1614" w14:textId="1577D2B4" w:rsidR="0068551B" w:rsidRPr="0068551B" w:rsidRDefault="0068551B" w:rsidP="0068551B">
      <w:pPr>
        <w:pStyle w:val="Notedebasdepage"/>
      </w:pPr>
      <w:r w:rsidRPr="00750112">
        <w:rPr>
          <w:lang w:val="fr-FR"/>
        </w:rPr>
        <w:tab/>
      </w:r>
      <w:r w:rsidRPr="00750112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D7F7" w14:textId="058DA45B" w:rsidR="0068551B" w:rsidRPr="0068551B" w:rsidRDefault="0068551B">
    <w:pPr>
      <w:pStyle w:val="En-tte"/>
      <w:rPr>
        <w:lang w:val="en-US"/>
      </w:rPr>
    </w:pPr>
    <w:r>
      <w:fldChar w:fldCharType="begin"/>
    </w:r>
    <w:r w:rsidRPr="0068551B">
      <w:rPr>
        <w:lang w:val="en-US"/>
      </w:rPr>
      <w:instrText xml:space="preserve"> TITLE  \* MERGEFORMAT </w:instrText>
    </w:r>
    <w:r>
      <w:fldChar w:fldCharType="separate"/>
    </w:r>
    <w:r w:rsidR="006126FA">
      <w:rPr>
        <w:lang w:val="en-US"/>
      </w:rPr>
      <w:t>E/ECE/324/Rev.2/Add.128/Amend.11</w:t>
    </w:r>
    <w:r>
      <w:fldChar w:fldCharType="end"/>
    </w:r>
    <w:r w:rsidRPr="0068551B">
      <w:rPr>
        <w:lang w:val="en-US"/>
      </w:rPr>
      <w:br/>
    </w:r>
    <w:r>
      <w:fldChar w:fldCharType="begin"/>
    </w:r>
    <w:r w:rsidRPr="0068551B">
      <w:rPr>
        <w:lang w:val="en-US"/>
      </w:rPr>
      <w:instrText xml:space="preserve"> KEYWORDS  \* MERGEFORMAT </w:instrText>
    </w:r>
    <w:r>
      <w:fldChar w:fldCharType="separate"/>
    </w:r>
    <w:r w:rsidR="006126FA">
      <w:rPr>
        <w:lang w:val="en-US"/>
      </w:rPr>
      <w:t>E/ECE/TRANS/505/Rev.2/Add.128/Amend.11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A54C" w14:textId="7DEFBD7D" w:rsidR="0068551B" w:rsidRPr="0068551B" w:rsidRDefault="0068551B" w:rsidP="0068551B">
    <w:pPr>
      <w:pStyle w:val="En-tte"/>
      <w:jc w:val="right"/>
      <w:rPr>
        <w:lang w:val="en-US"/>
      </w:rPr>
    </w:pPr>
    <w:r>
      <w:fldChar w:fldCharType="begin"/>
    </w:r>
    <w:r w:rsidRPr="0068551B">
      <w:rPr>
        <w:lang w:val="en-US"/>
      </w:rPr>
      <w:instrText xml:space="preserve"> TITLE  \* MERGEFORMAT </w:instrText>
    </w:r>
    <w:r>
      <w:fldChar w:fldCharType="separate"/>
    </w:r>
    <w:r w:rsidR="006126FA">
      <w:rPr>
        <w:lang w:val="en-US"/>
      </w:rPr>
      <w:t>E/ECE/324/Rev.2/Add.128/Amend.11</w:t>
    </w:r>
    <w:r>
      <w:fldChar w:fldCharType="end"/>
    </w:r>
    <w:r w:rsidRPr="0068551B">
      <w:rPr>
        <w:lang w:val="en-US"/>
      </w:rPr>
      <w:br/>
    </w:r>
    <w:r>
      <w:fldChar w:fldCharType="begin"/>
    </w:r>
    <w:r w:rsidRPr="0068551B">
      <w:rPr>
        <w:lang w:val="en-US"/>
      </w:rPr>
      <w:instrText xml:space="preserve"> KEYWORDS  \* MERGEFORMAT </w:instrText>
    </w:r>
    <w:r>
      <w:fldChar w:fldCharType="separate"/>
    </w:r>
    <w:r w:rsidR="006126FA">
      <w:rPr>
        <w:lang w:val="en-US"/>
      </w:rPr>
      <w:t>E/ECE/TRANS/505/Rev.2/Add.128/Amend.11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7B67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6FD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6FA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51B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0368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2E2B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1663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500A3E"/>
  <w15:docId w15:val="{A7212292-F958-442A-9535-49786B01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,5_G_6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,5_G_6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BE190-EAF6-4687-8845-0A14552354D9}"/>
</file>

<file path=customXml/itemProps2.xml><?xml version="1.0" encoding="utf-8"?>
<ds:datastoreItem xmlns:ds="http://schemas.openxmlformats.org/officeDocument/2006/customXml" ds:itemID="{CAF45AC1-5313-4CD5-B17A-D5CE69F565DC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3</Pages>
  <Words>444</Words>
  <Characters>2890</Characters>
  <Application>Microsoft Office Word</Application>
  <DocSecurity>0</DocSecurity>
  <Lines>289</Lines>
  <Paragraphs>196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E/ECE/324/Rev.2/Add.128/Amend.11</dc:title>
  <dc:creator>Julien OKRZESIK</dc:creator>
  <cp:keywords>E/ECE/TRANS/505/Rev.2/Add.128/Amend.11</cp:keywords>
  <cp:lastModifiedBy>Julien Okrzesik</cp:lastModifiedBy>
  <cp:revision>3</cp:revision>
  <cp:lastPrinted>2022-03-10T16:06:00Z</cp:lastPrinted>
  <dcterms:created xsi:type="dcterms:W3CDTF">2022-03-10T16:06:00Z</dcterms:created>
  <dcterms:modified xsi:type="dcterms:W3CDTF">2022-03-10T16:06:00Z</dcterms:modified>
</cp:coreProperties>
</file>