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8B22" w14:textId="77777777" w:rsidR="00A66F8F" w:rsidRPr="00A66F8F" w:rsidRDefault="00A66F8F" w:rsidP="00A66F8F"/>
    <w:p w14:paraId="36F08997" w14:textId="5F9F6AB0" w:rsidR="00E372B2" w:rsidRPr="00A762C5" w:rsidRDefault="00BA2250" w:rsidP="00FB31A7">
      <w:pPr>
        <w:pStyle w:val="ListParagraph"/>
        <w:suppressAutoHyphens w:val="0"/>
        <w:spacing w:line="276" w:lineRule="auto"/>
        <w:jc w:val="center"/>
        <w:rPr>
          <w:b/>
          <w:sz w:val="28"/>
          <w:szCs w:val="28"/>
        </w:rPr>
      </w:pPr>
      <w:bookmarkStart w:id="0" w:name="_Hlk534364985"/>
      <w:r>
        <w:rPr>
          <w:b/>
          <w:sz w:val="28"/>
          <w:szCs w:val="28"/>
        </w:rPr>
        <w:t xml:space="preserve">Discussion paper on the appropriateness </w:t>
      </w:r>
      <w:r w:rsidR="000F208A">
        <w:rPr>
          <w:b/>
          <w:sz w:val="28"/>
          <w:szCs w:val="28"/>
        </w:rPr>
        <w:t xml:space="preserve">and proportionality </w:t>
      </w:r>
      <w:r w:rsidR="000F208A">
        <w:rPr>
          <w:b/>
          <w:sz w:val="28"/>
          <w:szCs w:val="28"/>
        </w:rPr>
        <w:br/>
      </w:r>
      <w:r>
        <w:rPr>
          <w:b/>
          <w:sz w:val="28"/>
          <w:szCs w:val="28"/>
        </w:rPr>
        <w:t>of the Unique Identifier</w:t>
      </w:r>
      <w:r w:rsidR="000F208A">
        <w:rPr>
          <w:b/>
          <w:sz w:val="28"/>
          <w:szCs w:val="28"/>
        </w:rPr>
        <w:t xml:space="preserve"> marking</w:t>
      </w:r>
      <w:r>
        <w:rPr>
          <w:b/>
          <w:sz w:val="28"/>
          <w:szCs w:val="28"/>
        </w:rPr>
        <w:t xml:space="preserve"> for GRE UN Regulations.</w:t>
      </w:r>
    </w:p>
    <w:p w14:paraId="1D23F891" w14:textId="2CEE95B5" w:rsidR="008C21B8" w:rsidRPr="00A762C5" w:rsidRDefault="008C21B8" w:rsidP="00E372B2">
      <w:pPr>
        <w:pStyle w:val="ListParagraph"/>
        <w:suppressAutoHyphens w:val="0"/>
        <w:spacing w:line="276" w:lineRule="auto"/>
        <w:rPr>
          <w:b/>
          <w:sz w:val="28"/>
          <w:szCs w:val="28"/>
        </w:rPr>
      </w:pPr>
    </w:p>
    <w:bookmarkEnd w:id="0"/>
    <w:p w14:paraId="63C3A1C3" w14:textId="15D68997" w:rsidR="00AB3D9D" w:rsidRPr="00A762C5" w:rsidRDefault="00F35793" w:rsidP="00F35793">
      <w:pPr>
        <w:pStyle w:val="ListParagraph"/>
        <w:numPr>
          <w:ilvl w:val="0"/>
          <w:numId w:val="7"/>
        </w:numPr>
        <w:suppressAutoHyphens w:val="0"/>
        <w:spacing w:line="276" w:lineRule="auto"/>
        <w:rPr>
          <w:b/>
          <w:sz w:val="28"/>
          <w:szCs w:val="28"/>
        </w:rPr>
      </w:pPr>
      <w:r w:rsidRPr="00A762C5">
        <w:rPr>
          <w:b/>
          <w:sz w:val="28"/>
          <w:szCs w:val="28"/>
        </w:rPr>
        <w:t>Background</w:t>
      </w:r>
    </w:p>
    <w:p w14:paraId="1B8AED9E" w14:textId="51B2E6DB" w:rsidR="00BA2250" w:rsidRDefault="00BA2250" w:rsidP="0073572B">
      <w:pPr>
        <w:pStyle w:val="ListParagraph"/>
        <w:suppressAutoHyphens w:val="0"/>
        <w:spacing w:line="276" w:lineRule="auto"/>
      </w:pPr>
      <w:r>
        <w:t xml:space="preserve">The 1958 Agreement Revision 3 of </w:t>
      </w:r>
      <w:r w:rsidRPr="00BA2250">
        <w:t>20 October 2017</w:t>
      </w:r>
      <w:r w:rsidR="00250B09">
        <w:t xml:space="preserve"> introduced provisions on circulation of approval documentation </w:t>
      </w:r>
      <w:r w:rsidR="00250B09" w:rsidRPr="00250B09">
        <w:t xml:space="preserve">by the </w:t>
      </w:r>
      <w:r w:rsidR="00250B09">
        <w:t>“</w:t>
      </w:r>
      <w:r w:rsidR="00250B09" w:rsidRPr="00250B09">
        <w:t>secure internet database established by the United Nations Economic Commission for Europe</w:t>
      </w:r>
      <w:r w:rsidR="00250B09">
        <w:t>”. WP.29’s IWG on DETA was establish</w:t>
      </w:r>
      <w:r w:rsidR="00040186">
        <w:t>ed to develop</w:t>
      </w:r>
      <w:r w:rsidR="00250B09">
        <w:t xml:space="preserve"> this database, </w:t>
      </w:r>
      <w:r w:rsidR="00040186">
        <w:t xml:space="preserve">called </w:t>
      </w:r>
      <w:r w:rsidR="00250B09">
        <w:t>‘DETA’.</w:t>
      </w:r>
    </w:p>
    <w:p w14:paraId="3A361DF4" w14:textId="538505FC" w:rsidR="00250B09" w:rsidRDefault="00250B09" w:rsidP="0073572B">
      <w:pPr>
        <w:pStyle w:val="ListParagraph"/>
        <w:suppressAutoHyphens w:val="0"/>
        <w:spacing w:line="276" w:lineRule="auto"/>
      </w:pPr>
      <w:r>
        <w:t xml:space="preserve">The 1958 Agreement Revision 3 </w:t>
      </w:r>
      <w:r w:rsidR="00040186">
        <w:t xml:space="preserve">Schedule 5 </w:t>
      </w:r>
      <w:r>
        <w:t xml:space="preserve">stipulates that where </w:t>
      </w:r>
      <w:r w:rsidRPr="00250B09">
        <w:t xml:space="preserve">type approvals are stored on </w:t>
      </w:r>
      <w:r>
        <w:t>DETA</w:t>
      </w:r>
      <w:r w:rsidRPr="00250B09">
        <w:t xml:space="preserve">, the approval markings required by UN Regulations may be replaced by a </w:t>
      </w:r>
      <w:r>
        <w:t>‘</w:t>
      </w:r>
      <w:r w:rsidRPr="00250B09">
        <w:t>Unique Identifier</w:t>
      </w:r>
      <w:r>
        <w:t>’</w:t>
      </w:r>
      <w:r w:rsidRPr="00250B09">
        <w:t xml:space="preserve"> (</w:t>
      </w:r>
      <w:r>
        <w:t>‘</w:t>
      </w:r>
      <w:r w:rsidRPr="00250B09">
        <w:t>UI</w:t>
      </w:r>
      <w:r>
        <w:t>’</w:t>
      </w:r>
      <w:r w:rsidRPr="00250B09">
        <w:t>)</w:t>
      </w:r>
      <w:r>
        <w:t xml:space="preserve">, </w:t>
      </w:r>
      <w:r w:rsidRPr="00250B09">
        <w:t>unless specified otherwise in the UN Regulations.</w:t>
      </w:r>
    </w:p>
    <w:p w14:paraId="1CF85741" w14:textId="61564FF6" w:rsidR="00BA2250" w:rsidRPr="00A762C5" w:rsidRDefault="00250B09" w:rsidP="00661691">
      <w:pPr>
        <w:pStyle w:val="ListParagraph"/>
        <w:suppressAutoHyphens w:val="0"/>
        <w:spacing w:line="276" w:lineRule="auto"/>
      </w:pPr>
      <w:r>
        <w:t xml:space="preserve">The IWG on DETA </w:t>
      </w:r>
      <w:r w:rsidR="000F208A">
        <w:t>i</w:t>
      </w:r>
      <w:r>
        <w:t xml:space="preserve">s mandated to work on the implementation of the UI </w:t>
      </w:r>
      <w:r w:rsidR="00BA63C6">
        <w:t xml:space="preserve">within DETA </w:t>
      </w:r>
      <w:r>
        <w:t xml:space="preserve">and </w:t>
      </w:r>
      <w:r w:rsidR="00451381">
        <w:t xml:space="preserve">is </w:t>
      </w:r>
      <w:r w:rsidR="00944A41">
        <w:t xml:space="preserve">intensively </w:t>
      </w:r>
      <w:r>
        <w:t xml:space="preserve">discussing this </w:t>
      </w:r>
      <w:r w:rsidR="006F2282">
        <w:t>amongst</w:t>
      </w:r>
      <w:r>
        <w:t xml:space="preserve"> experts </w:t>
      </w:r>
      <w:r w:rsidR="00451381">
        <w:t xml:space="preserve">since </w:t>
      </w:r>
      <w:r w:rsidR="006F2282">
        <w:t>before</w:t>
      </w:r>
      <w:r>
        <w:t xml:space="preserve"> 2017.</w:t>
      </w:r>
    </w:p>
    <w:p w14:paraId="2604C36C" w14:textId="77777777" w:rsidR="0073572B" w:rsidRPr="00A762C5" w:rsidRDefault="0073572B" w:rsidP="0073572B">
      <w:pPr>
        <w:pStyle w:val="ListParagraph"/>
        <w:suppressAutoHyphens w:val="0"/>
        <w:spacing w:line="276" w:lineRule="auto"/>
      </w:pPr>
    </w:p>
    <w:p w14:paraId="67980DD3" w14:textId="33E63911" w:rsidR="00F35793" w:rsidRPr="00A762C5" w:rsidRDefault="00BA63C6" w:rsidP="00872962">
      <w:pPr>
        <w:pStyle w:val="ListParagraph"/>
        <w:numPr>
          <w:ilvl w:val="0"/>
          <w:numId w:val="7"/>
        </w:numPr>
        <w:suppressAutoHyphens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Issues with the Unique Identifier</w:t>
      </w:r>
    </w:p>
    <w:p w14:paraId="052842EF" w14:textId="7953BE74" w:rsidR="00B43B37" w:rsidRPr="00A762C5" w:rsidRDefault="00040186" w:rsidP="00B43B37">
      <w:pPr>
        <w:pStyle w:val="ListParagraph"/>
        <w:suppressAutoHyphens w:val="0"/>
        <w:spacing w:line="276" w:lineRule="auto"/>
      </w:pPr>
      <w:r>
        <w:t>T</w:t>
      </w:r>
      <w:r w:rsidR="006F2282">
        <w:t>he IWG on DETA</w:t>
      </w:r>
      <w:r w:rsidR="00522716">
        <w:t xml:space="preserve"> concluded</w:t>
      </w:r>
      <w:r w:rsidR="00B43B37" w:rsidRPr="00A762C5">
        <w:t>:</w:t>
      </w:r>
    </w:p>
    <w:p w14:paraId="5625CCB4" w14:textId="48EB9D55" w:rsidR="00E5318A" w:rsidRDefault="00BA63C6" w:rsidP="00EE53FC">
      <w:pPr>
        <w:pStyle w:val="ListParagraph"/>
        <w:numPr>
          <w:ilvl w:val="0"/>
          <w:numId w:val="8"/>
        </w:numPr>
        <w:suppressAutoHyphens w:val="0"/>
        <w:spacing w:line="276" w:lineRule="auto"/>
      </w:pPr>
      <w:r>
        <w:t>There are serious concerns about incorrect</w:t>
      </w:r>
      <w:r w:rsidR="00FD34E8">
        <w:t>ly</w:t>
      </w:r>
      <w:r>
        <w:t xml:space="preserve"> marked products for reasons of:</w:t>
      </w:r>
      <w:r>
        <w:br/>
        <w:t xml:space="preserve">a) </w:t>
      </w:r>
      <w:r w:rsidR="00244005">
        <w:t>T</w:t>
      </w:r>
      <w:r w:rsidR="006F2282">
        <w:t xml:space="preserve">he </w:t>
      </w:r>
      <w:r w:rsidR="00E5318A">
        <w:t xml:space="preserve">implementation </w:t>
      </w:r>
      <w:r w:rsidR="00254EDF">
        <w:t xml:space="preserve">of the UI concept </w:t>
      </w:r>
      <w:r w:rsidR="00FD34E8">
        <w:t>turned out to be</w:t>
      </w:r>
      <w:r w:rsidR="00E5318A">
        <w:t xml:space="preserve"> </w:t>
      </w:r>
      <w:r w:rsidR="006F2282">
        <w:t>highly complex.</w:t>
      </w:r>
      <w:r w:rsidR="00E5318A">
        <w:t xml:space="preserve"> </w:t>
      </w:r>
      <w:r w:rsidR="001A23B8">
        <w:t>One single</w:t>
      </w:r>
      <w:r w:rsidR="00E5318A">
        <w:t xml:space="preserve"> UI may replace multiple </w:t>
      </w:r>
      <w:r w:rsidR="0050415A">
        <w:t xml:space="preserve">approval </w:t>
      </w:r>
      <w:r w:rsidR="00254EDF">
        <w:t>markings</w:t>
      </w:r>
      <w:r w:rsidR="0050415A">
        <w:t xml:space="preserve"> </w:t>
      </w:r>
      <w:r w:rsidR="008279A9">
        <w:t xml:space="preserve">on a combined product, </w:t>
      </w:r>
      <w:proofErr w:type="gramStart"/>
      <w:r w:rsidR="008279A9">
        <w:t>e.g.</w:t>
      </w:r>
      <w:proofErr w:type="gramEnd"/>
      <w:r w:rsidR="008279A9">
        <w:t xml:space="preserve"> a lamp </w:t>
      </w:r>
      <w:r w:rsidR="00FD34E8">
        <w:t>component</w:t>
      </w:r>
      <w:r w:rsidR="008279A9">
        <w:t xml:space="preserve">. </w:t>
      </w:r>
      <w:r w:rsidR="00244005">
        <w:t>And t</w:t>
      </w:r>
      <w:r w:rsidR="0050415A">
        <w:t xml:space="preserve">he UI </w:t>
      </w:r>
      <w:r>
        <w:t xml:space="preserve">does </w:t>
      </w:r>
      <w:r w:rsidR="0050415A">
        <w:t xml:space="preserve">not include the series of amendments number. </w:t>
      </w:r>
      <w:r w:rsidR="008279A9">
        <w:t>As a result, i</w:t>
      </w:r>
      <w:r w:rsidR="0050415A">
        <w:t xml:space="preserve">n case of amendments to </w:t>
      </w:r>
      <w:r w:rsidR="001A23B8">
        <w:t>a</w:t>
      </w:r>
      <w:r w:rsidR="0050415A">
        <w:t xml:space="preserve"> UN Regulation and/or modifications </w:t>
      </w:r>
      <w:r w:rsidR="001A23B8">
        <w:t>to</w:t>
      </w:r>
      <w:r w:rsidR="0050415A">
        <w:t xml:space="preserve"> </w:t>
      </w:r>
      <w:r w:rsidR="00254EDF">
        <w:t>a</w:t>
      </w:r>
      <w:r w:rsidR="0050415A">
        <w:t xml:space="preserve"> product, it is very difficult for manufacturers and approval authorities </w:t>
      </w:r>
      <w:r w:rsidR="00AD0555">
        <w:t xml:space="preserve">to distinguish </w:t>
      </w:r>
      <w:r w:rsidR="00244005">
        <w:t>when</w:t>
      </w:r>
      <w:r w:rsidR="0050415A">
        <w:t xml:space="preserve"> the UI marking must be replaced by a new UI marking.</w:t>
      </w:r>
      <w:r>
        <w:br/>
        <w:t>b) I</w:t>
      </w:r>
      <w:r w:rsidR="0050415A">
        <w:t xml:space="preserve">t </w:t>
      </w:r>
      <w:r>
        <w:t>will in m</w:t>
      </w:r>
      <w:r w:rsidR="00FD34E8">
        <w:t>any</w:t>
      </w:r>
      <w:r>
        <w:t xml:space="preserve"> cases be</w:t>
      </w:r>
      <w:r w:rsidR="0050415A">
        <w:t xml:space="preserve"> impossible to check during surveillance and enforcement activities whether the correct UI marking is applied to a </w:t>
      </w:r>
      <w:r w:rsidR="00FD34E8">
        <w:t xml:space="preserve">combined </w:t>
      </w:r>
      <w:r w:rsidR="0050415A">
        <w:t>product</w:t>
      </w:r>
      <w:r w:rsidR="008279A9">
        <w:t>.</w:t>
      </w:r>
      <w:r>
        <w:br/>
        <w:t>c) I</w:t>
      </w:r>
      <w:r w:rsidR="002757A7">
        <w:t xml:space="preserve">t will not be possible for all of the cases to assign a UI number to </w:t>
      </w:r>
      <w:r w:rsidR="008279A9">
        <w:t>a product</w:t>
      </w:r>
      <w:r w:rsidR="002757A7">
        <w:t xml:space="preserve"> automatically. </w:t>
      </w:r>
      <w:r w:rsidR="00254EDF">
        <w:t>A</w:t>
      </w:r>
      <w:r w:rsidR="008279A9">
        <w:t xml:space="preserve">pproval authorities </w:t>
      </w:r>
      <w:r w:rsidR="00244005">
        <w:t xml:space="preserve">would therefore </w:t>
      </w:r>
      <w:r w:rsidR="00FD34E8">
        <w:t xml:space="preserve">need to </w:t>
      </w:r>
      <w:r w:rsidR="00244005">
        <w:t xml:space="preserve">be </w:t>
      </w:r>
      <w:r>
        <w:t>entrusted with</w:t>
      </w:r>
      <w:r w:rsidR="002757A7">
        <w:t xml:space="preserve"> burdensome and error-prone activities</w:t>
      </w:r>
      <w:r>
        <w:t xml:space="preserve"> for manually generating a UI number within DETA</w:t>
      </w:r>
      <w:r w:rsidR="002757A7">
        <w:t>.</w:t>
      </w:r>
      <w:r w:rsidR="008279A9">
        <w:br/>
        <w:t>Details about the UI principles and complexity can be foun</w:t>
      </w:r>
      <w:r w:rsidR="001A23B8">
        <w:t>d</w:t>
      </w:r>
      <w:r w:rsidR="008279A9">
        <w:t xml:space="preserve"> in </w:t>
      </w:r>
      <w:r w:rsidR="001A23B8">
        <w:t>the draft</w:t>
      </w:r>
      <w:r w:rsidR="008279A9">
        <w:t xml:space="preserve"> ‘</w:t>
      </w:r>
      <w:r w:rsidR="008279A9" w:rsidRPr="00E5318A">
        <w:t>Proposal for specifications and application guidelines for the Unique Identifier (UI) module</w:t>
      </w:r>
      <w:r w:rsidR="008279A9">
        <w:t xml:space="preserve">’ </w:t>
      </w:r>
      <w:hyperlink r:id="rId10" w:history="1">
        <w:r w:rsidR="008279A9" w:rsidRPr="00E5318A">
          <w:rPr>
            <w:rStyle w:val="Hyperlink"/>
          </w:rPr>
          <w:t>DETA-45-05e rev1</w:t>
        </w:r>
      </w:hyperlink>
      <w:r w:rsidR="004D3F77">
        <w:t xml:space="preserve"> and the draft Q&amp;A </w:t>
      </w:r>
      <w:hyperlink r:id="rId11" w:history="1">
        <w:r w:rsidR="004D3F77" w:rsidRPr="004D3F77">
          <w:rPr>
            <w:rStyle w:val="Hyperlink"/>
          </w:rPr>
          <w:t>DETA-45-04 rev1</w:t>
        </w:r>
      </w:hyperlink>
      <w:r w:rsidR="008279A9" w:rsidRPr="00A762C5">
        <w:t>.</w:t>
      </w:r>
    </w:p>
    <w:p w14:paraId="44194862" w14:textId="6CBBBF67" w:rsidR="00EE53FC" w:rsidRPr="00A762C5" w:rsidRDefault="002757A7" w:rsidP="00BE028B">
      <w:pPr>
        <w:pStyle w:val="ListParagraph"/>
        <w:numPr>
          <w:ilvl w:val="0"/>
          <w:numId w:val="8"/>
        </w:numPr>
        <w:suppressAutoHyphens w:val="0"/>
        <w:spacing w:line="276" w:lineRule="auto"/>
      </w:pPr>
      <w:r>
        <w:t>In many UN Regulations</w:t>
      </w:r>
      <w:r w:rsidR="00244005">
        <w:t>,</w:t>
      </w:r>
      <w:r>
        <w:t xml:space="preserve"> additional marking</w:t>
      </w:r>
      <w:r w:rsidR="00661691">
        <w:t>s</w:t>
      </w:r>
      <w:r>
        <w:t xml:space="preserve"> are part of the product marking, </w:t>
      </w:r>
      <w:proofErr w:type="gramStart"/>
      <w:r>
        <w:t>e.g.</w:t>
      </w:r>
      <w:proofErr w:type="gramEnd"/>
      <w:r>
        <w:t xml:space="preserve"> </w:t>
      </w:r>
      <w:r w:rsidR="00625598">
        <w:t xml:space="preserve">for lamp </w:t>
      </w:r>
      <w:r w:rsidR="00FD34E8">
        <w:t>components</w:t>
      </w:r>
      <w:r w:rsidR="00625598">
        <w:t xml:space="preserve"> </w:t>
      </w:r>
      <w:r w:rsidR="00661691">
        <w:t xml:space="preserve">as regards </w:t>
      </w:r>
      <w:r w:rsidR="00625598">
        <w:t xml:space="preserve">different functions included in the device and possible restrictions in mounting position. With the UI marking, this </w:t>
      </w:r>
      <w:r w:rsidR="00625598" w:rsidRPr="00625598">
        <w:t xml:space="preserve">information </w:t>
      </w:r>
      <w:r w:rsidR="00244005">
        <w:t>may</w:t>
      </w:r>
      <w:r w:rsidR="00625598" w:rsidRPr="00625598">
        <w:t xml:space="preserve"> no longer </w:t>
      </w:r>
      <w:r w:rsidR="00244005">
        <w:t xml:space="preserve">be </w:t>
      </w:r>
      <w:r w:rsidR="00625598" w:rsidRPr="00625598">
        <w:t>present</w:t>
      </w:r>
      <w:r w:rsidR="00625598">
        <w:t xml:space="preserve"> </w:t>
      </w:r>
      <w:r w:rsidR="00625598" w:rsidRPr="00625598">
        <w:t>on the product</w:t>
      </w:r>
      <w:r w:rsidR="00625598">
        <w:t xml:space="preserve">. This may </w:t>
      </w:r>
      <w:r w:rsidR="00451381">
        <w:t>cause</w:t>
      </w:r>
      <w:r w:rsidR="00625598">
        <w:t xml:space="preserve"> serious </w:t>
      </w:r>
      <w:r w:rsidR="00FD34E8">
        <w:t>issues</w:t>
      </w:r>
      <w:r w:rsidR="00625598">
        <w:t xml:space="preserve"> in workshops and during surveillance and enforcement activities, incl</w:t>
      </w:r>
      <w:r w:rsidR="00FD34E8">
        <w:t>uding</w:t>
      </w:r>
      <w:r w:rsidR="00625598">
        <w:t xml:space="preserve"> PTI.</w:t>
      </w:r>
      <w:r w:rsidR="00BE028B">
        <w:br/>
        <w:t xml:space="preserve">Alternatives which the IWG on DETA </w:t>
      </w:r>
      <w:r w:rsidR="00661691">
        <w:t>explored</w:t>
      </w:r>
      <w:r w:rsidR="00BE028B">
        <w:t xml:space="preserve"> to deal with this particular situation </w:t>
      </w:r>
      <w:r w:rsidR="00244005">
        <w:t>would introduce</w:t>
      </w:r>
      <w:r w:rsidR="00661691">
        <w:t xml:space="preserve"> </w:t>
      </w:r>
      <w:r w:rsidR="00BE028B">
        <w:t>new complexities.</w:t>
      </w:r>
    </w:p>
    <w:p w14:paraId="45C5508F" w14:textId="59A7E2DE" w:rsidR="00413930" w:rsidRDefault="00A23162" w:rsidP="004836C7">
      <w:pPr>
        <w:pStyle w:val="ListParagraph"/>
        <w:numPr>
          <w:ilvl w:val="0"/>
          <w:numId w:val="8"/>
        </w:numPr>
        <w:suppressAutoHyphens w:val="0"/>
        <w:spacing w:line="276" w:lineRule="auto"/>
      </w:pPr>
      <w:r>
        <w:t xml:space="preserve">There is no financing to develop the UI functionality. </w:t>
      </w:r>
      <w:r w:rsidR="00BE028B">
        <w:t>Potential sponsors from industry announced</w:t>
      </w:r>
      <w:r>
        <w:t>, after the IWG on DETA discussions,</w:t>
      </w:r>
      <w:r w:rsidR="00BE028B">
        <w:t xml:space="preserve"> that their </w:t>
      </w:r>
      <w:r>
        <w:t xml:space="preserve">previous </w:t>
      </w:r>
      <w:r w:rsidR="00BE028B">
        <w:t>offer to (</w:t>
      </w:r>
      <w:r w:rsidR="00BE028B" w:rsidRPr="00BE028B">
        <w:t>co-</w:t>
      </w:r>
      <w:r w:rsidR="00BE028B">
        <w:t>)</w:t>
      </w:r>
      <w:r w:rsidR="00BE028B" w:rsidRPr="00BE028B">
        <w:t xml:space="preserve">sponsor the UI functionality was frozen and </w:t>
      </w:r>
      <w:r w:rsidR="00BE028B">
        <w:t>t</w:t>
      </w:r>
      <w:r w:rsidR="00254EDF">
        <w:t xml:space="preserve">hey </w:t>
      </w:r>
      <w:proofErr w:type="gramStart"/>
      <w:r w:rsidR="00254EDF">
        <w:t>would</w:t>
      </w:r>
      <w:r w:rsidR="00BE028B">
        <w:t xml:space="preserve"> </w:t>
      </w:r>
      <w:r w:rsidR="00BE028B" w:rsidRPr="00BE028B">
        <w:t xml:space="preserve">first </w:t>
      </w:r>
      <w:r>
        <w:t>would</w:t>
      </w:r>
      <w:proofErr w:type="gramEnd"/>
      <w:r>
        <w:t xml:space="preserve"> need to understand</w:t>
      </w:r>
      <w:r w:rsidR="00BE028B" w:rsidRPr="00BE028B">
        <w:t xml:space="preserve"> the benefits of the UI concept before deciding on any sponsoring.</w:t>
      </w:r>
    </w:p>
    <w:p w14:paraId="39843794" w14:textId="77777777" w:rsidR="00413930" w:rsidRDefault="00413930" w:rsidP="00C255A8">
      <w:pPr>
        <w:suppressAutoHyphens w:val="0"/>
        <w:spacing w:line="276" w:lineRule="auto"/>
        <w:ind w:left="720"/>
      </w:pPr>
    </w:p>
    <w:p w14:paraId="6AB2A866" w14:textId="5CBDCDC2" w:rsidR="00A23162" w:rsidRDefault="00661691" w:rsidP="00661691">
      <w:pPr>
        <w:pStyle w:val="ListParagraph"/>
        <w:suppressAutoHyphens w:val="0"/>
        <w:spacing w:line="276" w:lineRule="auto"/>
      </w:pPr>
      <w:r>
        <w:t>For th</w:t>
      </w:r>
      <w:r w:rsidR="00244005">
        <w:t>ese</w:t>
      </w:r>
      <w:r>
        <w:t xml:space="preserve"> reason</w:t>
      </w:r>
      <w:r w:rsidR="00244005">
        <w:t>s</w:t>
      </w:r>
      <w:r>
        <w:t>, the IWG on DETA, as approved by WP.29</w:t>
      </w:r>
      <w:r w:rsidR="002B3B87">
        <w:t xml:space="preserve"> during its 188th session </w:t>
      </w:r>
      <w:r w:rsidR="00A23162">
        <w:t xml:space="preserve">in </w:t>
      </w:r>
      <w:r w:rsidR="002B3B87" w:rsidRPr="002B3B87">
        <w:t>November 2022</w:t>
      </w:r>
      <w:r>
        <w:t xml:space="preserve">, forwarded document </w:t>
      </w:r>
      <w:hyperlink r:id="rId12" w:history="1">
        <w:r w:rsidRPr="00661691">
          <w:rPr>
            <w:rStyle w:val="Hyperlink"/>
          </w:rPr>
          <w:t>WP.29-188-20</w:t>
        </w:r>
      </w:hyperlink>
      <w:r>
        <w:t xml:space="preserve"> to all bodies </w:t>
      </w:r>
      <w:r w:rsidR="00A23162">
        <w:t xml:space="preserve">subsidiary </w:t>
      </w:r>
      <w:r>
        <w:t>to WP.29</w:t>
      </w:r>
      <w:r w:rsidR="007467D2">
        <w:t xml:space="preserve"> to invite them </w:t>
      </w:r>
      <w:r>
        <w:t>screen</w:t>
      </w:r>
      <w:r w:rsidR="00451381">
        <w:t>ing</w:t>
      </w:r>
      <w:r>
        <w:t xml:space="preserve"> the UN Regulations under their purview for the appropriateness of the UI marking.</w:t>
      </w:r>
    </w:p>
    <w:p w14:paraId="07866698" w14:textId="77777777" w:rsidR="00A23162" w:rsidRDefault="007467D2" w:rsidP="00A23162">
      <w:pPr>
        <w:pStyle w:val="ListParagraph"/>
        <w:suppressAutoHyphens w:val="0"/>
        <w:spacing w:line="276" w:lineRule="auto"/>
      </w:pPr>
      <w:r>
        <w:t xml:space="preserve">These bodies </w:t>
      </w:r>
      <w:r w:rsidR="00670DAD">
        <w:t>considered</w:t>
      </w:r>
      <w:r w:rsidRPr="007467D2">
        <w:t xml:space="preserve"> that additional marking information, useful to consumers, workshops and authorities for </w:t>
      </w:r>
      <w:proofErr w:type="gramStart"/>
      <w:r w:rsidRPr="007467D2">
        <w:t>e.g.</w:t>
      </w:r>
      <w:proofErr w:type="gramEnd"/>
      <w:r w:rsidRPr="007467D2">
        <w:t xml:space="preserve"> maintenance, surveillance and enforcement activities </w:t>
      </w:r>
      <w:r>
        <w:t>would potentially</w:t>
      </w:r>
      <w:r w:rsidRPr="007467D2">
        <w:t xml:space="preserve"> not be </w:t>
      </w:r>
      <w:r w:rsidR="00670DAD">
        <w:t>available</w:t>
      </w:r>
      <w:r w:rsidRPr="007467D2">
        <w:t xml:space="preserve"> on the product anymore</w:t>
      </w:r>
      <w:r w:rsidR="000F208A">
        <w:t xml:space="preserve">. They </w:t>
      </w:r>
      <w:r w:rsidRPr="007467D2">
        <w:t xml:space="preserve">also expected limited or no benefits from the UI marking for most </w:t>
      </w:r>
      <w:r>
        <w:t xml:space="preserve">of the </w:t>
      </w:r>
      <w:r w:rsidRPr="007467D2">
        <w:t xml:space="preserve">UN Regulations. For that reason, </w:t>
      </w:r>
      <w:r>
        <w:t xml:space="preserve">they </w:t>
      </w:r>
      <w:r w:rsidRPr="007467D2">
        <w:t xml:space="preserve">basically </w:t>
      </w:r>
      <w:r w:rsidR="00661691">
        <w:t>agreed to a general ban of the UI marking for all UN Regulations under their purview.</w:t>
      </w:r>
      <w:r w:rsidR="00A23162">
        <w:br/>
      </w:r>
      <w:r w:rsidR="00661691">
        <w:t>This was except for GRE that considered that the UI marking would be needed for UNR65, 148, 149 and 150.</w:t>
      </w:r>
      <w:r w:rsidR="00A23162">
        <w:t xml:space="preserve"> </w:t>
      </w:r>
    </w:p>
    <w:p w14:paraId="0A9800FE" w14:textId="6AA4FE4D" w:rsidR="001F0961" w:rsidRDefault="00661691" w:rsidP="00A23162">
      <w:pPr>
        <w:pStyle w:val="ListParagraph"/>
        <w:suppressAutoHyphens w:val="0"/>
        <w:spacing w:line="276" w:lineRule="auto"/>
      </w:pPr>
      <w:r>
        <w:lastRenderedPageBreak/>
        <w:t xml:space="preserve">The IWG on DETA discussed these results </w:t>
      </w:r>
      <w:r w:rsidR="00522716">
        <w:t xml:space="preserve">during its 48th session in November 2023 </w:t>
      </w:r>
      <w:r>
        <w:t xml:space="preserve">and concluded that this would mean that the </w:t>
      </w:r>
      <w:r w:rsidR="007467D2">
        <w:t xml:space="preserve">full </w:t>
      </w:r>
      <w:r>
        <w:t>UI concept</w:t>
      </w:r>
      <w:r w:rsidR="00A23162">
        <w:t xml:space="preserve">, with </w:t>
      </w:r>
      <w:r w:rsidR="00683461">
        <w:t>all consequences</w:t>
      </w:r>
      <w:r w:rsidR="00A23162">
        <w:t xml:space="preserve"> outlined above,</w:t>
      </w:r>
      <w:r>
        <w:t xml:space="preserve"> would need to be developed and implemented for only these </w:t>
      </w:r>
      <w:r w:rsidR="007467D2">
        <w:t>few GRE</w:t>
      </w:r>
      <w:r>
        <w:t xml:space="preserve"> UN Regulations.</w:t>
      </w:r>
    </w:p>
    <w:p w14:paraId="0DEA46BD" w14:textId="77777777" w:rsidR="007467D2" w:rsidRPr="00A762C5" w:rsidRDefault="007467D2" w:rsidP="001F0961">
      <w:pPr>
        <w:pStyle w:val="ListParagraph"/>
        <w:suppressAutoHyphens w:val="0"/>
        <w:spacing w:line="276" w:lineRule="auto"/>
      </w:pPr>
    </w:p>
    <w:p w14:paraId="03D613C2" w14:textId="7B3565E8" w:rsidR="00F35793" w:rsidRPr="00A762C5" w:rsidRDefault="00A23162" w:rsidP="00F35793">
      <w:pPr>
        <w:pStyle w:val="ListParagraph"/>
        <w:numPr>
          <w:ilvl w:val="0"/>
          <w:numId w:val="7"/>
        </w:numPr>
        <w:suppressAutoHyphens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Discussion topic for GRE</w:t>
      </w:r>
    </w:p>
    <w:p w14:paraId="2F987091" w14:textId="3C8EB8CD" w:rsidR="007467D2" w:rsidRPr="00A762C5" w:rsidRDefault="00D919DE" w:rsidP="007467D2">
      <w:pPr>
        <w:pStyle w:val="ListParagraph"/>
        <w:suppressAutoHyphens w:val="0"/>
        <w:spacing w:line="276" w:lineRule="auto"/>
      </w:pPr>
      <w:r>
        <w:t>On request of the IWG on DETA, WP.29, during</w:t>
      </w:r>
      <w:r w:rsidR="007467D2">
        <w:t xml:space="preserve"> </w:t>
      </w:r>
      <w:r>
        <w:t xml:space="preserve">its 191st session in </w:t>
      </w:r>
      <w:r w:rsidR="007467D2">
        <w:t xml:space="preserve">November 2023, invited GRE to consider the </w:t>
      </w:r>
      <w:r w:rsidR="00670DAD">
        <w:t xml:space="preserve">appropriateness of the </w:t>
      </w:r>
      <w:r w:rsidR="007467D2">
        <w:t xml:space="preserve">UI marking again for UNR65, 148, 149 and 150, especially </w:t>
      </w:r>
      <w:proofErr w:type="gramStart"/>
      <w:r w:rsidR="007467D2">
        <w:t>taking into account</w:t>
      </w:r>
      <w:proofErr w:type="gramEnd"/>
      <w:r w:rsidR="007467D2">
        <w:t xml:space="preserve"> all potential consequences including implementation costs and to consider whether alternative marking solutions, like simplified dedicated E-markings, would be more proportionate.</w:t>
      </w:r>
    </w:p>
    <w:p w14:paraId="20C1D652" w14:textId="77777777" w:rsidR="00D919DE" w:rsidRDefault="00D919DE" w:rsidP="006F5F63">
      <w:pPr>
        <w:suppressAutoHyphens w:val="0"/>
        <w:spacing w:line="276" w:lineRule="auto"/>
        <w:ind w:left="720"/>
      </w:pPr>
    </w:p>
    <w:p w14:paraId="08B1E062" w14:textId="34B857C5" w:rsidR="00D919DE" w:rsidRDefault="00D919DE" w:rsidP="006F5F63">
      <w:pPr>
        <w:suppressAutoHyphens w:val="0"/>
        <w:spacing w:line="276" w:lineRule="auto"/>
        <w:ind w:left="720"/>
      </w:pPr>
      <w:r>
        <w:t xml:space="preserve">This discussion paper aims </w:t>
      </w:r>
      <w:r w:rsidR="00831967">
        <w:t>at</w:t>
      </w:r>
      <w:r>
        <w:t xml:space="preserve"> support</w:t>
      </w:r>
      <w:r w:rsidR="00831967">
        <w:t>ing</w:t>
      </w:r>
      <w:r>
        <w:t xml:space="preserve"> this invitation to the </w:t>
      </w:r>
      <w:r w:rsidRPr="00D919DE">
        <w:t xml:space="preserve">90th </w:t>
      </w:r>
      <w:r>
        <w:t xml:space="preserve">session of </w:t>
      </w:r>
      <w:r w:rsidRPr="00D919DE">
        <w:t>GRE</w:t>
      </w:r>
      <w:r>
        <w:t xml:space="preserve"> and provid</w:t>
      </w:r>
      <w:r w:rsidR="00831967">
        <w:t>ing</w:t>
      </w:r>
      <w:r>
        <w:t xml:space="preserve"> additional information on the consequences of the UI marking as outlined at 2 above.</w:t>
      </w:r>
    </w:p>
    <w:p w14:paraId="3F259DBC" w14:textId="77777777" w:rsidR="00C255A8" w:rsidRDefault="00C255A8" w:rsidP="00C255A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10973F" w14:textId="324E48D1" w:rsidR="00C255A8" w:rsidRDefault="00C255A8" w:rsidP="00C255A8">
      <w:pPr>
        <w:suppressAutoHyphens w:val="0"/>
        <w:spacing w:line="276" w:lineRule="auto"/>
      </w:pPr>
    </w:p>
    <w:sectPr w:rsidR="00C255A8" w:rsidSect="00AB3D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770" w:right="1134" w:bottom="1134" w:left="1134" w:header="709" w:footer="4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FD97" w14:textId="77777777" w:rsidR="00072632" w:rsidRDefault="00072632" w:rsidP="002E0688">
      <w:pPr>
        <w:spacing w:line="240" w:lineRule="auto"/>
      </w:pPr>
      <w:r>
        <w:separator/>
      </w:r>
    </w:p>
  </w:endnote>
  <w:endnote w:type="continuationSeparator" w:id="0">
    <w:p w14:paraId="5DDF5975" w14:textId="77777777" w:rsidR="00072632" w:rsidRDefault="00072632" w:rsidP="002E06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93C1" w14:textId="77777777" w:rsidR="00E00698" w:rsidRPr="0020417D" w:rsidRDefault="00C00D37" w:rsidP="0020417D">
    <w:pPr>
      <w:pStyle w:val="Footer"/>
      <w:tabs>
        <w:tab w:val="right" w:pos="9638"/>
      </w:tabs>
      <w:rPr>
        <w:sz w:val="18"/>
      </w:rPr>
    </w:pPr>
    <w:r w:rsidRPr="0020417D">
      <w:rPr>
        <w:b/>
        <w:sz w:val="18"/>
      </w:rPr>
      <w:fldChar w:fldCharType="begin"/>
    </w:r>
    <w:r w:rsidRPr="0020417D">
      <w:rPr>
        <w:b/>
        <w:sz w:val="18"/>
      </w:rPr>
      <w:instrText xml:space="preserve"> PAGE  \* MERGEFORMAT </w:instrText>
    </w:r>
    <w:r w:rsidRPr="0020417D">
      <w:rPr>
        <w:b/>
        <w:sz w:val="18"/>
      </w:rPr>
      <w:fldChar w:fldCharType="separate"/>
    </w:r>
    <w:r>
      <w:rPr>
        <w:b/>
        <w:noProof/>
        <w:sz w:val="18"/>
      </w:rPr>
      <w:t>56</w:t>
    </w:r>
    <w:r w:rsidRPr="0020417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3A19" w14:textId="1232AEAC" w:rsidR="00E00698" w:rsidRPr="0020417D" w:rsidRDefault="00C00D37" w:rsidP="0020417D">
    <w:pPr>
      <w:pStyle w:val="Footer"/>
      <w:tabs>
        <w:tab w:val="right" w:pos="9638"/>
      </w:tabs>
      <w:rPr>
        <w:b/>
        <w:sz w:val="18"/>
      </w:rPr>
    </w:pPr>
    <w:r>
      <w:tab/>
    </w:r>
    <w:r w:rsidRPr="0020417D">
      <w:rPr>
        <w:b/>
        <w:sz w:val="18"/>
      </w:rPr>
      <w:fldChar w:fldCharType="begin"/>
    </w:r>
    <w:r w:rsidRPr="0020417D">
      <w:rPr>
        <w:b/>
        <w:sz w:val="18"/>
      </w:rPr>
      <w:instrText xml:space="preserve"> PAGE  \* MERGEFORMAT </w:instrText>
    </w:r>
    <w:r w:rsidRPr="0020417D">
      <w:rPr>
        <w:b/>
        <w:sz w:val="18"/>
      </w:rPr>
      <w:fldChar w:fldCharType="separate"/>
    </w:r>
    <w:r w:rsidR="008C21B8">
      <w:rPr>
        <w:b/>
        <w:noProof/>
        <w:sz w:val="18"/>
      </w:rPr>
      <w:t>2</w:t>
    </w:r>
    <w:r w:rsidRPr="002041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F0B4" w14:textId="0387993C" w:rsidR="00E00698" w:rsidRPr="009C6390" w:rsidRDefault="00C00D37" w:rsidP="00BE23FC">
    <w:pPr>
      <w:pStyle w:val="Footer"/>
      <w:jc w:val="right"/>
      <w:rPr>
        <w:b/>
        <w:sz w:val="18"/>
        <w:szCs w:val="18"/>
      </w:rPr>
    </w:pPr>
    <w:r w:rsidRPr="0053705F">
      <w:rPr>
        <w:b/>
        <w:sz w:val="18"/>
        <w:szCs w:val="18"/>
      </w:rPr>
      <w:fldChar w:fldCharType="begin"/>
    </w:r>
    <w:r w:rsidRPr="0053705F">
      <w:rPr>
        <w:b/>
        <w:sz w:val="18"/>
        <w:szCs w:val="18"/>
      </w:rPr>
      <w:instrText xml:space="preserve"> PAGE   \* MERGEFORMAT </w:instrText>
    </w:r>
    <w:r w:rsidRPr="0053705F">
      <w:rPr>
        <w:b/>
        <w:sz w:val="18"/>
        <w:szCs w:val="18"/>
      </w:rPr>
      <w:fldChar w:fldCharType="separate"/>
    </w:r>
    <w:r w:rsidR="008C21B8">
      <w:rPr>
        <w:b/>
        <w:noProof/>
        <w:sz w:val="18"/>
        <w:szCs w:val="18"/>
      </w:rPr>
      <w:t>1</w:t>
    </w:r>
    <w:r w:rsidRPr="0053705F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18EA2" w14:textId="77777777" w:rsidR="00072632" w:rsidRDefault="00072632" w:rsidP="002E0688">
      <w:pPr>
        <w:spacing w:line="240" w:lineRule="auto"/>
      </w:pPr>
      <w:r>
        <w:separator/>
      </w:r>
    </w:p>
  </w:footnote>
  <w:footnote w:type="continuationSeparator" w:id="0">
    <w:p w14:paraId="7795980E" w14:textId="77777777" w:rsidR="00072632" w:rsidRDefault="00072632" w:rsidP="002E06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F156" w14:textId="77777777" w:rsidR="00E00698" w:rsidRPr="0020417D" w:rsidRDefault="00C00D37">
    <w:pPr>
      <w:pStyle w:val="Header"/>
    </w:pPr>
    <w:r>
      <w:t>ECE/TRANS/WP.29/1129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44D8" w14:textId="77777777" w:rsidR="00AB3D9D" w:rsidRDefault="00AB3D9D" w:rsidP="00AB3D9D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AB3D9D" w:rsidRPr="00F852D3" w14:paraId="591B6A51" w14:textId="77777777" w:rsidTr="006700D9">
      <w:trPr>
        <w:trHeight w:val="709"/>
      </w:trPr>
      <w:tc>
        <w:tcPr>
          <w:tcW w:w="4814" w:type="dxa"/>
        </w:tcPr>
        <w:p w14:paraId="3262AFB4" w14:textId="76BBD65F" w:rsidR="00AB3D9D" w:rsidRPr="00F852D3" w:rsidRDefault="00F852D3" w:rsidP="00F852D3">
          <w:pPr>
            <w:pStyle w:val="Header"/>
            <w:pBdr>
              <w:bottom w:val="none" w:sz="0" w:space="0" w:color="auto"/>
            </w:pBdr>
            <w:rPr>
              <w:b w:val="0"/>
              <w:bCs/>
              <w:sz w:val="20"/>
              <w:lang w:val="en-US"/>
            </w:rPr>
          </w:pPr>
          <w:r w:rsidRPr="00F852D3">
            <w:rPr>
              <w:b w:val="0"/>
              <w:bCs/>
              <w:sz w:val="20"/>
              <w:lang w:val="en-US"/>
            </w:rPr>
            <w:t xml:space="preserve">Submitted by the </w:t>
          </w:r>
          <w:r w:rsidR="00BA2250">
            <w:rPr>
              <w:b w:val="0"/>
              <w:bCs/>
              <w:sz w:val="20"/>
              <w:lang w:val="en-US"/>
            </w:rPr>
            <w:t>IWG on DETA</w:t>
          </w:r>
        </w:p>
      </w:tc>
      <w:tc>
        <w:tcPr>
          <w:tcW w:w="4815" w:type="dxa"/>
        </w:tcPr>
        <w:p w14:paraId="0EFB4890" w14:textId="2EF1EB10" w:rsidR="00AB3D9D" w:rsidRPr="006700D9" w:rsidRDefault="00AB3D9D" w:rsidP="00D712B4">
          <w:pPr>
            <w:pStyle w:val="Header"/>
            <w:pBdr>
              <w:bottom w:val="none" w:sz="0" w:space="0" w:color="auto"/>
            </w:pBdr>
            <w:jc w:val="right"/>
            <w:rPr>
              <w:b w:val="0"/>
              <w:bCs/>
              <w:sz w:val="20"/>
              <w:lang w:val="en-US"/>
            </w:rPr>
          </w:pPr>
          <w:r w:rsidRPr="006700D9">
            <w:rPr>
              <w:b w:val="0"/>
              <w:bCs/>
              <w:sz w:val="20"/>
              <w:lang w:val="en-US"/>
            </w:rPr>
            <w:t>Informal document GR</w:t>
          </w:r>
          <w:r w:rsidR="00BA2250" w:rsidRPr="006700D9">
            <w:rPr>
              <w:b w:val="0"/>
              <w:bCs/>
              <w:sz w:val="20"/>
              <w:lang w:val="en-US"/>
            </w:rPr>
            <w:t>E</w:t>
          </w:r>
          <w:r w:rsidR="00C6447A" w:rsidRPr="006700D9">
            <w:rPr>
              <w:b w:val="0"/>
              <w:bCs/>
              <w:sz w:val="20"/>
              <w:lang w:val="en-US"/>
            </w:rPr>
            <w:t>-</w:t>
          </w:r>
          <w:r w:rsidR="00BA2250" w:rsidRPr="006700D9">
            <w:rPr>
              <w:b w:val="0"/>
              <w:bCs/>
              <w:sz w:val="20"/>
              <w:lang w:val="en-US"/>
            </w:rPr>
            <w:t>90</w:t>
          </w:r>
          <w:r w:rsidR="00C6447A" w:rsidRPr="006700D9">
            <w:rPr>
              <w:b w:val="0"/>
              <w:bCs/>
              <w:sz w:val="20"/>
              <w:lang w:val="en-US"/>
            </w:rPr>
            <w:t>-</w:t>
          </w:r>
          <w:r w:rsidR="006700D9" w:rsidRPr="006700D9">
            <w:rPr>
              <w:b w:val="0"/>
              <w:bCs/>
              <w:sz w:val="20"/>
              <w:lang w:val="en-US"/>
            </w:rPr>
            <w:t>04</w:t>
          </w:r>
          <w:r w:rsidR="00D712B4" w:rsidRPr="006700D9">
            <w:rPr>
              <w:b w:val="0"/>
              <w:bCs/>
              <w:sz w:val="20"/>
              <w:lang w:val="en-US"/>
            </w:rPr>
            <w:t xml:space="preserve"> </w:t>
          </w:r>
          <w:r w:rsidRPr="006700D9">
            <w:rPr>
              <w:b w:val="0"/>
              <w:bCs/>
              <w:sz w:val="20"/>
              <w:lang w:val="en-US"/>
            </w:rPr>
            <w:br/>
          </w:r>
          <w:r w:rsidR="00F852D3" w:rsidRPr="006700D9">
            <w:rPr>
              <w:b w:val="0"/>
              <w:bCs/>
              <w:sz w:val="20"/>
              <w:lang w:val="en-US"/>
            </w:rPr>
            <w:t>(</w:t>
          </w:r>
          <w:r w:rsidR="00BA2250" w:rsidRPr="006700D9">
            <w:rPr>
              <w:b w:val="0"/>
              <w:bCs/>
              <w:sz w:val="20"/>
              <w:lang w:val="en-US"/>
            </w:rPr>
            <w:t>90</w:t>
          </w:r>
          <w:r w:rsidR="00F852D3" w:rsidRPr="006700D9">
            <w:rPr>
              <w:b w:val="0"/>
              <w:bCs/>
              <w:sz w:val="20"/>
              <w:lang w:val="en-US"/>
            </w:rPr>
            <w:t>th</w:t>
          </w:r>
          <w:r w:rsidR="004344AC" w:rsidRPr="006700D9">
            <w:rPr>
              <w:b w:val="0"/>
              <w:bCs/>
              <w:sz w:val="20"/>
              <w:lang w:val="en-US"/>
            </w:rPr>
            <w:t xml:space="preserve"> GR</w:t>
          </w:r>
          <w:r w:rsidR="00BA2250" w:rsidRPr="006700D9">
            <w:rPr>
              <w:b w:val="0"/>
              <w:bCs/>
              <w:sz w:val="20"/>
              <w:lang w:val="en-US"/>
            </w:rPr>
            <w:t>E</w:t>
          </w:r>
          <w:r w:rsidR="004344AC" w:rsidRPr="006700D9">
            <w:rPr>
              <w:b w:val="0"/>
              <w:bCs/>
              <w:sz w:val="20"/>
              <w:lang w:val="en-US"/>
            </w:rPr>
            <w:t xml:space="preserve">, </w:t>
          </w:r>
          <w:r w:rsidR="00BA2250" w:rsidRPr="006700D9">
            <w:rPr>
              <w:b w:val="0"/>
              <w:bCs/>
              <w:sz w:val="20"/>
              <w:lang w:val="en-US"/>
            </w:rPr>
            <w:t>29 April - 03 May 2024</w:t>
          </w:r>
          <w:r w:rsidR="006479B0" w:rsidRPr="006700D9">
            <w:rPr>
              <w:b w:val="0"/>
              <w:bCs/>
              <w:sz w:val="20"/>
              <w:lang w:val="en-US"/>
            </w:rPr>
            <w:br/>
          </w:r>
          <w:r w:rsidR="006479B0" w:rsidRPr="006700D9">
            <w:rPr>
              <w:b w:val="0"/>
              <w:bCs/>
              <w:sz w:val="20"/>
            </w:rPr>
            <w:t xml:space="preserve">Agenda item </w:t>
          </w:r>
          <w:r w:rsidR="00D33EC2">
            <w:rPr>
              <w:b w:val="0"/>
              <w:bCs/>
              <w:sz w:val="20"/>
            </w:rPr>
            <w:t>4</w:t>
          </w:r>
          <w:r w:rsidR="006479B0" w:rsidRPr="006700D9">
            <w:rPr>
              <w:b w:val="0"/>
              <w:bCs/>
              <w:sz w:val="20"/>
            </w:rPr>
            <w:t>)</w:t>
          </w:r>
        </w:p>
      </w:tc>
    </w:tr>
  </w:tbl>
  <w:p w14:paraId="5D422E78" w14:textId="77777777" w:rsidR="00AB3D9D" w:rsidRPr="00F852D3" w:rsidRDefault="00AB3D9D" w:rsidP="00A11D0E">
    <w:pPr>
      <w:pStyle w:val="Header"/>
      <w:pBdr>
        <w:bottom w:val="none" w:sz="0" w:space="0" w:color="auto"/>
      </w:pBdr>
      <w:jc w:val="right"/>
      <w:rPr>
        <w:b w:val="0"/>
        <w:bCs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A21"/>
    <w:multiLevelType w:val="hybridMultilevel"/>
    <w:tmpl w:val="69E872BC"/>
    <w:lvl w:ilvl="0" w:tplc="5EE84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93C07"/>
    <w:multiLevelType w:val="hybridMultilevel"/>
    <w:tmpl w:val="1B8E5CC2"/>
    <w:lvl w:ilvl="0" w:tplc="080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2" w15:restartNumberingAfterBreak="0">
    <w:nsid w:val="20813933"/>
    <w:multiLevelType w:val="hybridMultilevel"/>
    <w:tmpl w:val="EC3ECA90"/>
    <w:lvl w:ilvl="0" w:tplc="4F4A5532">
      <w:start w:val="1"/>
      <w:numFmt w:val="decimal"/>
      <w:lvlText w:val="(%1)"/>
      <w:lvlJc w:val="left"/>
      <w:pPr>
        <w:ind w:left="473" w:hanging="360"/>
      </w:pPr>
    </w:lvl>
    <w:lvl w:ilvl="1" w:tplc="040C0019">
      <w:start w:val="1"/>
      <w:numFmt w:val="lowerLetter"/>
      <w:lvlText w:val="%2."/>
      <w:lvlJc w:val="left"/>
      <w:pPr>
        <w:ind w:left="1193" w:hanging="360"/>
      </w:pPr>
    </w:lvl>
    <w:lvl w:ilvl="2" w:tplc="040C001B">
      <w:start w:val="1"/>
      <w:numFmt w:val="lowerRoman"/>
      <w:lvlText w:val="%3."/>
      <w:lvlJc w:val="right"/>
      <w:pPr>
        <w:ind w:left="1913" w:hanging="180"/>
      </w:pPr>
    </w:lvl>
    <w:lvl w:ilvl="3" w:tplc="040C000F">
      <w:start w:val="1"/>
      <w:numFmt w:val="decimal"/>
      <w:lvlText w:val="%4."/>
      <w:lvlJc w:val="left"/>
      <w:pPr>
        <w:ind w:left="2633" w:hanging="360"/>
      </w:pPr>
    </w:lvl>
    <w:lvl w:ilvl="4" w:tplc="040C0019">
      <w:start w:val="1"/>
      <w:numFmt w:val="lowerLetter"/>
      <w:lvlText w:val="%5."/>
      <w:lvlJc w:val="left"/>
      <w:pPr>
        <w:ind w:left="3353" w:hanging="360"/>
      </w:pPr>
    </w:lvl>
    <w:lvl w:ilvl="5" w:tplc="040C001B">
      <w:start w:val="1"/>
      <w:numFmt w:val="lowerRoman"/>
      <w:lvlText w:val="%6."/>
      <w:lvlJc w:val="right"/>
      <w:pPr>
        <w:ind w:left="4073" w:hanging="180"/>
      </w:pPr>
    </w:lvl>
    <w:lvl w:ilvl="6" w:tplc="040C000F">
      <w:start w:val="1"/>
      <w:numFmt w:val="decimal"/>
      <w:lvlText w:val="%7."/>
      <w:lvlJc w:val="left"/>
      <w:pPr>
        <w:ind w:left="4793" w:hanging="360"/>
      </w:pPr>
    </w:lvl>
    <w:lvl w:ilvl="7" w:tplc="040C0019">
      <w:start w:val="1"/>
      <w:numFmt w:val="lowerLetter"/>
      <w:lvlText w:val="%8."/>
      <w:lvlJc w:val="left"/>
      <w:pPr>
        <w:ind w:left="5513" w:hanging="360"/>
      </w:pPr>
    </w:lvl>
    <w:lvl w:ilvl="8" w:tplc="040C001B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36937CC"/>
    <w:multiLevelType w:val="hybridMultilevel"/>
    <w:tmpl w:val="4D44C104"/>
    <w:lvl w:ilvl="0" w:tplc="154C87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C7ADB"/>
    <w:multiLevelType w:val="hybridMultilevel"/>
    <w:tmpl w:val="73A87D38"/>
    <w:lvl w:ilvl="0" w:tplc="C0700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9D2D4C"/>
    <w:multiLevelType w:val="hybridMultilevel"/>
    <w:tmpl w:val="409AAD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D0A6F"/>
    <w:multiLevelType w:val="multilevel"/>
    <w:tmpl w:val="D5D258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891379967">
    <w:abstractNumId w:val="1"/>
  </w:num>
  <w:num w:numId="2" w16cid:durableId="37440381">
    <w:abstractNumId w:val="3"/>
  </w:num>
  <w:num w:numId="3" w16cid:durableId="1416626546">
    <w:abstractNumId w:val="3"/>
  </w:num>
  <w:num w:numId="4" w16cid:durableId="1159924014">
    <w:abstractNumId w:val="6"/>
  </w:num>
  <w:num w:numId="5" w16cid:durableId="7930640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615441">
    <w:abstractNumId w:val="2"/>
  </w:num>
  <w:num w:numId="7" w16cid:durableId="1434671226">
    <w:abstractNumId w:val="5"/>
  </w:num>
  <w:num w:numId="8" w16cid:durableId="299308661">
    <w:abstractNumId w:val="0"/>
  </w:num>
  <w:num w:numId="9" w16cid:durableId="652173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688"/>
    <w:rsid w:val="00040186"/>
    <w:rsid w:val="000403ED"/>
    <w:rsid w:val="00072632"/>
    <w:rsid w:val="00082AC4"/>
    <w:rsid w:val="000B360B"/>
    <w:rsid w:val="000B68C4"/>
    <w:rsid w:val="000D689C"/>
    <w:rsid w:val="000F208A"/>
    <w:rsid w:val="000F74B8"/>
    <w:rsid w:val="001108D9"/>
    <w:rsid w:val="00113B9B"/>
    <w:rsid w:val="001244DF"/>
    <w:rsid w:val="00186DD0"/>
    <w:rsid w:val="00197A60"/>
    <w:rsid w:val="001A23B8"/>
    <w:rsid w:val="001C10DE"/>
    <w:rsid w:val="001D2E95"/>
    <w:rsid w:val="001F0961"/>
    <w:rsid w:val="00244005"/>
    <w:rsid w:val="00247344"/>
    <w:rsid w:val="00250B09"/>
    <w:rsid w:val="00254EDF"/>
    <w:rsid w:val="0025562C"/>
    <w:rsid w:val="00265373"/>
    <w:rsid w:val="00272E23"/>
    <w:rsid w:val="00273D15"/>
    <w:rsid w:val="002757A7"/>
    <w:rsid w:val="00281ADF"/>
    <w:rsid w:val="00281C16"/>
    <w:rsid w:val="00285540"/>
    <w:rsid w:val="0028613B"/>
    <w:rsid w:val="002945A9"/>
    <w:rsid w:val="002A3989"/>
    <w:rsid w:val="002B3B87"/>
    <w:rsid w:val="002C76D5"/>
    <w:rsid w:val="002E0688"/>
    <w:rsid w:val="002E44C5"/>
    <w:rsid w:val="002E6BD9"/>
    <w:rsid w:val="00307431"/>
    <w:rsid w:val="00346900"/>
    <w:rsid w:val="00396853"/>
    <w:rsid w:val="003B73C4"/>
    <w:rsid w:val="00404C66"/>
    <w:rsid w:val="004071BA"/>
    <w:rsid w:val="00413930"/>
    <w:rsid w:val="004344AC"/>
    <w:rsid w:val="00435443"/>
    <w:rsid w:val="004412C6"/>
    <w:rsid w:val="00451381"/>
    <w:rsid w:val="004836C7"/>
    <w:rsid w:val="00491F68"/>
    <w:rsid w:val="00497478"/>
    <w:rsid w:val="00497DEB"/>
    <w:rsid w:val="004B2B0E"/>
    <w:rsid w:val="004B382B"/>
    <w:rsid w:val="004C1DD5"/>
    <w:rsid w:val="004C2D83"/>
    <w:rsid w:val="004D3F77"/>
    <w:rsid w:val="004E4ACF"/>
    <w:rsid w:val="004E56FA"/>
    <w:rsid w:val="0050415A"/>
    <w:rsid w:val="00522716"/>
    <w:rsid w:val="00536B80"/>
    <w:rsid w:val="00536F27"/>
    <w:rsid w:val="00542759"/>
    <w:rsid w:val="005438B8"/>
    <w:rsid w:val="005510F1"/>
    <w:rsid w:val="005B07EA"/>
    <w:rsid w:val="005B6D7B"/>
    <w:rsid w:val="00625598"/>
    <w:rsid w:val="006479B0"/>
    <w:rsid w:val="00656C4C"/>
    <w:rsid w:val="00661691"/>
    <w:rsid w:val="006700D9"/>
    <w:rsid w:val="00670DAD"/>
    <w:rsid w:val="00683461"/>
    <w:rsid w:val="006D6679"/>
    <w:rsid w:val="006F2282"/>
    <w:rsid w:val="006F5F63"/>
    <w:rsid w:val="0073572B"/>
    <w:rsid w:val="007467D2"/>
    <w:rsid w:val="007629F9"/>
    <w:rsid w:val="007650BA"/>
    <w:rsid w:val="0080168F"/>
    <w:rsid w:val="00801E29"/>
    <w:rsid w:val="008279A9"/>
    <w:rsid w:val="00831967"/>
    <w:rsid w:val="008A74F5"/>
    <w:rsid w:val="008B42D5"/>
    <w:rsid w:val="008C0D2B"/>
    <w:rsid w:val="008C21B8"/>
    <w:rsid w:val="008D02B9"/>
    <w:rsid w:val="008E26DC"/>
    <w:rsid w:val="00944A41"/>
    <w:rsid w:val="00956357"/>
    <w:rsid w:val="00996F13"/>
    <w:rsid w:val="009B7840"/>
    <w:rsid w:val="009E52EC"/>
    <w:rsid w:val="009F47A9"/>
    <w:rsid w:val="00A065F4"/>
    <w:rsid w:val="00A11D0E"/>
    <w:rsid w:val="00A167E2"/>
    <w:rsid w:val="00A23162"/>
    <w:rsid w:val="00A52C14"/>
    <w:rsid w:val="00A66F8F"/>
    <w:rsid w:val="00A762C5"/>
    <w:rsid w:val="00A80F2C"/>
    <w:rsid w:val="00A83C61"/>
    <w:rsid w:val="00A867CC"/>
    <w:rsid w:val="00A9478C"/>
    <w:rsid w:val="00AB3D9D"/>
    <w:rsid w:val="00AD0555"/>
    <w:rsid w:val="00AD71F1"/>
    <w:rsid w:val="00AE4464"/>
    <w:rsid w:val="00B15B1A"/>
    <w:rsid w:val="00B30B82"/>
    <w:rsid w:val="00B43B37"/>
    <w:rsid w:val="00B725B6"/>
    <w:rsid w:val="00B908F7"/>
    <w:rsid w:val="00B9186F"/>
    <w:rsid w:val="00B92A48"/>
    <w:rsid w:val="00BA2250"/>
    <w:rsid w:val="00BA63C6"/>
    <w:rsid w:val="00BC05A6"/>
    <w:rsid w:val="00BD1169"/>
    <w:rsid w:val="00BE028B"/>
    <w:rsid w:val="00C00D37"/>
    <w:rsid w:val="00C255A8"/>
    <w:rsid w:val="00C273A7"/>
    <w:rsid w:val="00C3773D"/>
    <w:rsid w:val="00C43FD1"/>
    <w:rsid w:val="00C61F86"/>
    <w:rsid w:val="00C6447A"/>
    <w:rsid w:val="00C86BDE"/>
    <w:rsid w:val="00CA5B53"/>
    <w:rsid w:val="00D151A1"/>
    <w:rsid w:val="00D33EC2"/>
    <w:rsid w:val="00D50040"/>
    <w:rsid w:val="00D712B4"/>
    <w:rsid w:val="00D919DE"/>
    <w:rsid w:val="00DC48B8"/>
    <w:rsid w:val="00DC612D"/>
    <w:rsid w:val="00E00698"/>
    <w:rsid w:val="00E106C4"/>
    <w:rsid w:val="00E372B2"/>
    <w:rsid w:val="00E5318A"/>
    <w:rsid w:val="00E65604"/>
    <w:rsid w:val="00E910A7"/>
    <w:rsid w:val="00E91146"/>
    <w:rsid w:val="00E92460"/>
    <w:rsid w:val="00E94A7A"/>
    <w:rsid w:val="00EA38BD"/>
    <w:rsid w:val="00EB7B29"/>
    <w:rsid w:val="00EE53FC"/>
    <w:rsid w:val="00EE58BB"/>
    <w:rsid w:val="00F02D5D"/>
    <w:rsid w:val="00F0743E"/>
    <w:rsid w:val="00F2007D"/>
    <w:rsid w:val="00F35793"/>
    <w:rsid w:val="00F57A01"/>
    <w:rsid w:val="00F62131"/>
    <w:rsid w:val="00F7164E"/>
    <w:rsid w:val="00F76479"/>
    <w:rsid w:val="00F852D3"/>
    <w:rsid w:val="00FB31A7"/>
    <w:rsid w:val="00FD34E8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4D1CCEF"/>
  <w15:chartTrackingRefBased/>
  <w15:docId w15:val="{53674507-E477-43BB-A653-52CD0F1F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68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2E068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qFormat/>
    <w:rsid w:val="002E0688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2E0688"/>
    <w:pPr>
      <w:spacing w:after="120"/>
      <w:ind w:left="1134" w:right="1134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H1G">
    <w:name w:val="_ H_1_G"/>
    <w:basedOn w:val="Normal"/>
    <w:next w:val="Normal"/>
    <w:link w:val="H1GChar"/>
    <w:rsid w:val="002E068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styleId="Footer">
    <w:name w:val="footer"/>
    <w:aliases w:val="3_G"/>
    <w:basedOn w:val="Normal"/>
    <w:link w:val="FooterChar"/>
    <w:rsid w:val="002E068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E0688"/>
    <w:rPr>
      <w:rFonts w:ascii="Times New Roman" w:eastAsia="Times New Roman" w:hAnsi="Times New Roman" w:cs="Times New Roman"/>
      <w:sz w:val="16"/>
      <w:szCs w:val="20"/>
      <w:lang w:val="en-GB"/>
    </w:rPr>
  </w:style>
  <w:style w:type="paragraph" w:styleId="Header">
    <w:name w:val="header"/>
    <w:aliases w:val="6_G"/>
    <w:basedOn w:val="Normal"/>
    <w:link w:val="HeaderChar"/>
    <w:rsid w:val="002E068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2E0688"/>
    <w:rPr>
      <w:rFonts w:ascii="Times New Roman" w:eastAsia="Times New Roman" w:hAnsi="Times New Roman" w:cs="Times New Roman"/>
      <w:b/>
      <w:sz w:val="18"/>
      <w:szCs w:val="20"/>
      <w:lang w:val="en-GB"/>
    </w:rPr>
  </w:style>
  <w:style w:type="character" w:customStyle="1" w:styleId="HChGChar">
    <w:name w:val="_ H _Ch_G Char"/>
    <w:link w:val="HChG"/>
    <w:rsid w:val="002E0688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1GChar">
    <w:name w:val="_ H_1_G Char"/>
    <w:link w:val="H1G"/>
    <w:locked/>
    <w:rsid w:val="002E068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7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EA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86DD0"/>
    <w:pPr>
      <w:ind w:left="720"/>
      <w:contextualSpacing/>
    </w:pPr>
  </w:style>
  <w:style w:type="table" w:styleId="TableGrid">
    <w:name w:val="Table Grid"/>
    <w:basedOn w:val="TableNormal"/>
    <w:uiPriority w:val="39"/>
    <w:rsid w:val="00AB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8B42D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8B42D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B42D5"/>
    <w:rPr>
      <w:rFonts w:ascii="Times New Roman" w:eastAsia="Times New Roman" w:hAnsi="Times New Roman" w:cs="Times New Roman"/>
      <w:sz w:val="18"/>
      <w:szCs w:val="20"/>
      <w:lang w:val="en-GB"/>
    </w:rPr>
  </w:style>
  <w:style w:type="character" w:styleId="IntenseEmphasis">
    <w:name w:val="Intense Emphasis"/>
    <w:basedOn w:val="DefaultParagraphFont"/>
    <w:uiPriority w:val="21"/>
    <w:qFormat/>
    <w:rsid w:val="000B68C4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E531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1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31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ece.org/sites/default/files/2022-11/WP.29-188-20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iki.unece.org/download/attachments/172851382/DETA-45-04e_rev1%20-%20QA%20UI.docx?api=v2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iki.unece.org/download/attachments/172851382/DETA-45-05e_rev1%20-%20GL%20UI.docx?api=v2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84C7F9-E85F-4147-8DED-7FA9FB555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65067-4C59-4953-B98A-CC889F758870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85ec44e-1bab-4c0b-9df0-6ba128686fc9"/>
    <ds:schemaRef ds:uri="4b4a1c0d-4a69-4996-a84a-fc699b9f49de"/>
    <ds:schemaRef ds:uri="http://schemas.openxmlformats.org/package/2006/metadata/core-properties"/>
    <ds:schemaRef ds:uri="acccb6d4-dbe5-46d2-b4d3-5733603d8c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B1C14B-6FB6-40DE-AF4D-DF7FD3F6D4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831</Words>
  <Characters>4031</Characters>
  <Application>Microsoft Office Word</Application>
  <DocSecurity>0</DocSecurity>
  <Lines>191</Lines>
  <Paragraphs>162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BOSCH Group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Schäfer CC/PJ-RO</dc:creator>
  <cp:keywords/>
  <dc:description/>
  <cp:lastModifiedBy>Secretariat editorial modifications</cp:lastModifiedBy>
  <cp:revision>17</cp:revision>
  <cp:lastPrinted>2019-02-15T08:27:00Z</cp:lastPrinted>
  <dcterms:created xsi:type="dcterms:W3CDTF">2024-02-19T13:38:00Z</dcterms:created>
  <dcterms:modified xsi:type="dcterms:W3CDTF">2024-03-01T18:23:00Z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