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3761B9" w:rsidRDefault="00982036" w:rsidP="00982036">
      <w:pPr>
        <w:spacing w:before="120"/>
        <w:rPr>
          <w:b/>
          <w:sz w:val="28"/>
          <w:szCs w:val="28"/>
        </w:rPr>
      </w:pPr>
      <w:r w:rsidRPr="003761B9">
        <w:rPr>
          <w:b/>
          <w:sz w:val="28"/>
          <w:szCs w:val="28"/>
        </w:rPr>
        <w:t>Economic Commission for Europe</w:t>
      </w:r>
      <w:r w:rsidR="0090465E" w:rsidRPr="003761B9">
        <w:rPr>
          <w:b/>
          <w:sz w:val="28"/>
          <w:szCs w:val="28"/>
        </w:rPr>
        <w:t xml:space="preserve"> </w:t>
      </w:r>
    </w:p>
    <w:p w14:paraId="0EAD9853" w14:textId="77777777" w:rsidR="00982036" w:rsidRPr="003761B9" w:rsidRDefault="00982036" w:rsidP="00982036">
      <w:pPr>
        <w:spacing w:before="120"/>
        <w:rPr>
          <w:sz w:val="28"/>
          <w:szCs w:val="28"/>
        </w:rPr>
      </w:pPr>
      <w:r w:rsidRPr="003761B9">
        <w:rPr>
          <w:sz w:val="28"/>
          <w:szCs w:val="28"/>
        </w:rPr>
        <w:t>Inland Transport Committee</w:t>
      </w:r>
    </w:p>
    <w:p w14:paraId="34B956AF" w14:textId="77777777" w:rsidR="00982036" w:rsidRPr="003761B9" w:rsidRDefault="00982036" w:rsidP="00982036">
      <w:pPr>
        <w:spacing w:before="120"/>
        <w:rPr>
          <w:b/>
          <w:sz w:val="24"/>
          <w:szCs w:val="24"/>
        </w:rPr>
      </w:pPr>
      <w:r w:rsidRPr="003761B9">
        <w:rPr>
          <w:b/>
          <w:sz w:val="24"/>
          <w:szCs w:val="24"/>
        </w:rPr>
        <w:t>Working Party on the Transport of Dangerous Goods</w:t>
      </w:r>
    </w:p>
    <w:p w14:paraId="453F49B2" w14:textId="1160E232" w:rsidR="00982036" w:rsidRPr="003761B9" w:rsidRDefault="007851CB" w:rsidP="00084795">
      <w:pPr>
        <w:spacing w:before="120"/>
        <w:rPr>
          <w:b/>
        </w:rPr>
      </w:pPr>
      <w:r w:rsidRPr="003761B9">
        <w:rPr>
          <w:b/>
        </w:rPr>
        <w:t>1</w:t>
      </w:r>
      <w:r w:rsidR="009E5870" w:rsidRPr="003761B9">
        <w:rPr>
          <w:b/>
        </w:rPr>
        <w:t>1</w:t>
      </w:r>
      <w:r w:rsidR="00286011" w:rsidRPr="003761B9">
        <w:rPr>
          <w:b/>
        </w:rPr>
        <w:t>5</w:t>
      </w:r>
      <w:r w:rsidRPr="003761B9">
        <w:rPr>
          <w:b/>
        </w:rPr>
        <w:t>th</w:t>
      </w:r>
      <w:r w:rsidR="00982036" w:rsidRPr="003761B9">
        <w:rPr>
          <w:b/>
        </w:rPr>
        <w:t xml:space="preserve"> session</w:t>
      </w:r>
      <w:r w:rsidR="001D4954" w:rsidRPr="003761B9">
        <w:rPr>
          <w:b/>
        </w:rPr>
        <w:tab/>
      </w:r>
      <w:r w:rsidR="001D4954" w:rsidRPr="003761B9">
        <w:rPr>
          <w:b/>
        </w:rPr>
        <w:tab/>
      </w:r>
      <w:r w:rsidR="001D4954" w:rsidRPr="003761B9">
        <w:rPr>
          <w:b/>
        </w:rPr>
        <w:tab/>
      </w:r>
      <w:r w:rsidR="001D4954" w:rsidRPr="003761B9">
        <w:rPr>
          <w:b/>
        </w:rPr>
        <w:tab/>
      </w:r>
      <w:r w:rsidR="001D4954" w:rsidRPr="003761B9">
        <w:rPr>
          <w:b/>
        </w:rPr>
        <w:tab/>
      </w:r>
      <w:r w:rsidR="001D4954" w:rsidRPr="003761B9">
        <w:rPr>
          <w:b/>
        </w:rPr>
        <w:tab/>
      </w:r>
      <w:r w:rsidR="001D4954" w:rsidRPr="003761B9">
        <w:rPr>
          <w:b/>
        </w:rPr>
        <w:tab/>
      </w:r>
      <w:r w:rsidR="001D4954" w:rsidRPr="003761B9">
        <w:rPr>
          <w:b/>
        </w:rPr>
        <w:tab/>
      </w:r>
      <w:r w:rsidR="001D4954" w:rsidRPr="003761B9">
        <w:rPr>
          <w:b/>
        </w:rPr>
        <w:tab/>
      </w:r>
      <w:r w:rsidR="002709B0" w:rsidRPr="003761B9">
        <w:rPr>
          <w:b/>
        </w:rPr>
        <w:tab/>
      </w:r>
      <w:r w:rsidR="002709B0" w:rsidRPr="003761B9">
        <w:rPr>
          <w:b/>
        </w:rPr>
        <w:tab/>
      </w:r>
      <w:r w:rsidR="004240D1" w:rsidRPr="003761B9">
        <w:rPr>
          <w:b/>
        </w:rPr>
        <w:t>1</w:t>
      </w:r>
      <w:r w:rsidR="00A64028" w:rsidRPr="003761B9">
        <w:rPr>
          <w:b/>
        </w:rPr>
        <w:t>9</w:t>
      </w:r>
      <w:r w:rsidR="004240D1" w:rsidRPr="003761B9">
        <w:rPr>
          <w:b/>
        </w:rPr>
        <w:t xml:space="preserve"> </w:t>
      </w:r>
      <w:r w:rsidR="00615F0B" w:rsidRPr="003761B9">
        <w:rPr>
          <w:b/>
        </w:rPr>
        <w:t>March</w:t>
      </w:r>
      <w:r w:rsidR="00481CA8" w:rsidRPr="003761B9">
        <w:rPr>
          <w:b/>
        </w:rPr>
        <w:t xml:space="preserve"> 202</w:t>
      </w:r>
      <w:r w:rsidR="00615F0B" w:rsidRPr="003761B9">
        <w:rPr>
          <w:b/>
        </w:rPr>
        <w:t>4</w:t>
      </w:r>
    </w:p>
    <w:p w14:paraId="32D3BD42" w14:textId="01B7A396" w:rsidR="00481CA8" w:rsidRPr="003761B9" w:rsidRDefault="00481CA8" w:rsidP="00481CA8">
      <w:pPr>
        <w:rPr>
          <w:rFonts w:eastAsia="SimSun"/>
        </w:rPr>
      </w:pPr>
      <w:r w:rsidRPr="003761B9">
        <w:rPr>
          <w:rFonts w:eastAsia="SimSun"/>
        </w:rPr>
        <w:t xml:space="preserve">Geneva, </w:t>
      </w:r>
      <w:r w:rsidR="00286011" w:rsidRPr="003761B9">
        <w:rPr>
          <w:rFonts w:eastAsia="SimSun"/>
        </w:rPr>
        <w:t>2</w:t>
      </w:r>
      <w:r w:rsidRPr="003761B9">
        <w:rPr>
          <w:rFonts w:eastAsia="SimSun"/>
        </w:rPr>
        <w:t>-</w:t>
      </w:r>
      <w:r w:rsidR="00286011" w:rsidRPr="003761B9">
        <w:rPr>
          <w:rFonts w:eastAsia="SimSun"/>
        </w:rPr>
        <w:t>5</w:t>
      </w:r>
      <w:r w:rsidRPr="003761B9">
        <w:rPr>
          <w:rFonts w:eastAsia="SimSun"/>
        </w:rPr>
        <w:t xml:space="preserve"> </w:t>
      </w:r>
      <w:r w:rsidR="00286011" w:rsidRPr="003761B9">
        <w:rPr>
          <w:rFonts w:eastAsia="SimSun"/>
        </w:rPr>
        <w:t>April</w:t>
      </w:r>
      <w:r w:rsidRPr="003761B9">
        <w:rPr>
          <w:rFonts w:eastAsia="SimSun"/>
        </w:rPr>
        <w:t xml:space="preserve"> 202</w:t>
      </w:r>
      <w:r w:rsidR="00286011" w:rsidRPr="003761B9">
        <w:rPr>
          <w:rFonts w:eastAsia="SimSun"/>
        </w:rPr>
        <w:t>4</w:t>
      </w:r>
    </w:p>
    <w:p w14:paraId="6568205C" w14:textId="108530C3" w:rsidR="0090465E" w:rsidRPr="003761B9" w:rsidRDefault="0090465E" w:rsidP="0090465E">
      <w:r w:rsidRPr="003761B9">
        <w:t xml:space="preserve">Item </w:t>
      </w:r>
      <w:r w:rsidR="00A64028" w:rsidRPr="003761B9">
        <w:t>5 (a)</w:t>
      </w:r>
      <w:r w:rsidRPr="003761B9">
        <w:t xml:space="preserve"> of the provisional agenda</w:t>
      </w:r>
    </w:p>
    <w:p w14:paraId="38E75BD4" w14:textId="77777777" w:rsidR="005503DC" w:rsidRPr="003761B9" w:rsidRDefault="005503DC" w:rsidP="005503DC">
      <w:pPr>
        <w:autoSpaceDE w:val="0"/>
        <w:autoSpaceDN w:val="0"/>
        <w:adjustRightInd w:val="0"/>
      </w:pPr>
      <w:r w:rsidRPr="003761B9">
        <w:rPr>
          <w:b/>
          <w:bCs/>
        </w:rPr>
        <w:t>Proposals for amendments to annexes A and B of ADR</w:t>
      </w:r>
      <w:r w:rsidRPr="003761B9">
        <w:t>:</w:t>
      </w:r>
    </w:p>
    <w:p w14:paraId="66AE5DC9" w14:textId="337F6FCC" w:rsidR="0090465E" w:rsidRPr="003761B9" w:rsidRDefault="005503DC" w:rsidP="005503DC">
      <w:pPr>
        <w:rPr>
          <w:b/>
          <w:bCs/>
        </w:rPr>
      </w:pPr>
      <w:r w:rsidRPr="003761B9">
        <w:rPr>
          <w:b/>
          <w:bCs/>
        </w:rPr>
        <w:t>Construction and approval of vehicles</w:t>
      </w:r>
    </w:p>
    <w:p w14:paraId="3C2B5300" w14:textId="1DC0D686" w:rsidR="00220CD3" w:rsidRPr="008F1ACA" w:rsidRDefault="00220CD3" w:rsidP="006844A1">
      <w:pPr>
        <w:pStyle w:val="HChG"/>
        <w:rPr>
          <w:bCs/>
          <w:sz w:val="24"/>
          <w:szCs w:val="24"/>
          <w:lang w:val="en-GB"/>
        </w:rPr>
      </w:pPr>
      <w:r w:rsidRPr="008F1ACA">
        <w:rPr>
          <w:lang w:val="en-GB"/>
        </w:rPr>
        <w:tab/>
      </w:r>
      <w:r w:rsidRPr="008F1ACA">
        <w:rPr>
          <w:lang w:val="en-GB"/>
        </w:rPr>
        <w:tab/>
        <w:t xml:space="preserve">Report of the </w:t>
      </w:r>
      <w:r w:rsidR="003761B9" w:rsidRPr="008F1ACA">
        <w:rPr>
          <w:lang w:val="en-GB"/>
        </w:rPr>
        <w:t xml:space="preserve">informal </w:t>
      </w:r>
      <w:r w:rsidR="003761B9" w:rsidRPr="003761B9">
        <w:rPr>
          <w:lang w:val="en-GB"/>
        </w:rPr>
        <w:t>working</w:t>
      </w:r>
      <w:r w:rsidR="003761B9" w:rsidRPr="008F1ACA">
        <w:rPr>
          <w:lang w:val="en-GB"/>
        </w:rPr>
        <w:t xml:space="preserve"> group on electrified vehicles</w:t>
      </w:r>
    </w:p>
    <w:p w14:paraId="651BEA0F" w14:textId="68DE7A21" w:rsidR="00220CD3" w:rsidRPr="008F1ACA" w:rsidRDefault="00220CD3" w:rsidP="00220CD3">
      <w:pPr>
        <w:pStyle w:val="HChG"/>
        <w:rPr>
          <w:szCs w:val="24"/>
          <w:lang w:val="en-GB"/>
        </w:rPr>
      </w:pPr>
      <w:r w:rsidRPr="008F1ACA">
        <w:rPr>
          <w:lang w:val="en-GB"/>
        </w:rPr>
        <w:tab/>
      </w:r>
      <w:r w:rsidRPr="008F1ACA">
        <w:rPr>
          <w:lang w:val="en-GB"/>
        </w:rPr>
        <w:tab/>
        <w:t xml:space="preserve">Transmitted by the Chair of the </w:t>
      </w:r>
      <w:r w:rsidR="00ED71FC" w:rsidRPr="00ED71FC">
        <w:rPr>
          <w:lang w:val="en-GB"/>
        </w:rPr>
        <w:t>informal working group</w:t>
      </w:r>
      <w:r w:rsidR="006844A1" w:rsidRPr="008F1ACA">
        <w:rPr>
          <w:szCs w:val="24"/>
          <w:lang w:val="en-GB"/>
        </w:rPr>
        <w:t xml:space="preserve"> </w:t>
      </w:r>
    </w:p>
    <w:p w14:paraId="7AEF3117" w14:textId="3C4A660A" w:rsidR="00220CD3" w:rsidRPr="008F1ACA" w:rsidRDefault="00220CD3" w:rsidP="008B6810">
      <w:pPr>
        <w:pStyle w:val="HChG"/>
        <w:rPr>
          <w:lang w:val="en-GB"/>
        </w:rPr>
      </w:pPr>
      <w:r w:rsidRPr="008F1ACA">
        <w:rPr>
          <w:lang w:val="en-GB"/>
        </w:rPr>
        <w:tab/>
      </w:r>
      <w:r w:rsidR="008B6810" w:rsidRPr="008F1ACA">
        <w:rPr>
          <w:lang w:val="en-GB"/>
        </w:rPr>
        <w:t>I.</w:t>
      </w:r>
      <w:r w:rsidR="008B6810" w:rsidRPr="008F1ACA">
        <w:rPr>
          <w:lang w:val="en-GB"/>
        </w:rPr>
        <w:tab/>
      </w:r>
      <w:r w:rsidRPr="008F1ACA">
        <w:rPr>
          <w:lang w:val="en-GB"/>
        </w:rPr>
        <w:t>Introduction</w:t>
      </w:r>
    </w:p>
    <w:p w14:paraId="453B31EC" w14:textId="358191C7" w:rsidR="00220CD3" w:rsidRPr="003761B9" w:rsidRDefault="008B6810" w:rsidP="008B6810">
      <w:pPr>
        <w:pStyle w:val="SingleTxtG"/>
        <w:rPr>
          <w:lang w:val="en-GB"/>
        </w:rPr>
      </w:pPr>
      <w:r w:rsidRPr="003761B9">
        <w:rPr>
          <w:lang w:val="en-GB"/>
        </w:rPr>
        <w:t>1.</w:t>
      </w:r>
      <w:r w:rsidRPr="003761B9">
        <w:rPr>
          <w:lang w:val="en-GB"/>
        </w:rPr>
        <w:tab/>
      </w:r>
      <w:r w:rsidR="00220CD3" w:rsidRPr="003761B9">
        <w:rPr>
          <w:lang w:val="en-GB"/>
        </w:rPr>
        <w:t xml:space="preserve">The </w:t>
      </w:r>
      <w:r w:rsidR="00ED71FC" w:rsidRPr="008F1ACA">
        <w:rPr>
          <w:lang w:val="en-GB"/>
        </w:rPr>
        <w:t xml:space="preserve">informal </w:t>
      </w:r>
      <w:r w:rsidR="00ED71FC" w:rsidRPr="003761B9">
        <w:rPr>
          <w:lang w:val="en-GB"/>
        </w:rPr>
        <w:t>working</w:t>
      </w:r>
      <w:r w:rsidR="00ED71FC" w:rsidRPr="008F1ACA">
        <w:rPr>
          <w:lang w:val="en-GB"/>
        </w:rPr>
        <w:t xml:space="preserve"> group on electrified vehicles</w:t>
      </w:r>
      <w:r w:rsidR="00ED71FC" w:rsidRPr="003761B9">
        <w:rPr>
          <w:lang w:val="en-GB"/>
        </w:rPr>
        <w:t xml:space="preserve"> </w:t>
      </w:r>
      <w:r w:rsidR="00ED71FC">
        <w:rPr>
          <w:lang w:val="en-GB"/>
        </w:rPr>
        <w:t>(</w:t>
      </w:r>
      <w:r w:rsidR="00220CD3" w:rsidRPr="003761B9">
        <w:rPr>
          <w:lang w:val="en-GB"/>
        </w:rPr>
        <w:t>IWG-EV</w:t>
      </w:r>
      <w:r w:rsidR="00ED71FC">
        <w:rPr>
          <w:lang w:val="en-GB"/>
        </w:rPr>
        <w:t>)</w:t>
      </w:r>
      <w:r w:rsidR="00220CD3" w:rsidRPr="003761B9">
        <w:rPr>
          <w:lang w:val="en-GB"/>
        </w:rPr>
        <w:t xml:space="preserve"> met virtual</w:t>
      </w:r>
      <w:r w:rsidR="00ED71FC">
        <w:rPr>
          <w:lang w:val="en-GB"/>
        </w:rPr>
        <w:t>ly</w:t>
      </w:r>
      <w:r w:rsidR="00220CD3" w:rsidRPr="003761B9">
        <w:rPr>
          <w:lang w:val="en-GB"/>
        </w:rPr>
        <w:t xml:space="preserve"> three times (20 December 2023, 8 January and 8 March 2024) since the November 2023 session of WP.15 (114</w:t>
      </w:r>
      <w:r w:rsidR="00220CD3" w:rsidRPr="003761B9">
        <w:rPr>
          <w:vertAlign w:val="superscript"/>
          <w:lang w:val="en-GB"/>
        </w:rPr>
        <w:t>th</w:t>
      </w:r>
      <w:r w:rsidR="00220CD3" w:rsidRPr="003761B9">
        <w:rPr>
          <w:lang w:val="en-GB"/>
        </w:rPr>
        <w:t xml:space="preserve"> session). Besides the continuation of the development, work was done to solve the remaining open items and consequential amendments, also a number of new issues were discussed. The </w:t>
      </w:r>
      <w:r w:rsidR="00ED71FC" w:rsidRPr="003761B9">
        <w:rPr>
          <w:lang w:val="en-GB"/>
        </w:rPr>
        <w:t>IWG-EV</w:t>
      </w:r>
      <w:r w:rsidR="00220CD3" w:rsidRPr="003761B9">
        <w:rPr>
          <w:lang w:val="en-GB"/>
        </w:rPr>
        <w:t xml:space="preserve"> </w:t>
      </w:r>
      <w:r w:rsidR="00ED71FC">
        <w:rPr>
          <w:lang w:val="en-GB"/>
        </w:rPr>
        <w:t>submitted</w:t>
      </w:r>
      <w:r w:rsidR="00ED71FC" w:rsidRPr="003761B9">
        <w:rPr>
          <w:lang w:val="en-GB"/>
        </w:rPr>
        <w:t xml:space="preserve"> </w:t>
      </w:r>
      <w:r w:rsidR="00220CD3" w:rsidRPr="003761B9">
        <w:rPr>
          <w:lang w:val="en-GB"/>
        </w:rPr>
        <w:t>document ECE/TRANS/WP.15/2024/8.</w:t>
      </w:r>
    </w:p>
    <w:p w14:paraId="0AF6FA3D" w14:textId="253FECA2" w:rsidR="00220CD3" w:rsidRPr="003761B9" w:rsidRDefault="00035483" w:rsidP="008F1ACA">
      <w:pPr>
        <w:pStyle w:val="HChG"/>
      </w:pPr>
      <w:r w:rsidRPr="003761B9">
        <w:tab/>
      </w:r>
      <w:r w:rsidR="008A43FC">
        <w:rPr>
          <w:lang w:val="fr-CH"/>
        </w:rPr>
        <w:t>II.</w:t>
      </w:r>
      <w:r w:rsidRPr="003761B9">
        <w:tab/>
      </w:r>
      <w:r w:rsidR="00220CD3" w:rsidRPr="003761B9">
        <w:t>Pending decision in document ECE/TRANS/WP.15/2024/8</w:t>
      </w:r>
    </w:p>
    <w:p w14:paraId="6A98EE7D" w14:textId="46C25383" w:rsidR="00220CD3" w:rsidRPr="003761B9" w:rsidRDefault="008B6810" w:rsidP="008B6810">
      <w:pPr>
        <w:pStyle w:val="SingleTxtG"/>
        <w:rPr>
          <w:lang w:val="en-GB"/>
        </w:rPr>
      </w:pPr>
      <w:r w:rsidRPr="003761B9">
        <w:rPr>
          <w:lang w:val="en-GB"/>
        </w:rPr>
        <w:t>2.</w:t>
      </w:r>
      <w:r w:rsidRPr="003761B9">
        <w:rPr>
          <w:lang w:val="en-GB"/>
        </w:rPr>
        <w:tab/>
      </w:r>
      <w:r w:rsidR="00220CD3" w:rsidRPr="003761B9">
        <w:rPr>
          <w:lang w:val="en-GB"/>
        </w:rPr>
        <w:t>Document ECE/TRANS/WP.15/2024/8 deals with items left in square brackets in Annex III to the report of the 114</w:t>
      </w:r>
      <w:r w:rsidR="00220CD3" w:rsidRPr="003761B9">
        <w:rPr>
          <w:vertAlign w:val="superscript"/>
          <w:lang w:val="en-GB"/>
        </w:rPr>
        <w:t>th</w:t>
      </w:r>
      <w:r w:rsidR="00220CD3" w:rsidRPr="003761B9">
        <w:rPr>
          <w:lang w:val="en-GB"/>
        </w:rPr>
        <w:t xml:space="preserve"> session of the WP.15 and a number of consequential amendments forwarded by the UNECE secretariat. However, the topics to determine the technical service addressed to review the risk evaluation based on ISO 6469-1 (new 9.2.4.4.2.1) could not be resolved in time before the deadline for submission of a working document. In the meantime consensus has been reached by the manufacturers sub-group to modify the wording.</w:t>
      </w:r>
    </w:p>
    <w:p w14:paraId="080216CB" w14:textId="5EBDE7DC" w:rsidR="00220CD3" w:rsidRPr="003761B9" w:rsidRDefault="006C255C" w:rsidP="008F1ACA">
      <w:pPr>
        <w:pStyle w:val="H1G"/>
      </w:pPr>
      <w:r w:rsidRPr="003761B9">
        <w:rPr>
          <w:iCs/>
        </w:rPr>
        <w:tab/>
      </w:r>
      <w:r w:rsidRPr="003761B9">
        <w:rPr>
          <w:iCs/>
        </w:rPr>
        <w:tab/>
      </w:r>
      <w:r w:rsidRPr="003761B9">
        <w:t>P</w:t>
      </w:r>
      <w:r w:rsidR="003855C6" w:rsidRPr="003761B9">
        <w:t>roposal 1</w:t>
      </w:r>
    </w:p>
    <w:p w14:paraId="1CD9554A" w14:textId="6DDD9915" w:rsidR="00220CD3" w:rsidRPr="003761B9" w:rsidRDefault="003855C6" w:rsidP="003855C6">
      <w:pPr>
        <w:pStyle w:val="SingleTxtG"/>
        <w:rPr>
          <w:lang w:val="en-GB"/>
        </w:rPr>
      </w:pPr>
      <w:r w:rsidRPr="003761B9">
        <w:rPr>
          <w:lang w:val="en-GB"/>
        </w:rPr>
        <w:tab/>
      </w:r>
      <w:r w:rsidR="00C115A3" w:rsidRPr="003761B9">
        <w:rPr>
          <w:lang w:val="en-GB"/>
        </w:rPr>
        <w:t>3.</w:t>
      </w:r>
      <w:r w:rsidR="00C115A3" w:rsidRPr="003761B9">
        <w:rPr>
          <w:lang w:val="en-GB"/>
        </w:rPr>
        <w:tab/>
      </w:r>
      <w:r w:rsidR="00220CD3" w:rsidRPr="003761B9">
        <w:rPr>
          <w:lang w:val="en-GB"/>
        </w:rPr>
        <w:t>Remove the square brackets and delete the last part in parentheses to read (deleted wording stricken through):</w:t>
      </w:r>
    </w:p>
    <w:p w14:paraId="0147CCC7" w14:textId="77777777" w:rsidR="00220CD3" w:rsidRPr="003761B9" w:rsidRDefault="00220CD3" w:rsidP="003855C6">
      <w:pPr>
        <w:pStyle w:val="SingleTxtG"/>
        <w:rPr>
          <w:i/>
          <w:iCs/>
          <w:lang w:val="en-GB"/>
        </w:rPr>
      </w:pPr>
      <w:r w:rsidRPr="003761B9">
        <w:rPr>
          <w:i/>
          <w:iCs/>
          <w:strike/>
          <w:lang w:val="en-GB"/>
        </w:rPr>
        <w:t>[</w:t>
      </w:r>
      <w:r w:rsidRPr="003761B9">
        <w:rPr>
          <w:i/>
          <w:iCs/>
          <w:lang w:val="en-GB"/>
        </w:rPr>
        <w:t xml:space="preserve">A review shall be carried out by a technical service </w:t>
      </w:r>
      <w:r w:rsidRPr="003761B9">
        <w:rPr>
          <w:i/>
          <w:iCs/>
          <w:strike/>
          <w:lang w:val="en-GB"/>
        </w:rPr>
        <w:t>(e.g. technical service for vehicle approvals according to UN Regulation No. 1001, as amended at least by the 03 series of amendments).]</w:t>
      </w:r>
    </w:p>
    <w:p w14:paraId="2B01EB48" w14:textId="4BBA5BD2" w:rsidR="00220CD3" w:rsidRPr="003761B9" w:rsidRDefault="00035483" w:rsidP="008F1ACA">
      <w:pPr>
        <w:pStyle w:val="HChG"/>
      </w:pPr>
      <w:r w:rsidRPr="003761B9">
        <w:tab/>
      </w:r>
      <w:r w:rsidR="004A5E78">
        <w:rPr>
          <w:lang w:val="fr-CH"/>
        </w:rPr>
        <w:t>III.</w:t>
      </w:r>
      <w:r w:rsidRPr="003761B9">
        <w:tab/>
      </w:r>
      <w:r w:rsidR="00220CD3" w:rsidRPr="003761B9">
        <w:t>Pending issue in document INF. 10 November 2023 (114</w:t>
      </w:r>
      <w:r w:rsidR="00220CD3" w:rsidRPr="003761B9">
        <w:rPr>
          <w:vertAlign w:val="superscript"/>
        </w:rPr>
        <w:t>th</w:t>
      </w:r>
      <w:r w:rsidR="00220CD3" w:rsidRPr="003761B9">
        <w:t>) session of the WP.15</w:t>
      </w:r>
    </w:p>
    <w:p w14:paraId="73DCFD47" w14:textId="280AA8BA" w:rsidR="00220CD3" w:rsidRPr="003761B9" w:rsidRDefault="00C115A3" w:rsidP="00035483">
      <w:pPr>
        <w:pStyle w:val="SingleTxtG"/>
        <w:rPr>
          <w:lang w:val="en-GB"/>
        </w:rPr>
      </w:pPr>
      <w:r w:rsidRPr="003761B9">
        <w:rPr>
          <w:lang w:val="en-GB"/>
        </w:rPr>
        <w:t>4.</w:t>
      </w:r>
      <w:r w:rsidRPr="003761B9">
        <w:rPr>
          <w:lang w:val="en-GB"/>
        </w:rPr>
        <w:tab/>
      </w:r>
      <w:r w:rsidR="00220CD3" w:rsidRPr="003761B9">
        <w:rPr>
          <w:lang w:val="en-GB"/>
        </w:rPr>
        <w:t xml:space="preserve">It was decided by WP.15 that the issue of the interpretation of the table as forwarded in INF.10 was to be dealt with by the </w:t>
      </w:r>
      <w:r w:rsidR="004A5E78" w:rsidRPr="003761B9">
        <w:rPr>
          <w:lang w:val="en-GB"/>
        </w:rPr>
        <w:t>IWG-EV</w:t>
      </w:r>
      <w:r w:rsidR="00220CD3" w:rsidRPr="003761B9">
        <w:rPr>
          <w:lang w:val="en-GB"/>
        </w:rPr>
        <w:t>. This was decided because it was difficult to oversee all the modifications to 9.2 by the introduction of battery electric vehicles and hydrogen fuelled vehicles and this interpretation.</w:t>
      </w:r>
    </w:p>
    <w:p w14:paraId="571EA631" w14:textId="37CAE7C4" w:rsidR="00220CD3" w:rsidRPr="003761B9" w:rsidRDefault="00212CA2" w:rsidP="00035483">
      <w:pPr>
        <w:pStyle w:val="SingleTxtG"/>
        <w:rPr>
          <w:lang w:val="en-GB"/>
        </w:rPr>
      </w:pPr>
      <w:r w:rsidRPr="003761B9">
        <w:rPr>
          <w:lang w:val="en-GB"/>
        </w:rPr>
        <w:t>5.</w:t>
      </w:r>
      <w:r w:rsidRPr="003761B9">
        <w:rPr>
          <w:lang w:val="en-GB"/>
        </w:rPr>
        <w:tab/>
      </w:r>
      <w:r w:rsidR="00220CD3" w:rsidRPr="003761B9">
        <w:rPr>
          <w:lang w:val="en-GB"/>
        </w:rPr>
        <w:t>The issue in INF.10 is that if the starting point is the table in 9.2.1.1 and not the provisions itself it may be interpreted that certain issues are not allowed or applicable, depending on the legal system in the Contracting Party involved.</w:t>
      </w:r>
    </w:p>
    <w:p w14:paraId="4125F6CF" w14:textId="3BF79CC5" w:rsidR="00220CD3" w:rsidRPr="003761B9" w:rsidRDefault="00212CA2" w:rsidP="004B350B">
      <w:pPr>
        <w:pStyle w:val="SingleTxtG"/>
        <w:rPr>
          <w:b/>
          <w:bCs/>
          <w:i/>
          <w:iCs/>
          <w:lang w:val="en-GB"/>
        </w:rPr>
      </w:pPr>
      <w:r w:rsidRPr="003761B9">
        <w:rPr>
          <w:lang w:val="en-GB"/>
        </w:rPr>
        <w:lastRenderedPageBreak/>
        <w:t>6.</w:t>
      </w:r>
      <w:r w:rsidRPr="003761B9">
        <w:rPr>
          <w:lang w:val="en-GB"/>
        </w:rPr>
        <w:tab/>
      </w:r>
      <w:r w:rsidR="00220CD3" w:rsidRPr="003761B9">
        <w:rPr>
          <w:lang w:val="en-GB"/>
        </w:rPr>
        <w:t>Concerning the line</w:t>
      </w:r>
      <w:r w:rsidR="00B8281A">
        <w:rPr>
          <w:lang w:val="en-GB"/>
        </w:rPr>
        <w:t>s</w:t>
      </w:r>
      <w:r w:rsidR="00220CD3" w:rsidRPr="003761B9">
        <w:rPr>
          <w:lang w:val="en-GB"/>
        </w:rPr>
        <w:t xml:space="preserve"> “9.2.4.4 Electric power train” and “9.2.4.4.1 General”</w:t>
      </w:r>
      <w:r w:rsidR="00B8281A">
        <w:rPr>
          <w:lang w:val="en-GB"/>
        </w:rPr>
        <w:t>,</w:t>
      </w:r>
      <w:r w:rsidR="00220CD3" w:rsidRPr="003761B9">
        <w:rPr>
          <w:lang w:val="en-GB"/>
        </w:rPr>
        <w:t xml:space="preserve"> interpretation is possible. In document 2023/14 it was proposed to have two notes under 9.2.4.4 to exclude the use of the electric power train to EX vehicles and electrified trailers for the time being. However, it was decided to have one paragraphs covering the contents of the notes under 9.2.4.4.1, that is only applicable to AT and FL vehicles. Starting from the table with no crosses for EX/II and EX/III vehicles one will not come to the paragraph that excludes EX vehicles with an electric power train. </w:t>
      </w:r>
    </w:p>
    <w:p w14:paraId="34F49543" w14:textId="57B6CA49" w:rsidR="00220CD3" w:rsidRPr="003761B9" w:rsidRDefault="004B350B" w:rsidP="008F1ACA">
      <w:pPr>
        <w:pStyle w:val="H1G"/>
      </w:pPr>
      <w:r w:rsidRPr="003761B9">
        <w:tab/>
      </w:r>
      <w:r w:rsidRPr="003761B9">
        <w:tab/>
      </w:r>
      <w:r w:rsidR="00220CD3" w:rsidRPr="003761B9">
        <w:t>Proposal 2</w:t>
      </w:r>
    </w:p>
    <w:p w14:paraId="281E74B5" w14:textId="2A45BE5D" w:rsidR="00220CD3" w:rsidRPr="003761B9" w:rsidRDefault="00212CA2" w:rsidP="004B350B">
      <w:pPr>
        <w:pStyle w:val="SingleTxtG"/>
        <w:rPr>
          <w:lang w:val="en-GB"/>
        </w:rPr>
      </w:pPr>
      <w:r w:rsidRPr="003761B9">
        <w:rPr>
          <w:lang w:val="en-GB"/>
        </w:rPr>
        <w:t>7.</w:t>
      </w:r>
      <w:r w:rsidRPr="003761B9">
        <w:rPr>
          <w:lang w:val="en-GB"/>
        </w:rPr>
        <w:tab/>
      </w:r>
      <w:r w:rsidR="00220CD3" w:rsidRPr="003761B9">
        <w:rPr>
          <w:lang w:val="en-GB"/>
        </w:rPr>
        <w:t>Replace the first paragraph of 9.2.4.4.1 under 9.2.4.4 and add crosses in the table of 9.2.1.1 for 9.2.4.4 for EX/II, EX/III, AT and FL</w:t>
      </w:r>
      <w:r w:rsidRPr="003761B9">
        <w:rPr>
          <w:lang w:val="en-GB"/>
        </w:rPr>
        <w:t>:</w:t>
      </w:r>
    </w:p>
    <w:p w14:paraId="336FF941" w14:textId="77777777" w:rsidR="00220CD3" w:rsidRPr="003761B9" w:rsidRDefault="00220CD3" w:rsidP="00220CD3">
      <w:pPr>
        <w:pStyle w:val="SingleTxtG"/>
        <w:tabs>
          <w:tab w:val="left" w:pos="1985"/>
        </w:tabs>
        <w:ind w:left="2552" w:hanging="1418"/>
        <w:rPr>
          <w:i/>
          <w:iCs/>
          <w:lang w:val="en-GB"/>
        </w:rPr>
      </w:pPr>
      <w:r w:rsidRPr="003761B9">
        <w:rPr>
          <w:i/>
          <w:iCs/>
          <w:lang w:val="en-GB"/>
        </w:rPr>
        <w:t>“9.2.4.4</w:t>
      </w:r>
      <w:r w:rsidRPr="003761B9">
        <w:rPr>
          <w:i/>
          <w:iCs/>
          <w:lang w:val="en-GB"/>
        </w:rPr>
        <w:tab/>
        <w:t>Electric power train</w:t>
      </w:r>
    </w:p>
    <w:p w14:paraId="69BA009D" w14:textId="77777777" w:rsidR="00220CD3" w:rsidRPr="003761B9" w:rsidRDefault="00220CD3" w:rsidP="00220CD3">
      <w:pPr>
        <w:pStyle w:val="SingleTxtG"/>
        <w:ind w:left="1985" w:hanging="1418"/>
        <w:rPr>
          <w:i/>
          <w:iCs/>
          <w:u w:val="single"/>
          <w:lang w:val="en-GB"/>
        </w:rPr>
      </w:pPr>
      <w:r w:rsidRPr="003761B9">
        <w:rPr>
          <w:i/>
          <w:iCs/>
          <w:lang w:val="en-GB"/>
        </w:rPr>
        <w:tab/>
        <w:t>“</w:t>
      </w:r>
      <w:r w:rsidRPr="003761B9">
        <w:rPr>
          <w:i/>
          <w:iCs/>
          <w:u w:val="single"/>
          <w:lang w:val="en-GB"/>
        </w:rPr>
        <w:t>Electric power trains shall not be used for EX vehicles. Trailers with re-generative braking or electric power train are not allowed.”</w:t>
      </w:r>
    </w:p>
    <w:p w14:paraId="1FB66440" w14:textId="44308FD6" w:rsidR="00220CD3" w:rsidRPr="003761B9" w:rsidRDefault="00220CD3" w:rsidP="00220CD3">
      <w:pPr>
        <w:pStyle w:val="SingleTxtG"/>
        <w:tabs>
          <w:tab w:val="left" w:pos="1985"/>
        </w:tabs>
        <w:ind w:left="2552" w:hanging="1418"/>
        <w:rPr>
          <w:i/>
          <w:iCs/>
          <w:lang w:val="en-GB"/>
        </w:rPr>
      </w:pPr>
      <w:r w:rsidRPr="003761B9">
        <w:rPr>
          <w:i/>
          <w:iCs/>
          <w:lang w:val="en-GB"/>
        </w:rPr>
        <w:t>9.2.4.4.1</w:t>
      </w:r>
      <w:r w:rsidRPr="003761B9">
        <w:rPr>
          <w:i/>
          <w:iCs/>
          <w:lang w:val="en-GB"/>
        </w:rPr>
        <w:tab/>
        <w:t>General provisions</w:t>
      </w:r>
    </w:p>
    <w:p w14:paraId="33309D3A" w14:textId="77777777" w:rsidR="00220CD3" w:rsidRPr="003761B9" w:rsidRDefault="00220CD3" w:rsidP="00220CD3">
      <w:pPr>
        <w:pStyle w:val="SingleTxtG"/>
        <w:ind w:left="1985" w:hanging="1418"/>
        <w:rPr>
          <w:i/>
          <w:iCs/>
          <w:strike/>
          <w:lang w:val="en-GB"/>
        </w:rPr>
      </w:pPr>
      <w:r w:rsidRPr="003761B9">
        <w:rPr>
          <w:i/>
          <w:iCs/>
          <w:lang w:val="en-GB"/>
        </w:rPr>
        <w:tab/>
      </w:r>
      <w:r w:rsidRPr="003761B9">
        <w:rPr>
          <w:i/>
          <w:iCs/>
          <w:strike/>
          <w:lang w:val="en-GB"/>
        </w:rPr>
        <w:t>Electric power trains shall not be used for EX vehicles. Trailers with re-generative braking or electric power train are not allowed.</w:t>
      </w:r>
    </w:p>
    <w:p w14:paraId="5D763919" w14:textId="0CEF32D0" w:rsidR="00220CD3" w:rsidRPr="003761B9" w:rsidRDefault="00220CD3" w:rsidP="004F6F39">
      <w:pPr>
        <w:pStyle w:val="SingleTxtG"/>
        <w:ind w:left="1985"/>
        <w:rPr>
          <w:i/>
          <w:iCs/>
          <w:lang w:val="en-GB"/>
        </w:rPr>
      </w:pPr>
      <w:r w:rsidRPr="003761B9">
        <w:rPr>
          <w:i/>
          <w:iCs/>
          <w:lang w:val="en-GB"/>
        </w:rPr>
        <w:t>The electric power train shall meet the requirements of UN Regulation No. 100</w:t>
      </w:r>
      <w:r w:rsidRPr="003761B9">
        <w:rPr>
          <w:i/>
          <w:iCs/>
          <w:vertAlign w:val="superscript"/>
          <w:lang w:val="en-GB"/>
        </w:rPr>
        <w:t>1</w:t>
      </w:r>
      <w:r w:rsidRPr="003761B9">
        <w:rPr>
          <w:i/>
          <w:iCs/>
          <w:lang w:val="en-GB"/>
        </w:rPr>
        <w:t>, as amended at least by the 03 series of amendments. (Rest unchanged)”</w:t>
      </w:r>
      <w:r w:rsidR="004F6F39" w:rsidRPr="003761B9">
        <w:rPr>
          <w:i/>
          <w:iCs/>
          <w:lang w:val="en-GB"/>
        </w:rPr>
        <w:t>.</w:t>
      </w:r>
    </w:p>
    <w:p w14:paraId="66FEB291" w14:textId="77777777" w:rsidR="004F6F39" w:rsidRPr="003761B9" w:rsidRDefault="004F6F39" w:rsidP="004F6F39">
      <w:pPr>
        <w:pStyle w:val="SingleTxtG"/>
        <w:ind w:left="1985"/>
        <w:rPr>
          <w:i/>
          <w:iCs/>
          <w:lang w:val="en-GB"/>
        </w:rPr>
      </w:pPr>
    </w:p>
    <w:tbl>
      <w:tblPr>
        <w:tblW w:w="779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0"/>
        <w:gridCol w:w="1914"/>
        <w:gridCol w:w="851"/>
        <w:gridCol w:w="708"/>
        <w:gridCol w:w="709"/>
        <w:gridCol w:w="552"/>
        <w:gridCol w:w="2283"/>
      </w:tblGrid>
      <w:tr w:rsidR="00220CD3" w:rsidRPr="003761B9" w14:paraId="71BBABEC" w14:textId="77777777" w:rsidTr="006675C6">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tcPr>
          <w:p w14:paraId="1B796141" w14:textId="77777777" w:rsidR="00220CD3" w:rsidRPr="003761B9" w:rsidRDefault="00220CD3" w:rsidP="006675C6">
            <w:pPr>
              <w:spacing w:after="60"/>
              <w:rPr>
                <w:rFonts w:asciiTheme="majorBidi" w:hAnsiTheme="majorBidi" w:cstheme="majorBidi"/>
              </w:rPr>
            </w:pPr>
          </w:p>
        </w:tc>
        <w:tc>
          <w:tcPr>
            <w:tcW w:w="1914" w:type="dxa"/>
            <w:tcBorders>
              <w:top w:val="single" w:sz="4" w:space="0" w:color="auto"/>
              <w:left w:val="single" w:sz="4" w:space="0" w:color="auto"/>
              <w:bottom w:val="single" w:sz="4" w:space="0" w:color="auto"/>
              <w:right w:val="single" w:sz="4" w:space="0" w:color="auto"/>
            </w:tcBorders>
            <w:tcMar>
              <w:left w:w="28" w:type="dxa"/>
              <w:right w:w="28" w:type="dxa"/>
            </w:tcMar>
          </w:tcPr>
          <w:p w14:paraId="1A94C70B" w14:textId="77777777" w:rsidR="00220CD3" w:rsidRPr="003761B9" w:rsidRDefault="00220CD3" w:rsidP="006675C6">
            <w:pPr>
              <w:spacing w:after="60"/>
              <w:rPr>
                <w:rFonts w:asciiTheme="majorBidi" w:hAnsiTheme="majorBidi" w:cstheme="majorBidi"/>
              </w:rPr>
            </w:pPr>
          </w:p>
        </w:tc>
        <w:tc>
          <w:tcPr>
            <w:tcW w:w="851" w:type="dxa"/>
            <w:tcBorders>
              <w:top w:val="single" w:sz="4" w:space="0" w:color="auto"/>
              <w:left w:val="single" w:sz="4" w:space="0" w:color="auto"/>
              <w:bottom w:val="single" w:sz="4" w:space="0" w:color="auto"/>
              <w:right w:val="single" w:sz="4" w:space="0" w:color="auto"/>
            </w:tcBorders>
          </w:tcPr>
          <w:p w14:paraId="58A4AEF6" w14:textId="77777777" w:rsidR="00220CD3" w:rsidRPr="003761B9" w:rsidRDefault="00220CD3" w:rsidP="006675C6">
            <w:pPr>
              <w:spacing w:after="60"/>
              <w:jc w:val="center"/>
              <w:rPr>
                <w:rFonts w:asciiTheme="majorBidi" w:hAnsiTheme="majorBidi" w:cstheme="majorBidi"/>
              </w:rPr>
            </w:pPr>
            <w:r w:rsidRPr="003761B9">
              <w:rPr>
                <w:rFonts w:asciiTheme="majorBidi" w:hAnsiTheme="majorBidi" w:cstheme="majorBidi"/>
              </w:rPr>
              <w:t>EX/II</w:t>
            </w:r>
          </w:p>
        </w:tc>
        <w:tc>
          <w:tcPr>
            <w:tcW w:w="708" w:type="dxa"/>
            <w:tcBorders>
              <w:top w:val="single" w:sz="4" w:space="0" w:color="auto"/>
              <w:left w:val="single" w:sz="4" w:space="0" w:color="auto"/>
              <w:bottom w:val="single" w:sz="4" w:space="0" w:color="auto"/>
              <w:right w:val="single" w:sz="4" w:space="0" w:color="auto"/>
            </w:tcBorders>
          </w:tcPr>
          <w:p w14:paraId="40D8F586" w14:textId="77777777" w:rsidR="00220CD3" w:rsidRPr="003761B9" w:rsidRDefault="00220CD3" w:rsidP="006675C6">
            <w:pPr>
              <w:spacing w:after="60"/>
              <w:jc w:val="center"/>
              <w:rPr>
                <w:rFonts w:asciiTheme="majorBidi" w:hAnsiTheme="majorBidi" w:cstheme="majorBidi"/>
              </w:rPr>
            </w:pPr>
            <w:r w:rsidRPr="003761B9">
              <w:rPr>
                <w:rFonts w:asciiTheme="majorBidi" w:hAnsiTheme="majorBidi" w:cstheme="majorBidi"/>
              </w:rPr>
              <w:t>EX/III</w:t>
            </w:r>
          </w:p>
        </w:tc>
        <w:tc>
          <w:tcPr>
            <w:tcW w:w="709" w:type="dxa"/>
            <w:tcBorders>
              <w:top w:val="single" w:sz="4" w:space="0" w:color="auto"/>
              <w:left w:val="single" w:sz="4" w:space="0" w:color="auto"/>
              <w:bottom w:val="single" w:sz="4" w:space="0" w:color="auto"/>
              <w:right w:val="single" w:sz="4" w:space="0" w:color="auto"/>
            </w:tcBorders>
          </w:tcPr>
          <w:p w14:paraId="5E4FED92" w14:textId="77777777" w:rsidR="00220CD3" w:rsidRPr="003761B9" w:rsidRDefault="00220CD3" w:rsidP="006675C6">
            <w:pPr>
              <w:spacing w:after="60"/>
              <w:jc w:val="center"/>
              <w:rPr>
                <w:rFonts w:asciiTheme="majorBidi" w:hAnsiTheme="majorBidi" w:cstheme="majorBidi"/>
              </w:rPr>
            </w:pPr>
            <w:r w:rsidRPr="003761B9">
              <w:rPr>
                <w:rFonts w:asciiTheme="majorBidi" w:hAnsiTheme="majorBidi" w:cstheme="majorBidi"/>
              </w:rPr>
              <w:t>AT</w:t>
            </w:r>
          </w:p>
        </w:tc>
        <w:tc>
          <w:tcPr>
            <w:tcW w:w="552" w:type="dxa"/>
            <w:tcBorders>
              <w:top w:val="single" w:sz="4" w:space="0" w:color="auto"/>
              <w:left w:val="single" w:sz="4" w:space="0" w:color="auto"/>
              <w:bottom w:val="single" w:sz="4" w:space="0" w:color="auto"/>
              <w:right w:val="single" w:sz="4" w:space="0" w:color="auto"/>
            </w:tcBorders>
          </w:tcPr>
          <w:p w14:paraId="3B59D65A" w14:textId="77777777" w:rsidR="00220CD3" w:rsidRPr="003761B9" w:rsidRDefault="00220CD3" w:rsidP="006675C6">
            <w:pPr>
              <w:spacing w:after="60"/>
              <w:jc w:val="center"/>
              <w:rPr>
                <w:rFonts w:asciiTheme="majorBidi" w:hAnsiTheme="majorBidi" w:cstheme="majorBidi"/>
              </w:rPr>
            </w:pPr>
            <w:r w:rsidRPr="003761B9">
              <w:rPr>
                <w:rFonts w:asciiTheme="majorBidi" w:hAnsiTheme="majorBidi" w:cstheme="majorBidi"/>
              </w:rPr>
              <w:t>FL</w:t>
            </w:r>
          </w:p>
        </w:tc>
        <w:tc>
          <w:tcPr>
            <w:tcW w:w="2283" w:type="dxa"/>
            <w:tcBorders>
              <w:top w:val="single" w:sz="4" w:space="0" w:color="auto"/>
              <w:left w:val="single" w:sz="4" w:space="0" w:color="auto"/>
              <w:bottom w:val="single" w:sz="4" w:space="0" w:color="auto"/>
              <w:right w:val="single" w:sz="4" w:space="0" w:color="auto"/>
            </w:tcBorders>
          </w:tcPr>
          <w:p w14:paraId="00810C26" w14:textId="77777777" w:rsidR="00220CD3" w:rsidRPr="003761B9" w:rsidRDefault="00220CD3" w:rsidP="006675C6">
            <w:pPr>
              <w:spacing w:after="60"/>
              <w:ind w:left="11" w:right="-271"/>
              <w:rPr>
                <w:rFonts w:asciiTheme="majorBidi" w:hAnsiTheme="majorBidi" w:cstheme="majorBidi"/>
              </w:rPr>
            </w:pPr>
          </w:p>
        </w:tc>
      </w:tr>
      <w:tr w:rsidR="00220CD3" w:rsidRPr="003761B9" w14:paraId="30609644" w14:textId="77777777" w:rsidTr="006675C6">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tcPr>
          <w:p w14:paraId="47BF7DB0" w14:textId="77777777" w:rsidR="00220CD3" w:rsidRPr="003761B9" w:rsidRDefault="00220CD3" w:rsidP="006675C6">
            <w:pPr>
              <w:spacing w:after="60"/>
              <w:rPr>
                <w:rFonts w:asciiTheme="majorBidi" w:hAnsiTheme="majorBidi" w:cstheme="majorBidi"/>
              </w:rPr>
            </w:pPr>
            <w:r w:rsidRPr="003761B9">
              <w:rPr>
                <w:rFonts w:asciiTheme="majorBidi" w:hAnsiTheme="majorBidi" w:cstheme="majorBidi"/>
              </w:rPr>
              <w:t>9.2.4.4</w:t>
            </w:r>
          </w:p>
        </w:tc>
        <w:tc>
          <w:tcPr>
            <w:tcW w:w="1914" w:type="dxa"/>
            <w:tcBorders>
              <w:top w:val="single" w:sz="4" w:space="0" w:color="auto"/>
              <w:left w:val="single" w:sz="4" w:space="0" w:color="auto"/>
              <w:bottom w:val="single" w:sz="4" w:space="0" w:color="auto"/>
              <w:right w:val="single" w:sz="4" w:space="0" w:color="auto"/>
            </w:tcBorders>
            <w:tcMar>
              <w:left w:w="28" w:type="dxa"/>
              <w:right w:w="28" w:type="dxa"/>
            </w:tcMar>
          </w:tcPr>
          <w:p w14:paraId="18459F2F" w14:textId="77777777" w:rsidR="00220CD3" w:rsidRPr="003761B9" w:rsidRDefault="00220CD3" w:rsidP="006675C6">
            <w:pPr>
              <w:spacing w:after="60"/>
              <w:rPr>
                <w:rFonts w:asciiTheme="majorBidi" w:hAnsiTheme="majorBidi" w:cstheme="majorBidi"/>
              </w:rPr>
            </w:pPr>
            <w:r w:rsidRPr="003761B9">
              <w:rPr>
                <w:rFonts w:asciiTheme="majorBidi" w:hAnsiTheme="majorBidi" w:cstheme="majorBidi"/>
              </w:rPr>
              <w:t xml:space="preserve">Electric power train </w:t>
            </w:r>
          </w:p>
        </w:tc>
        <w:tc>
          <w:tcPr>
            <w:tcW w:w="851" w:type="dxa"/>
            <w:tcBorders>
              <w:top w:val="single" w:sz="4" w:space="0" w:color="auto"/>
              <w:left w:val="single" w:sz="4" w:space="0" w:color="auto"/>
              <w:bottom w:val="single" w:sz="4" w:space="0" w:color="auto"/>
              <w:right w:val="single" w:sz="4" w:space="0" w:color="auto"/>
            </w:tcBorders>
          </w:tcPr>
          <w:p w14:paraId="41F8842C" w14:textId="77777777" w:rsidR="00220CD3" w:rsidRPr="003761B9" w:rsidRDefault="00220CD3" w:rsidP="006675C6">
            <w:pPr>
              <w:spacing w:after="60"/>
              <w:jc w:val="center"/>
              <w:rPr>
                <w:rFonts w:asciiTheme="majorBidi" w:hAnsiTheme="majorBidi" w:cstheme="majorBidi"/>
              </w:rPr>
            </w:pPr>
            <w:r w:rsidRPr="003761B9">
              <w:rPr>
                <w:rFonts w:asciiTheme="majorBidi" w:hAnsiTheme="majorBidi" w:cstheme="majorBidi"/>
              </w:rPr>
              <w:t>X</w:t>
            </w:r>
          </w:p>
        </w:tc>
        <w:tc>
          <w:tcPr>
            <w:tcW w:w="708" w:type="dxa"/>
            <w:tcBorders>
              <w:top w:val="single" w:sz="4" w:space="0" w:color="auto"/>
              <w:left w:val="single" w:sz="4" w:space="0" w:color="auto"/>
              <w:bottom w:val="single" w:sz="4" w:space="0" w:color="auto"/>
              <w:right w:val="single" w:sz="4" w:space="0" w:color="auto"/>
            </w:tcBorders>
          </w:tcPr>
          <w:p w14:paraId="75F36B5D" w14:textId="77777777" w:rsidR="00220CD3" w:rsidRPr="003761B9" w:rsidRDefault="00220CD3" w:rsidP="006675C6">
            <w:pPr>
              <w:spacing w:after="60"/>
              <w:jc w:val="center"/>
              <w:rPr>
                <w:rFonts w:asciiTheme="majorBidi" w:hAnsiTheme="majorBidi" w:cstheme="majorBidi"/>
              </w:rPr>
            </w:pPr>
            <w:r w:rsidRPr="003761B9">
              <w:rPr>
                <w:rFonts w:asciiTheme="majorBidi" w:hAnsiTheme="majorBidi" w:cstheme="majorBidi"/>
              </w:rPr>
              <w:t>X</w:t>
            </w:r>
          </w:p>
        </w:tc>
        <w:tc>
          <w:tcPr>
            <w:tcW w:w="709" w:type="dxa"/>
            <w:tcBorders>
              <w:top w:val="single" w:sz="4" w:space="0" w:color="auto"/>
              <w:left w:val="single" w:sz="4" w:space="0" w:color="auto"/>
              <w:bottom w:val="single" w:sz="4" w:space="0" w:color="auto"/>
              <w:right w:val="single" w:sz="4" w:space="0" w:color="auto"/>
            </w:tcBorders>
          </w:tcPr>
          <w:p w14:paraId="166AD7C2" w14:textId="77777777" w:rsidR="00220CD3" w:rsidRPr="003761B9" w:rsidRDefault="00220CD3" w:rsidP="006675C6">
            <w:pPr>
              <w:spacing w:after="60"/>
              <w:jc w:val="center"/>
              <w:rPr>
                <w:rFonts w:asciiTheme="majorBidi" w:hAnsiTheme="majorBidi" w:cstheme="majorBidi"/>
              </w:rPr>
            </w:pPr>
            <w:r w:rsidRPr="003761B9">
              <w:rPr>
                <w:rFonts w:asciiTheme="majorBidi" w:hAnsiTheme="majorBidi" w:cstheme="majorBidi"/>
              </w:rPr>
              <w:t>X</w:t>
            </w:r>
          </w:p>
        </w:tc>
        <w:tc>
          <w:tcPr>
            <w:tcW w:w="552" w:type="dxa"/>
            <w:tcBorders>
              <w:top w:val="single" w:sz="4" w:space="0" w:color="auto"/>
              <w:left w:val="single" w:sz="4" w:space="0" w:color="auto"/>
              <w:bottom w:val="single" w:sz="4" w:space="0" w:color="auto"/>
              <w:right w:val="single" w:sz="4" w:space="0" w:color="auto"/>
            </w:tcBorders>
          </w:tcPr>
          <w:p w14:paraId="1BE3E274" w14:textId="77777777" w:rsidR="00220CD3" w:rsidRPr="003761B9" w:rsidRDefault="00220CD3" w:rsidP="006675C6">
            <w:pPr>
              <w:spacing w:after="60"/>
              <w:jc w:val="center"/>
              <w:rPr>
                <w:rFonts w:asciiTheme="majorBidi" w:hAnsiTheme="majorBidi" w:cstheme="majorBidi"/>
              </w:rPr>
            </w:pPr>
            <w:r w:rsidRPr="003761B9">
              <w:rPr>
                <w:rFonts w:asciiTheme="majorBidi" w:hAnsiTheme="majorBidi" w:cstheme="majorBidi"/>
              </w:rPr>
              <w:t>X</w:t>
            </w:r>
          </w:p>
        </w:tc>
        <w:tc>
          <w:tcPr>
            <w:tcW w:w="2283" w:type="dxa"/>
            <w:tcBorders>
              <w:top w:val="single" w:sz="4" w:space="0" w:color="auto"/>
              <w:left w:val="single" w:sz="4" w:space="0" w:color="auto"/>
              <w:bottom w:val="single" w:sz="4" w:space="0" w:color="auto"/>
              <w:right w:val="single" w:sz="4" w:space="0" w:color="auto"/>
            </w:tcBorders>
          </w:tcPr>
          <w:p w14:paraId="10733FBB" w14:textId="77777777" w:rsidR="00220CD3" w:rsidRPr="003761B9" w:rsidRDefault="00220CD3" w:rsidP="006675C6">
            <w:pPr>
              <w:spacing w:after="60"/>
              <w:ind w:left="11" w:right="-271"/>
              <w:rPr>
                <w:rFonts w:asciiTheme="majorBidi" w:hAnsiTheme="majorBidi" w:cstheme="majorBidi"/>
              </w:rPr>
            </w:pPr>
          </w:p>
        </w:tc>
      </w:tr>
      <w:tr w:rsidR="00220CD3" w:rsidRPr="003761B9" w14:paraId="28851F0A" w14:textId="77777777" w:rsidTr="006675C6">
        <w:trPr>
          <w:trHeight w:val="20"/>
        </w:trPr>
        <w:tc>
          <w:tcPr>
            <w:tcW w:w="780" w:type="dxa"/>
            <w:tcBorders>
              <w:top w:val="single" w:sz="4" w:space="0" w:color="auto"/>
              <w:left w:val="single" w:sz="4" w:space="0" w:color="auto"/>
              <w:bottom w:val="single" w:sz="4" w:space="0" w:color="auto"/>
              <w:right w:val="single" w:sz="4" w:space="0" w:color="auto"/>
            </w:tcBorders>
            <w:tcMar>
              <w:left w:w="28" w:type="dxa"/>
              <w:right w:w="28" w:type="dxa"/>
            </w:tcMar>
          </w:tcPr>
          <w:p w14:paraId="0471846D" w14:textId="77777777" w:rsidR="00220CD3" w:rsidRPr="003761B9" w:rsidRDefault="00220CD3" w:rsidP="006675C6">
            <w:pPr>
              <w:spacing w:after="60"/>
              <w:rPr>
                <w:rFonts w:asciiTheme="majorBidi" w:hAnsiTheme="majorBidi" w:cstheme="majorBidi"/>
              </w:rPr>
            </w:pPr>
            <w:r w:rsidRPr="003761B9">
              <w:rPr>
                <w:rFonts w:asciiTheme="majorBidi" w:hAnsiTheme="majorBidi" w:cstheme="majorBidi"/>
              </w:rPr>
              <w:t>9.2.4.4.1</w:t>
            </w:r>
          </w:p>
        </w:tc>
        <w:tc>
          <w:tcPr>
            <w:tcW w:w="1914" w:type="dxa"/>
            <w:tcBorders>
              <w:top w:val="single" w:sz="4" w:space="0" w:color="auto"/>
              <w:left w:val="single" w:sz="4" w:space="0" w:color="auto"/>
              <w:bottom w:val="single" w:sz="4" w:space="0" w:color="auto"/>
              <w:right w:val="single" w:sz="4" w:space="0" w:color="auto"/>
            </w:tcBorders>
            <w:tcMar>
              <w:left w:w="28" w:type="dxa"/>
              <w:right w:w="28" w:type="dxa"/>
            </w:tcMar>
          </w:tcPr>
          <w:p w14:paraId="11F1F549" w14:textId="77777777" w:rsidR="00220CD3" w:rsidRPr="003761B9" w:rsidRDefault="00220CD3" w:rsidP="006675C6">
            <w:pPr>
              <w:spacing w:after="60"/>
              <w:rPr>
                <w:rFonts w:asciiTheme="majorBidi" w:hAnsiTheme="majorBidi" w:cstheme="majorBidi"/>
              </w:rPr>
            </w:pPr>
            <w:r w:rsidRPr="003761B9">
              <w:rPr>
                <w:rFonts w:asciiTheme="majorBidi" w:hAnsiTheme="majorBidi" w:cstheme="majorBidi"/>
              </w:rPr>
              <w:t>General</w:t>
            </w:r>
          </w:p>
        </w:tc>
        <w:tc>
          <w:tcPr>
            <w:tcW w:w="851" w:type="dxa"/>
            <w:tcBorders>
              <w:top w:val="single" w:sz="4" w:space="0" w:color="auto"/>
              <w:left w:val="single" w:sz="4" w:space="0" w:color="auto"/>
              <w:bottom w:val="single" w:sz="4" w:space="0" w:color="auto"/>
              <w:right w:val="single" w:sz="4" w:space="0" w:color="auto"/>
            </w:tcBorders>
          </w:tcPr>
          <w:p w14:paraId="0A5BA107" w14:textId="77777777" w:rsidR="00220CD3" w:rsidRPr="003761B9" w:rsidRDefault="00220CD3" w:rsidP="006675C6">
            <w:pPr>
              <w:spacing w:after="60"/>
              <w:jc w:val="center"/>
              <w:rPr>
                <w:rFonts w:asciiTheme="majorBidi" w:hAnsiTheme="majorBidi" w:cstheme="majorBidi"/>
              </w:rPr>
            </w:pPr>
          </w:p>
        </w:tc>
        <w:tc>
          <w:tcPr>
            <w:tcW w:w="708" w:type="dxa"/>
            <w:tcBorders>
              <w:top w:val="single" w:sz="4" w:space="0" w:color="auto"/>
              <w:left w:val="single" w:sz="4" w:space="0" w:color="auto"/>
              <w:bottom w:val="single" w:sz="4" w:space="0" w:color="auto"/>
              <w:right w:val="single" w:sz="4" w:space="0" w:color="auto"/>
            </w:tcBorders>
          </w:tcPr>
          <w:p w14:paraId="783D4329" w14:textId="77777777" w:rsidR="00220CD3" w:rsidRPr="003761B9" w:rsidRDefault="00220CD3" w:rsidP="006675C6">
            <w:pPr>
              <w:spacing w:after="60"/>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tcPr>
          <w:p w14:paraId="61466FE2" w14:textId="77777777" w:rsidR="00220CD3" w:rsidRPr="003761B9" w:rsidRDefault="00220CD3" w:rsidP="006675C6">
            <w:pPr>
              <w:spacing w:after="60"/>
              <w:jc w:val="center"/>
              <w:rPr>
                <w:rFonts w:asciiTheme="majorBidi" w:hAnsiTheme="majorBidi" w:cstheme="majorBidi"/>
              </w:rPr>
            </w:pPr>
            <w:r w:rsidRPr="003761B9">
              <w:rPr>
                <w:rFonts w:asciiTheme="majorBidi" w:hAnsiTheme="majorBidi" w:cstheme="majorBidi"/>
              </w:rPr>
              <w:t>X</w:t>
            </w:r>
          </w:p>
        </w:tc>
        <w:tc>
          <w:tcPr>
            <w:tcW w:w="552" w:type="dxa"/>
            <w:tcBorders>
              <w:top w:val="single" w:sz="4" w:space="0" w:color="auto"/>
              <w:left w:val="single" w:sz="4" w:space="0" w:color="auto"/>
              <w:bottom w:val="single" w:sz="4" w:space="0" w:color="auto"/>
              <w:right w:val="single" w:sz="4" w:space="0" w:color="auto"/>
            </w:tcBorders>
          </w:tcPr>
          <w:p w14:paraId="663F11D5" w14:textId="77777777" w:rsidR="00220CD3" w:rsidRPr="003761B9" w:rsidRDefault="00220CD3" w:rsidP="006675C6">
            <w:pPr>
              <w:spacing w:after="60"/>
              <w:jc w:val="center"/>
              <w:rPr>
                <w:rFonts w:asciiTheme="majorBidi" w:hAnsiTheme="majorBidi" w:cstheme="majorBidi"/>
              </w:rPr>
            </w:pPr>
            <w:r w:rsidRPr="003761B9">
              <w:rPr>
                <w:rFonts w:asciiTheme="majorBidi" w:hAnsiTheme="majorBidi" w:cstheme="majorBidi"/>
              </w:rPr>
              <w:t>X</w:t>
            </w:r>
          </w:p>
        </w:tc>
        <w:tc>
          <w:tcPr>
            <w:tcW w:w="2283" w:type="dxa"/>
            <w:tcBorders>
              <w:top w:val="single" w:sz="4" w:space="0" w:color="auto"/>
              <w:left w:val="single" w:sz="4" w:space="0" w:color="auto"/>
              <w:bottom w:val="single" w:sz="4" w:space="0" w:color="auto"/>
              <w:right w:val="single" w:sz="4" w:space="0" w:color="auto"/>
            </w:tcBorders>
          </w:tcPr>
          <w:p w14:paraId="1C9C0554" w14:textId="77777777" w:rsidR="00220CD3" w:rsidRPr="003761B9" w:rsidRDefault="00220CD3" w:rsidP="006675C6">
            <w:pPr>
              <w:spacing w:after="60"/>
              <w:ind w:right="-271"/>
              <w:rPr>
                <w:rFonts w:asciiTheme="majorBidi" w:hAnsiTheme="majorBidi" w:cstheme="majorBidi"/>
              </w:rPr>
            </w:pPr>
            <w:r w:rsidRPr="003761B9">
              <w:rPr>
                <w:rFonts w:asciiTheme="majorBidi" w:hAnsiTheme="majorBidi" w:cstheme="majorBidi"/>
              </w:rPr>
              <w:t xml:space="preserve"> </w:t>
            </w:r>
          </w:p>
        </w:tc>
      </w:tr>
    </w:tbl>
    <w:p w14:paraId="47A09A66" w14:textId="3AF4E12B" w:rsidR="00220CD3" w:rsidRPr="003761B9" w:rsidRDefault="004F6F39" w:rsidP="004F6F39">
      <w:pPr>
        <w:pStyle w:val="HChG"/>
        <w:rPr>
          <w:lang w:val="en-GB"/>
        </w:rPr>
      </w:pPr>
      <w:r w:rsidRPr="003761B9">
        <w:rPr>
          <w:lang w:val="en-GB"/>
        </w:rPr>
        <w:tab/>
      </w:r>
      <w:r w:rsidR="00D70315">
        <w:rPr>
          <w:lang w:val="en-GB"/>
        </w:rPr>
        <w:t>IV.</w:t>
      </w:r>
      <w:r w:rsidRPr="003761B9">
        <w:rPr>
          <w:lang w:val="en-GB"/>
        </w:rPr>
        <w:tab/>
      </w:r>
      <w:r w:rsidR="00220CD3" w:rsidRPr="003761B9">
        <w:rPr>
          <w:lang w:val="en-GB"/>
        </w:rPr>
        <w:t>Work of the sub-groups</w:t>
      </w:r>
    </w:p>
    <w:p w14:paraId="5788F7FD" w14:textId="292A9048" w:rsidR="00220CD3" w:rsidRPr="003761B9" w:rsidRDefault="004F6F39" w:rsidP="008F1ACA">
      <w:pPr>
        <w:pStyle w:val="H1G"/>
      </w:pPr>
      <w:r w:rsidRPr="003761B9">
        <w:tab/>
      </w:r>
      <w:r w:rsidR="00CF2B0E">
        <w:t>A.</w:t>
      </w:r>
      <w:r w:rsidRPr="003761B9">
        <w:tab/>
      </w:r>
      <w:r w:rsidR="00220CD3" w:rsidRPr="003761B9">
        <w:t>Truck manufacturers sub-group</w:t>
      </w:r>
    </w:p>
    <w:p w14:paraId="2B1A7343" w14:textId="7B772DBC" w:rsidR="00220CD3" w:rsidRPr="003761B9" w:rsidRDefault="00C665F0" w:rsidP="004F6F39">
      <w:pPr>
        <w:pStyle w:val="SingleTxtG"/>
        <w:rPr>
          <w:lang w:val="en-GB"/>
        </w:rPr>
      </w:pPr>
      <w:r w:rsidRPr="003761B9">
        <w:rPr>
          <w:lang w:val="en-GB"/>
        </w:rPr>
        <w:t>8.</w:t>
      </w:r>
      <w:r w:rsidRPr="003761B9">
        <w:rPr>
          <w:lang w:val="en-GB"/>
        </w:rPr>
        <w:tab/>
      </w:r>
      <w:r w:rsidR="00220CD3" w:rsidRPr="003761B9">
        <w:rPr>
          <w:lang w:val="en-GB"/>
        </w:rPr>
        <w:t xml:space="preserve">The Truck Manufacturers </w:t>
      </w:r>
      <w:r w:rsidR="00B224F5" w:rsidRPr="003761B9">
        <w:rPr>
          <w:lang w:val="en-GB"/>
        </w:rPr>
        <w:t>sub</w:t>
      </w:r>
      <w:r w:rsidR="00220CD3" w:rsidRPr="003761B9">
        <w:rPr>
          <w:lang w:val="en-GB"/>
        </w:rPr>
        <w:t>-group met every two weeks on Thursday morning.</w:t>
      </w:r>
    </w:p>
    <w:p w14:paraId="03B9D775" w14:textId="2EF5F93E" w:rsidR="00220CD3" w:rsidRPr="003761B9" w:rsidRDefault="004F6F39" w:rsidP="004F6F39">
      <w:pPr>
        <w:pStyle w:val="H23G"/>
        <w:rPr>
          <w:b w:val="0"/>
          <w:bCs/>
          <w:u w:val="single"/>
        </w:rPr>
      </w:pPr>
      <w:r w:rsidRPr="003761B9">
        <w:tab/>
      </w:r>
      <w:r w:rsidRPr="003761B9">
        <w:tab/>
      </w:r>
      <w:r w:rsidR="00220CD3" w:rsidRPr="003761B9">
        <w:rPr>
          <w:b w:val="0"/>
          <w:bCs/>
          <w:u w:val="single"/>
        </w:rPr>
        <w:t>Timeline transitional measures</w:t>
      </w:r>
    </w:p>
    <w:p w14:paraId="0B8B4BBE" w14:textId="4ABD34D7" w:rsidR="00220CD3" w:rsidRPr="003761B9" w:rsidRDefault="00C665F0" w:rsidP="004F6F39">
      <w:pPr>
        <w:pStyle w:val="SingleTxtG"/>
        <w:rPr>
          <w:lang w:val="en-GB"/>
        </w:rPr>
      </w:pPr>
      <w:r w:rsidRPr="003761B9">
        <w:rPr>
          <w:lang w:val="en-GB"/>
        </w:rPr>
        <w:t>9.</w:t>
      </w:r>
      <w:r w:rsidRPr="003761B9">
        <w:rPr>
          <w:lang w:val="en-GB"/>
        </w:rPr>
        <w:tab/>
      </w:r>
      <w:r w:rsidR="00220CD3" w:rsidRPr="003761B9">
        <w:rPr>
          <w:lang w:val="en-GB"/>
        </w:rPr>
        <w:t>It was discussed that the transitional measures normally applied (1</w:t>
      </w:r>
      <w:r w:rsidR="00220CD3" w:rsidRPr="003761B9">
        <w:rPr>
          <w:vertAlign w:val="superscript"/>
          <w:lang w:val="en-GB"/>
        </w:rPr>
        <w:t>st</w:t>
      </w:r>
      <w:r w:rsidR="00220CD3" w:rsidRPr="003761B9">
        <w:rPr>
          <w:lang w:val="en-GB"/>
        </w:rPr>
        <w:t xml:space="preserve"> of April of even year after the new ADR become in force) has become tighter than before. One of the key issues is that Whole Vehicle Type Approvals are introduced some years ago. These type-approvals are based on certificates for the separate systems. New requirements in ADR need to be transposed in UN Regulation No. 105, after approval of the UN Regulation No. 105, new tests and certificates may need to be acquired and introduced, and old certificates may need to be exchanged for new in the Whole Vehicle Type Approval. As the number of vehicle regulations increase and technical services and Competent Authorities become more involved, meeting the deadline becomes even more difficult. OICA may come with a proposal on this issue.</w:t>
      </w:r>
    </w:p>
    <w:p w14:paraId="74761B59" w14:textId="29FBA499" w:rsidR="00220CD3" w:rsidRPr="003761B9" w:rsidRDefault="004F6F39" w:rsidP="004F6F39">
      <w:pPr>
        <w:pStyle w:val="H23G"/>
        <w:rPr>
          <w:b w:val="0"/>
          <w:bCs/>
          <w:u w:val="single"/>
        </w:rPr>
      </w:pPr>
      <w:r w:rsidRPr="003761B9">
        <w:tab/>
      </w:r>
      <w:r w:rsidRPr="003761B9">
        <w:tab/>
      </w:r>
      <w:r w:rsidR="00220CD3" w:rsidRPr="003761B9">
        <w:rPr>
          <w:b w:val="0"/>
          <w:bCs/>
          <w:u w:val="single"/>
        </w:rPr>
        <w:t>Charging</w:t>
      </w:r>
    </w:p>
    <w:p w14:paraId="72040829" w14:textId="663DB269" w:rsidR="00220CD3" w:rsidRPr="003761B9" w:rsidRDefault="00C665F0" w:rsidP="004F6F39">
      <w:pPr>
        <w:pStyle w:val="SingleTxtG"/>
        <w:rPr>
          <w:lang w:val="en-GB"/>
        </w:rPr>
      </w:pPr>
      <w:r w:rsidRPr="003761B9">
        <w:rPr>
          <w:lang w:val="en-GB"/>
        </w:rPr>
        <w:t>10.</w:t>
      </w:r>
      <w:r w:rsidRPr="003761B9">
        <w:rPr>
          <w:lang w:val="en-GB"/>
        </w:rPr>
        <w:tab/>
      </w:r>
      <w:r w:rsidR="00220CD3" w:rsidRPr="003761B9">
        <w:rPr>
          <w:lang w:val="en-GB"/>
        </w:rPr>
        <w:t xml:space="preserve">It was discussed to include a new 9.2.4.4.1.3 to require temperature sensing in the vehicle connector part to be able to monitor and act on possible thermal events during charging. The thermal sensing function interrupts or limits current transfer when certain temperature limits (according to certain ISO-standards) are reached. </w:t>
      </w:r>
    </w:p>
    <w:p w14:paraId="3D33E53F" w14:textId="20552404" w:rsidR="00220CD3" w:rsidRPr="003761B9" w:rsidRDefault="004F6F39" w:rsidP="008F1ACA">
      <w:pPr>
        <w:pStyle w:val="H1G"/>
      </w:pPr>
      <w:r w:rsidRPr="003761B9">
        <w:lastRenderedPageBreak/>
        <w:tab/>
      </w:r>
      <w:r w:rsidRPr="003761B9">
        <w:tab/>
      </w:r>
      <w:r w:rsidR="00220CD3" w:rsidRPr="003761B9">
        <w:t>Proposal 3</w:t>
      </w:r>
    </w:p>
    <w:p w14:paraId="79BA03FD" w14:textId="4F1EB3F2" w:rsidR="00220CD3" w:rsidRPr="003761B9" w:rsidRDefault="00C665F0" w:rsidP="004F6F39">
      <w:pPr>
        <w:pStyle w:val="SingleTxtG"/>
        <w:rPr>
          <w:lang w:val="en-GB"/>
        </w:rPr>
      </w:pPr>
      <w:r w:rsidRPr="003761B9">
        <w:rPr>
          <w:lang w:val="en-GB"/>
        </w:rPr>
        <w:t>11.</w:t>
      </w:r>
      <w:r w:rsidRPr="003761B9">
        <w:rPr>
          <w:lang w:val="en-GB"/>
        </w:rPr>
        <w:tab/>
      </w:r>
      <w:r w:rsidR="00220CD3" w:rsidRPr="003761B9">
        <w:rPr>
          <w:lang w:val="en-GB"/>
        </w:rPr>
        <w:t>Introduce a new subsection 9.2.4.4.1.3 for the category “FL” to read:</w:t>
      </w:r>
    </w:p>
    <w:p w14:paraId="3027E05B" w14:textId="59631620" w:rsidR="00220CD3" w:rsidRPr="003761B9" w:rsidRDefault="00220CD3" w:rsidP="004F6F39">
      <w:pPr>
        <w:pStyle w:val="SingleTxtG"/>
        <w:rPr>
          <w:i/>
          <w:iCs/>
          <w:lang w:val="en-GB"/>
        </w:rPr>
      </w:pPr>
      <w:r w:rsidRPr="003761B9">
        <w:rPr>
          <w:i/>
          <w:iCs/>
          <w:lang w:val="en-GB"/>
        </w:rPr>
        <w:t>“9.2.4.4.1.3</w:t>
      </w:r>
      <w:r w:rsidRPr="003761B9">
        <w:rPr>
          <w:i/>
          <w:iCs/>
          <w:lang w:val="en-GB"/>
        </w:rPr>
        <w:tab/>
        <w:t>The vehicle charging inlet shall be provided with thermal sensing function which limits and/or interrupts current transfer according to ISO 17409:2020, when the temperature exceeds component rated values or required limits by applicable product standards, see e.g. IEC 62196-3-1:2020.”</w:t>
      </w:r>
    </w:p>
    <w:p w14:paraId="3DDA63C9" w14:textId="14EE2EB2" w:rsidR="00220CD3" w:rsidRPr="003761B9" w:rsidRDefault="004F6F39" w:rsidP="004F6F39">
      <w:pPr>
        <w:pStyle w:val="H23G"/>
        <w:rPr>
          <w:b w:val="0"/>
          <w:bCs/>
          <w:u w:val="single"/>
        </w:rPr>
      </w:pPr>
      <w:r w:rsidRPr="003761B9">
        <w:tab/>
      </w:r>
      <w:r w:rsidRPr="003761B9">
        <w:tab/>
      </w:r>
      <w:r w:rsidR="00220CD3" w:rsidRPr="003761B9">
        <w:rPr>
          <w:b w:val="0"/>
          <w:bCs/>
          <w:u w:val="single"/>
        </w:rPr>
        <w:t>Re-introduction of transitional measure 1.6.5.4</w:t>
      </w:r>
    </w:p>
    <w:p w14:paraId="7E32E2D1" w14:textId="7D171079" w:rsidR="00220CD3" w:rsidRPr="003761B9" w:rsidRDefault="00C665F0" w:rsidP="004F6F39">
      <w:pPr>
        <w:pStyle w:val="SingleTxtG"/>
        <w:rPr>
          <w:lang w:val="en-GB"/>
        </w:rPr>
      </w:pPr>
      <w:r w:rsidRPr="003761B9">
        <w:rPr>
          <w:lang w:val="en-GB"/>
        </w:rPr>
        <w:t>12.</w:t>
      </w:r>
      <w:r w:rsidRPr="003761B9">
        <w:rPr>
          <w:lang w:val="en-GB"/>
        </w:rPr>
        <w:tab/>
      </w:r>
      <w:r w:rsidR="00220CD3" w:rsidRPr="003761B9">
        <w:rPr>
          <w:lang w:val="en-GB"/>
        </w:rPr>
        <w:t>It was discovered that since ADR 2021 the basic transitional measure for compliance with Part 9 is deleted. In particular with the new provisions in 9.2 that are applicable to additional vehicle categories it is suggested to re-introduce the transitional measure. The end date to follow discussion mentioned above.</w:t>
      </w:r>
    </w:p>
    <w:p w14:paraId="543053A2" w14:textId="537180B9" w:rsidR="00220CD3" w:rsidRPr="003761B9" w:rsidRDefault="004F6F39" w:rsidP="008F1ACA">
      <w:pPr>
        <w:pStyle w:val="H1G"/>
      </w:pPr>
      <w:r w:rsidRPr="003761B9">
        <w:tab/>
      </w:r>
      <w:r w:rsidRPr="003761B9">
        <w:tab/>
      </w:r>
      <w:r w:rsidR="00220CD3" w:rsidRPr="003761B9">
        <w:t>Proposal 4</w:t>
      </w:r>
    </w:p>
    <w:p w14:paraId="4A67E62B" w14:textId="6FC110D1" w:rsidR="00220CD3" w:rsidRPr="003761B9" w:rsidRDefault="00C665F0" w:rsidP="004F6F39">
      <w:pPr>
        <w:pStyle w:val="SingleTxtG"/>
        <w:rPr>
          <w:lang w:val="en-GB"/>
        </w:rPr>
      </w:pPr>
      <w:r w:rsidRPr="003761B9">
        <w:rPr>
          <w:lang w:val="en-GB"/>
        </w:rPr>
        <w:t>13.</w:t>
      </w:r>
      <w:r w:rsidRPr="003761B9">
        <w:rPr>
          <w:lang w:val="en-GB"/>
        </w:rPr>
        <w:tab/>
      </w:r>
      <w:r w:rsidR="00220CD3" w:rsidRPr="003761B9">
        <w:rPr>
          <w:lang w:val="en-GB"/>
        </w:rPr>
        <w:t>Introduce transitional measure to read:</w:t>
      </w:r>
    </w:p>
    <w:p w14:paraId="0EF5E321" w14:textId="77777777" w:rsidR="00220CD3" w:rsidRPr="003761B9" w:rsidRDefault="00220CD3" w:rsidP="004F6F39">
      <w:pPr>
        <w:pStyle w:val="SingleTxtG"/>
        <w:rPr>
          <w:i/>
          <w:iCs/>
          <w:lang w:val="en-GB"/>
        </w:rPr>
      </w:pPr>
      <w:r w:rsidRPr="003761B9">
        <w:rPr>
          <w:i/>
          <w:iCs/>
          <w:lang w:val="en-GB"/>
        </w:rPr>
        <w:t>“1.6.5.4 As regards the construction of EX/II, EX/III, FL and AT vehicles, the requirements of Part 9 in force up to 31 December 2024 may be applied until [31 March 2026].”</w:t>
      </w:r>
    </w:p>
    <w:p w14:paraId="34EDC46B" w14:textId="66E64942" w:rsidR="00220CD3" w:rsidRPr="003761B9" w:rsidRDefault="004F6F39" w:rsidP="004F6F39">
      <w:pPr>
        <w:pStyle w:val="H23G"/>
        <w:rPr>
          <w:b w:val="0"/>
          <w:bCs/>
          <w:u w:val="single"/>
        </w:rPr>
      </w:pPr>
      <w:r w:rsidRPr="003761B9">
        <w:tab/>
      </w:r>
      <w:r w:rsidRPr="003761B9">
        <w:tab/>
      </w:r>
      <w:r w:rsidR="00220CD3" w:rsidRPr="003761B9">
        <w:rPr>
          <w:b w:val="0"/>
          <w:bCs/>
          <w:u w:val="single"/>
        </w:rPr>
        <w:t>Electric heater and programming</w:t>
      </w:r>
    </w:p>
    <w:p w14:paraId="1255D8A3" w14:textId="4CC414D1" w:rsidR="00220CD3" w:rsidRPr="003761B9" w:rsidRDefault="00C665F0" w:rsidP="004F6F39">
      <w:pPr>
        <w:pStyle w:val="SingleTxtG"/>
        <w:rPr>
          <w:lang w:val="en-GB"/>
        </w:rPr>
      </w:pPr>
      <w:r w:rsidRPr="003761B9">
        <w:rPr>
          <w:lang w:val="en-GB"/>
        </w:rPr>
        <w:t>14.</w:t>
      </w:r>
      <w:r w:rsidRPr="003761B9">
        <w:rPr>
          <w:lang w:val="en-GB"/>
        </w:rPr>
        <w:tab/>
      </w:r>
      <w:r w:rsidR="00220CD3" w:rsidRPr="003761B9">
        <w:rPr>
          <w:lang w:val="en-GB"/>
        </w:rPr>
        <w:t>Electric heaters are not included in the new 9.2.5. It was discussed if for electric heaters pre-programming should be prohibited for FL vehicles, to prevent ignition of explosive atmospheres.</w:t>
      </w:r>
    </w:p>
    <w:p w14:paraId="0264A62F" w14:textId="28A46950" w:rsidR="00220CD3" w:rsidRPr="003761B9" w:rsidRDefault="004F6F39" w:rsidP="008F1ACA">
      <w:pPr>
        <w:pStyle w:val="H1G"/>
      </w:pPr>
      <w:r w:rsidRPr="003761B9">
        <w:tab/>
      </w:r>
      <w:r w:rsidR="00F50BFF">
        <w:t>B.</w:t>
      </w:r>
      <w:r w:rsidRPr="003761B9">
        <w:tab/>
      </w:r>
      <w:r w:rsidR="00220CD3" w:rsidRPr="003761B9">
        <w:t>Trailer and body builder sub-group</w:t>
      </w:r>
    </w:p>
    <w:p w14:paraId="6A47F8B1" w14:textId="7F62F712" w:rsidR="00220CD3" w:rsidRPr="003761B9" w:rsidRDefault="00C665F0" w:rsidP="004F6F39">
      <w:pPr>
        <w:pStyle w:val="SingleTxtG"/>
        <w:rPr>
          <w:lang w:val="en-GB"/>
        </w:rPr>
      </w:pPr>
      <w:r w:rsidRPr="003761B9">
        <w:rPr>
          <w:lang w:val="en-GB"/>
        </w:rPr>
        <w:t>15.</w:t>
      </w:r>
      <w:r w:rsidRPr="003761B9">
        <w:rPr>
          <w:lang w:val="en-GB"/>
        </w:rPr>
        <w:tab/>
      </w:r>
      <w:r w:rsidR="00220CD3" w:rsidRPr="003761B9">
        <w:rPr>
          <w:lang w:val="en-GB"/>
        </w:rPr>
        <w:t>There was limited communication to this sub-group concerning the dealing with batteries on trailers and batteries applied in the second phase of vehicle construction. However, it proved not possible time-wise to come to conclusions.</w:t>
      </w:r>
    </w:p>
    <w:p w14:paraId="70F9FA8E" w14:textId="56AE6E4C" w:rsidR="00220CD3" w:rsidRPr="003761B9" w:rsidRDefault="004F6F39" w:rsidP="008F1ACA">
      <w:pPr>
        <w:pStyle w:val="H1G"/>
      </w:pPr>
      <w:r w:rsidRPr="003761B9">
        <w:tab/>
      </w:r>
      <w:r w:rsidR="00F50BFF">
        <w:t>C.</w:t>
      </w:r>
      <w:r w:rsidRPr="003761B9">
        <w:tab/>
      </w:r>
      <w:r w:rsidR="00220CD3" w:rsidRPr="003761B9">
        <w:t>EX sub-group</w:t>
      </w:r>
    </w:p>
    <w:p w14:paraId="410E14EB" w14:textId="393B60DE" w:rsidR="00220CD3" w:rsidRPr="003761B9" w:rsidRDefault="00C665F0" w:rsidP="004F6F39">
      <w:pPr>
        <w:pStyle w:val="SingleTxtG"/>
        <w:rPr>
          <w:lang w:val="en-GB"/>
        </w:rPr>
      </w:pPr>
      <w:r w:rsidRPr="003761B9">
        <w:rPr>
          <w:lang w:val="en-GB"/>
        </w:rPr>
        <w:t>16.</w:t>
      </w:r>
      <w:r w:rsidRPr="003761B9">
        <w:rPr>
          <w:lang w:val="en-GB"/>
        </w:rPr>
        <w:tab/>
      </w:r>
      <w:r w:rsidR="00220CD3" w:rsidRPr="003761B9">
        <w:rPr>
          <w:lang w:val="en-GB"/>
        </w:rPr>
        <w:t>The number of experts is very limited. Action is underway to interest more experts, either as part of the IWG-EV or experts from the Explosives Working Group of the UN SCE TDG. In general, the point that EX sub-group would like to await practical experiences with AT and FL vehicles seems to remain.</w:t>
      </w:r>
    </w:p>
    <w:p w14:paraId="02CBCB54" w14:textId="46FE2FB7" w:rsidR="00220CD3" w:rsidRPr="003761B9" w:rsidRDefault="004F6F39" w:rsidP="008F1ACA">
      <w:pPr>
        <w:pStyle w:val="HChG"/>
      </w:pPr>
      <w:r w:rsidRPr="003761B9">
        <w:tab/>
      </w:r>
      <w:r w:rsidR="00F50BFF">
        <w:rPr>
          <w:lang w:val="fr-CH"/>
        </w:rPr>
        <w:t>V.</w:t>
      </w:r>
      <w:r w:rsidRPr="003761B9">
        <w:tab/>
      </w:r>
      <w:r w:rsidR="00220CD3" w:rsidRPr="003761B9">
        <w:t>Future work</w:t>
      </w:r>
    </w:p>
    <w:p w14:paraId="18DDEFD8" w14:textId="230CDE75" w:rsidR="00D924A3" w:rsidRPr="003761B9" w:rsidRDefault="00C665F0" w:rsidP="004F6F39">
      <w:pPr>
        <w:pStyle w:val="SingleTxtG"/>
        <w:rPr>
          <w:lang w:val="en-GB"/>
        </w:rPr>
      </w:pPr>
      <w:r w:rsidRPr="003761B9">
        <w:rPr>
          <w:lang w:val="en-GB"/>
        </w:rPr>
        <w:t>17.</w:t>
      </w:r>
      <w:r w:rsidRPr="003761B9">
        <w:rPr>
          <w:lang w:val="en-GB"/>
        </w:rPr>
        <w:tab/>
      </w:r>
      <w:r w:rsidR="00220CD3" w:rsidRPr="003761B9">
        <w:rPr>
          <w:lang w:val="en-GB"/>
        </w:rPr>
        <w:t>WP.15 is requested to allow the IWG-EV to continue the work on further develop of provisions, where needed, for trailers and body builders and EX vehicles.</w:t>
      </w:r>
    </w:p>
    <w:p w14:paraId="7A499F7F" w14:textId="7578C92A" w:rsidR="00220CD3" w:rsidRPr="003761B9" w:rsidRDefault="00220CD3" w:rsidP="00220CD3">
      <w:pPr>
        <w:spacing w:before="240"/>
        <w:jc w:val="center"/>
        <w:rPr>
          <w:u w:val="single"/>
        </w:rPr>
      </w:pPr>
      <w:r w:rsidRPr="003761B9">
        <w:rPr>
          <w:u w:val="single"/>
        </w:rPr>
        <w:tab/>
      </w:r>
      <w:r w:rsidRPr="003761B9">
        <w:rPr>
          <w:u w:val="single"/>
        </w:rPr>
        <w:tab/>
      </w:r>
      <w:r w:rsidRPr="003761B9">
        <w:rPr>
          <w:u w:val="single"/>
        </w:rPr>
        <w:tab/>
      </w:r>
    </w:p>
    <w:sectPr w:rsidR="00220CD3" w:rsidRPr="003761B9"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65E68" w14:textId="77777777" w:rsidR="00631B9E" w:rsidRDefault="00631B9E"/>
  </w:endnote>
  <w:endnote w:type="continuationSeparator" w:id="0">
    <w:p w14:paraId="474D1B71" w14:textId="77777777" w:rsidR="00631B9E" w:rsidRDefault="00631B9E"/>
  </w:endnote>
  <w:endnote w:type="continuationNotice" w:id="1">
    <w:p w14:paraId="6D5800F0" w14:textId="77777777" w:rsidR="00631B9E" w:rsidRDefault="00631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27BCE40"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615F0B">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BA63" w14:textId="77777777" w:rsidR="00631B9E" w:rsidRPr="000B175B" w:rsidRDefault="00631B9E" w:rsidP="000B175B">
      <w:pPr>
        <w:tabs>
          <w:tab w:val="right" w:pos="2155"/>
        </w:tabs>
        <w:spacing w:after="80"/>
        <w:ind w:left="680"/>
        <w:rPr>
          <w:u w:val="single"/>
        </w:rPr>
      </w:pPr>
      <w:r>
        <w:rPr>
          <w:u w:val="single"/>
        </w:rPr>
        <w:tab/>
      </w:r>
    </w:p>
  </w:footnote>
  <w:footnote w:type="continuationSeparator" w:id="0">
    <w:p w14:paraId="6F8B1586" w14:textId="77777777" w:rsidR="00631B9E" w:rsidRPr="00FC68B7" w:rsidRDefault="00631B9E" w:rsidP="00FC68B7">
      <w:pPr>
        <w:tabs>
          <w:tab w:val="left" w:pos="2155"/>
        </w:tabs>
        <w:spacing w:after="80"/>
        <w:ind w:left="680"/>
        <w:rPr>
          <w:u w:val="single"/>
        </w:rPr>
      </w:pPr>
      <w:r>
        <w:rPr>
          <w:u w:val="single"/>
        </w:rPr>
        <w:tab/>
      </w:r>
    </w:p>
  </w:footnote>
  <w:footnote w:type="continuationNotice" w:id="1">
    <w:p w14:paraId="4ADA0820" w14:textId="77777777" w:rsidR="00631B9E" w:rsidRDefault="00631B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14DF05B3" w:rsidR="0092434D" w:rsidRPr="00617E96" w:rsidRDefault="0092434D">
    <w:pPr>
      <w:pStyle w:val="Header"/>
      <w:rPr>
        <w:lang w:val="fr-CH"/>
      </w:rPr>
    </w:pPr>
    <w:r>
      <w:rPr>
        <w:lang w:val="fr-CH"/>
      </w:rPr>
      <w:t>INF.</w:t>
    </w:r>
    <w:r w:rsidR="00035483">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2A94B42D" w:rsidR="0092434D" w:rsidRPr="00F71BEF" w:rsidRDefault="0092434D" w:rsidP="00982036">
    <w:pPr>
      <w:pStyle w:val="Header"/>
      <w:jc w:val="right"/>
      <w:rPr>
        <w:lang w:val="fr-CH"/>
      </w:rPr>
    </w:pPr>
    <w:r w:rsidRPr="00F71BEF">
      <w:rPr>
        <w:lang w:val="fr-CH"/>
      </w:rPr>
      <w:t>INF.</w:t>
    </w:r>
    <w:r w:rsidR="0062693A">
      <w:rPr>
        <w:lang w:val="fr-CH"/>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7643CA5D" w:rsidR="0092434D" w:rsidRPr="00617E96" w:rsidRDefault="00B170C8" w:rsidP="00617E96">
    <w:pPr>
      <w:pStyle w:val="Header"/>
      <w:jc w:val="right"/>
      <w:rPr>
        <w:sz w:val="28"/>
        <w:szCs w:val="28"/>
        <w:lang w:val="fr-CH"/>
      </w:rPr>
    </w:pPr>
    <w:r>
      <w:rPr>
        <w:sz w:val="28"/>
        <w:szCs w:val="28"/>
        <w:lang w:val="fr-CH"/>
      </w:rPr>
      <w:t>INF.</w:t>
    </w:r>
    <w:r w:rsidR="00A64028">
      <w:rPr>
        <w:sz w:val="28"/>
        <w:szCs w:val="28"/>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3A7CDD"/>
    <w:multiLevelType w:val="hybridMultilevel"/>
    <w:tmpl w:val="0812F108"/>
    <w:lvl w:ilvl="0" w:tplc="99C47446">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75796000">
    <w:abstractNumId w:val="1"/>
  </w:num>
  <w:num w:numId="2" w16cid:durableId="310059221">
    <w:abstractNumId w:val="0"/>
  </w:num>
  <w:num w:numId="3" w16cid:durableId="1615867095">
    <w:abstractNumId w:val="2"/>
  </w:num>
  <w:num w:numId="4" w16cid:durableId="2135366287">
    <w:abstractNumId w:val="3"/>
  </w:num>
  <w:num w:numId="5" w16cid:durableId="659314219">
    <w:abstractNumId w:val="8"/>
  </w:num>
  <w:num w:numId="6" w16cid:durableId="177281238">
    <w:abstractNumId w:val="9"/>
  </w:num>
  <w:num w:numId="7" w16cid:durableId="1542546313">
    <w:abstractNumId w:val="7"/>
  </w:num>
  <w:num w:numId="8" w16cid:durableId="1582134312">
    <w:abstractNumId w:val="6"/>
  </w:num>
  <w:num w:numId="9" w16cid:durableId="1109590255">
    <w:abstractNumId w:val="5"/>
  </w:num>
  <w:num w:numId="10" w16cid:durableId="998771517">
    <w:abstractNumId w:val="4"/>
  </w:num>
  <w:num w:numId="11" w16cid:durableId="1346053221">
    <w:abstractNumId w:val="14"/>
  </w:num>
  <w:num w:numId="12" w16cid:durableId="2146460373">
    <w:abstractNumId w:val="11"/>
  </w:num>
  <w:num w:numId="13" w16cid:durableId="184832666">
    <w:abstractNumId w:val="10"/>
  </w:num>
  <w:num w:numId="14" w16cid:durableId="1922788949">
    <w:abstractNumId w:val="15"/>
  </w:num>
  <w:num w:numId="15" w16cid:durableId="236213340">
    <w:abstractNumId w:val="17"/>
  </w:num>
  <w:num w:numId="16" w16cid:durableId="2128770168">
    <w:abstractNumId w:val="13"/>
  </w:num>
  <w:num w:numId="17" w16cid:durableId="1278683503">
    <w:abstractNumId w:val="12"/>
  </w:num>
  <w:num w:numId="18" w16cid:durableId="5727849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D89"/>
    <w:rsid w:val="00001223"/>
    <w:rsid w:val="00005CBF"/>
    <w:rsid w:val="00011932"/>
    <w:rsid w:val="000162D9"/>
    <w:rsid w:val="000241F2"/>
    <w:rsid w:val="000268D3"/>
    <w:rsid w:val="00033B5A"/>
    <w:rsid w:val="0003511A"/>
    <w:rsid w:val="00035483"/>
    <w:rsid w:val="00042739"/>
    <w:rsid w:val="00043E2D"/>
    <w:rsid w:val="000457B4"/>
    <w:rsid w:val="00046B1F"/>
    <w:rsid w:val="00047596"/>
    <w:rsid w:val="00050F6B"/>
    <w:rsid w:val="000575AC"/>
    <w:rsid w:val="00057E97"/>
    <w:rsid w:val="000646F4"/>
    <w:rsid w:val="0006491B"/>
    <w:rsid w:val="00071BC9"/>
    <w:rsid w:val="00072C8C"/>
    <w:rsid w:val="000733B5"/>
    <w:rsid w:val="00081815"/>
    <w:rsid w:val="00084795"/>
    <w:rsid w:val="00085285"/>
    <w:rsid w:val="00091CFC"/>
    <w:rsid w:val="000931C0"/>
    <w:rsid w:val="00095097"/>
    <w:rsid w:val="00095D38"/>
    <w:rsid w:val="00096C84"/>
    <w:rsid w:val="000A17BA"/>
    <w:rsid w:val="000A1A88"/>
    <w:rsid w:val="000A309E"/>
    <w:rsid w:val="000A7999"/>
    <w:rsid w:val="000B0595"/>
    <w:rsid w:val="000B0EB8"/>
    <w:rsid w:val="000B146D"/>
    <w:rsid w:val="000B175B"/>
    <w:rsid w:val="000B3A0F"/>
    <w:rsid w:val="000B491C"/>
    <w:rsid w:val="000B4EF7"/>
    <w:rsid w:val="000C2C03"/>
    <w:rsid w:val="000C2D2E"/>
    <w:rsid w:val="000D08B9"/>
    <w:rsid w:val="000D3E3E"/>
    <w:rsid w:val="000E0415"/>
    <w:rsid w:val="000E0637"/>
    <w:rsid w:val="000E7A6F"/>
    <w:rsid w:val="000F2981"/>
    <w:rsid w:val="00107A00"/>
    <w:rsid w:val="00110035"/>
    <w:rsid w:val="001103AA"/>
    <w:rsid w:val="00110611"/>
    <w:rsid w:val="00111A5C"/>
    <w:rsid w:val="001132DF"/>
    <w:rsid w:val="0011666B"/>
    <w:rsid w:val="0011707A"/>
    <w:rsid w:val="00121D95"/>
    <w:rsid w:val="00123BF9"/>
    <w:rsid w:val="00123E78"/>
    <w:rsid w:val="00125E21"/>
    <w:rsid w:val="0013299E"/>
    <w:rsid w:val="00144750"/>
    <w:rsid w:val="00145971"/>
    <w:rsid w:val="00153C2C"/>
    <w:rsid w:val="0015659F"/>
    <w:rsid w:val="00156F38"/>
    <w:rsid w:val="00164FF7"/>
    <w:rsid w:val="00165F3A"/>
    <w:rsid w:val="0016663C"/>
    <w:rsid w:val="0017318C"/>
    <w:rsid w:val="00173696"/>
    <w:rsid w:val="00175E6F"/>
    <w:rsid w:val="00177C0F"/>
    <w:rsid w:val="001817D6"/>
    <w:rsid w:val="001A1D4B"/>
    <w:rsid w:val="001A2105"/>
    <w:rsid w:val="001A2F15"/>
    <w:rsid w:val="001A3035"/>
    <w:rsid w:val="001A411A"/>
    <w:rsid w:val="001A5573"/>
    <w:rsid w:val="001A6E11"/>
    <w:rsid w:val="001A6F83"/>
    <w:rsid w:val="001A782B"/>
    <w:rsid w:val="001B4B04"/>
    <w:rsid w:val="001C346C"/>
    <w:rsid w:val="001C6663"/>
    <w:rsid w:val="001C7895"/>
    <w:rsid w:val="001D0C8C"/>
    <w:rsid w:val="001D1419"/>
    <w:rsid w:val="001D26DF"/>
    <w:rsid w:val="001D3A03"/>
    <w:rsid w:val="001D4954"/>
    <w:rsid w:val="001D4AEC"/>
    <w:rsid w:val="001D7750"/>
    <w:rsid w:val="001E3EEF"/>
    <w:rsid w:val="001E4C81"/>
    <w:rsid w:val="001E69B8"/>
    <w:rsid w:val="001E7B67"/>
    <w:rsid w:val="001F2713"/>
    <w:rsid w:val="001F715D"/>
    <w:rsid w:val="00202DA8"/>
    <w:rsid w:val="00207AC3"/>
    <w:rsid w:val="00210872"/>
    <w:rsid w:val="00210C59"/>
    <w:rsid w:val="00211E0B"/>
    <w:rsid w:val="00212CA2"/>
    <w:rsid w:val="00220CD3"/>
    <w:rsid w:val="00222DF8"/>
    <w:rsid w:val="00223A66"/>
    <w:rsid w:val="00224D92"/>
    <w:rsid w:val="00234DF2"/>
    <w:rsid w:val="00237E67"/>
    <w:rsid w:val="0024772E"/>
    <w:rsid w:val="00250271"/>
    <w:rsid w:val="002514D4"/>
    <w:rsid w:val="002551FD"/>
    <w:rsid w:val="00256205"/>
    <w:rsid w:val="00261870"/>
    <w:rsid w:val="00261ACC"/>
    <w:rsid w:val="002646A4"/>
    <w:rsid w:val="00267B69"/>
    <w:rsid w:val="00267F5F"/>
    <w:rsid w:val="002709B0"/>
    <w:rsid w:val="00271AEC"/>
    <w:rsid w:val="0027769C"/>
    <w:rsid w:val="00277A65"/>
    <w:rsid w:val="002800B5"/>
    <w:rsid w:val="00282751"/>
    <w:rsid w:val="00284318"/>
    <w:rsid w:val="00286011"/>
    <w:rsid w:val="002864E1"/>
    <w:rsid w:val="00286B4D"/>
    <w:rsid w:val="00292E0A"/>
    <w:rsid w:val="0029372B"/>
    <w:rsid w:val="00297AB0"/>
    <w:rsid w:val="002A4C9A"/>
    <w:rsid w:val="002B5655"/>
    <w:rsid w:val="002C03AE"/>
    <w:rsid w:val="002C1C5D"/>
    <w:rsid w:val="002C5E81"/>
    <w:rsid w:val="002C6AC2"/>
    <w:rsid w:val="002D0CA9"/>
    <w:rsid w:val="002D0CAD"/>
    <w:rsid w:val="002D4643"/>
    <w:rsid w:val="002D54BC"/>
    <w:rsid w:val="002D69D8"/>
    <w:rsid w:val="002E03A0"/>
    <w:rsid w:val="002E2802"/>
    <w:rsid w:val="002E4DE5"/>
    <w:rsid w:val="002F175C"/>
    <w:rsid w:val="002F4622"/>
    <w:rsid w:val="002F5852"/>
    <w:rsid w:val="002F5EA4"/>
    <w:rsid w:val="00302E18"/>
    <w:rsid w:val="003229D8"/>
    <w:rsid w:val="0032493B"/>
    <w:rsid w:val="00327DD2"/>
    <w:rsid w:val="003336F3"/>
    <w:rsid w:val="00333CE4"/>
    <w:rsid w:val="00341AF5"/>
    <w:rsid w:val="00344B1B"/>
    <w:rsid w:val="00350C7B"/>
    <w:rsid w:val="00352709"/>
    <w:rsid w:val="00353B6A"/>
    <w:rsid w:val="003619B5"/>
    <w:rsid w:val="00362309"/>
    <w:rsid w:val="00365763"/>
    <w:rsid w:val="00367D25"/>
    <w:rsid w:val="00371178"/>
    <w:rsid w:val="003711BC"/>
    <w:rsid w:val="00371590"/>
    <w:rsid w:val="003761B9"/>
    <w:rsid w:val="00377020"/>
    <w:rsid w:val="003776D0"/>
    <w:rsid w:val="003855C6"/>
    <w:rsid w:val="0039050A"/>
    <w:rsid w:val="00392E47"/>
    <w:rsid w:val="00394CC5"/>
    <w:rsid w:val="003A6810"/>
    <w:rsid w:val="003B173B"/>
    <w:rsid w:val="003B1FA8"/>
    <w:rsid w:val="003B2A95"/>
    <w:rsid w:val="003B4873"/>
    <w:rsid w:val="003C0075"/>
    <w:rsid w:val="003C2127"/>
    <w:rsid w:val="003C2CC4"/>
    <w:rsid w:val="003C3C4D"/>
    <w:rsid w:val="003C7018"/>
    <w:rsid w:val="003D0503"/>
    <w:rsid w:val="003D1847"/>
    <w:rsid w:val="003D275B"/>
    <w:rsid w:val="003D4B23"/>
    <w:rsid w:val="003D5C99"/>
    <w:rsid w:val="003D6CB1"/>
    <w:rsid w:val="003D7C13"/>
    <w:rsid w:val="003E130E"/>
    <w:rsid w:val="003E7397"/>
    <w:rsid w:val="003F36B1"/>
    <w:rsid w:val="004021CB"/>
    <w:rsid w:val="004066A5"/>
    <w:rsid w:val="00410C89"/>
    <w:rsid w:val="004114BC"/>
    <w:rsid w:val="00411C20"/>
    <w:rsid w:val="00421FE8"/>
    <w:rsid w:val="004225D2"/>
    <w:rsid w:val="00422E03"/>
    <w:rsid w:val="0042319F"/>
    <w:rsid w:val="004240D1"/>
    <w:rsid w:val="004240EB"/>
    <w:rsid w:val="0042588A"/>
    <w:rsid w:val="00426B9B"/>
    <w:rsid w:val="004325CB"/>
    <w:rsid w:val="00442A83"/>
    <w:rsid w:val="00450839"/>
    <w:rsid w:val="0045495B"/>
    <w:rsid w:val="004561E5"/>
    <w:rsid w:val="004570B1"/>
    <w:rsid w:val="00463FDD"/>
    <w:rsid w:val="004732BE"/>
    <w:rsid w:val="0047379F"/>
    <w:rsid w:val="004738F0"/>
    <w:rsid w:val="00481CA8"/>
    <w:rsid w:val="0048397A"/>
    <w:rsid w:val="00485071"/>
    <w:rsid w:val="00485CBB"/>
    <w:rsid w:val="004866B7"/>
    <w:rsid w:val="004928FE"/>
    <w:rsid w:val="00495E99"/>
    <w:rsid w:val="004A27BC"/>
    <w:rsid w:val="004A2BD3"/>
    <w:rsid w:val="004A35B0"/>
    <w:rsid w:val="004A5098"/>
    <w:rsid w:val="004A5E78"/>
    <w:rsid w:val="004A6F63"/>
    <w:rsid w:val="004B1837"/>
    <w:rsid w:val="004B2EAF"/>
    <w:rsid w:val="004B350B"/>
    <w:rsid w:val="004B7EEB"/>
    <w:rsid w:val="004C2461"/>
    <w:rsid w:val="004C2D65"/>
    <w:rsid w:val="004C7462"/>
    <w:rsid w:val="004D0588"/>
    <w:rsid w:val="004D1404"/>
    <w:rsid w:val="004D33EE"/>
    <w:rsid w:val="004D6927"/>
    <w:rsid w:val="004E06DC"/>
    <w:rsid w:val="004E6843"/>
    <w:rsid w:val="004E6FFC"/>
    <w:rsid w:val="004E77B2"/>
    <w:rsid w:val="004F6F39"/>
    <w:rsid w:val="004F768F"/>
    <w:rsid w:val="0050113C"/>
    <w:rsid w:val="00504603"/>
    <w:rsid w:val="00504B2D"/>
    <w:rsid w:val="00506599"/>
    <w:rsid w:val="00513E3A"/>
    <w:rsid w:val="0052136D"/>
    <w:rsid w:val="00522680"/>
    <w:rsid w:val="0052775E"/>
    <w:rsid w:val="00532F9E"/>
    <w:rsid w:val="0053784E"/>
    <w:rsid w:val="0054034C"/>
    <w:rsid w:val="005420F2"/>
    <w:rsid w:val="00543E45"/>
    <w:rsid w:val="00544504"/>
    <w:rsid w:val="00547B54"/>
    <w:rsid w:val="005503DC"/>
    <w:rsid w:val="00552CEB"/>
    <w:rsid w:val="00557F53"/>
    <w:rsid w:val="0056099E"/>
    <w:rsid w:val="00561B06"/>
    <w:rsid w:val="005628B6"/>
    <w:rsid w:val="0056374F"/>
    <w:rsid w:val="00575310"/>
    <w:rsid w:val="00575B3B"/>
    <w:rsid w:val="00575C6F"/>
    <w:rsid w:val="0057735C"/>
    <w:rsid w:val="005778AE"/>
    <w:rsid w:val="005857EE"/>
    <w:rsid w:val="00591D4E"/>
    <w:rsid w:val="005941EC"/>
    <w:rsid w:val="005958A0"/>
    <w:rsid w:val="00595BEC"/>
    <w:rsid w:val="00596156"/>
    <w:rsid w:val="005962B1"/>
    <w:rsid w:val="0059724D"/>
    <w:rsid w:val="005A1A08"/>
    <w:rsid w:val="005A2E0F"/>
    <w:rsid w:val="005A7D56"/>
    <w:rsid w:val="005B3DB3"/>
    <w:rsid w:val="005B4E13"/>
    <w:rsid w:val="005C342F"/>
    <w:rsid w:val="005D0D8E"/>
    <w:rsid w:val="005D2A67"/>
    <w:rsid w:val="005D36CF"/>
    <w:rsid w:val="005D4078"/>
    <w:rsid w:val="005D4D80"/>
    <w:rsid w:val="005D7CAC"/>
    <w:rsid w:val="005E50D9"/>
    <w:rsid w:val="005E526F"/>
    <w:rsid w:val="005E5BC9"/>
    <w:rsid w:val="005F5489"/>
    <w:rsid w:val="005F5C35"/>
    <w:rsid w:val="005F7B75"/>
    <w:rsid w:val="006001EE"/>
    <w:rsid w:val="006005F7"/>
    <w:rsid w:val="00603174"/>
    <w:rsid w:val="006033AF"/>
    <w:rsid w:val="006039E1"/>
    <w:rsid w:val="00605042"/>
    <w:rsid w:val="0060603F"/>
    <w:rsid w:val="00611FC4"/>
    <w:rsid w:val="006156A8"/>
    <w:rsid w:val="00615F0B"/>
    <w:rsid w:val="006176FB"/>
    <w:rsid w:val="00617E96"/>
    <w:rsid w:val="00625FFB"/>
    <w:rsid w:val="0062693A"/>
    <w:rsid w:val="0063012C"/>
    <w:rsid w:val="00631B9E"/>
    <w:rsid w:val="00636B88"/>
    <w:rsid w:val="00636F0C"/>
    <w:rsid w:val="006404E9"/>
    <w:rsid w:val="00640B26"/>
    <w:rsid w:val="00646D0F"/>
    <w:rsid w:val="0065121A"/>
    <w:rsid w:val="0065178B"/>
    <w:rsid w:val="00652D0A"/>
    <w:rsid w:val="00662BB6"/>
    <w:rsid w:val="00662CFB"/>
    <w:rsid w:val="006642B6"/>
    <w:rsid w:val="006653F1"/>
    <w:rsid w:val="00672FDA"/>
    <w:rsid w:val="00675849"/>
    <w:rsid w:val="00676606"/>
    <w:rsid w:val="006844A1"/>
    <w:rsid w:val="00684C21"/>
    <w:rsid w:val="006904BE"/>
    <w:rsid w:val="0069098C"/>
    <w:rsid w:val="006924F6"/>
    <w:rsid w:val="00693A89"/>
    <w:rsid w:val="00695084"/>
    <w:rsid w:val="00697EFB"/>
    <w:rsid w:val="006A1F83"/>
    <w:rsid w:val="006A2530"/>
    <w:rsid w:val="006A2A1C"/>
    <w:rsid w:val="006A32FE"/>
    <w:rsid w:val="006A681C"/>
    <w:rsid w:val="006C1AF1"/>
    <w:rsid w:val="006C255C"/>
    <w:rsid w:val="006C3589"/>
    <w:rsid w:val="006C4552"/>
    <w:rsid w:val="006C5065"/>
    <w:rsid w:val="006C74F5"/>
    <w:rsid w:val="006D37AF"/>
    <w:rsid w:val="006D51D0"/>
    <w:rsid w:val="006D5FB9"/>
    <w:rsid w:val="006E0AEF"/>
    <w:rsid w:val="006E1D88"/>
    <w:rsid w:val="006E564B"/>
    <w:rsid w:val="006E5927"/>
    <w:rsid w:val="006E7191"/>
    <w:rsid w:val="006F7410"/>
    <w:rsid w:val="007011A3"/>
    <w:rsid w:val="00701FB9"/>
    <w:rsid w:val="00703577"/>
    <w:rsid w:val="007047A9"/>
    <w:rsid w:val="00705894"/>
    <w:rsid w:val="00724C17"/>
    <w:rsid w:val="0072632A"/>
    <w:rsid w:val="00726B63"/>
    <w:rsid w:val="007327D5"/>
    <w:rsid w:val="0073593C"/>
    <w:rsid w:val="00737E7A"/>
    <w:rsid w:val="00752B30"/>
    <w:rsid w:val="007629C8"/>
    <w:rsid w:val="007642DF"/>
    <w:rsid w:val="0076669C"/>
    <w:rsid w:val="0077047D"/>
    <w:rsid w:val="007708A5"/>
    <w:rsid w:val="00774219"/>
    <w:rsid w:val="0078172A"/>
    <w:rsid w:val="007851CB"/>
    <w:rsid w:val="007931F7"/>
    <w:rsid w:val="00794709"/>
    <w:rsid w:val="007A0D0E"/>
    <w:rsid w:val="007A1699"/>
    <w:rsid w:val="007A1EC1"/>
    <w:rsid w:val="007A7B30"/>
    <w:rsid w:val="007B2176"/>
    <w:rsid w:val="007B249A"/>
    <w:rsid w:val="007B5332"/>
    <w:rsid w:val="007B6BA5"/>
    <w:rsid w:val="007C3390"/>
    <w:rsid w:val="007C38EF"/>
    <w:rsid w:val="007C4F4B"/>
    <w:rsid w:val="007C554F"/>
    <w:rsid w:val="007D3162"/>
    <w:rsid w:val="007D784A"/>
    <w:rsid w:val="007E01E9"/>
    <w:rsid w:val="007E4066"/>
    <w:rsid w:val="007E63F3"/>
    <w:rsid w:val="007F32E1"/>
    <w:rsid w:val="007F6611"/>
    <w:rsid w:val="00802DF1"/>
    <w:rsid w:val="0081086B"/>
    <w:rsid w:val="00811920"/>
    <w:rsid w:val="00812BD8"/>
    <w:rsid w:val="00815AD0"/>
    <w:rsid w:val="00816F53"/>
    <w:rsid w:val="00822C69"/>
    <w:rsid w:val="00822FF0"/>
    <w:rsid w:val="008242D7"/>
    <w:rsid w:val="008254F7"/>
    <w:rsid w:val="008257B1"/>
    <w:rsid w:val="00826FDE"/>
    <w:rsid w:val="0082782C"/>
    <w:rsid w:val="00832334"/>
    <w:rsid w:val="00843767"/>
    <w:rsid w:val="008600BB"/>
    <w:rsid w:val="00863F32"/>
    <w:rsid w:val="008679D9"/>
    <w:rsid w:val="008731E4"/>
    <w:rsid w:val="00875766"/>
    <w:rsid w:val="008861DA"/>
    <w:rsid w:val="008878DE"/>
    <w:rsid w:val="0089025B"/>
    <w:rsid w:val="0089303C"/>
    <w:rsid w:val="00894669"/>
    <w:rsid w:val="00895BAB"/>
    <w:rsid w:val="008970DB"/>
    <w:rsid w:val="008979B1"/>
    <w:rsid w:val="008A43FC"/>
    <w:rsid w:val="008A50EE"/>
    <w:rsid w:val="008A6B25"/>
    <w:rsid w:val="008A6C4F"/>
    <w:rsid w:val="008B2335"/>
    <w:rsid w:val="008B3C63"/>
    <w:rsid w:val="008B6810"/>
    <w:rsid w:val="008B6BA3"/>
    <w:rsid w:val="008C271F"/>
    <w:rsid w:val="008C4B88"/>
    <w:rsid w:val="008D2334"/>
    <w:rsid w:val="008E0678"/>
    <w:rsid w:val="008E2D75"/>
    <w:rsid w:val="008E5914"/>
    <w:rsid w:val="008E6D2E"/>
    <w:rsid w:val="008E7508"/>
    <w:rsid w:val="008E7E09"/>
    <w:rsid w:val="008F1ACA"/>
    <w:rsid w:val="008F31D2"/>
    <w:rsid w:val="008F575B"/>
    <w:rsid w:val="008F6553"/>
    <w:rsid w:val="0090465E"/>
    <w:rsid w:val="009064B3"/>
    <w:rsid w:val="00914B7C"/>
    <w:rsid w:val="009166EB"/>
    <w:rsid w:val="009174AD"/>
    <w:rsid w:val="00917FDE"/>
    <w:rsid w:val="00920CA3"/>
    <w:rsid w:val="009215C9"/>
    <w:rsid w:val="009223CA"/>
    <w:rsid w:val="00922C88"/>
    <w:rsid w:val="00922F9C"/>
    <w:rsid w:val="0092434D"/>
    <w:rsid w:val="00931EB3"/>
    <w:rsid w:val="00933D40"/>
    <w:rsid w:val="00934DFA"/>
    <w:rsid w:val="00936E4A"/>
    <w:rsid w:val="00940F93"/>
    <w:rsid w:val="00943DE2"/>
    <w:rsid w:val="00945A10"/>
    <w:rsid w:val="009460CD"/>
    <w:rsid w:val="00957EB6"/>
    <w:rsid w:val="0096751C"/>
    <w:rsid w:val="00973BBC"/>
    <w:rsid w:val="00973C44"/>
    <w:rsid w:val="009760F3"/>
    <w:rsid w:val="0097696C"/>
    <w:rsid w:val="00976CFB"/>
    <w:rsid w:val="00977458"/>
    <w:rsid w:val="009812D6"/>
    <w:rsid w:val="00982036"/>
    <w:rsid w:val="009920E9"/>
    <w:rsid w:val="009941AF"/>
    <w:rsid w:val="009954B3"/>
    <w:rsid w:val="0099747B"/>
    <w:rsid w:val="009A0830"/>
    <w:rsid w:val="009A0E8D"/>
    <w:rsid w:val="009A5C6E"/>
    <w:rsid w:val="009A6244"/>
    <w:rsid w:val="009A776B"/>
    <w:rsid w:val="009A7D9E"/>
    <w:rsid w:val="009B26E7"/>
    <w:rsid w:val="009B4305"/>
    <w:rsid w:val="009B7A75"/>
    <w:rsid w:val="009D5D5F"/>
    <w:rsid w:val="009D6B04"/>
    <w:rsid w:val="009D77BD"/>
    <w:rsid w:val="009E076B"/>
    <w:rsid w:val="009E5596"/>
    <w:rsid w:val="009E5870"/>
    <w:rsid w:val="009E7286"/>
    <w:rsid w:val="00A00697"/>
    <w:rsid w:val="00A00A3F"/>
    <w:rsid w:val="00A01489"/>
    <w:rsid w:val="00A03123"/>
    <w:rsid w:val="00A046A3"/>
    <w:rsid w:val="00A072AF"/>
    <w:rsid w:val="00A144E6"/>
    <w:rsid w:val="00A3003E"/>
    <w:rsid w:val="00A3026E"/>
    <w:rsid w:val="00A327A3"/>
    <w:rsid w:val="00A32DEF"/>
    <w:rsid w:val="00A32E4E"/>
    <w:rsid w:val="00A338F1"/>
    <w:rsid w:val="00A35BE0"/>
    <w:rsid w:val="00A41D9D"/>
    <w:rsid w:val="00A4373C"/>
    <w:rsid w:val="00A50DC4"/>
    <w:rsid w:val="00A54C24"/>
    <w:rsid w:val="00A568EC"/>
    <w:rsid w:val="00A60EC9"/>
    <w:rsid w:val="00A6129C"/>
    <w:rsid w:val="00A61A76"/>
    <w:rsid w:val="00A62083"/>
    <w:rsid w:val="00A64028"/>
    <w:rsid w:val="00A65994"/>
    <w:rsid w:val="00A661B4"/>
    <w:rsid w:val="00A72178"/>
    <w:rsid w:val="00A72F22"/>
    <w:rsid w:val="00A7360F"/>
    <w:rsid w:val="00A748A6"/>
    <w:rsid w:val="00A769F4"/>
    <w:rsid w:val="00A776B4"/>
    <w:rsid w:val="00A77EA9"/>
    <w:rsid w:val="00A820AF"/>
    <w:rsid w:val="00A86C48"/>
    <w:rsid w:val="00A878C5"/>
    <w:rsid w:val="00A94361"/>
    <w:rsid w:val="00AA293C"/>
    <w:rsid w:val="00AA5E3A"/>
    <w:rsid w:val="00AA626D"/>
    <w:rsid w:val="00AA6B02"/>
    <w:rsid w:val="00AA7358"/>
    <w:rsid w:val="00AB3532"/>
    <w:rsid w:val="00AB5C99"/>
    <w:rsid w:val="00AB7F06"/>
    <w:rsid w:val="00AC3F1A"/>
    <w:rsid w:val="00AC4D43"/>
    <w:rsid w:val="00AD321C"/>
    <w:rsid w:val="00AD42AB"/>
    <w:rsid w:val="00AD5A51"/>
    <w:rsid w:val="00AE08F1"/>
    <w:rsid w:val="00AE2E12"/>
    <w:rsid w:val="00AE4E2B"/>
    <w:rsid w:val="00AE4E51"/>
    <w:rsid w:val="00AF0EA9"/>
    <w:rsid w:val="00AF21F6"/>
    <w:rsid w:val="00AF5409"/>
    <w:rsid w:val="00AF7D59"/>
    <w:rsid w:val="00B0107C"/>
    <w:rsid w:val="00B15F1E"/>
    <w:rsid w:val="00B170C8"/>
    <w:rsid w:val="00B224F5"/>
    <w:rsid w:val="00B30179"/>
    <w:rsid w:val="00B3351A"/>
    <w:rsid w:val="00B33B8F"/>
    <w:rsid w:val="00B35CD5"/>
    <w:rsid w:val="00B40092"/>
    <w:rsid w:val="00B421C1"/>
    <w:rsid w:val="00B452BE"/>
    <w:rsid w:val="00B50352"/>
    <w:rsid w:val="00B53483"/>
    <w:rsid w:val="00B55C71"/>
    <w:rsid w:val="00B567A2"/>
    <w:rsid w:val="00B56E4A"/>
    <w:rsid w:val="00B56E9C"/>
    <w:rsid w:val="00B62958"/>
    <w:rsid w:val="00B64B1F"/>
    <w:rsid w:val="00B6553F"/>
    <w:rsid w:val="00B7025D"/>
    <w:rsid w:val="00B72BE1"/>
    <w:rsid w:val="00B74C28"/>
    <w:rsid w:val="00B777AE"/>
    <w:rsid w:val="00B77D05"/>
    <w:rsid w:val="00B81206"/>
    <w:rsid w:val="00B81E12"/>
    <w:rsid w:val="00B8281A"/>
    <w:rsid w:val="00B876F7"/>
    <w:rsid w:val="00B955CD"/>
    <w:rsid w:val="00B96BDE"/>
    <w:rsid w:val="00BA0147"/>
    <w:rsid w:val="00BB00D7"/>
    <w:rsid w:val="00BB3F2F"/>
    <w:rsid w:val="00BB47A7"/>
    <w:rsid w:val="00BB7FC2"/>
    <w:rsid w:val="00BC32D7"/>
    <w:rsid w:val="00BC3460"/>
    <w:rsid w:val="00BC3FA0"/>
    <w:rsid w:val="00BC5010"/>
    <w:rsid w:val="00BC6CF4"/>
    <w:rsid w:val="00BC74E9"/>
    <w:rsid w:val="00BD43A5"/>
    <w:rsid w:val="00BD546B"/>
    <w:rsid w:val="00BD793A"/>
    <w:rsid w:val="00BE3161"/>
    <w:rsid w:val="00BE350D"/>
    <w:rsid w:val="00BE7B63"/>
    <w:rsid w:val="00BE7DD8"/>
    <w:rsid w:val="00BF0CF2"/>
    <w:rsid w:val="00BF2D3A"/>
    <w:rsid w:val="00BF2EF3"/>
    <w:rsid w:val="00BF48D9"/>
    <w:rsid w:val="00BF5486"/>
    <w:rsid w:val="00BF67DE"/>
    <w:rsid w:val="00BF68A8"/>
    <w:rsid w:val="00BF7515"/>
    <w:rsid w:val="00BF76F9"/>
    <w:rsid w:val="00C00B59"/>
    <w:rsid w:val="00C02471"/>
    <w:rsid w:val="00C04E88"/>
    <w:rsid w:val="00C10972"/>
    <w:rsid w:val="00C115A3"/>
    <w:rsid w:val="00C11801"/>
    <w:rsid w:val="00C11A03"/>
    <w:rsid w:val="00C14EC4"/>
    <w:rsid w:val="00C17B9D"/>
    <w:rsid w:val="00C21D15"/>
    <w:rsid w:val="00C22C0C"/>
    <w:rsid w:val="00C25CAF"/>
    <w:rsid w:val="00C2766D"/>
    <w:rsid w:val="00C43DD2"/>
    <w:rsid w:val="00C4527F"/>
    <w:rsid w:val="00C463DD"/>
    <w:rsid w:val="00C465BB"/>
    <w:rsid w:val="00C4724C"/>
    <w:rsid w:val="00C51AD6"/>
    <w:rsid w:val="00C55F19"/>
    <w:rsid w:val="00C566DB"/>
    <w:rsid w:val="00C56A00"/>
    <w:rsid w:val="00C60884"/>
    <w:rsid w:val="00C60D3B"/>
    <w:rsid w:val="00C629A0"/>
    <w:rsid w:val="00C62EBB"/>
    <w:rsid w:val="00C63A9D"/>
    <w:rsid w:val="00C64629"/>
    <w:rsid w:val="00C64CBC"/>
    <w:rsid w:val="00C665F0"/>
    <w:rsid w:val="00C711ED"/>
    <w:rsid w:val="00C7149F"/>
    <w:rsid w:val="00C745C3"/>
    <w:rsid w:val="00C75A4D"/>
    <w:rsid w:val="00C75D0C"/>
    <w:rsid w:val="00C822B8"/>
    <w:rsid w:val="00C91922"/>
    <w:rsid w:val="00C933EF"/>
    <w:rsid w:val="00C95303"/>
    <w:rsid w:val="00C96DF2"/>
    <w:rsid w:val="00C97150"/>
    <w:rsid w:val="00CA31C6"/>
    <w:rsid w:val="00CA6D93"/>
    <w:rsid w:val="00CA7D2A"/>
    <w:rsid w:val="00CB0F53"/>
    <w:rsid w:val="00CB1E48"/>
    <w:rsid w:val="00CB3E03"/>
    <w:rsid w:val="00CB6B06"/>
    <w:rsid w:val="00CC2893"/>
    <w:rsid w:val="00CC5BC3"/>
    <w:rsid w:val="00CD1B04"/>
    <w:rsid w:val="00CD2052"/>
    <w:rsid w:val="00CD4AA6"/>
    <w:rsid w:val="00CD6BFA"/>
    <w:rsid w:val="00CE156F"/>
    <w:rsid w:val="00CE1E84"/>
    <w:rsid w:val="00CE37CD"/>
    <w:rsid w:val="00CE4A8F"/>
    <w:rsid w:val="00CF299F"/>
    <w:rsid w:val="00CF2B0E"/>
    <w:rsid w:val="00D00EBF"/>
    <w:rsid w:val="00D02987"/>
    <w:rsid w:val="00D04C98"/>
    <w:rsid w:val="00D11F71"/>
    <w:rsid w:val="00D12F38"/>
    <w:rsid w:val="00D13D3B"/>
    <w:rsid w:val="00D2031B"/>
    <w:rsid w:val="00D20A0A"/>
    <w:rsid w:val="00D21BAC"/>
    <w:rsid w:val="00D248B6"/>
    <w:rsid w:val="00D25FE2"/>
    <w:rsid w:val="00D3022D"/>
    <w:rsid w:val="00D329C1"/>
    <w:rsid w:val="00D35A18"/>
    <w:rsid w:val="00D36590"/>
    <w:rsid w:val="00D37B31"/>
    <w:rsid w:val="00D37C72"/>
    <w:rsid w:val="00D4244C"/>
    <w:rsid w:val="00D43252"/>
    <w:rsid w:val="00D46113"/>
    <w:rsid w:val="00D47EEA"/>
    <w:rsid w:val="00D500EA"/>
    <w:rsid w:val="00D52237"/>
    <w:rsid w:val="00D5371B"/>
    <w:rsid w:val="00D61562"/>
    <w:rsid w:val="00D61A5D"/>
    <w:rsid w:val="00D65242"/>
    <w:rsid w:val="00D70315"/>
    <w:rsid w:val="00D74333"/>
    <w:rsid w:val="00D773DF"/>
    <w:rsid w:val="00D82EEF"/>
    <w:rsid w:val="00D858D0"/>
    <w:rsid w:val="00D87BCE"/>
    <w:rsid w:val="00D924A3"/>
    <w:rsid w:val="00D95303"/>
    <w:rsid w:val="00D978C6"/>
    <w:rsid w:val="00DA12A5"/>
    <w:rsid w:val="00DA1781"/>
    <w:rsid w:val="00DA3C1C"/>
    <w:rsid w:val="00DA5035"/>
    <w:rsid w:val="00DB12D7"/>
    <w:rsid w:val="00DB5C6F"/>
    <w:rsid w:val="00DB6987"/>
    <w:rsid w:val="00DC1C1D"/>
    <w:rsid w:val="00DC301E"/>
    <w:rsid w:val="00DC393A"/>
    <w:rsid w:val="00DC7544"/>
    <w:rsid w:val="00DD1088"/>
    <w:rsid w:val="00DD19E3"/>
    <w:rsid w:val="00DE6B06"/>
    <w:rsid w:val="00DF33EE"/>
    <w:rsid w:val="00DF3C28"/>
    <w:rsid w:val="00DF4D79"/>
    <w:rsid w:val="00DF5FF4"/>
    <w:rsid w:val="00DF6C26"/>
    <w:rsid w:val="00E046DF"/>
    <w:rsid w:val="00E2083E"/>
    <w:rsid w:val="00E20B22"/>
    <w:rsid w:val="00E214F0"/>
    <w:rsid w:val="00E22415"/>
    <w:rsid w:val="00E27346"/>
    <w:rsid w:val="00E27888"/>
    <w:rsid w:val="00E27B0C"/>
    <w:rsid w:val="00E27B98"/>
    <w:rsid w:val="00E37533"/>
    <w:rsid w:val="00E43BF2"/>
    <w:rsid w:val="00E4453E"/>
    <w:rsid w:val="00E51875"/>
    <w:rsid w:val="00E5372B"/>
    <w:rsid w:val="00E64229"/>
    <w:rsid w:val="00E64CFF"/>
    <w:rsid w:val="00E70BBC"/>
    <w:rsid w:val="00E71BC8"/>
    <w:rsid w:val="00E7260F"/>
    <w:rsid w:val="00E73F5D"/>
    <w:rsid w:val="00E77E4E"/>
    <w:rsid w:val="00E92145"/>
    <w:rsid w:val="00E94ED4"/>
    <w:rsid w:val="00E95418"/>
    <w:rsid w:val="00E96630"/>
    <w:rsid w:val="00E97BAF"/>
    <w:rsid w:val="00EA3EFB"/>
    <w:rsid w:val="00EA3FC3"/>
    <w:rsid w:val="00EA6EDC"/>
    <w:rsid w:val="00EB0855"/>
    <w:rsid w:val="00EB09F5"/>
    <w:rsid w:val="00EB3B4B"/>
    <w:rsid w:val="00EC291F"/>
    <w:rsid w:val="00EC520E"/>
    <w:rsid w:val="00EC60D8"/>
    <w:rsid w:val="00ED2918"/>
    <w:rsid w:val="00ED71FC"/>
    <w:rsid w:val="00ED7297"/>
    <w:rsid w:val="00ED7716"/>
    <w:rsid w:val="00ED7A2A"/>
    <w:rsid w:val="00EE105C"/>
    <w:rsid w:val="00EE5A98"/>
    <w:rsid w:val="00EE5EA4"/>
    <w:rsid w:val="00EF147E"/>
    <w:rsid w:val="00EF1D7F"/>
    <w:rsid w:val="00EF4C20"/>
    <w:rsid w:val="00F015F8"/>
    <w:rsid w:val="00F12D83"/>
    <w:rsid w:val="00F13886"/>
    <w:rsid w:val="00F15436"/>
    <w:rsid w:val="00F23D5B"/>
    <w:rsid w:val="00F259E5"/>
    <w:rsid w:val="00F31E5F"/>
    <w:rsid w:val="00F333A2"/>
    <w:rsid w:val="00F36F52"/>
    <w:rsid w:val="00F42032"/>
    <w:rsid w:val="00F50BFF"/>
    <w:rsid w:val="00F5116B"/>
    <w:rsid w:val="00F51354"/>
    <w:rsid w:val="00F5186B"/>
    <w:rsid w:val="00F52C77"/>
    <w:rsid w:val="00F55403"/>
    <w:rsid w:val="00F6087B"/>
    <w:rsid w:val="00F6100A"/>
    <w:rsid w:val="00F62D92"/>
    <w:rsid w:val="00F66275"/>
    <w:rsid w:val="00F66C5E"/>
    <w:rsid w:val="00F71BEF"/>
    <w:rsid w:val="00F7208B"/>
    <w:rsid w:val="00F73520"/>
    <w:rsid w:val="00F75087"/>
    <w:rsid w:val="00F8066F"/>
    <w:rsid w:val="00F80E84"/>
    <w:rsid w:val="00F82312"/>
    <w:rsid w:val="00F87036"/>
    <w:rsid w:val="00F93781"/>
    <w:rsid w:val="00F93844"/>
    <w:rsid w:val="00F95073"/>
    <w:rsid w:val="00FA1097"/>
    <w:rsid w:val="00FA2703"/>
    <w:rsid w:val="00FA7D6D"/>
    <w:rsid w:val="00FB014F"/>
    <w:rsid w:val="00FB4929"/>
    <w:rsid w:val="00FB5590"/>
    <w:rsid w:val="00FB613B"/>
    <w:rsid w:val="00FC42E5"/>
    <w:rsid w:val="00FC67FE"/>
    <w:rsid w:val="00FC68B7"/>
    <w:rsid w:val="00FD0CBE"/>
    <w:rsid w:val="00FD39C5"/>
    <w:rsid w:val="00FD3F98"/>
    <w:rsid w:val="00FD45B6"/>
    <w:rsid w:val="00FD52C9"/>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0DD61C6C-BA8A-4291-A6D6-31FAF5B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customStyle="1" w:styleId="UnresolvedMention2">
    <w:name w:val="Unresolved Mention2"/>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character" w:customStyle="1" w:styleId="normaltextrun">
    <w:name w:val="normaltextrun"/>
    <w:basedOn w:val="DefaultParagraphFont"/>
    <w:rsid w:val="00697EFB"/>
  </w:style>
  <w:style w:type="character" w:customStyle="1" w:styleId="eop">
    <w:name w:val="eop"/>
    <w:basedOn w:val="DefaultParagraphFont"/>
    <w:rsid w:val="00697EFB"/>
  </w:style>
  <w:style w:type="paragraph" w:customStyle="1" w:styleId="paragraph">
    <w:name w:val="paragraph"/>
    <w:basedOn w:val="Normal"/>
    <w:rsid w:val="00F51354"/>
    <w:pPr>
      <w:suppressAutoHyphens w:val="0"/>
      <w:spacing w:before="100" w:beforeAutospacing="1" w:after="100" w:afterAutospacing="1" w:line="240" w:lineRule="auto"/>
    </w:pPr>
    <w:rPr>
      <w:sz w:val="24"/>
      <w:szCs w:val="24"/>
      <w:lang w:val="fr-CH" w:eastAsia="zh-CN"/>
    </w:rPr>
  </w:style>
  <w:style w:type="character" w:customStyle="1" w:styleId="tabchar">
    <w:name w:val="tabchar"/>
    <w:basedOn w:val="DefaultParagraphFont"/>
    <w:rsid w:val="00F51354"/>
  </w:style>
  <w:style w:type="paragraph" w:styleId="Revision">
    <w:name w:val="Revision"/>
    <w:hidden/>
    <w:uiPriority w:val="99"/>
    <w:semiHidden/>
    <w:rsid w:val="004E6843"/>
    <w:rPr>
      <w:lang w:eastAsia="en-US"/>
    </w:rPr>
  </w:style>
  <w:style w:type="paragraph" w:styleId="CommentSubject">
    <w:name w:val="annotation subject"/>
    <w:basedOn w:val="CommentText"/>
    <w:next w:val="CommentText"/>
    <w:link w:val="CommentSubjectChar"/>
    <w:semiHidden/>
    <w:unhideWhenUsed/>
    <w:rsid w:val="00615F0B"/>
    <w:pPr>
      <w:spacing w:line="240" w:lineRule="auto"/>
    </w:pPr>
    <w:rPr>
      <w:b/>
      <w:bCs/>
    </w:rPr>
  </w:style>
  <w:style w:type="character" w:customStyle="1" w:styleId="CommentSubjectChar">
    <w:name w:val="Comment Subject Char"/>
    <w:basedOn w:val="CommentTextChar"/>
    <w:link w:val="CommentSubject"/>
    <w:semiHidden/>
    <w:rsid w:val="00615F0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42002">
      <w:bodyDiv w:val="1"/>
      <w:marLeft w:val="0"/>
      <w:marRight w:val="0"/>
      <w:marTop w:val="0"/>
      <w:marBottom w:val="0"/>
      <w:divBdr>
        <w:top w:val="none" w:sz="0" w:space="0" w:color="auto"/>
        <w:left w:val="none" w:sz="0" w:space="0" w:color="auto"/>
        <w:bottom w:val="none" w:sz="0" w:space="0" w:color="auto"/>
        <w:right w:val="none" w:sz="0" w:space="0" w:color="auto"/>
      </w:divBdr>
      <w:divsChild>
        <w:div w:id="2088187969">
          <w:marLeft w:val="0"/>
          <w:marRight w:val="0"/>
          <w:marTop w:val="0"/>
          <w:marBottom w:val="0"/>
          <w:divBdr>
            <w:top w:val="none" w:sz="0" w:space="0" w:color="auto"/>
            <w:left w:val="none" w:sz="0" w:space="0" w:color="auto"/>
            <w:bottom w:val="none" w:sz="0" w:space="0" w:color="auto"/>
            <w:right w:val="none" w:sz="0" w:space="0" w:color="auto"/>
          </w:divBdr>
        </w:div>
        <w:div w:id="684795216">
          <w:marLeft w:val="0"/>
          <w:marRight w:val="0"/>
          <w:marTop w:val="0"/>
          <w:marBottom w:val="0"/>
          <w:divBdr>
            <w:top w:val="none" w:sz="0" w:space="0" w:color="auto"/>
            <w:left w:val="none" w:sz="0" w:space="0" w:color="auto"/>
            <w:bottom w:val="none" w:sz="0" w:space="0" w:color="auto"/>
            <w:right w:val="none" w:sz="0" w:space="0" w:color="auto"/>
          </w:divBdr>
        </w:div>
      </w:divsChild>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531655994">
      <w:bodyDiv w:val="1"/>
      <w:marLeft w:val="0"/>
      <w:marRight w:val="0"/>
      <w:marTop w:val="0"/>
      <w:marBottom w:val="0"/>
      <w:divBdr>
        <w:top w:val="none" w:sz="0" w:space="0" w:color="auto"/>
        <w:left w:val="none" w:sz="0" w:space="0" w:color="auto"/>
        <w:bottom w:val="none" w:sz="0" w:space="0" w:color="auto"/>
        <w:right w:val="none" w:sz="0" w:space="0" w:color="auto"/>
      </w:divBdr>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60453896">
      <w:bodyDiv w:val="1"/>
      <w:marLeft w:val="0"/>
      <w:marRight w:val="0"/>
      <w:marTop w:val="0"/>
      <w:marBottom w:val="0"/>
      <w:divBdr>
        <w:top w:val="none" w:sz="0" w:space="0" w:color="auto"/>
        <w:left w:val="none" w:sz="0" w:space="0" w:color="auto"/>
        <w:bottom w:val="none" w:sz="0" w:space="0" w:color="auto"/>
        <w:right w:val="none" w:sz="0" w:space="0" w:color="auto"/>
      </w:divBdr>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74134">
      <w:bodyDiv w:val="1"/>
      <w:marLeft w:val="0"/>
      <w:marRight w:val="0"/>
      <w:marTop w:val="0"/>
      <w:marBottom w:val="0"/>
      <w:divBdr>
        <w:top w:val="none" w:sz="0" w:space="0" w:color="auto"/>
        <w:left w:val="none" w:sz="0" w:space="0" w:color="auto"/>
        <w:bottom w:val="none" w:sz="0" w:space="0" w:color="auto"/>
        <w:right w:val="none" w:sz="0" w:space="0" w:color="auto"/>
      </w:divBdr>
    </w:div>
    <w:div w:id="1529220046">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Props1.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2.xml><?xml version="1.0" encoding="utf-8"?>
<ds:datastoreItem xmlns:ds="http://schemas.openxmlformats.org/officeDocument/2006/customXml" ds:itemID="{D9B1CB80-F330-481A-8218-15DFA7320138}">
  <ds:schemaRefs>
    <ds:schemaRef ds:uri="http://schemas.openxmlformats.org/officeDocument/2006/bibliography"/>
  </ds:schemaRefs>
</ds:datastoreItem>
</file>

<file path=customXml/itemProps3.xml><?xml version="1.0" encoding="utf-8"?>
<ds:datastoreItem xmlns:ds="http://schemas.openxmlformats.org/officeDocument/2006/customXml" ds:itemID="{A20D4C53-F4EF-4EE1-95D0-63971124A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1127</Words>
  <Characters>5921</Characters>
  <Application>Microsoft Office Word</Application>
  <DocSecurity>0</DocSecurity>
  <Lines>131</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INF.5</vt:lpstr>
      <vt:lpstr>INF.XX</vt:lpstr>
    </vt:vector>
  </TitlesOfParts>
  <Company>CSD</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INF.6</dc:title>
  <dc:subject/>
  <dc:creator>Mansion</dc:creator>
  <cp:keywords/>
  <cp:lastModifiedBy>Alicia Dorca Garcia</cp:lastModifiedBy>
  <cp:revision>39</cp:revision>
  <cp:lastPrinted>2018-05-09T18:23:00Z</cp:lastPrinted>
  <dcterms:created xsi:type="dcterms:W3CDTF">2024-03-19T09:56:00Z</dcterms:created>
  <dcterms:modified xsi:type="dcterms:W3CDTF">2024-03-19T13:33:00Z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