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B86CE7"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0DEF4EDA" w:rsidR="003F1AB4" w:rsidRPr="00525E6C" w:rsidRDefault="003F1AB4" w:rsidP="003F1AB4">
            <w:pPr>
              <w:spacing w:after="80"/>
            </w:pPr>
          </w:p>
        </w:tc>
        <w:tc>
          <w:tcPr>
            <w:tcW w:w="2268" w:type="dxa"/>
            <w:tcBorders>
              <w:bottom w:val="single" w:sz="4" w:space="0" w:color="auto"/>
            </w:tcBorders>
            <w:shd w:val="clear" w:color="auto" w:fill="auto"/>
            <w:vAlign w:val="bottom"/>
          </w:tcPr>
          <w:p w14:paraId="6707C714" w14:textId="77777777" w:rsidR="003F1AB4" w:rsidRPr="00B86CE7" w:rsidRDefault="003F1AB4" w:rsidP="003F1AB4">
            <w:pPr>
              <w:spacing w:after="80" w:line="300" w:lineRule="exact"/>
              <w:rPr>
                <w:b/>
                <w:sz w:val="24"/>
                <w:szCs w:val="24"/>
              </w:rPr>
            </w:pPr>
            <w:r w:rsidRPr="00B86CE7">
              <w:rPr>
                <w:sz w:val="28"/>
                <w:szCs w:val="28"/>
              </w:rPr>
              <w:t>United Nations</w:t>
            </w:r>
          </w:p>
        </w:tc>
        <w:tc>
          <w:tcPr>
            <w:tcW w:w="6095" w:type="dxa"/>
            <w:gridSpan w:val="2"/>
            <w:tcBorders>
              <w:bottom w:val="single" w:sz="4" w:space="0" w:color="auto"/>
            </w:tcBorders>
            <w:shd w:val="clear" w:color="auto" w:fill="auto"/>
            <w:vAlign w:val="bottom"/>
          </w:tcPr>
          <w:p w14:paraId="306D3976" w14:textId="0AB5B4C9" w:rsidR="003F1AB4" w:rsidRPr="00B86CE7" w:rsidRDefault="003F1AB4" w:rsidP="003F1AB4">
            <w:pPr>
              <w:jc w:val="right"/>
            </w:pPr>
            <w:r w:rsidRPr="00B86CE7">
              <w:rPr>
                <w:sz w:val="40"/>
              </w:rPr>
              <w:t>ECE</w:t>
            </w:r>
            <w:r w:rsidRPr="00B86CE7">
              <w:t>/TRANS/WP.29/GRE/202</w:t>
            </w:r>
            <w:r w:rsidR="008850E2" w:rsidRPr="00B86CE7">
              <w:t>4</w:t>
            </w:r>
            <w:r w:rsidRPr="00B86CE7">
              <w:t>/</w:t>
            </w:r>
            <w:r w:rsidR="00E2352A" w:rsidRPr="00B86CE7">
              <w:t>8</w:t>
            </w:r>
          </w:p>
        </w:tc>
      </w:tr>
      <w:tr w:rsidR="003F1AB4" w:rsidRPr="00B86CE7"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B86CE7" w:rsidRDefault="003F1AB4" w:rsidP="003F1AB4">
            <w:pPr>
              <w:spacing w:before="120"/>
            </w:pPr>
            <w:r w:rsidRPr="00B86CE7">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B86CE7" w:rsidRDefault="003F1AB4" w:rsidP="003F1AB4">
            <w:pPr>
              <w:spacing w:before="120" w:line="420" w:lineRule="exact"/>
              <w:rPr>
                <w:sz w:val="40"/>
                <w:szCs w:val="40"/>
              </w:rPr>
            </w:pPr>
            <w:r w:rsidRPr="00B86CE7">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B86CE7" w:rsidRDefault="003F1AB4" w:rsidP="003F1AB4">
            <w:pPr>
              <w:spacing w:before="240" w:line="240" w:lineRule="exact"/>
            </w:pPr>
            <w:r w:rsidRPr="00B86CE7">
              <w:t>Distr.: General</w:t>
            </w:r>
          </w:p>
          <w:p w14:paraId="2ACA1E89" w14:textId="6C50219C" w:rsidR="000A0737" w:rsidRPr="00B86CE7" w:rsidRDefault="00731C05" w:rsidP="000A0737">
            <w:pPr>
              <w:spacing w:line="240" w:lineRule="exact"/>
            </w:pPr>
            <w:r>
              <w:t>6</w:t>
            </w:r>
            <w:r w:rsidR="000A0737" w:rsidRPr="00B86CE7">
              <w:t xml:space="preserve"> </w:t>
            </w:r>
            <w:r w:rsidR="008850E2" w:rsidRPr="00B86CE7">
              <w:t>February</w:t>
            </w:r>
            <w:r w:rsidR="000A0737" w:rsidRPr="00B86CE7">
              <w:t xml:space="preserve"> 202</w:t>
            </w:r>
            <w:r w:rsidR="008850E2" w:rsidRPr="00B86CE7">
              <w:t>4</w:t>
            </w:r>
          </w:p>
          <w:p w14:paraId="5FF26AE7" w14:textId="77777777" w:rsidR="003F1AB4" w:rsidRPr="00B86CE7" w:rsidRDefault="003F1AB4" w:rsidP="003F1AB4">
            <w:pPr>
              <w:spacing w:line="240" w:lineRule="exact"/>
            </w:pPr>
          </w:p>
          <w:p w14:paraId="71FBFBB4" w14:textId="0CC13DCC" w:rsidR="000A0737" w:rsidRPr="00B86CE7" w:rsidRDefault="003F1AB4" w:rsidP="003427A2">
            <w:pPr>
              <w:spacing w:line="240" w:lineRule="exact"/>
            </w:pPr>
            <w:r w:rsidRPr="00B86CE7">
              <w:t>Original: English</w:t>
            </w:r>
          </w:p>
        </w:tc>
      </w:tr>
    </w:tbl>
    <w:p w14:paraId="32D3E06F" w14:textId="394FCE03" w:rsidR="00732AD2" w:rsidRPr="00B86CE7" w:rsidRDefault="00732AD2" w:rsidP="00732AD2">
      <w:pPr>
        <w:spacing w:before="120"/>
        <w:rPr>
          <w:b/>
          <w:sz w:val="28"/>
          <w:szCs w:val="28"/>
        </w:rPr>
      </w:pPr>
      <w:r w:rsidRPr="00B86CE7">
        <w:rPr>
          <w:b/>
          <w:sz w:val="28"/>
          <w:szCs w:val="28"/>
        </w:rPr>
        <w:t>Economic Commission for Europe</w:t>
      </w:r>
    </w:p>
    <w:p w14:paraId="0555DAE5" w14:textId="77777777" w:rsidR="00732AD2" w:rsidRPr="00B86CE7" w:rsidRDefault="00732AD2" w:rsidP="00732AD2">
      <w:pPr>
        <w:spacing w:before="120"/>
        <w:rPr>
          <w:sz w:val="28"/>
          <w:szCs w:val="28"/>
        </w:rPr>
      </w:pPr>
      <w:r w:rsidRPr="00B86CE7">
        <w:rPr>
          <w:sz w:val="28"/>
          <w:szCs w:val="28"/>
        </w:rPr>
        <w:t>Inland Transport Committee</w:t>
      </w:r>
    </w:p>
    <w:p w14:paraId="49BB2B21" w14:textId="77777777" w:rsidR="00732AD2" w:rsidRPr="00B86CE7" w:rsidRDefault="00732AD2" w:rsidP="00732AD2">
      <w:pPr>
        <w:spacing w:before="120"/>
        <w:rPr>
          <w:b/>
          <w:sz w:val="24"/>
          <w:szCs w:val="24"/>
        </w:rPr>
      </w:pPr>
      <w:r w:rsidRPr="00B86CE7">
        <w:rPr>
          <w:b/>
          <w:sz w:val="24"/>
          <w:szCs w:val="24"/>
        </w:rPr>
        <w:t>World Forum for Harmonization of Vehicle Regulations</w:t>
      </w:r>
    </w:p>
    <w:p w14:paraId="2C7263B6" w14:textId="77777777" w:rsidR="00732AD2" w:rsidRPr="00B86CE7" w:rsidRDefault="00732AD2" w:rsidP="00732AD2">
      <w:pPr>
        <w:spacing w:before="120" w:after="120"/>
        <w:rPr>
          <w:b/>
          <w:bCs/>
        </w:rPr>
      </w:pPr>
      <w:r w:rsidRPr="00B86CE7">
        <w:rPr>
          <w:b/>
          <w:bCs/>
        </w:rPr>
        <w:t>Working Party on Lighting and Light-Signalling</w:t>
      </w:r>
    </w:p>
    <w:p w14:paraId="15CBE644" w14:textId="39421E63" w:rsidR="000A0737" w:rsidRPr="00B86CE7" w:rsidRDefault="002B7088" w:rsidP="000A0737">
      <w:pPr>
        <w:ind w:right="1134"/>
        <w:rPr>
          <w:b/>
        </w:rPr>
      </w:pPr>
      <w:r w:rsidRPr="00B86CE7">
        <w:rPr>
          <w:b/>
        </w:rPr>
        <w:t xml:space="preserve">Ninetieth </w:t>
      </w:r>
      <w:r w:rsidR="000A0737" w:rsidRPr="00B86CE7">
        <w:rPr>
          <w:b/>
        </w:rPr>
        <w:t>session</w:t>
      </w:r>
    </w:p>
    <w:p w14:paraId="4A4D8D9A" w14:textId="68A9C0B5" w:rsidR="000A0737" w:rsidRPr="00B86CE7" w:rsidRDefault="000A0737" w:rsidP="000A0737">
      <w:pPr>
        <w:ind w:right="1134"/>
      </w:pPr>
      <w:r w:rsidRPr="00B86CE7">
        <w:t>Geneva, 2</w:t>
      </w:r>
      <w:r w:rsidR="002B7088" w:rsidRPr="00B86CE7">
        <w:t xml:space="preserve">9 April – 3 May </w:t>
      </w:r>
      <w:r w:rsidRPr="00B86CE7">
        <w:t>202</w:t>
      </w:r>
      <w:r w:rsidR="002B7088" w:rsidRPr="00B86CE7">
        <w:t>4</w:t>
      </w:r>
    </w:p>
    <w:p w14:paraId="1C3E310D" w14:textId="107B1E2E" w:rsidR="000A0737" w:rsidRPr="00F61414" w:rsidRDefault="000A0737" w:rsidP="000A0737">
      <w:pPr>
        <w:ind w:right="1134"/>
        <w:rPr>
          <w:bCs/>
        </w:rPr>
      </w:pPr>
      <w:r w:rsidRPr="00B86CE7">
        <w:rPr>
          <w:bCs/>
        </w:rPr>
        <w:t xml:space="preserve">Item </w:t>
      </w:r>
      <w:r w:rsidR="00E2352A" w:rsidRPr="00B86CE7">
        <w:rPr>
          <w:bCs/>
        </w:rPr>
        <w:t xml:space="preserve">7 (b) </w:t>
      </w:r>
      <w:r w:rsidRPr="00B86CE7">
        <w:rPr>
          <w:bCs/>
        </w:rPr>
        <w:t>of the provisional agenda</w:t>
      </w:r>
    </w:p>
    <w:p w14:paraId="18EC8CFA" w14:textId="1D4D57B1" w:rsidR="000A0737" w:rsidRPr="00B86CE7" w:rsidRDefault="00E2352A" w:rsidP="000A0737">
      <w:pPr>
        <w:ind w:right="1467"/>
        <w:rPr>
          <w:b/>
          <w:bCs/>
          <w:lang w:val="fr-CH"/>
        </w:rPr>
      </w:pPr>
      <w:proofErr w:type="spellStart"/>
      <w:r w:rsidRPr="00B86CE7">
        <w:rPr>
          <w:b/>
          <w:bCs/>
          <w:lang w:val="fr-CH"/>
        </w:rPr>
        <w:t>Device</w:t>
      </w:r>
      <w:proofErr w:type="spellEnd"/>
      <w:r w:rsidRPr="00B86CE7">
        <w:rPr>
          <w:b/>
          <w:bCs/>
          <w:lang w:val="fr-CH"/>
        </w:rPr>
        <w:t xml:space="preserve"> UN </w:t>
      </w:r>
      <w:proofErr w:type="spellStart"/>
      <w:proofErr w:type="gramStart"/>
      <w:r w:rsidRPr="00B86CE7">
        <w:rPr>
          <w:b/>
          <w:bCs/>
          <w:lang w:val="fr-CH"/>
        </w:rPr>
        <w:t>Regulations</w:t>
      </w:r>
      <w:proofErr w:type="spellEnd"/>
      <w:r w:rsidRPr="00B86CE7">
        <w:rPr>
          <w:b/>
          <w:bCs/>
          <w:lang w:val="fr-CH"/>
        </w:rPr>
        <w:t>:</w:t>
      </w:r>
      <w:proofErr w:type="gramEnd"/>
      <w:r w:rsidRPr="00B86CE7">
        <w:rPr>
          <w:b/>
          <w:bCs/>
          <w:lang w:val="fr-CH"/>
        </w:rPr>
        <w:t xml:space="preserve"> </w:t>
      </w:r>
      <w:r w:rsidR="00330090" w:rsidRPr="00B86CE7">
        <w:rPr>
          <w:b/>
          <w:bCs/>
          <w:lang w:val="fr-CH"/>
        </w:rPr>
        <w:t xml:space="preserve">UN </w:t>
      </w:r>
      <w:proofErr w:type="spellStart"/>
      <w:r w:rsidR="00330090" w:rsidRPr="00B86CE7">
        <w:rPr>
          <w:b/>
          <w:bCs/>
          <w:lang w:val="fr-CH"/>
        </w:rPr>
        <w:t>Regulation</w:t>
      </w:r>
      <w:proofErr w:type="spellEnd"/>
      <w:r w:rsidR="00330090" w:rsidRPr="00B86CE7">
        <w:rPr>
          <w:b/>
          <w:bCs/>
          <w:lang w:val="fr-CH"/>
        </w:rPr>
        <w:t xml:space="preserve"> No. </w:t>
      </w:r>
      <w:r w:rsidR="000D6070" w:rsidRPr="00B86CE7">
        <w:rPr>
          <w:b/>
          <w:bCs/>
          <w:lang w:val="fr-CH"/>
        </w:rPr>
        <w:t>1</w:t>
      </w:r>
      <w:r w:rsidR="00330090" w:rsidRPr="00B86CE7">
        <w:rPr>
          <w:b/>
          <w:bCs/>
          <w:lang w:val="fr-CH"/>
        </w:rPr>
        <w:t>4</w:t>
      </w:r>
      <w:r w:rsidR="00031599" w:rsidRPr="00B86CE7">
        <w:rPr>
          <w:b/>
          <w:bCs/>
          <w:lang w:val="fr-CH"/>
        </w:rPr>
        <w:t>9</w:t>
      </w:r>
      <w:r w:rsidR="00330090" w:rsidRPr="00B86CE7">
        <w:rPr>
          <w:b/>
          <w:bCs/>
          <w:lang w:val="fr-CH"/>
        </w:rPr>
        <w:t xml:space="preserve"> (</w:t>
      </w:r>
      <w:r w:rsidR="00031599" w:rsidRPr="00B86CE7">
        <w:rPr>
          <w:b/>
          <w:bCs/>
          <w:lang w:val="fr-CH"/>
        </w:rPr>
        <w:t xml:space="preserve">Road illumination </w:t>
      </w:r>
      <w:proofErr w:type="spellStart"/>
      <w:r w:rsidR="00082F82" w:rsidRPr="00B86CE7">
        <w:rPr>
          <w:b/>
          <w:bCs/>
          <w:lang w:val="fr-CH"/>
        </w:rPr>
        <w:t>devices</w:t>
      </w:r>
      <w:proofErr w:type="spellEnd"/>
      <w:r w:rsidR="00330090" w:rsidRPr="00B86CE7">
        <w:rPr>
          <w:b/>
          <w:bCs/>
          <w:lang w:val="fr-CH"/>
        </w:rPr>
        <w:t>)</w:t>
      </w:r>
    </w:p>
    <w:p w14:paraId="1BE1B729" w14:textId="6ACF6CB4" w:rsidR="00732AD2" w:rsidRPr="00525E6C" w:rsidRDefault="00732AD2" w:rsidP="003F1AB4">
      <w:pPr>
        <w:pStyle w:val="HChG"/>
      </w:pPr>
      <w:r w:rsidRPr="00B86CE7">
        <w:rPr>
          <w:lang w:val="fr-CH"/>
        </w:rPr>
        <w:tab/>
      </w:r>
      <w:r w:rsidRPr="00B86CE7">
        <w:rPr>
          <w:lang w:val="fr-CH"/>
        </w:rPr>
        <w:tab/>
      </w:r>
      <w:r w:rsidR="00330090">
        <w:t xml:space="preserve">Proposal for a Supplement to the </w:t>
      </w:r>
      <w:r w:rsidR="006D3902">
        <w:t xml:space="preserve">01 </w:t>
      </w:r>
      <w:r w:rsidR="00E66D37">
        <w:t>series of amendments to UN Regulation No. </w:t>
      </w:r>
      <w:r w:rsidR="006D3902">
        <w:t>1</w:t>
      </w:r>
      <w:r w:rsidR="00082F82">
        <w:t>4</w:t>
      </w:r>
      <w:r w:rsidR="007E7946">
        <w:t>9</w:t>
      </w:r>
    </w:p>
    <w:p w14:paraId="51369146" w14:textId="6AEE77E4" w:rsidR="00E317C2" w:rsidRPr="00525E6C" w:rsidRDefault="00E317C2" w:rsidP="00E317C2">
      <w:pPr>
        <w:pStyle w:val="H1G"/>
        <w:rPr>
          <w:szCs w:val="24"/>
        </w:rPr>
      </w:pPr>
      <w:r>
        <w:tab/>
      </w:r>
      <w:r>
        <w:tab/>
      </w:r>
      <w:r w:rsidRPr="00233C38">
        <w:t xml:space="preserve">Submitted by </w:t>
      </w:r>
      <w:r w:rsidR="00330090" w:rsidRPr="001A13D4">
        <w:rPr>
          <w:szCs w:val="24"/>
        </w:rPr>
        <w:t>the expert</w:t>
      </w:r>
      <w:r w:rsidR="00330090">
        <w:rPr>
          <w:szCs w:val="24"/>
        </w:rPr>
        <w:t>s</w:t>
      </w:r>
      <w:r w:rsidR="00330090" w:rsidRPr="001A13D4">
        <w:rPr>
          <w:szCs w:val="24"/>
        </w:rPr>
        <w:t xml:space="preserve"> from the International Automotive Lighting and Light</w:t>
      </w:r>
      <w:r w:rsidR="00330090">
        <w:rPr>
          <w:szCs w:val="24"/>
        </w:rPr>
        <w:t>-</w:t>
      </w:r>
      <w:r w:rsidR="00330090" w:rsidRPr="001A13D4">
        <w:rPr>
          <w:szCs w:val="24"/>
        </w:rPr>
        <w:t>Signalling Expert Group</w:t>
      </w:r>
      <w:r w:rsidR="00330090" w:rsidRPr="00DE7053">
        <w:t xml:space="preserve"> </w:t>
      </w:r>
      <w:r w:rsidRPr="00DE7053">
        <w:footnoteReference w:customMarkFollows="1" w:id="2"/>
        <w:t>*</w:t>
      </w:r>
      <w:r w:rsidRPr="00525E6C">
        <w:rPr>
          <w:szCs w:val="24"/>
        </w:rPr>
        <w:t xml:space="preserve"> </w:t>
      </w:r>
    </w:p>
    <w:p w14:paraId="319E2D2D" w14:textId="6B9792C7" w:rsidR="00A45AFB" w:rsidRPr="00270AAF" w:rsidRDefault="001E0C4E" w:rsidP="00270AAF">
      <w:pPr>
        <w:pStyle w:val="SingleTxtG"/>
        <w:tabs>
          <w:tab w:val="left" w:pos="8505"/>
        </w:tabs>
        <w:ind w:firstLine="567"/>
      </w:pPr>
      <w:r>
        <w:t xml:space="preserve">The text reproduced below was prepared by </w:t>
      </w:r>
      <w:r w:rsidR="00330090" w:rsidRPr="00EC30B1">
        <w:t>the expert</w:t>
      </w:r>
      <w:r w:rsidR="00330090">
        <w:t>s</w:t>
      </w:r>
      <w:r w:rsidR="00330090" w:rsidRPr="00EC30B1">
        <w:t xml:space="preserve"> from the International Automotive Lighting and Ligh</w:t>
      </w:r>
      <w:r w:rsidR="00330090">
        <w:t xml:space="preserve">t-Signalling Expert Group (GTB) </w:t>
      </w:r>
      <w:r w:rsidR="00330090" w:rsidRPr="001B0BAA">
        <w:t xml:space="preserve">with the aim to </w:t>
      </w:r>
      <w:r w:rsidR="00BA396D">
        <w:t xml:space="preserve">clarify the </w:t>
      </w:r>
      <w:r w:rsidR="00990076">
        <w:t>markings</w:t>
      </w:r>
      <w:r w:rsidR="00C72D55" w:rsidRPr="00C72D55">
        <w:t>.</w:t>
      </w:r>
      <w:r w:rsidR="00C72D55">
        <w:t xml:space="preserve"> </w:t>
      </w:r>
      <w:r w:rsidR="00330090" w:rsidRPr="00AA18F7">
        <w:t>The</w:t>
      </w:r>
      <w:r w:rsidR="00330090">
        <w:t xml:space="preserve"> proposed</w:t>
      </w:r>
      <w:r w:rsidR="00330090" w:rsidRPr="00AA18F7">
        <w:t xml:space="preserve"> modifications to the current text of the </w:t>
      </w:r>
      <w:r w:rsidR="00330090">
        <w:t xml:space="preserve">UN </w:t>
      </w:r>
      <w:r w:rsidR="00330090" w:rsidRPr="00AA18F7">
        <w:t>Regulation</w:t>
      </w:r>
      <w:r>
        <w:t>s</w:t>
      </w:r>
      <w:r w:rsidR="00330090" w:rsidRPr="00AA18F7">
        <w:t xml:space="preserve"> are marked in bold for new or strikethrough for deleted characters</w:t>
      </w:r>
      <w:r w:rsidR="00233F27">
        <w:t>.</w:t>
      </w:r>
    </w:p>
    <w:p w14:paraId="6CF57D06" w14:textId="77A5E063" w:rsidR="0053129E" w:rsidRPr="003F1AB4" w:rsidRDefault="0053129E" w:rsidP="00E317C2">
      <w:pPr>
        <w:pStyle w:val="SingleTxtG"/>
        <w:tabs>
          <w:tab w:val="left" w:pos="8505"/>
        </w:tabs>
        <w:ind w:firstLine="567"/>
        <w:rPr>
          <w:bCs/>
        </w:rPr>
      </w:pPr>
    </w:p>
    <w:p w14:paraId="20CA5035" w14:textId="77777777" w:rsidR="0053129E" w:rsidRPr="00525E6C" w:rsidRDefault="0053129E" w:rsidP="0053129E">
      <w:pPr>
        <w:rPr>
          <w:lang w:val="en-US"/>
        </w:rPr>
        <w:sectPr w:rsidR="0053129E" w:rsidRPr="00525E6C" w:rsidSect="00AB2C57">
          <w:footerReference w:type="even" r:id="rId12"/>
          <w:footerReference w:type="default" r:id="rId13"/>
          <w:footerReference w:type="first" r:id="rId14"/>
          <w:pgSz w:w="11906" w:h="16838" w:code="9"/>
          <w:pgMar w:top="1418" w:right="1134" w:bottom="1134" w:left="1134" w:header="851" w:footer="567" w:gutter="0"/>
          <w:cols w:space="720"/>
          <w:docGrid w:linePitch="272"/>
        </w:sectPr>
      </w:pPr>
    </w:p>
    <w:p w14:paraId="3A4CA6FB" w14:textId="021B4FD5" w:rsidR="00CD1236" w:rsidRPr="004B06C8" w:rsidRDefault="009265AA" w:rsidP="004B06C8">
      <w:pPr>
        <w:pStyle w:val="HChG"/>
      </w:pPr>
      <w:r>
        <w:lastRenderedPageBreak/>
        <w:tab/>
      </w:r>
      <w:r w:rsidRPr="00525E6C">
        <w:t>I.</w:t>
      </w:r>
      <w:r w:rsidRPr="00525E6C">
        <w:tab/>
        <w:t>Proposal</w:t>
      </w:r>
    </w:p>
    <w:p w14:paraId="40DF00DB" w14:textId="4023D3C8" w:rsidR="009540D4" w:rsidRPr="001E4BBB" w:rsidRDefault="00990076" w:rsidP="009540D4">
      <w:pPr>
        <w:pStyle w:val="SingleTxtG"/>
        <w:rPr>
          <w:lang w:val="en-US"/>
        </w:rPr>
      </w:pPr>
      <w:r w:rsidRPr="00990076">
        <w:rPr>
          <w:i/>
          <w:iCs/>
          <w:color w:val="000000"/>
          <w:lang w:val="en-US" w:eastAsia="zh-CN"/>
        </w:rPr>
        <w:t>Add new paragraph</w:t>
      </w:r>
      <w:r w:rsidR="00651508">
        <w:rPr>
          <w:i/>
          <w:iCs/>
          <w:color w:val="000000"/>
          <w:lang w:val="en-US" w:eastAsia="zh-CN"/>
        </w:rPr>
        <w:t>s</w:t>
      </w:r>
      <w:r w:rsidRPr="00990076">
        <w:rPr>
          <w:i/>
          <w:iCs/>
          <w:color w:val="000000"/>
          <w:lang w:val="en-US" w:eastAsia="zh-CN"/>
        </w:rPr>
        <w:t xml:space="preserve"> 3.3.2.4.8.</w:t>
      </w:r>
      <w:r w:rsidR="00651508">
        <w:rPr>
          <w:i/>
          <w:iCs/>
          <w:color w:val="000000"/>
          <w:lang w:val="en-US" w:eastAsia="zh-CN"/>
        </w:rPr>
        <w:t xml:space="preserve"> and </w:t>
      </w:r>
      <w:r w:rsidR="00651508" w:rsidRPr="00990076">
        <w:rPr>
          <w:i/>
          <w:iCs/>
          <w:color w:val="000000"/>
          <w:lang w:val="en-US" w:eastAsia="zh-CN"/>
        </w:rPr>
        <w:t>3.3.2.4.</w:t>
      </w:r>
      <w:r w:rsidR="00651508">
        <w:rPr>
          <w:i/>
          <w:iCs/>
          <w:color w:val="000000"/>
          <w:lang w:val="en-US" w:eastAsia="zh-CN"/>
        </w:rPr>
        <w:t>9</w:t>
      </w:r>
      <w:r w:rsidR="00651508" w:rsidRPr="00990076">
        <w:rPr>
          <w:i/>
          <w:iCs/>
          <w:color w:val="000000"/>
          <w:lang w:val="en-US" w:eastAsia="zh-CN"/>
        </w:rPr>
        <w:t>.</w:t>
      </w:r>
      <w:r w:rsidR="009540D4" w:rsidRPr="001E4BBB">
        <w:rPr>
          <w:i/>
          <w:iCs/>
          <w:lang w:val="en-US"/>
        </w:rPr>
        <w:t>,</w:t>
      </w:r>
      <w:r w:rsidR="009540D4" w:rsidRPr="001E4BBB">
        <w:rPr>
          <w:lang w:val="en-US"/>
        </w:rPr>
        <w:t xml:space="preserve"> to read:</w:t>
      </w:r>
    </w:p>
    <w:p w14:paraId="0ABEDD14" w14:textId="6CCF5309" w:rsidR="00990076" w:rsidRPr="00E2352A" w:rsidRDefault="00990076" w:rsidP="009540D4">
      <w:pPr>
        <w:pStyle w:val="para0"/>
        <w:rPr>
          <w:b/>
          <w:lang w:val="en-US" w:eastAsia="ja-JP"/>
        </w:rPr>
      </w:pPr>
      <w:r w:rsidRPr="00E2352A">
        <w:rPr>
          <w:b/>
          <w:lang w:val="en-US" w:eastAsia="ja-JP"/>
        </w:rPr>
        <w:t>“</w:t>
      </w:r>
      <w:r w:rsidRPr="00E2352A">
        <w:rPr>
          <w:rFonts w:hint="eastAsia"/>
          <w:b/>
          <w:lang w:val="en-US" w:eastAsia="ja-JP"/>
        </w:rPr>
        <w:t>3.3.2.4.8.</w:t>
      </w:r>
      <w:r w:rsidRPr="00E2352A">
        <w:rPr>
          <w:b/>
          <w:lang w:val="en-US" w:eastAsia="ja-JP"/>
        </w:rPr>
        <w:tab/>
        <w:t>On headlamps meeting the requirements of this Regulation in respect of the</w:t>
      </w:r>
      <w:r w:rsidRPr="00E2352A">
        <w:rPr>
          <w:rFonts w:hint="eastAsia"/>
          <w:b/>
          <w:lang w:val="en-US" w:eastAsia="ja-JP"/>
        </w:rPr>
        <w:t xml:space="preserve"> </w:t>
      </w:r>
      <w:r w:rsidRPr="00E2352A">
        <w:rPr>
          <w:b/>
          <w:lang w:val="en-US" w:eastAsia="ja-JP"/>
        </w:rPr>
        <w:t>passing</w:t>
      </w:r>
      <w:r w:rsidR="00694488">
        <w:rPr>
          <w:b/>
          <w:lang w:val="en-US" w:eastAsia="ja-JP"/>
        </w:rPr>
        <w:t xml:space="preserve"> </w:t>
      </w:r>
      <w:r w:rsidRPr="00E2352A">
        <w:rPr>
          <w:b/>
          <w:lang w:val="en-US" w:eastAsia="ja-JP"/>
        </w:rPr>
        <w:t>beam of Class C and the driving</w:t>
      </w:r>
      <w:r w:rsidR="00694488">
        <w:rPr>
          <w:b/>
          <w:lang w:val="en-US" w:eastAsia="ja-JP"/>
        </w:rPr>
        <w:t xml:space="preserve"> </w:t>
      </w:r>
      <w:r w:rsidRPr="00E2352A">
        <w:rPr>
          <w:b/>
          <w:lang w:val="en-US" w:eastAsia="ja-JP"/>
        </w:rPr>
        <w:t>beam of Class B, "HCR" may be marked as the symbols for passing</w:t>
      </w:r>
      <w:r w:rsidR="00694488">
        <w:rPr>
          <w:b/>
          <w:lang w:val="en-US" w:eastAsia="ja-JP"/>
        </w:rPr>
        <w:t xml:space="preserve"> </w:t>
      </w:r>
      <w:r w:rsidRPr="00E2352A">
        <w:rPr>
          <w:b/>
          <w:lang w:val="en-US" w:eastAsia="ja-JP"/>
        </w:rPr>
        <w:t>beam and driving</w:t>
      </w:r>
      <w:r w:rsidR="00694488">
        <w:rPr>
          <w:b/>
          <w:lang w:val="en-US" w:eastAsia="ja-JP"/>
        </w:rPr>
        <w:t xml:space="preserve"> </w:t>
      </w:r>
      <w:r w:rsidRPr="00E2352A">
        <w:rPr>
          <w:b/>
          <w:lang w:val="en-US" w:eastAsia="ja-JP"/>
        </w:rPr>
        <w:t>beam.</w:t>
      </w:r>
    </w:p>
    <w:p w14:paraId="0CC59C17" w14:textId="16E049B3" w:rsidR="00BA7318" w:rsidRPr="00694488" w:rsidRDefault="00651508" w:rsidP="00230011">
      <w:pPr>
        <w:pStyle w:val="para0"/>
        <w:rPr>
          <w:i/>
          <w:lang w:val="en-US"/>
        </w:rPr>
      </w:pPr>
      <w:r w:rsidRPr="00E2352A">
        <w:rPr>
          <w:b/>
          <w:lang w:val="en-US" w:eastAsia="ja-JP"/>
        </w:rPr>
        <w:t>3.3.2.4.9.</w:t>
      </w:r>
      <w:r w:rsidRPr="00E2352A">
        <w:rPr>
          <w:b/>
          <w:lang w:val="en-US" w:eastAsia="ja-JP"/>
        </w:rPr>
        <w:tab/>
        <w:t>On headlamps meeting the requirements of this Regulation in respect of both the passing</w:t>
      </w:r>
      <w:r w:rsidR="00694488">
        <w:rPr>
          <w:b/>
          <w:lang w:val="en-US" w:eastAsia="ja-JP"/>
        </w:rPr>
        <w:t xml:space="preserve"> </w:t>
      </w:r>
      <w:r w:rsidRPr="00E2352A">
        <w:rPr>
          <w:b/>
          <w:lang w:val="en-US" w:eastAsia="ja-JP"/>
        </w:rPr>
        <w:t>beam and the driving</w:t>
      </w:r>
      <w:r w:rsidR="00694488">
        <w:rPr>
          <w:b/>
          <w:lang w:val="en-US" w:eastAsia="ja-JP"/>
        </w:rPr>
        <w:t xml:space="preserve"> </w:t>
      </w:r>
      <w:r w:rsidRPr="00E2352A">
        <w:rPr>
          <w:b/>
          <w:lang w:val="en-US" w:eastAsia="ja-JP"/>
        </w:rPr>
        <w:t>beam and they have same Classes BS, CS or DS, the letters "CR-BS" for Class BS headlamps or "WCR-CS" for Class CS headlamps or "WCR-DS" for Class DS headlamps.”</w:t>
      </w:r>
    </w:p>
    <w:p w14:paraId="70AF68EA" w14:textId="17E6CFFB" w:rsidR="002337FF" w:rsidRDefault="002337FF" w:rsidP="002337FF">
      <w:pPr>
        <w:pStyle w:val="SingleTxtG"/>
      </w:pPr>
      <w:r w:rsidRPr="008B7408">
        <w:rPr>
          <w:i/>
        </w:rPr>
        <w:t>Paragraph 3.3.2.5.,</w:t>
      </w:r>
      <w:r w:rsidRPr="008B7408">
        <w:rPr>
          <w:i/>
          <w:iCs/>
        </w:rPr>
        <w:t xml:space="preserve"> </w:t>
      </w:r>
      <w:r w:rsidRPr="008B7408">
        <w:rPr>
          <w:iCs/>
        </w:rPr>
        <w:t>amend to read</w:t>
      </w:r>
      <w:r w:rsidRPr="008B7408">
        <w:t>:</w:t>
      </w:r>
    </w:p>
    <w:p w14:paraId="0A2B379B" w14:textId="2D9921DF" w:rsidR="00BA7318" w:rsidRPr="00E2352A" w:rsidRDefault="002337FF" w:rsidP="00230011">
      <w:pPr>
        <w:pStyle w:val="para0"/>
        <w:rPr>
          <w:lang w:val="en-US"/>
        </w:rPr>
      </w:pPr>
      <w:r w:rsidRPr="00E2352A">
        <w:rPr>
          <w:lang w:val="en-US" w:eastAsia="ja-JP"/>
        </w:rPr>
        <w:t>“</w:t>
      </w:r>
      <w:r w:rsidRPr="00E2352A">
        <w:rPr>
          <w:rFonts w:hint="eastAsia"/>
          <w:lang w:val="en-US" w:eastAsia="ja-JP"/>
        </w:rPr>
        <w:t>3.3.2.5.</w:t>
      </w:r>
      <w:r w:rsidRPr="00E2352A">
        <w:rPr>
          <w:lang w:val="en-US"/>
        </w:rPr>
        <w:tab/>
        <w:t xml:space="preserve">The approval number, the symbols and the additional symbols shall be placed close to the circle and either above or below the letter “E”, or to the right or left of that letter. The digits of the approval number shall be on the same side of the letter “E” and face the same direction. </w:t>
      </w:r>
      <w:r w:rsidRPr="00E2352A">
        <w:rPr>
          <w:b/>
          <w:lang w:val="en-US"/>
        </w:rPr>
        <w:t>Unless otherwise specified, each symbol shall be marked individually in accordance with Table 1.</w:t>
      </w:r>
      <w:r w:rsidRPr="00E2352A">
        <w:rPr>
          <w:lang w:val="en-US"/>
        </w:rPr>
        <w:t>”</w:t>
      </w:r>
    </w:p>
    <w:p w14:paraId="2A2DE519" w14:textId="3BA91E8F" w:rsidR="00B741E5" w:rsidRDefault="00B741E5" w:rsidP="00731C05">
      <w:pPr>
        <w:pStyle w:val="SingleTxtG"/>
        <w:spacing w:before="240"/>
      </w:pPr>
      <w:r>
        <w:rPr>
          <w:i/>
        </w:rPr>
        <w:t>Annex 13</w:t>
      </w:r>
      <w:r w:rsidRPr="008B7408">
        <w:rPr>
          <w:i/>
        </w:rPr>
        <w:t>,</w:t>
      </w:r>
      <w:r w:rsidRPr="00B741E5">
        <w:rPr>
          <w:i/>
          <w:lang w:eastAsia="ja-JP"/>
        </w:rPr>
        <w:t xml:space="preserve"> </w:t>
      </w:r>
      <w:r w:rsidRPr="008B7408">
        <w:rPr>
          <w:i/>
          <w:lang w:eastAsia="ja-JP"/>
        </w:rPr>
        <w:t>Figure A13</w:t>
      </w:r>
      <w:r w:rsidR="00CF3A0B">
        <w:rPr>
          <w:i/>
          <w:lang w:eastAsia="ja-JP"/>
        </w:rPr>
        <w:t>-I</w:t>
      </w:r>
      <w:r w:rsidRPr="008B7408">
        <w:rPr>
          <w:i/>
          <w:lang w:eastAsia="ja-JP"/>
        </w:rPr>
        <w:t>,</w:t>
      </w:r>
      <w:r w:rsidRPr="008B7408">
        <w:rPr>
          <w:i/>
          <w:iCs/>
        </w:rPr>
        <w:t xml:space="preserve"> </w:t>
      </w:r>
      <w:r w:rsidRPr="008B7408">
        <w:rPr>
          <w:iCs/>
        </w:rPr>
        <w:t>amend to read</w:t>
      </w:r>
      <w:r w:rsidRPr="008B7408">
        <w:t>:</w:t>
      </w:r>
    </w:p>
    <w:p w14:paraId="7C0F6FCB" w14:textId="37DB304E" w:rsidR="0049696B" w:rsidRDefault="0049696B" w:rsidP="00B741E5">
      <w:pPr>
        <w:pStyle w:val="SingleTxtG"/>
      </w:pPr>
      <w:r>
        <w:rPr>
          <w:i/>
        </w:rPr>
        <w:t>“</w:t>
      </w:r>
    </w:p>
    <w:tbl>
      <w:tblPr>
        <w:tblStyle w:val="TableGrid"/>
        <w:tblW w:w="0" w:type="auto"/>
        <w:tblInd w:w="1134" w:type="dxa"/>
        <w:tblLook w:val="04A0" w:firstRow="1" w:lastRow="0" w:firstColumn="1" w:lastColumn="0" w:noHBand="0" w:noVBand="1"/>
      </w:tblPr>
      <w:tblGrid>
        <w:gridCol w:w="3966"/>
        <w:gridCol w:w="4395"/>
      </w:tblGrid>
      <w:tr w:rsidR="00B741E5" w:rsidRPr="00E478E3" w14:paraId="7836B8F7" w14:textId="77777777" w:rsidTr="00BA7318">
        <w:trPr>
          <w:trHeight w:val="841"/>
        </w:trPr>
        <w:tc>
          <w:tcPr>
            <w:tcW w:w="3965" w:type="dxa"/>
          </w:tcPr>
          <w:p w14:paraId="640818E5" w14:textId="77777777" w:rsidR="00B741E5" w:rsidRPr="00D466AC" w:rsidRDefault="00B741E5" w:rsidP="005F5384">
            <w:pPr>
              <w:spacing w:before="120" w:after="120"/>
              <w:ind w:left="56" w:right="101"/>
              <w:jc w:val="center"/>
            </w:pPr>
            <w:r w:rsidRPr="000B4AAB">
              <w:t>Figure A</w:t>
            </w:r>
            <w:r>
              <w:t>13</w:t>
            </w:r>
            <w:r w:rsidRPr="000B4AAB">
              <w:t>-I</w:t>
            </w:r>
            <w:r>
              <w:t xml:space="preserve"> - </w:t>
            </w:r>
            <w:r w:rsidRPr="00D466AC">
              <w:t xml:space="preserve">Marking example </w:t>
            </w:r>
            <w:proofErr w:type="gramStart"/>
            <w:r w:rsidRPr="00D466AC">
              <w:t>1</w:t>
            </w:r>
            <w:proofErr w:type="gramEnd"/>
          </w:p>
          <w:p w14:paraId="25AFE56E" w14:textId="2850457E" w:rsidR="00B741E5" w:rsidRDefault="001866A6" w:rsidP="005F5384">
            <w:pPr>
              <w:adjustRightInd w:val="0"/>
              <w:snapToGrid w:val="0"/>
              <w:spacing w:before="120" w:after="120"/>
              <w:jc w:val="center"/>
            </w:pPr>
            <w:r>
              <w:rPr>
                <w:noProof/>
              </w:rPr>
              <w:drawing>
                <wp:inline distT="0" distB="0" distL="0" distR="0" wp14:anchorId="0EA2F321" wp14:editId="6168913F">
                  <wp:extent cx="2512060" cy="2298700"/>
                  <wp:effectExtent l="0" t="0" r="0" b="0"/>
                  <wp:docPr id="18387329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512060" cy="2298700"/>
                          </a:xfrm>
                          <a:prstGeom prst="rect">
                            <a:avLst/>
                          </a:prstGeom>
                          <a:noFill/>
                        </pic:spPr>
                      </pic:pic>
                    </a:graphicData>
                  </a:graphic>
                </wp:inline>
              </w:drawing>
            </w:r>
          </w:p>
          <w:p w14:paraId="68017770" w14:textId="77777777" w:rsidR="00B741E5" w:rsidRPr="001C03BA" w:rsidRDefault="00B741E5" w:rsidP="005F5384">
            <w:pPr>
              <w:spacing w:before="120" w:after="120"/>
              <w:ind w:left="56" w:right="101"/>
              <w:jc w:val="both"/>
              <w:rPr>
                <w:b/>
              </w:rPr>
            </w:pPr>
            <w:r w:rsidRPr="00825932">
              <w:t xml:space="preserve">a = see Par. </w:t>
            </w:r>
            <w:r>
              <w:t>3.3.1.2.1.</w:t>
            </w:r>
            <w:r w:rsidRPr="00825932">
              <w:t xml:space="preserve"> of this Regulation</w:t>
            </w:r>
          </w:p>
        </w:tc>
        <w:tc>
          <w:tcPr>
            <w:tcW w:w="4395" w:type="dxa"/>
          </w:tcPr>
          <w:p w14:paraId="1B4FF2A9" w14:textId="77777777" w:rsidR="00B741E5" w:rsidRPr="00BD507E" w:rsidRDefault="00B741E5" w:rsidP="005F5384">
            <w:pPr>
              <w:spacing w:before="120" w:after="120"/>
              <w:ind w:left="56" w:right="101"/>
              <w:jc w:val="both"/>
            </w:pPr>
            <w:r w:rsidRPr="00BD507E">
              <w:t>The device bearing the approval mark</w:t>
            </w:r>
            <w:r>
              <w:t>ing</w:t>
            </w:r>
            <w:r w:rsidRPr="00BD507E">
              <w:t xml:space="preserve"> </w:t>
            </w:r>
            <w:r>
              <w:t xml:space="preserve">shown on the left </w:t>
            </w:r>
            <w:r w:rsidRPr="00BD507E">
              <w:t xml:space="preserve">is an installation unit of an AFS approved in the Netherlands (E4) under approval number 19243 pursuant to </w:t>
            </w:r>
            <w:r>
              <w:t>this Regulation</w:t>
            </w:r>
            <w:r w:rsidRPr="00BD507E">
              <w:t>.</w:t>
            </w:r>
          </w:p>
          <w:p w14:paraId="651CF13E" w14:textId="0D8A4EAF" w:rsidR="00B741E5" w:rsidRPr="00BD507E" w:rsidRDefault="00B741E5" w:rsidP="005F5384">
            <w:pPr>
              <w:spacing w:before="120" w:after="120"/>
              <w:ind w:left="56" w:right="101"/>
              <w:jc w:val="both"/>
            </w:pPr>
            <w:r w:rsidRPr="00BD507E">
              <w:t xml:space="preserve">The number after </w:t>
            </w:r>
            <w:r>
              <w:t>149</w:t>
            </w:r>
            <w:r w:rsidRPr="00BD507E">
              <w:t xml:space="preserve">R indicates that approval was granted in accordance with the requirements of </w:t>
            </w:r>
            <w:r>
              <w:t>this Regulation</w:t>
            </w:r>
            <w:r w:rsidRPr="00BD507E">
              <w:t xml:space="preserve"> </w:t>
            </w:r>
            <w:r w:rsidRPr="00483F16">
              <w:rPr>
                <w:b/>
              </w:rPr>
              <w:t xml:space="preserve">as </w:t>
            </w:r>
            <w:r w:rsidRPr="00483F16">
              <w:rPr>
                <w:b/>
                <w:lang w:val="en-US"/>
              </w:rPr>
              <w:t xml:space="preserve">amended by the 01 series of amendments </w:t>
            </w:r>
            <w:r w:rsidRPr="00483F16">
              <w:rPr>
                <w:strike/>
              </w:rPr>
              <w:t>in its original form (00)</w:t>
            </w:r>
            <w:r w:rsidRPr="00483F16">
              <w:t>.</w:t>
            </w:r>
          </w:p>
          <w:p w14:paraId="225FCC0A" w14:textId="3D99562C" w:rsidR="00B741E5" w:rsidRPr="00BD507E" w:rsidRDefault="00B741E5" w:rsidP="005F5384">
            <w:pPr>
              <w:spacing w:before="120" w:after="120"/>
              <w:ind w:left="56" w:right="101"/>
              <w:jc w:val="both"/>
            </w:pPr>
            <w:r w:rsidRPr="00BD507E">
              <w:t>The functions identification symbols show that the approval was granted in respect of the driving</w:t>
            </w:r>
            <w:r w:rsidR="00694488">
              <w:t xml:space="preserve"> </w:t>
            </w:r>
            <w:r w:rsidRPr="00BD507E">
              <w:t>beam (R) and the Class C and Class V passing</w:t>
            </w:r>
            <w:r w:rsidR="00694488">
              <w:t xml:space="preserve"> </w:t>
            </w:r>
            <w:r w:rsidRPr="00BD507E">
              <w:t xml:space="preserve">beam. The double pointed arrow shows that the </w:t>
            </w:r>
            <w:r>
              <w:t>passing</w:t>
            </w:r>
            <w:r w:rsidR="00694488">
              <w:t xml:space="preserve"> </w:t>
            </w:r>
            <w:r>
              <w:t>beam</w:t>
            </w:r>
            <w:r w:rsidRPr="00BD507E">
              <w:t xml:space="preserve"> is suitable for both traffic systems by means of an appropriate adjustment of the setting of the optical element or the light source on the vehicle. Class C passing</w:t>
            </w:r>
            <w:r w:rsidR="00694488">
              <w:t xml:space="preserve"> </w:t>
            </w:r>
            <w:r w:rsidRPr="00BD507E">
              <w:t>beam, Class V passing</w:t>
            </w:r>
            <w:r w:rsidR="00694488">
              <w:t xml:space="preserve"> </w:t>
            </w:r>
            <w:r w:rsidRPr="00BD507E">
              <w:t>beam and driving</w:t>
            </w:r>
            <w:r w:rsidR="00694488">
              <w:t xml:space="preserve"> </w:t>
            </w:r>
            <w:r w:rsidRPr="00BD507E">
              <w:t>beam comply to bend lighting provisions, a</w:t>
            </w:r>
            <w:r>
              <w:t xml:space="preserve">s indicated by the letter "T". </w:t>
            </w:r>
            <w:r w:rsidRPr="00BD507E">
              <w:t>The score above the letter "R" indicates that the driving</w:t>
            </w:r>
            <w:r w:rsidR="00584AB0">
              <w:t xml:space="preserve"> </w:t>
            </w:r>
            <w:r w:rsidRPr="00BD507E">
              <w:t>beam function is provided by more than one installation unit on that side of the system.</w:t>
            </w:r>
          </w:p>
          <w:p w14:paraId="5023606B" w14:textId="0E5E14EA" w:rsidR="00B741E5" w:rsidRPr="00E478E3" w:rsidRDefault="00B741E5" w:rsidP="005F5384">
            <w:pPr>
              <w:spacing w:before="120" w:after="120"/>
              <w:ind w:left="56" w:right="101"/>
              <w:jc w:val="both"/>
              <w:rPr>
                <w:lang w:eastAsia="ja-JP"/>
              </w:rPr>
            </w:pPr>
            <w:r w:rsidRPr="00BD507E">
              <w:t>Number 30 indicates that the maximum luminous intensity</w:t>
            </w:r>
            <w:r>
              <w:t xml:space="preserve"> of the driving</w:t>
            </w:r>
            <w:r w:rsidR="00584AB0">
              <w:t xml:space="preserve"> </w:t>
            </w:r>
            <w:r>
              <w:t xml:space="preserve">beam is between </w:t>
            </w:r>
            <w:r w:rsidRPr="00483F16">
              <w:rPr>
                <w:b/>
              </w:rPr>
              <w:t>1.24</w:t>
            </w:r>
            <w:r w:rsidRPr="00483F16">
              <w:rPr>
                <w:b/>
                <w:szCs w:val="18"/>
              </w:rPr>
              <w:t>∙</w:t>
            </w:r>
            <w:r w:rsidRPr="00483F16">
              <w:rPr>
                <w:rFonts w:hint="eastAsia"/>
                <w:b/>
                <w:szCs w:val="18"/>
                <w:lang w:eastAsia="ja-JP"/>
              </w:rPr>
              <w:t>10</w:t>
            </w:r>
            <w:r w:rsidRPr="00483F16">
              <w:rPr>
                <w:rFonts w:hint="eastAsia"/>
                <w:b/>
                <w:szCs w:val="18"/>
                <w:vertAlign w:val="superscript"/>
                <w:lang w:eastAsia="ja-JP"/>
              </w:rPr>
              <w:t>5</w:t>
            </w:r>
            <w:r w:rsidRPr="00483F16">
              <w:rPr>
                <w:b/>
                <w:szCs w:val="18"/>
                <w:lang w:eastAsia="ja-JP"/>
              </w:rPr>
              <w:t xml:space="preserve"> and 1.45</w:t>
            </w:r>
            <w:r w:rsidRPr="00483F16">
              <w:rPr>
                <w:b/>
                <w:szCs w:val="18"/>
              </w:rPr>
              <w:t>∙</w:t>
            </w:r>
            <w:r w:rsidRPr="00483F16">
              <w:rPr>
                <w:rFonts w:hint="eastAsia"/>
                <w:b/>
                <w:szCs w:val="18"/>
                <w:lang w:eastAsia="ja-JP"/>
              </w:rPr>
              <w:t>10</w:t>
            </w:r>
            <w:r w:rsidRPr="00483F16">
              <w:rPr>
                <w:rFonts w:hint="eastAsia"/>
                <w:b/>
                <w:szCs w:val="18"/>
                <w:vertAlign w:val="superscript"/>
                <w:lang w:eastAsia="ja-JP"/>
              </w:rPr>
              <w:t>5</w:t>
            </w:r>
            <w:r w:rsidRPr="00483F16">
              <w:rPr>
                <w:rFonts w:hint="eastAsia"/>
                <w:lang w:eastAsia="ja-JP"/>
              </w:rPr>
              <w:t xml:space="preserve"> </w:t>
            </w:r>
            <w:r w:rsidRPr="00483F16">
              <w:rPr>
                <w:strike/>
              </w:rPr>
              <w:t>123,625 and 145,125</w:t>
            </w:r>
            <w:r w:rsidRPr="007B4252">
              <w:rPr>
                <w:color w:val="FF0000"/>
              </w:rPr>
              <w:t xml:space="preserve"> </w:t>
            </w:r>
            <w:r w:rsidRPr="00BD507E">
              <w:t>candelas.</w:t>
            </w:r>
          </w:p>
        </w:tc>
      </w:tr>
    </w:tbl>
    <w:p w14:paraId="1236A23A" w14:textId="49812327" w:rsidR="0049696B" w:rsidRDefault="0049696B" w:rsidP="0049696B">
      <w:pPr>
        <w:ind w:left="1134"/>
      </w:pPr>
      <w:r>
        <w:t>”</w:t>
      </w:r>
    </w:p>
    <w:p w14:paraId="2DE1442D" w14:textId="6ED8E784" w:rsidR="00CF3A0B" w:rsidRDefault="00CF3A0B">
      <w:r>
        <w:br w:type="page"/>
      </w:r>
    </w:p>
    <w:p w14:paraId="68733DDA" w14:textId="2818B741" w:rsidR="00CF3A0B" w:rsidRDefault="00CF3A0B" w:rsidP="00CF3A0B">
      <w:pPr>
        <w:pStyle w:val="SingleTxtG"/>
      </w:pPr>
      <w:r>
        <w:rPr>
          <w:i/>
        </w:rPr>
        <w:lastRenderedPageBreak/>
        <w:t>Annex 13</w:t>
      </w:r>
      <w:r w:rsidRPr="008B7408">
        <w:rPr>
          <w:i/>
        </w:rPr>
        <w:t>,</w:t>
      </w:r>
      <w:r w:rsidRPr="00B741E5">
        <w:rPr>
          <w:i/>
          <w:lang w:eastAsia="ja-JP"/>
        </w:rPr>
        <w:t xml:space="preserve"> </w:t>
      </w:r>
      <w:r w:rsidRPr="008B7408">
        <w:rPr>
          <w:i/>
          <w:lang w:eastAsia="ja-JP"/>
        </w:rPr>
        <w:t>Figure A13</w:t>
      </w:r>
      <w:r>
        <w:rPr>
          <w:i/>
          <w:lang w:eastAsia="ja-JP"/>
        </w:rPr>
        <w:t>-II</w:t>
      </w:r>
      <w:r w:rsidRPr="008B7408">
        <w:rPr>
          <w:i/>
          <w:lang w:eastAsia="ja-JP"/>
        </w:rPr>
        <w:t>,</w:t>
      </w:r>
      <w:r w:rsidRPr="008B7408">
        <w:rPr>
          <w:i/>
          <w:iCs/>
        </w:rPr>
        <w:t xml:space="preserve"> </w:t>
      </w:r>
      <w:r w:rsidRPr="008B7408">
        <w:rPr>
          <w:iCs/>
        </w:rPr>
        <w:t>amend to read</w:t>
      </w:r>
      <w:r w:rsidRPr="008B7408">
        <w:t>:</w:t>
      </w:r>
    </w:p>
    <w:p w14:paraId="439AE6EE" w14:textId="65C839E0" w:rsidR="0049696B" w:rsidRPr="0049696B" w:rsidRDefault="0049696B" w:rsidP="00CF3A0B">
      <w:pPr>
        <w:pStyle w:val="SingleTxtG"/>
        <w:rPr>
          <w:iCs/>
        </w:rPr>
      </w:pPr>
      <w:r w:rsidRPr="0049696B">
        <w:rPr>
          <w:iCs/>
        </w:rPr>
        <w:t>“</w:t>
      </w:r>
    </w:p>
    <w:tbl>
      <w:tblPr>
        <w:tblStyle w:val="TableGrid"/>
        <w:tblW w:w="0" w:type="auto"/>
        <w:tblInd w:w="1134" w:type="dxa"/>
        <w:tblLook w:val="04A0" w:firstRow="1" w:lastRow="0" w:firstColumn="1" w:lastColumn="0" w:noHBand="0" w:noVBand="1"/>
      </w:tblPr>
      <w:tblGrid>
        <w:gridCol w:w="3965"/>
        <w:gridCol w:w="4395"/>
      </w:tblGrid>
      <w:tr w:rsidR="00B741E5" w:rsidRPr="004E2AF7" w14:paraId="69A82EC9" w14:textId="77777777" w:rsidTr="00CF3A0B">
        <w:trPr>
          <w:trHeight w:val="2648"/>
        </w:trPr>
        <w:tc>
          <w:tcPr>
            <w:tcW w:w="3965" w:type="dxa"/>
          </w:tcPr>
          <w:p w14:paraId="7C6E6EF6" w14:textId="5E4C3D87" w:rsidR="00B741E5" w:rsidRDefault="00B741E5" w:rsidP="005F5384">
            <w:pPr>
              <w:adjustRightInd w:val="0"/>
              <w:snapToGrid w:val="0"/>
              <w:spacing w:before="120" w:after="120"/>
              <w:jc w:val="center"/>
              <w:rPr>
                <w:lang w:eastAsia="de-DE"/>
              </w:rPr>
            </w:pPr>
            <w:r w:rsidRPr="000B4AAB">
              <w:t>Figure A</w:t>
            </w:r>
            <w:r>
              <w:t>13</w:t>
            </w:r>
            <w:r w:rsidRPr="000B4AAB">
              <w:t>-I</w:t>
            </w:r>
            <w:r>
              <w:t xml:space="preserve">I - Marking example </w:t>
            </w:r>
            <w:proofErr w:type="gramStart"/>
            <w:r>
              <w:t>2</w:t>
            </w:r>
            <w:proofErr w:type="gramEnd"/>
          </w:p>
          <w:p w14:paraId="33A3C496" w14:textId="77777777" w:rsidR="00B741E5" w:rsidRPr="00B93372" w:rsidRDefault="00B741E5" w:rsidP="005F5384">
            <w:pPr>
              <w:adjustRightInd w:val="0"/>
              <w:snapToGrid w:val="0"/>
              <w:spacing w:before="120" w:after="120"/>
              <w:jc w:val="center"/>
              <w:rPr>
                <w:lang w:eastAsia="de-DE"/>
              </w:rPr>
            </w:pPr>
            <w:r w:rsidRPr="002A625B">
              <w:rPr>
                <w:noProof/>
                <w:lang w:val="fr-FR" w:eastAsia="fr-FR"/>
              </w:rPr>
              <w:drawing>
                <wp:inline distT="0" distB="0" distL="0" distR="0" wp14:anchorId="7417D54B" wp14:editId="7795D97A">
                  <wp:extent cx="2084320" cy="1598212"/>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16"/>
                          <a:srcRect t="3558" b="9076"/>
                          <a:stretch/>
                        </pic:blipFill>
                        <pic:spPr bwMode="auto">
                          <a:xfrm>
                            <a:off x="0" y="0"/>
                            <a:ext cx="2088514" cy="1601428"/>
                          </a:xfrm>
                          <a:prstGeom prst="rect">
                            <a:avLst/>
                          </a:prstGeom>
                          <a:ln>
                            <a:noFill/>
                          </a:ln>
                          <a:extLst>
                            <a:ext uri="{53640926-AAD7-44D8-BBD7-CCE9431645EC}">
                              <a14:shadowObscured xmlns:a14="http://schemas.microsoft.com/office/drawing/2010/main"/>
                            </a:ext>
                          </a:extLst>
                        </pic:spPr>
                      </pic:pic>
                    </a:graphicData>
                  </a:graphic>
                </wp:inline>
              </w:drawing>
            </w:r>
          </w:p>
        </w:tc>
        <w:tc>
          <w:tcPr>
            <w:tcW w:w="4395" w:type="dxa"/>
          </w:tcPr>
          <w:p w14:paraId="61969A3E" w14:textId="3EA2E725" w:rsidR="00B741E5" w:rsidRPr="004E2AF7" w:rsidRDefault="00B741E5" w:rsidP="00B741E5">
            <w:pPr>
              <w:spacing w:before="120" w:after="120"/>
              <w:ind w:left="56" w:right="101"/>
              <w:jc w:val="both"/>
            </w:pPr>
            <w:r w:rsidRPr="00970DBA">
              <w:t>The lamp bearing the approval mark</w:t>
            </w:r>
            <w:r>
              <w:t>ing</w:t>
            </w:r>
            <w:r w:rsidRPr="00970DBA">
              <w:t xml:space="preserve"> shown on the left is a </w:t>
            </w:r>
            <w:r>
              <w:t>passing</w:t>
            </w:r>
            <w:r w:rsidR="00584AB0">
              <w:t xml:space="preserve"> </w:t>
            </w:r>
            <w:r>
              <w:t>beam</w:t>
            </w:r>
            <w:r w:rsidRPr="00970DBA">
              <w:t xml:space="preserve"> headlamp (C) for left-hand traffic only (arrow) using a plastic lens (PL) approved in Austria (E12) pursuant to this Regulation </w:t>
            </w:r>
            <w:r w:rsidRPr="001066BE">
              <w:rPr>
                <w:strike/>
              </w:rPr>
              <w:t xml:space="preserve">149R </w:t>
            </w:r>
            <w:r w:rsidRPr="00970DBA">
              <w:t xml:space="preserve">as </w:t>
            </w:r>
            <w:r w:rsidRPr="00970DBA">
              <w:rPr>
                <w:lang w:val="en-US"/>
              </w:rPr>
              <w:t>amended by the 01 series of amendments (</w:t>
            </w:r>
            <w:r>
              <w:rPr>
                <w:lang w:val="en-US"/>
              </w:rPr>
              <w:t>149R</w:t>
            </w:r>
            <w:r w:rsidRPr="00970DBA">
              <w:rPr>
                <w:lang w:val="en-US"/>
              </w:rPr>
              <w:t xml:space="preserve">01) </w:t>
            </w:r>
            <w:r w:rsidRPr="001066BE">
              <w:rPr>
                <w:b/>
                <w:lang w:val="en-US"/>
              </w:rPr>
              <w:t>grouped</w:t>
            </w:r>
            <w:r w:rsidRPr="001066BE">
              <w:rPr>
                <w:lang w:val="en-US"/>
              </w:rPr>
              <w:t xml:space="preserve"> </w:t>
            </w:r>
            <w:r w:rsidRPr="001066BE">
              <w:rPr>
                <w:strike/>
              </w:rPr>
              <w:t>combined</w:t>
            </w:r>
            <w:r w:rsidRPr="001066BE">
              <w:t xml:space="preserve"> </w:t>
            </w:r>
            <w:r w:rsidRPr="00970DBA">
              <w:t xml:space="preserve">with a front position lamp (A) </w:t>
            </w:r>
            <w:r w:rsidRPr="007B4252">
              <w:t xml:space="preserve">as </w:t>
            </w:r>
            <w:r w:rsidRPr="000B2DCD">
              <w:t>set in the original series of amendments (00)</w:t>
            </w:r>
            <w:r w:rsidRPr="00970DBA">
              <w:t xml:space="preserve"> of </w:t>
            </w:r>
            <w:r>
              <w:t xml:space="preserve">UN Regulation No.148 (148R00) </w:t>
            </w:r>
            <w:r w:rsidRPr="001066BE">
              <w:rPr>
                <w:strike/>
              </w:rPr>
              <w:t>the Regulation on Light Signalling Devices 148R</w:t>
            </w:r>
            <w:r w:rsidRPr="00970DBA">
              <w:t>. Both lamps (functions) are approved under approval number 4554.</w:t>
            </w:r>
          </w:p>
        </w:tc>
      </w:tr>
    </w:tbl>
    <w:p w14:paraId="22402E1A" w14:textId="387F9AEA" w:rsidR="0049696B" w:rsidRPr="0049696B" w:rsidRDefault="0049696B" w:rsidP="0049696B">
      <w:pPr>
        <w:pStyle w:val="SingleTxtG"/>
        <w:spacing w:before="120"/>
        <w:rPr>
          <w:iCs/>
        </w:rPr>
      </w:pPr>
      <w:r>
        <w:rPr>
          <w:iCs/>
        </w:rPr>
        <w:t>”</w:t>
      </w:r>
    </w:p>
    <w:p w14:paraId="44A0FD2C" w14:textId="4D61211D" w:rsidR="0049696B" w:rsidRDefault="0049696B" w:rsidP="0049696B">
      <w:pPr>
        <w:pStyle w:val="SingleTxtG"/>
        <w:spacing w:before="120"/>
      </w:pPr>
      <w:r>
        <w:rPr>
          <w:i/>
        </w:rPr>
        <w:t>Annex 13</w:t>
      </w:r>
      <w:r w:rsidRPr="008B7408">
        <w:rPr>
          <w:i/>
        </w:rPr>
        <w:t>,</w:t>
      </w:r>
      <w:r w:rsidRPr="00B741E5">
        <w:rPr>
          <w:i/>
          <w:lang w:eastAsia="ja-JP"/>
        </w:rPr>
        <w:t xml:space="preserve"> </w:t>
      </w:r>
      <w:r w:rsidRPr="008B7408">
        <w:rPr>
          <w:i/>
          <w:lang w:eastAsia="ja-JP"/>
        </w:rPr>
        <w:t>Figure A13</w:t>
      </w:r>
      <w:r>
        <w:rPr>
          <w:i/>
          <w:lang w:eastAsia="ja-JP"/>
        </w:rPr>
        <w:t>-III</w:t>
      </w:r>
      <w:r w:rsidRPr="008B7408">
        <w:rPr>
          <w:i/>
          <w:lang w:eastAsia="ja-JP"/>
        </w:rPr>
        <w:t>,</w:t>
      </w:r>
      <w:r w:rsidRPr="008B7408">
        <w:rPr>
          <w:i/>
          <w:iCs/>
        </w:rPr>
        <w:t xml:space="preserve"> </w:t>
      </w:r>
      <w:r w:rsidRPr="008B7408">
        <w:rPr>
          <w:iCs/>
        </w:rPr>
        <w:t>amend to read</w:t>
      </w:r>
      <w:r w:rsidRPr="008B7408">
        <w:t>:</w:t>
      </w:r>
    </w:p>
    <w:p w14:paraId="71F9098B" w14:textId="178E6F4B" w:rsidR="00B741E5" w:rsidRDefault="0049696B" w:rsidP="00B741E5">
      <w:pPr>
        <w:adjustRightInd w:val="0"/>
        <w:snapToGrid w:val="0"/>
        <w:spacing w:before="120" w:line="240" w:lineRule="auto"/>
        <w:ind w:left="2268"/>
        <w:rPr>
          <w:snapToGrid w:val="0"/>
          <w:szCs w:val="24"/>
        </w:rPr>
      </w:pPr>
      <w:r>
        <w:rPr>
          <w:snapToGrid w:val="0"/>
          <w:szCs w:val="24"/>
        </w:rPr>
        <w:t>“</w:t>
      </w:r>
      <w:r w:rsidR="00B741E5" w:rsidRPr="00D628C2">
        <w:rPr>
          <w:snapToGrid w:val="0"/>
          <w:szCs w:val="24"/>
        </w:rPr>
        <w:t>Figure A13-III</w:t>
      </w:r>
    </w:p>
    <w:p w14:paraId="79F000D2" w14:textId="7CC2936C" w:rsidR="00B741E5" w:rsidRDefault="00B741E5" w:rsidP="00BA7318">
      <w:pPr>
        <w:tabs>
          <w:tab w:val="left" w:pos="4483"/>
        </w:tabs>
        <w:adjustRightInd w:val="0"/>
        <w:snapToGrid w:val="0"/>
        <w:spacing w:after="120" w:line="240" w:lineRule="auto"/>
        <w:ind w:left="2268"/>
        <w:rPr>
          <w:b/>
          <w:bCs/>
          <w:snapToGrid w:val="0"/>
          <w:szCs w:val="24"/>
        </w:rPr>
      </w:pPr>
      <w:r w:rsidRPr="007F07B3">
        <w:rPr>
          <w:b/>
          <w:bCs/>
          <w:snapToGrid w:val="0"/>
          <w:szCs w:val="24"/>
        </w:rPr>
        <w:t>Marking example 3</w:t>
      </w:r>
      <w:r>
        <w:rPr>
          <w:b/>
          <w:bCs/>
          <w:snapToGrid w:val="0"/>
          <w:szCs w:val="24"/>
        </w:rPr>
        <w:t>-a</w:t>
      </w:r>
    </w:p>
    <w:p w14:paraId="1193BD4C" w14:textId="216140CE" w:rsidR="00BA7318" w:rsidRDefault="001866A6" w:rsidP="00BA7318">
      <w:pPr>
        <w:tabs>
          <w:tab w:val="left" w:pos="4483"/>
        </w:tabs>
        <w:adjustRightInd w:val="0"/>
        <w:snapToGrid w:val="0"/>
        <w:spacing w:after="120" w:line="240" w:lineRule="auto"/>
        <w:ind w:left="2268"/>
        <w:rPr>
          <w:b/>
          <w:bCs/>
          <w:snapToGrid w:val="0"/>
          <w:szCs w:val="24"/>
        </w:rPr>
      </w:pPr>
      <w:r>
        <w:rPr>
          <w:b/>
          <w:bCs/>
          <w:noProof/>
          <w:snapToGrid w:val="0"/>
          <w:szCs w:val="24"/>
        </w:rPr>
        <w:drawing>
          <wp:inline distT="0" distB="0" distL="0" distR="0" wp14:anchorId="78231782" wp14:editId="03990C1C">
            <wp:extent cx="3498574" cy="1163849"/>
            <wp:effectExtent l="0" t="0" r="6985" b="0"/>
            <wp:docPr id="40215944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biLevel thresh="75000"/>
                      <a:extLst>
                        <a:ext uri="{28A0092B-C50C-407E-A947-70E740481C1C}">
                          <a14:useLocalDpi xmlns:a14="http://schemas.microsoft.com/office/drawing/2010/main" val="0"/>
                        </a:ext>
                      </a:extLst>
                    </a:blip>
                    <a:srcRect/>
                    <a:stretch>
                      <a:fillRect/>
                    </a:stretch>
                  </pic:blipFill>
                  <pic:spPr bwMode="auto">
                    <a:xfrm>
                      <a:off x="0" y="0"/>
                      <a:ext cx="3555895" cy="1182918"/>
                    </a:xfrm>
                    <a:prstGeom prst="rect">
                      <a:avLst/>
                    </a:prstGeom>
                    <a:noFill/>
                  </pic:spPr>
                </pic:pic>
              </a:graphicData>
            </a:graphic>
          </wp:inline>
        </w:drawing>
      </w:r>
    </w:p>
    <w:p w14:paraId="4F878088" w14:textId="77777777" w:rsidR="00BA7318" w:rsidRDefault="00BA7318" w:rsidP="00BA7318">
      <w:pPr>
        <w:tabs>
          <w:tab w:val="left" w:pos="4483"/>
        </w:tabs>
        <w:adjustRightInd w:val="0"/>
        <w:snapToGrid w:val="0"/>
        <w:spacing w:after="120" w:line="240" w:lineRule="auto"/>
        <w:ind w:left="2268"/>
        <w:rPr>
          <w:b/>
          <w:bCs/>
          <w:snapToGrid w:val="0"/>
        </w:rPr>
      </w:pPr>
      <w:r w:rsidRPr="00BA7318">
        <w:rPr>
          <w:b/>
          <w:bCs/>
          <w:snapToGrid w:val="0"/>
          <w:szCs w:val="24"/>
        </w:rPr>
        <w:t>Marking</w:t>
      </w:r>
      <w:r w:rsidRPr="007F07B3">
        <w:rPr>
          <w:b/>
          <w:bCs/>
          <w:snapToGrid w:val="0"/>
        </w:rPr>
        <w:t xml:space="preserve"> example </w:t>
      </w:r>
      <w:r>
        <w:rPr>
          <w:b/>
          <w:bCs/>
          <w:snapToGrid w:val="0"/>
        </w:rPr>
        <w:t>3-b</w:t>
      </w:r>
    </w:p>
    <w:p w14:paraId="3EC2BADD" w14:textId="50CA1521" w:rsidR="00BA7318" w:rsidRPr="007F07B3" w:rsidRDefault="001866A6" w:rsidP="00BA7318">
      <w:pPr>
        <w:tabs>
          <w:tab w:val="left" w:pos="4483"/>
        </w:tabs>
        <w:adjustRightInd w:val="0"/>
        <w:snapToGrid w:val="0"/>
        <w:spacing w:after="120" w:line="240" w:lineRule="auto"/>
        <w:ind w:left="2268"/>
        <w:rPr>
          <w:b/>
          <w:bCs/>
          <w:snapToGrid w:val="0"/>
          <w:szCs w:val="24"/>
        </w:rPr>
      </w:pPr>
      <w:r>
        <w:rPr>
          <w:b/>
          <w:bCs/>
          <w:noProof/>
          <w:snapToGrid w:val="0"/>
          <w:szCs w:val="24"/>
        </w:rPr>
        <w:drawing>
          <wp:inline distT="0" distB="0" distL="0" distR="0" wp14:anchorId="31AD2D2F" wp14:editId="719FD820">
            <wp:extent cx="3498215" cy="1042507"/>
            <wp:effectExtent l="0" t="0" r="6985" b="5715"/>
            <wp:docPr id="67481778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3524337" cy="1050292"/>
                    </a:xfrm>
                    <a:prstGeom prst="rect">
                      <a:avLst/>
                    </a:prstGeom>
                    <a:noFill/>
                  </pic:spPr>
                </pic:pic>
              </a:graphicData>
            </a:graphic>
          </wp:inline>
        </w:drawing>
      </w:r>
    </w:p>
    <w:p w14:paraId="5D40AAB4" w14:textId="77777777" w:rsidR="00BA7318" w:rsidRDefault="00BA7318" w:rsidP="00BA7318">
      <w:pPr>
        <w:adjustRightInd w:val="0"/>
        <w:snapToGrid w:val="0"/>
        <w:spacing w:after="120"/>
        <w:ind w:left="2268" w:right="1134"/>
        <w:jc w:val="both"/>
        <w:rPr>
          <w:snapToGrid w:val="0"/>
        </w:rPr>
      </w:pPr>
      <w:r w:rsidRPr="004B67F1">
        <w:rPr>
          <w:i/>
          <w:iCs/>
          <w:snapToGrid w:val="0"/>
        </w:rPr>
        <w:t>Note</w:t>
      </w:r>
      <w:r w:rsidRPr="00D628C2">
        <w:rPr>
          <w:snapToGrid w:val="0"/>
        </w:rPr>
        <w:t xml:space="preserve">: The examples </w:t>
      </w:r>
      <w:r>
        <w:rPr>
          <w:snapToGrid w:val="0"/>
        </w:rPr>
        <w:t xml:space="preserve">3-a and 3-b </w:t>
      </w:r>
      <w:r w:rsidRPr="00D628C2">
        <w:rPr>
          <w:snapToGrid w:val="0"/>
        </w:rPr>
        <w:t xml:space="preserve">in </w:t>
      </w:r>
      <w:r>
        <w:rPr>
          <w:snapToGrid w:val="0"/>
        </w:rPr>
        <w:t>F</w:t>
      </w:r>
      <w:r w:rsidRPr="00D628C2">
        <w:rPr>
          <w:snapToGrid w:val="0"/>
        </w:rPr>
        <w:t>igure A13-III correspond to a lighting device bearing an approval mark</w:t>
      </w:r>
      <w:r>
        <w:rPr>
          <w:snapToGrid w:val="0"/>
        </w:rPr>
        <w:t>ing</w:t>
      </w:r>
      <w:r w:rsidRPr="00D628C2">
        <w:rPr>
          <w:snapToGrid w:val="0"/>
        </w:rPr>
        <w:t xml:space="preserve"> comprising:</w:t>
      </w:r>
    </w:p>
    <w:p w14:paraId="14E19143" w14:textId="77777777" w:rsidR="00BA7318" w:rsidRDefault="00BA7318" w:rsidP="00BA7318">
      <w:pPr>
        <w:spacing w:after="120"/>
        <w:ind w:left="2835" w:right="1134" w:hanging="567"/>
        <w:jc w:val="both"/>
        <w:rPr>
          <w:rFonts w:eastAsiaTheme="minorHAnsi"/>
          <w:lang w:val="en-US"/>
        </w:rPr>
      </w:pPr>
      <w:r w:rsidRPr="000B4AAB">
        <w:rPr>
          <w:snapToGrid w:val="0"/>
        </w:rPr>
        <w:t>(a)</w:t>
      </w:r>
      <w:r w:rsidRPr="000B4AAB">
        <w:rPr>
          <w:snapToGrid w:val="0"/>
        </w:rPr>
        <w:tab/>
      </w:r>
      <w:r w:rsidRPr="00D628C2">
        <w:rPr>
          <w:rFonts w:eastAsiaTheme="minorHAnsi"/>
          <w:lang w:val="en-US"/>
        </w:rPr>
        <w:t xml:space="preserve">A front position lamp approved in accordance with the </w:t>
      </w:r>
      <w:r w:rsidRPr="00C90605">
        <w:rPr>
          <w:rFonts w:eastAsiaTheme="minorHAnsi"/>
          <w:b/>
          <w:lang w:val="en-US"/>
        </w:rPr>
        <w:t>01</w:t>
      </w:r>
      <w:r w:rsidRPr="00C90605">
        <w:rPr>
          <w:rFonts w:eastAsiaTheme="minorHAnsi"/>
          <w:strike/>
          <w:lang w:val="en-US"/>
        </w:rPr>
        <w:t>00</w:t>
      </w:r>
      <w:r w:rsidRPr="00C90605">
        <w:rPr>
          <w:rFonts w:eastAsiaTheme="minorHAnsi"/>
          <w:lang w:val="en-US"/>
        </w:rPr>
        <w:t xml:space="preserve"> </w:t>
      </w:r>
      <w:r w:rsidRPr="00D628C2">
        <w:rPr>
          <w:rFonts w:eastAsiaTheme="minorHAnsi"/>
          <w:lang w:val="en-US"/>
        </w:rPr>
        <w:t xml:space="preserve">series of amendments to </w:t>
      </w:r>
      <w:r>
        <w:rPr>
          <w:rFonts w:eastAsiaTheme="minorHAnsi"/>
          <w:lang w:val="en-US"/>
        </w:rPr>
        <w:t xml:space="preserve">UN Regulation No. 148. </w:t>
      </w:r>
      <w:r w:rsidRPr="00BD507E">
        <w:rPr>
          <w:rFonts w:eastAsiaTheme="minorHAnsi"/>
          <w:lang w:val="en-US"/>
        </w:rPr>
        <w:t>The horizontal arrow indicates the side on which the required photometric specifications a</w:t>
      </w:r>
      <w:r>
        <w:rPr>
          <w:rFonts w:eastAsiaTheme="minorHAnsi"/>
          <w:lang w:val="en-US"/>
        </w:rPr>
        <w:t xml:space="preserve">re met up to an angle of 80° </w:t>
      </w:r>
      <w:proofErr w:type="gramStart"/>
      <w:r>
        <w:rPr>
          <w:rFonts w:eastAsiaTheme="minorHAnsi"/>
          <w:lang w:val="en-US"/>
        </w:rPr>
        <w:t>H;</w:t>
      </w:r>
      <w:proofErr w:type="gramEnd"/>
    </w:p>
    <w:p w14:paraId="2C8E7C6D" w14:textId="6AD3D93F" w:rsidR="00BA7318" w:rsidRDefault="00BA7318" w:rsidP="00BA7318">
      <w:pPr>
        <w:spacing w:after="120"/>
        <w:ind w:left="2835" w:right="1134" w:hanging="567"/>
        <w:jc w:val="both"/>
        <w:rPr>
          <w:rFonts w:eastAsiaTheme="minorHAnsi"/>
          <w:lang w:val="en-US"/>
        </w:rPr>
      </w:pPr>
      <w:r w:rsidRPr="000B4AAB">
        <w:rPr>
          <w:snapToGrid w:val="0"/>
        </w:rPr>
        <w:t>(b)</w:t>
      </w:r>
      <w:r w:rsidRPr="000B4AAB">
        <w:rPr>
          <w:snapToGrid w:val="0"/>
        </w:rPr>
        <w:tab/>
      </w:r>
      <w:r w:rsidRPr="00C90605">
        <w:rPr>
          <w:rFonts w:eastAsiaTheme="minorHAnsi"/>
          <w:lang w:val="en-US"/>
        </w:rPr>
        <w:t xml:space="preserve">A </w:t>
      </w:r>
      <w:r w:rsidRPr="00C90605">
        <w:rPr>
          <w:rFonts w:eastAsiaTheme="minorHAnsi"/>
          <w:b/>
          <w:lang w:val="en-US"/>
        </w:rPr>
        <w:t>passing</w:t>
      </w:r>
      <w:r w:rsidR="00584AB0">
        <w:rPr>
          <w:rFonts w:eastAsiaTheme="minorHAnsi"/>
          <w:b/>
          <w:lang w:val="en-US"/>
        </w:rPr>
        <w:t xml:space="preserve"> </w:t>
      </w:r>
      <w:r w:rsidRPr="00C90605">
        <w:rPr>
          <w:rFonts w:eastAsiaTheme="minorHAnsi"/>
          <w:b/>
          <w:lang w:val="en-US"/>
        </w:rPr>
        <w:t>beam</w:t>
      </w:r>
      <w:r w:rsidRPr="00C90605">
        <w:rPr>
          <w:rFonts w:eastAsiaTheme="minorHAnsi"/>
          <w:lang w:val="en-US"/>
        </w:rPr>
        <w:t xml:space="preserve"> </w:t>
      </w:r>
      <w:r w:rsidRPr="00C90605">
        <w:rPr>
          <w:rFonts w:eastAsiaTheme="minorHAnsi"/>
          <w:strike/>
          <w:lang w:val="en-US"/>
        </w:rPr>
        <w:t xml:space="preserve">headlamp, </w:t>
      </w:r>
      <w:r w:rsidRPr="00C90605">
        <w:rPr>
          <w:rFonts w:eastAsiaTheme="minorHAnsi"/>
          <w:lang w:val="en-US"/>
        </w:rPr>
        <w:t xml:space="preserve">of Class </w:t>
      </w:r>
      <w:r w:rsidRPr="00C90605">
        <w:rPr>
          <w:rFonts w:eastAsiaTheme="minorHAnsi"/>
          <w:b/>
          <w:lang w:val="en-US"/>
        </w:rPr>
        <w:t>C</w:t>
      </w:r>
      <w:r w:rsidRPr="00C90605">
        <w:rPr>
          <w:rFonts w:eastAsiaTheme="minorHAnsi"/>
          <w:strike/>
          <w:lang w:val="en-US"/>
        </w:rPr>
        <w:t>B</w:t>
      </w:r>
      <w:r w:rsidRPr="00C90605">
        <w:rPr>
          <w:rFonts w:eastAsiaTheme="minorHAnsi"/>
          <w:lang w:val="en-US"/>
        </w:rPr>
        <w:t>, designed for</w:t>
      </w:r>
      <w:r w:rsidRPr="00B74D00">
        <w:rPr>
          <w:rFonts w:eastAsiaTheme="minorHAnsi"/>
          <w:lang w:val="en-US"/>
        </w:rPr>
        <w:t xml:space="preserve"> right-hand traffic only</w:t>
      </w:r>
      <w:r w:rsidRPr="00C90605">
        <w:rPr>
          <w:rFonts w:eastAsiaTheme="minorHAnsi"/>
          <w:lang w:val="en-US"/>
        </w:rPr>
        <w:t xml:space="preserve"> and a driving</w:t>
      </w:r>
      <w:r w:rsidR="00584AB0">
        <w:rPr>
          <w:rFonts w:eastAsiaTheme="minorHAnsi"/>
          <w:lang w:val="en-US"/>
        </w:rPr>
        <w:t xml:space="preserve"> </w:t>
      </w:r>
      <w:r w:rsidRPr="00C90605">
        <w:rPr>
          <w:rFonts w:eastAsiaTheme="minorHAnsi"/>
          <w:lang w:val="en-US"/>
        </w:rPr>
        <w:t>beam</w:t>
      </w:r>
      <w:r w:rsidRPr="00C90605">
        <w:rPr>
          <w:rFonts w:eastAsiaTheme="minorHAnsi"/>
          <w:strike/>
          <w:lang w:val="en-US"/>
        </w:rPr>
        <w:t>,</w:t>
      </w:r>
      <w:r w:rsidRPr="00C90605">
        <w:rPr>
          <w:rFonts w:eastAsiaTheme="minorHAnsi"/>
          <w:lang w:val="en-US"/>
        </w:rPr>
        <w:t xml:space="preserve"> </w:t>
      </w:r>
      <w:r w:rsidRPr="00C90605">
        <w:rPr>
          <w:rFonts w:eastAsiaTheme="minorHAnsi"/>
          <w:b/>
          <w:lang w:val="en-US"/>
        </w:rPr>
        <w:t>of Class B</w:t>
      </w:r>
      <w:r w:rsidRPr="00C90605">
        <w:rPr>
          <w:rFonts w:eastAsiaTheme="minorHAnsi"/>
          <w:lang w:val="en-US"/>
        </w:rPr>
        <w:t xml:space="preserve"> with a maximum intensity comprised between </w:t>
      </w:r>
      <w:r w:rsidRPr="00C90605">
        <w:rPr>
          <w:b/>
        </w:rPr>
        <w:t>1.24</w:t>
      </w:r>
      <w:r w:rsidRPr="00C90605">
        <w:rPr>
          <w:b/>
          <w:szCs w:val="18"/>
        </w:rPr>
        <w:t>∙</w:t>
      </w:r>
      <w:r w:rsidRPr="00C90605">
        <w:rPr>
          <w:rFonts w:hint="eastAsia"/>
          <w:b/>
          <w:szCs w:val="18"/>
          <w:lang w:eastAsia="ja-JP"/>
        </w:rPr>
        <w:t>10</w:t>
      </w:r>
      <w:r w:rsidRPr="00C90605">
        <w:rPr>
          <w:rFonts w:hint="eastAsia"/>
          <w:b/>
          <w:szCs w:val="18"/>
          <w:vertAlign w:val="superscript"/>
          <w:lang w:eastAsia="ja-JP"/>
        </w:rPr>
        <w:t>5</w:t>
      </w:r>
      <w:r w:rsidRPr="00C90605">
        <w:rPr>
          <w:b/>
          <w:szCs w:val="18"/>
          <w:lang w:eastAsia="ja-JP"/>
        </w:rPr>
        <w:t xml:space="preserve"> and 1.45</w:t>
      </w:r>
      <w:r w:rsidRPr="00C90605">
        <w:rPr>
          <w:b/>
          <w:szCs w:val="18"/>
        </w:rPr>
        <w:t>∙</w:t>
      </w:r>
      <w:r w:rsidRPr="00C90605">
        <w:rPr>
          <w:rFonts w:hint="eastAsia"/>
          <w:b/>
          <w:szCs w:val="18"/>
          <w:lang w:eastAsia="ja-JP"/>
        </w:rPr>
        <w:t>10</w:t>
      </w:r>
      <w:r w:rsidRPr="00C90605">
        <w:rPr>
          <w:rFonts w:hint="eastAsia"/>
          <w:b/>
          <w:szCs w:val="18"/>
          <w:vertAlign w:val="superscript"/>
          <w:lang w:eastAsia="ja-JP"/>
        </w:rPr>
        <w:t>5</w:t>
      </w:r>
      <w:r w:rsidRPr="00C90605">
        <w:rPr>
          <w:rFonts w:hint="eastAsia"/>
          <w:lang w:eastAsia="ja-JP"/>
        </w:rPr>
        <w:t xml:space="preserve"> </w:t>
      </w:r>
      <w:r w:rsidRPr="00C90605">
        <w:rPr>
          <w:rFonts w:eastAsiaTheme="minorHAnsi"/>
          <w:strike/>
          <w:lang w:val="en-US"/>
        </w:rPr>
        <w:t>123,625 and 145,125</w:t>
      </w:r>
      <w:r w:rsidRPr="00C90605">
        <w:rPr>
          <w:rFonts w:eastAsiaTheme="minorHAnsi"/>
          <w:lang w:val="en-US"/>
        </w:rPr>
        <w:t xml:space="preserve"> candelas (as indicated by the number 30), approved in accordance with the requirements of this Regulation, as amended by the </w:t>
      </w:r>
      <w:r w:rsidRPr="00C90605">
        <w:rPr>
          <w:rFonts w:eastAsiaTheme="minorHAnsi"/>
          <w:b/>
          <w:lang w:val="en-US"/>
        </w:rPr>
        <w:t>01</w:t>
      </w:r>
      <w:r w:rsidRPr="00C90605">
        <w:rPr>
          <w:rFonts w:eastAsiaTheme="minorHAnsi"/>
          <w:strike/>
          <w:lang w:val="en-US"/>
        </w:rPr>
        <w:t>00</w:t>
      </w:r>
      <w:r w:rsidRPr="00C90605">
        <w:rPr>
          <w:rFonts w:eastAsiaTheme="minorHAnsi"/>
          <w:lang w:val="en-US"/>
        </w:rPr>
        <w:t xml:space="preserve"> series of amendments and incorporating a lens of plastic </w:t>
      </w:r>
      <w:proofErr w:type="gramStart"/>
      <w:r w:rsidRPr="00C90605">
        <w:rPr>
          <w:rFonts w:eastAsiaTheme="minorHAnsi"/>
          <w:lang w:val="en-US"/>
        </w:rPr>
        <w:t>material;</w:t>
      </w:r>
      <w:proofErr w:type="gramEnd"/>
    </w:p>
    <w:p w14:paraId="71482734" w14:textId="77777777" w:rsidR="00BA7318" w:rsidRDefault="00BA7318" w:rsidP="00BA7318">
      <w:pPr>
        <w:spacing w:after="120"/>
        <w:ind w:left="2835" w:right="1134" w:hanging="567"/>
        <w:jc w:val="both"/>
        <w:rPr>
          <w:rFonts w:eastAsiaTheme="minorHAnsi"/>
          <w:lang w:val="en-US"/>
        </w:rPr>
      </w:pPr>
      <w:r w:rsidRPr="000B4AAB">
        <w:rPr>
          <w:snapToGrid w:val="0"/>
        </w:rPr>
        <w:t>(c)</w:t>
      </w:r>
      <w:r w:rsidRPr="000B4AAB">
        <w:rPr>
          <w:snapToGrid w:val="0"/>
        </w:rPr>
        <w:tab/>
      </w:r>
      <w:r w:rsidRPr="00D628C2">
        <w:rPr>
          <w:rFonts w:eastAsiaTheme="minorHAnsi"/>
          <w:lang w:val="en-US"/>
        </w:rPr>
        <w:t xml:space="preserve">A front fog lamp approved in accordance with the </w:t>
      </w:r>
      <w:r w:rsidRPr="00C90605">
        <w:rPr>
          <w:rFonts w:eastAsiaTheme="minorHAnsi"/>
          <w:b/>
          <w:lang w:val="en-US"/>
        </w:rPr>
        <w:t>01</w:t>
      </w:r>
      <w:r w:rsidRPr="00C90605">
        <w:rPr>
          <w:rFonts w:eastAsiaTheme="minorHAnsi"/>
          <w:strike/>
          <w:lang w:val="en-US"/>
        </w:rPr>
        <w:t>00</w:t>
      </w:r>
      <w:r w:rsidRPr="00D628C2">
        <w:rPr>
          <w:rFonts w:eastAsiaTheme="minorHAnsi"/>
          <w:lang w:val="en-US"/>
        </w:rPr>
        <w:t xml:space="preserve"> series of amendments of this Regulation and incorporating a lens of plastic </w:t>
      </w:r>
      <w:proofErr w:type="gramStart"/>
      <w:r w:rsidRPr="00D628C2">
        <w:rPr>
          <w:rFonts w:eastAsiaTheme="minorHAnsi"/>
          <w:lang w:val="en-US"/>
        </w:rPr>
        <w:t>material</w:t>
      </w:r>
      <w:r>
        <w:rPr>
          <w:rFonts w:eastAsiaTheme="minorHAnsi"/>
          <w:lang w:val="en-US"/>
        </w:rPr>
        <w:t>;</w:t>
      </w:r>
      <w:proofErr w:type="gramEnd"/>
    </w:p>
    <w:p w14:paraId="7814EC46" w14:textId="1A7C0625" w:rsidR="00BA7318" w:rsidRDefault="00BA7318" w:rsidP="00BA7318">
      <w:pPr>
        <w:spacing w:after="120"/>
        <w:ind w:left="2835" w:right="1134" w:hanging="567"/>
        <w:jc w:val="both"/>
        <w:rPr>
          <w:rFonts w:eastAsiaTheme="minorHAnsi"/>
          <w:lang w:val="en-US"/>
        </w:rPr>
      </w:pPr>
      <w:r w:rsidRPr="000B4AAB">
        <w:rPr>
          <w:snapToGrid w:val="0"/>
        </w:rPr>
        <w:t>(</w:t>
      </w:r>
      <w:r>
        <w:rPr>
          <w:snapToGrid w:val="0"/>
        </w:rPr>
        <w:t>d</w:t>
      </w:r>
      <w:r w:rsidRPr="000B4AAB">
        <w:rPr>
          <w:snapToGrid w:val="0"/>
        </w:rPr>
        <w:t>)</w:t>
      </w:r>
      <w:r w:rsidRPr="000B4AAB">
        <w:rPr>
          <w:snapToGrid w:val="0"/>
        </w:rPr>
        <w:tab/>
      </w:r>
      <w:r w:rsidRPr="00D628C2">
        <w:rPr>
          <w:rFonts w:eastAsiaTheme="minorHAnsi"/>
          <w:lang w:val="en-US"/>
        </w:rPr>
        <w:t xml:space="preserve">A front direction indicator lamp of category 1a approved in accordance with the </w:t>
      </w:r>
      <w:r w:rsidRPr="00C90605">
        <w:rPr>
          <w:rFonts w:eastAsiaTheme="minorHAnsi"/>
          <w:b/>
          <w:lang w:val="en-US"/>
        </w:rPr>
        <w:t>01</w:t>
      </w:r>
      <w:r w:rsidRPr="00C90605">
        <w:rPr>
          <w:rFonts w:eastAsiaTheme="minorHAnsi"/>
          <w:strike/>
          <w:lang w:val="en-US"/>
        </w:rPr>
        <w:t>00</w:t>
      </w:r>
      <w:r w:rsidRPr="00D628C2">
        <w:rPr>
          <w:rFonts w:eastAsiaTheme="minorHAnsi"/>
          <w:lang w:val="en-US"/>
        </w:rPr>
        <w:t xml:space="preserve"> series of amendments to </w:t>
      </w:r>
      <w:r>
        <w:rPr>
          <w:rFonts w:eastAsiaTheme="minorHAnsi"/>
          <w:lang w:val="en-US"/>
        </w:rPr>
        <w:t xml:space="preserve">UN </w:t>
      </w:r>
      <w:r w:rsidRPr="00D628C2">
        <w:rPr>
          <w:rFonts w:eastAsiaTheme="minorHAnsi"/>
          <w:lang w:val="en-US"/>
        </w:rPr>
        <w:t xml:space="preserve">Regulation No. </w:t>
      </w:r>
      <w:r>
        <w:rPr>
          <w:rFonts w:eastAsiaTheme="minorHAnsi"/>
          <w:lang w:val="en-US"/>
        </w:rPr>
        <w:t>148</w:t>
      </w:r>
      <w:proofErr w:type="gramStart"/>
      <w:r>
        <w:rPr>
          <w:rFonts w:eastAsiaTheme="minorHAnsi"/>
          <w:lang w:val="en-US"/>
        </w:rPr>
        <w:t>.</w:t>
      </w:r>
      <w:r w:rsidR="0049696B">
        <w:rPr>
          <w:rFonts w:eastAsiaTheme="minorHAnsi"/>
          <w:lang w:val="en-US"/>
        </w:rPr>
        <w:t xml:space="preserve"> ”</w:t>
      </w:r>
      <w:proofErr w:type="gramEnd"/>
    </w:p>
    <w:p w14:paraId="44F7EDE0" w14:textId="77777777" w:rsidR="0049696B" w:rsidRDefault="0049696B" w:rsidP="0049696B">
      <w:pPr>
        <w:pStyle w:val="SingleTxtG"/>
        <w:spacing w:before="120"/>
        <w:rPr>
          <w:i/>
        </w:rPr>
      </w:pPr>
    </w:p>
    <w:p w14:paraId="6BAFF899" w14:textId="3AE02BAA" w:rsidR="0049696B" w:rsidRDefault="0049696B" w:rsidP="0049696B">
      <w:pPr>
        <w:pStyle w:val="SingleTxtG"/>
        <w:spacing w:before="120"/>
      </w:pPr>
      <w:r>
        <w:rPr>
          <w:i/>
        </w:rPr>
        <w:lastRenderedPageBreak/>
        <w:t>Annex 13</w:t>
      </w:r>
      <w:r w:rsidRPr="008B7408">
        <w:rPr>
          <w:i/>
        </w:rPr>
        <w:t>,</w:t>
      </w:r>
      <w:r w:rsidRPr="00B741E5">
        <w:rPr>
          <w:i/>
          <w:lang w:eastAsia="ja-JP"/>
        </w:rPr>
        <w:t xml:space="preserve"> </w:t>
      </w:r>
      <w:r w:rsidRPr="008B7408">
        <w:rPr>
          <w:i/>
          <w:lang w:eastAsia="ja-JP"/>
        </w:rPr>
        <w:t>Figure A13</w:t>
      </w:r>
      <w:r>
        <w:rPr>
          <w:i/>
          <w:lang w:eastAsia="ja-JP"/>
        </w:rPr>
        <w:t>-IV</w:t>
      </w:r>
      <w:r w:rsidRPr="008B7408">
        <w:rPr>
          <w:i/>
          <w:lang w:eastAsia="ja-JP"/>
        </w:rPr>
        <w:t>,</w:t>
      </w:r>
      <w:r w:rsidRPr="008B7408">
        <w:rPr>
          <w:i/>
          <w:iCs/>
        </w:rPr>
        <w:t xml:space="preserve"> </w:t>
      </w:r>
      <w:r w:rsidRPr="008B7408">
        <w:rPr>
          <w:iCs/>
        </w:rPr>
        <w:t>amend to read</w:t>
      </w:r>
      <w:r w:rsidRPr="008B7408">
        <w:t>:</w:t>
      </w:r>
    </w:p>
    <w:p w14:paraId="7D3E8134" w14:textId="73821BCF" w:rsidR="00BA7318" w:rsidRPr="008C1A41" w:rsidRDefault="0049696B" w:rsidP="00BA7318">
      <w:pPr>
        <w:adjustRightInd w:val="0"/>
        <w:snapToGrid w:val="0"/>
        <w:spacing w:before="120" w:line="240" w:lineRule="auto"/>
        <w:ind w:left="1134" w:firstLine="6"/>
        <w:rPr>
          <w:snapToGrid w:val="0"/>
          <w:lang w:eastAsia="ja-JP"/>
        </w:rPr>
      </w:pPr>
      <w:r>
        <w:rPr>
          <w:snapToGrid w:val="0"/>
        </w:rPr>
        <w:t>“</w:t>
      </w:r>
      <w:r w:rsidR="00BA7318" w:rsidRPr="008C1A41">
        <w:rPr>
          <w:snapToGrid w:val="0"/>
        </w:rPr>
        <w:t>Figure A13-</w:t>
      </w:r>
      <w:r w:rsidR="00BA7318">
        <w:rPr>
          <w:snapToGrid w:val="0"/>
        </w:rPr>
        <w:t>I</w:t>
      </w:r>
      <w:r w:rsidR="00BA7318" w:rsidRPr="008C1A41">
        <w:rPr>
          <w:snapToGrid w:val="0"/>
          <w:lang w:eastAsia="ja-JP"/>
        </w:rPr>
        <w:t>V</w:t>
      </w:r>
    </w:p>
    <w:p w14:paraId="61EF9117" w14:textId="77777777" w:rsidR="00BA7318" w:rsidRPr="008C1A41" w:rsidRDefault="00BA7318" w:rsidP="00BA7318">
      <w:pPr>
        <w:adjustRightInd w:val="0"/>
        <w:snapToGrid w:val="0"/>
        <w:spacing w:after="120" w:line="240" w:lineRule="auto"/>
        <w:ind w:left="1134"/>
        <w:rPr>
          <w:b/>
          <w:bCs/>
          <w:snapToGrid w:val="0"/>
          <w:szCs w:val="24"/>
        </w:rPr>
      </w:pPr>
      <w:r w:rsidRPr="008C1A41">
        <w:rPr>
          <w:b/>
          <w:bCs/>
          <w:snapToGrid w:val="0"/>
          <w:szCs w:val="24"/>
        </w:rPr>
        <w:t>Marking example 4</w:t>
      </w:r>
    </w:p>
    <w:p w14:paraId="3E9DFA18" w14:textId="1204894D" w:rsidR="00BA7318" w:rsidRDefault="00BA7318" w:rsidP="00BA7318">
      <w:pPr>
        <w:spacing w:after="120"/>
        <w:ind w:left="1134" w:right="1134"/>
        <w:jc w:val="both"/>
      </w:pPr>
      <w:r w:rsidRPr="008C1A41">
        <w:t>This example corresponds to an adaptive front-lighting system composed of two installation units for the left side of the vehicle and one installation unit for the right side.</w:t>
      </w:r>
    </w:p>
    <w:p w14:paraId="0415F3B5" w14:textId="42F66199" w:rsidR="00D0475B" w:rsidRDefault="007E0166" w:rsidP="007E0166">
      <w:pPr>
        <w:spacing w:after="120"/>
        <w:ind w:left="1134" w:right="1134" w:hanging="1134"/>
        <w:jc w:val="both"/>
      </w:pPr>
      <w:r>
        <w:rPr>
          <w:noProof/>
        </w:rPr>
        <w:drawing>
          <wp:inline distT="0" distB="0" distL="0" distR="0" wp14:anchorId="010AFB6F" wp14:editId="0C85C5E7">
            <wp:extent cx="6120765" cy="2655570"/>
            <wp:effectExtent l="0" t="0" r="0" b="0"/>
            <wp:docPr id="402159432" name="Picture 40215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765" cy="2655570"/>
                    </a:xfrm>
                    <a:prstGeom prst="rect">
                      <a:avLst/>
                    </a:prstGeom>
                  </pic:spPr>
                </pic:pic>
              </a:graphicData>
            </a:graphic>
          </wp:inline>
        </w:drawing>
      </w:r>
    </w:p>
    <w:p w14:paraId="5B1F08E1" w14:textId="54FCF14D" w:rsidR="008A56F3" w:rsidRPr="00C90605" w:rsidRDefault="008A56F3" w:rsidP="008A56F3">
      <w:pPr>
        <w:spacing w:after="120"/>
        <w:ind w:left="1134" w:right="1134"/>
        <w:jc w:val="both"/>
      </w:pPr>
      <w:r w:rsidRPr="00C90605">
        <w:t>The system bearing the above approval markings meets the requirements of this Regulation (</w:t>
      </w:r>
      <w:r w:rsidRPr="00C90605">
        <w:rPr>
          <w:b/>
        </w:rPr>
        <w:t>01 series of amendments to</w:t>
      </w:r>
      <w:r w:rsidRPr="00C90605">
        <w:rPr>
          <w:strike/>
        </w:rPr>
        <w:t xml:space="preserve"> original version of</w:t>
      </w:r>
      <w:r w:rsidRPr="00C90605">
        <w:t xml:space="preserve"> the Regulation) in respect of both a passing</w:t>
      </w:r>
      <w:r w:rsidR="00694488">
        <w:t xml:space="preserve"> </w:t>
      </w:r>
      <w:r w:rsidRPr="00C90605">
        <w:t>beam for left-hand traffic and a driving</w:t>
      </w:r>
      <w:r w:rsidR="00694488">
        <w:t xml:space="preserve"> </w:t>
      </w:r>
      <w:r w:rsidRPr="00C90605">
        <w:t xml:space="preserve">beam with a maximum intensity comprised between </w:t>
      </w:r>
      <w:r w:rsidRPr="00C90605">
        <w:rPr>
          <w:b/>
        </w:rPr>
        <w:t>1.24</w:t>
      </w:r>
      <w:r w:rsidRPr="00C90605">
        <w:rPr>
          <w:b/>
          <w:szCs w:val="18"/>
        </w:rPr>
        <w:t>∙</w:t>
      </w:r>
      <w:r w:rsidRPr="00C90605">
        <w:rPr>
          <w:rFonts w:hint="eastAsia"/>
          <w:b/>
          <w:szCs w:val="18"/>
          <w:lang w:eastAsia="ja-JP"/>
        </w:rPr>
        <w:t>10</w:t>
      </w:r>
      <w:r w:rsidRPr="00C90605">
        <w:rPr>
          <w:rFonts w:hint="eastAsia"/>
          <w:b/>
          <w:szCs w:val="18"/>
          <w:vertAlign w:val="superscript"/>
          <w:lang w:eastAsia="ja-JP"/>
        </w:rPr>
        <w:t>5</w:t>
      </w:r>
      <w:r w:rsidRPr="00C90605">
        <w:rPr>
          <w:b/>
          <w:szCs w:val="18"/>
          <w:lang w:eastAsia="ja-JP"/>
        </w:rPr>
        <w:t xml:space="preserve"> and 1.45</w:t>
      </w:r>
      <w:r w:rsidRPr="00C90605">
        <w:rPr>
          <w:b/>
          <w:szCs w:val="18"/>
        </w:rPr>
        <w:t>∙</w:t>
      </w:r>
      <w:r w:rsidRPr="00C90605">
        <w:rPr>
          <w:rFonts w:hint="eastAsia"/>
          <w:b/>
          <w:szCs w:val="18"/>
          <w:lang w:eastAsia="ja-JP"/>
        </w:rPr>
        <w:t>10</w:t>
      </w:r>
      <w:r w:rsidRPr="00C90605">
        <w:rPr>
          <w:rFonts w:hint="eastAsia"/>
          <w:b/>
          <w:szCs w:val="18"/>
          <w:vertAlign w:val="superscript"/>
          <w:lang w:eastAsia="ja-JP"/>
        </w:rPr>
        <w:t>5</w:t>
      </w:r>
      <w:r w:rsidRPr="00C90605">
        <w:rPr>
          <w:rFonts w:hint="eastAsia"/>
          <w:lang w:eastAsia="ja-JP"/>
        </w:rPr>
        <w:t xml:space="preserve"> </w:t>
      </w:r>
      <w:r w:rsidRPr="00C90605">
        <w:rPr>
          <w:rFonts w:eastAsiaTheme="minorHAnsi"/>
          <w:strike/>
          <w:lang w:val="en-US"/>
        </w:rPr>
        <w:t>123,625 and 145,125</w:t>
      </w:r>
      <w:r w:rsidRPr="00C90605">
        <w:rPr>
          <w:rFonts w:eastAsiaTheme="minorHAnsi"/>
          <w:lang w:val="en-US"/>
        </w:rPr>
        <w:t xml:space="preserve"> </w:t>
      </w:r>
      <w:r w:rsidRPr="00C90605">
        <w:t>candelas (as indicated by the number 30) grouped with a front direction indicator lamp of category 1a</w:t>
      </w:r>
      <w:r w:rsidRPr="00C90605">
        <w:rPr>
          <w:lang w:eastAsia="ja-JP"/>
        </w:rPr>
        <w:t xml:space="preserve"> and </w:t>
      </w:r>
      <w:r w:rsidRPr="00C90605">
        <w:t xml:space="preserve">a front position lamp approved in accordance with the </w:t>
      </w:r>
      <w:r w:rsidRPr="00C90605">
        <w:rPr>
          <w:b/>
        </w:rPr>
        <w:t>01</w:t>
      </w:r>
      <w:r w:rsidRPr="00C90605">
        <w:rPr>
          <w:strike/>
        </w:rPr>
        <w:t>0</w:t>
      </w:r>
      <w:r w:rsidRPr="00C90605">
        <w:rPr>
          <w:strike/>
          <w:lang w:eastAsia="ja-JP"/>
        </w:rPr>
        <w:t>0</w:t>
      </w:r>
      <w:r w:rsidRPr="00C90605">
        <w:t xml:space="preserve"> series of amendments of UN Regulation No. </w:t>
      </w:r>
      <w:r w:rsidRPr="00C90605">
        <w:rPr>
          <w:lang w:eastAsia="ja-JP"/>
        </w:rPr>
        <w:t>148</w:t>
      </w:r>
      <w:r w:rsidRPr="00C90605">
        <w:t>.</w:t>
      </w:r>
    </w:p>
    <w:p w14:paraId="50A48B56" w14:textId="62AE3879" w:rsidR="008A56F3" w:rsidRPr="008C1A41" w:rsidRDefault="008A56F3" w:rsidP="008A56F3">
      <w:pPr>
        <w:spacing w:after="120"/>
        <w:ind w:left="1134" w:right="1134"/>
        <w:jc w:val="both"/>
      </w:pPr>
      <w:r w:rsidRPr="008C1A41">
        <w:t>The installation unit 1 of the system (left side) is designed to contribute to the Class C passing</w:t>
      </w:r>
      <w:r w:rsidR="00E536EE">
        <w:t xml:space="preserve"> </w:t>
      </w:r>
      <w:r w:rsidRPr="008C1A41">
        <w:t>beam and the Class E passing</w:t>
      </w:r>
      <w:r w:rsidR="00E536EE">
        <w:t xml:space="preserve"> </w:t>
      </w:r>
      <w:r w:rsidRPr="008C1A41">
        <w:t>beam.  The score above the letter "C" indicates that on that side more than one installation unit contributes to the Class C passing</w:t>
      </w:r>
      <w:r w:rsidR="00694488">
        <w:t xml:space="preserve"> </w:t>
      </w:r>
      <w:r w:rsidRPr="008C1A41">
        <w:t>beam.  The letter "T" to the right following the listed symbols indicates that each, the Class C passing</w:t>
      </w:r>
      <w:r w:rsidR="00694488">
        <w:t xml:space="preserve"> </w:t>
      </w:r>
      <w:r w:rsidRPr="008C1A41">
        <w:t>beam and the Class E passing</w:t>
      </w:r>
      <w:r w:rsidR="00694488">
        <w:t xml:space="preserve"> </w:t>
      </w:r>
      <w:r w:rsidRPr="008C1A41">
        <w:t>beam are providing a bending mode.</w:t>
      </w:r>
    </w:p>
    <w:p w14:paraId="538235C9" w14:textId="16172DC8" w:rsidR="008A56F3" w:rsidRPr="008C1A41" w:rsidRDefault="008A56F3" w:rsidP="008A56F3">
      <w:pPr>
        <w:spacing w:after="120"/>
        <w:ind w:left="1134" w:right="1134"/>
        <w:jc w:val="both"/>
        <w:rPr>
          <w:lang w:eastAsia="ja-JP"/>
        </w:rPr>
      </w:pPr>
      <w:r w:rsidRPr="008C1A41">
        <w:t>The installation unit 3 of the system (left side) is designed to provide the second part of the Class C passing</w:t>
      </w:r>
      <w:r w:rsidR="00694488">
        <w:t xml:space="preserve"> </w:t>
      </w:r>
      <w:r w:rsidRPr="008C1A41">
        <w:t>beam of that side (as indicated by the score above the letter "C") and a Class W passing</w:t>
      </w:r>
      <w:r w:rsidR="00694488">
        <w:t xml:space="preserve"> </w:t>
      </w:r>
      <w:r w:rsidRPr="008C1A41">
        <w:t>beam.</w:t>
      </w:r>
      <w:r w:rsidRPr="008C1A41">
        <w:rPr>
          <w:rFonts w:hint="eastAsia"/>
          <w:lang w:eastAsia="ja-JP"/>
        </w:rPr>
        <w:t xml:space="preserve"> For this additional lighting unit, a circle surrounding the letter "E" followed by the distinguishing number of the country is not necessary.</w:t>
      </w:r>
    </w:p>
    <w:p w14:paraId="45564E2A" w14:textId="761A6DDE" w:rsidR="008A56F3" w:rsidRPr="008C1A41" w:rsidRDefault="008A56F3" w:rsidP="008A56F3">
      <w:pPr>
        <w:spacing w:after="120"/>
        <w:ind w:left="1134" w:right="1134"/>
        <w:jc w:val="both"/>
      </w:pPr>
      <w:r w:rsidRPr="008C1A41">
        <w:t>The installation unit 2 of the system (right side) is designed to contribute to the Class C passing</w:t>
      </w:r>
      <w:r w:rsidR="00E536EE">
        <w:t xml:space="preserve"> </w:t>
      </w:r>
      <w:r w:rsidRPr="008C1A41">
        <w:t>beam, a Class E passing</w:t>
      </w:r>
      <w:r w:rsidR="00694488">
        <w:t xml:space="preserve"> </w:t>
      </w:r>
      <w:r w:rsidRPr="008C1A41">
        <w:t>beam, both with bending mode and a Class W passing</w:t>
      </w:r>
      <w:r w:rsidR="00694488">
        <w:t xml:space="preserve"> </w:t>
      </w:r>
      <w:r w:rsidRPr="008C1A41">
        <w:t>beam.</w:t>
      </w:r>
    </w:p>
    <w:p w14:paraId="1B017B8D" w14:textId="07DCC0E1" w:rsidR="008A56F3" w:rsidRDefault="008A56F3" w:rsidP="008A56F3">
      <w:pPr>
        <w:spacing w:after="120"/>
        <w:ind w:left="1134" w:right="1134"/>
        <w:jc w:val="both"/>
      </w:pPr>
      <w:r w:rsidRPr="008C1A41">
        <w:rPr>
          <w:i/>
        </w:rPr>
        <w:t>Note</w:t>
      </w:r>
      <w:r w:rsidRPr="008C1A41">
        <w:t>:</w:t>
      </w:r>
      <w:r w:rsidRPr="008C1A41">
        <w:tab/>
        <w:t>In the above example</w:t>
      </w:r>
      <w:r w:rsidRPr="008C1A41">
        <w:rPr>
          <w:rFonts w:hint="eastAsia"/>
          <w:lang w:eastAsia="ja-JP"/>
        </w:rPr>
        <w:t>,</w:t>
      </w:r>
      <w:r w:rsidRPr="008C1A41">
        <w:t xml:space="preserve"> the different installation units of the system shall bear the same approval number</w:t>
      </w:r>
      <w:proofErr w:type="gramStart"/>
      <w:r w:rsidRPr="008C1A41">
        <w:t>.</w:t>
      </w:r>
      <w:r w:rsidR="0049696B">
        <w:t xml:space="preserve"> ”</w:t>
      </w:r>
      <w:proofErr w:type="gramEnd"/>
    </w:p>
    <w:p w14:paraId="77E8BFC6" w14:textId="766D9166" w:rsidR="0049696B" w:rsidRDefault="0049696B">
      <w:pPr>
        <w:suppressAutoHyphens w:val="0"/>
        <w:spacing w:line="240" w:lineRule="auto"/>
        <w:rPr>
          <w:snapToGrid w:val="0"/>
        </w:rPr>
      </w:pPr>
      <w:r>
        <w:br w:type="page"/>
      </w:r>
    </w:p>
    <w:p w14:paraId="15704554" w14:textId="50E30E6E" w:rsidR="0049696B" w:rsidRDefault="0049696B" w:rsidP="0049696B">
      <w:pPr>
        <w:pStyle w:val="SingleTxtG"/>
        <w:spacing w:before="120"/>
      </w:pPr>
      <w:r>
        <w:rPr>
          <w:i/>
        </w:rPr>
        <w:lastRenderedPageBreak/>
        <w:t>Add</w:t>
      </w:r>
      <w:r w:rsidR="00230011">
        <w:rPr>
          <w:i/>
        </w:rPr>
        <w:t xml:space="preserve"> a</w:t>
      </w:r>
      <w:r>
        <w:rPr>
          <w:i/>
        </w:rPr>
        <w:t xml:space="preserve"> new </w:t>
      </w:r>
      <w:r w:rsidRPr="008B7408">
        <w:rPr>
          <w:i/>
          <w:lang w:eastAsia="ja-JP"/>
        </w:rPr>
        <w:t>Figure A13</w:t>
      </w:r>
      <w:r>
        <w:rPr>
          <w:i/>
          <w:lang w:eastAsia="ja-JP"/>
        </w:rPr>
        <w:t>-V in Annex 13</w:t>
      </w:r>
      <w:r w:rsidRPr="008B7408">
        <w:rPr>
          <w:i/>
          <w:lang w:eastAsia="ja-JP"/>
        </w:rPr>
        <w:t>,</w:t>
      </w:r>
      <w:r>
        <w:rPr>
          <w:i/>
          <w:lang w:eastAsia="ja-JP"/>
        </w:rPr>
        <w:t xml:space="preserve"> </w:t>
      </w:r>
      <w:r w:rsidRPr="008B7408">
        <w:rPr>
          <w:iCs/>
        </w:rPr>
        <w:t>to read</w:t>
      </w:r>
      <w:r w:rsidRPr="008B7408">
        <w:t>:</w:t>
      </w:r>
    </w:p>
    <w:p w14:paraId="0E63F84C" w14:textId="72CC6732" w:rsidR="008A56F3" w:rsidRPr="00817A65" w:rsidRDefault="0049696B" w:rsidP="008A56F3">
      <w:pPr>
        <w:adjustRightInd w:val="0"/>
        <w:snapToGrid w:val="0"/>
        <w:spacing w:before="120"/>
        <w:ind w:left="1134" w:firstLine="6"/>
        <w:rPr>
          <w:bCs/>
          <w:snapToGrid w:val="0"/>
          <w:lang w:eastAsia="ja-JP"/>
        </w:rPr>
      </w:pPr>
      <w:r>
        <w:rPr>
          <w:bCs/>
          <w:snapToGrid w:val="0"/>
        </w:rPr>
        <w:t>“</w:t>
      </w:r>
      <w:r w:rsidR="008A56F3" w:rsidRPr="00817A65">
        <w:rPr>
          <w:bCs/>
          <w:snapToGrid w:val="0"/>
        </w:rPr>
        <w:t>Figure A13-V</w:t>
      </w:r>
    </w:p>
    <w:p w14:paraId="2C39310A" w14:textId="77777777" w:rsidR="008A56F3" w:rsidRPr="008A56F3" w:rsidRDefault="008A56F3" w:rsidP="008A56F3">
      <w:pPr>
        <w:spacing w:after="120"/>
        <w:ind w:left="1134" w:right="1134"/>
        <w:jc w:val="both"/>
        <w:rPr>
          <w:b/>
          <w:bCs/>
          <w:snapToGrid w:val="0"/>
          <w:lang w:eastAsia="ja-JP"/>
        </w:rPr>
      </w:pPr>
      <w:r w:rsidRPr="00C90605">
        <w:rPr>
          <w:b/>
          <w:bCs/>
          <w:snapToGrid w:val="0"/>
        </w:rPr>
        <w:t xml:space="preserve">Marking </w:t>
      </w:r>
      <w:r w:rsidRPr="008A56F3">
        <w:rPr>
          <w:b/>
          <w:bCs/>
          <w:snapToGrid w:val="0"/>
        </w:rPr>
        <w:t xml:space="preserve">example </w:t>
      </w:r>
      <w:r w:rsidRPr="008A56F3">
        <w:rPr>
          <w:rFonts w:hint="eastAsia"/>
          <w:b/>
          <w:bCs/>
          <w:snapToGrid w:val="0"/>
          <w:lang w:eastAsia="ja-JP"/>
        </w:rPr>
        <w:t>5</w:t>
      </w:r>
    </w:p>
    <w:p w14:paraId="291B044E" w14:textId="35E2D700" w:rsidR="008A56F3" w:rsidRPr="00817A65" w:rsidRDefault="008A56F3" w:rsidP="008A56F3">
      <w:pPr>
        <w:spacing w:after="120"/>
        <w:ind w:left="1134" w:right="1134"/>
        <w:jc w:val="both"/>
        <w:rPr>
          <w:b/>
        </w:rPr>
      </w:pPr>
      <w:r w:rsidRPr="008A56F3">
        <w:rPr>
          <w:b/>
        </w:rPr>
        <w:t xml:space="preserve">This </w:t>
      </w:r>
      <w:r w:rsidRPr="00817A65">
        <w:rPr>
          <w:b/>
        </w:rPr>
        <w:t xml:space="preserve">example corresponds to a headlamp with </w:t>
      </w:r>
      <w:r w:rsidR="00C847E0">
        <w:rPr>
          <w:b/>
        </w:rPr>
        <w:t>C</w:t>
      </w:r>
      <w:r w:rsidR="00C847E0" w:rsidRPr="00817A65">
        <w:rPr>
          <w:b/>
        </w:rPr>
        <w:t xml:space="preserve">lass </w:t>
      </w:r>
      <w:r w:rsidRPr="00817A65">
        <w:rPr>
          <w:b/>
        </w:rPr>
        <w:t xml:space="preserve">DS </w:t>
      </w:r>
      <w:r w:rsidR="00C847E0" w:rsidRPr="00817A65">
        <w:rPr>
          <w:b/>
        </w:rPr>
        <w:t>passing</w:t>
      </w:r>
      <w:r w:rsidR="00694488">
        <w:rPr>
          <w:b/>
        </w:rPr>
        <w:t xml:space="preserve"> </w:t>
      </w:r>
      <w:r w:rsidRPr="00817A65">
        <w:rPr>
          <w:b/>
        </w:rPr>
        <w:t xml:space="preserve">beam and </w:t>
      </w:r>
      <w:r w:rsidR="00C847E0">
        <w:rPr>
          <w:b/>
        </w:rPr>
        <w:t>C</w:t>
      </w:r>
      <w:r w:rsidR="00C847E0" w:rsidRPr="00817A65">
        <w:rPr>
          <w:b/>
        </w:rPr>
        <w:t xml:space="preserve">lass </w:t>
      </w:r>
      <w:r w:rsidRPr="00817A65">
        <w:rPr>
          <w:b/>
        </w:rPr>
        <w:t xml:space="preserve">DS </w:t>
      </w:r>
      <w:r w:rsidR="00C847E0" w:rsidRPr="00817A65">
        <w:rPr>
          <w:b/>
        </w:rPr>
        <w:t>driving</w:t>
      </w:r>
      <w:r w:rsidR="00694488">
        <w:rPr>
          <w:b/>
        </w:rPr>
        <w:t xml:space="preserve"> </w:t>
      </w:r>
      <w:r w:rsidRPr="00817A65">
        <w:rPr>
          <w:b/>
        </w:rPr>
        <w:t>beam.</w:t>
      </w:r>
    </w:p>
    <w:p w14:paraId="4B6778BC" w14:textId="3AE6A9A3" w:rsidR="008A56F3" w:rsidRDefault="00047EC8" w:rsidP="008A56F3">
      <w:pPr>
        <w:spacing w:after="120"/>
        <w:ind w:left="1134" w:right="1134"/>
        <w:jc w:val="center"/>
        <w:rPr>
          <w:b/>
          <w:lang w:val="en-US"/>
        </w:rPr>
      </w:pPr>
      <w:r>
        <w:rPr>
          <w:b/>
          <w:noProof/>
          <w:lang w:val="en-US"/>
        </w:rPr>
        <w:drawing>
          <wp:inline distT="0" distB="0" distL="0" distR="0" wp14:anchorId="6F8A3F9C" wp14:editId="1689D1D3">
            <wp:extent cx="2237740" cy="1917700"/>
            <wp:effectExtent l="0" t="0" r="0" b="0"/>
            <wp:docPr id="8828473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b="6933"/>
                    <a:stretch/>
                  </pic:blipFill>
                  <pic:spPr bwMode="auto">
                    <a:xfrm>
                      <a:off x="0" y="0"/>
                      <a:ext cx="2237740" cy="1917700"/>
                    </a:xfrm>
                    <a:prstGeom prst="rect">
                      <a:avLst/>
                    </a:prstGeom>
                    <a:noFill/>
                    <a:ln>
                      <a:noFill/>
                    </a:ln>
                    <a:extLst>
                      <a:ext uri="{53640926-AAD7-44D8-BBD7-CCE9431645EC}">
                        <a14:shadowObscured xmlns:a14="http://schemas.microsoft.com/office/drawing/2010/main"/>
                      </a:ext>
                    </a:extLst>
                  </pic:spPr>
                </pic:pic>
              </a:graphicData>
            </a:graphic>
          </wp:inline>
        </w:drawing>
      </w:r>
    </w:p>
    <w:p w14:paraId="3119C639" w14:textId="34F0B3E6" w:rsidR="008A56F3" w:rsidRPr="00C90605" w:rsidRDefault="008A56F3" w:rsidP="008A56F3">
      <w:pPr>
        <w:spacing w:after="120"/>
        <w:ind w:left="1134" w:right="1134"/>
        <w:jc w:val="both"/>
        <w:rPr>
          <w:b/>
        </w:rPr>
      </w:pPr>
      <w:r w:rsidRPr="00C90605">
        <w:rPr>
          <w:b/>
        </w:rPr>
        <w:t>The lamp bearing the approval mark shown above identifies a headlamp with a passing</w:t>
      </w:r>
      <w:r w:rsidR="00694488">
        <w:rPr>
          <w:b/>
        </w:rPr>
        <w:t xml:space="preserve"> </w:t>
      </w:r>
      <w:r w:rsidRPr="00C90605">
        <w:rPr>
          <w:b/>
        </w:rPr>
        <w:t xml:space="preserve">beam and a </w:t>
      </w:r>
      <w:r w:rsidR="00363162">
        <w:rPr>
          <w:b/>
        </w:rPr>
        <w:t>s</w:t>
      </w:r>
      <w:r w:rsidR="00363162" w:rsidRPr="00050F10">
        <w:rPr>
          <w:b/>
        </w:rPr>
        <w:t>econdary</w:t>
      </w:r>
      <w:r w:rsidR="00363162" w:rsidRPr="00C90605">
        <w:rPr>
          <w:b/>
        </w:rPr>
        <w:t xml:space="preserve"> </w:t>
      </w:r>
      <w:r w:rsidR="00C847E0" w:rsidRPr="00C90605">
        <w:rPr>
          <w:b/>
        </w:rPr>
        <w:t>driving</w:t>
      </w:r>
      <w:r w:rsidR="00694488">
        <w:rPr>
          <w:b/>
        </w:rPr>
        <w:t xml:space="preserve"> </w:t>
      </w:r>
      <w:r w:rsidRPr="00C90605">
        <w:rPr>
          <w:b/>
        </w:rPr>
        <w:t xml:space="preserve">beam of Class DS </w:t>
      </w:r>
      <w:r w:rsidR="00363162">
        <w:rPr>
          <w:b/>
        </w:rPr>
        <w:t xml:space="preserve">(WCR-DS) </w:t>
      </w:r>
      <w:r w:rsidRPr="00C90605">
        <w:rPr>
          <w:b/>
        </w:rPr>
        <w:t>with a maximum intensity comprised between 4.84</w:t>
      </w:r>
      <w:r w:rsidRPr="00C90605">
        <w:rPr>
          <w:b/>
          <w:szCs w:val="18"/>
        </w:rPr>
        <w:t>∙</w:t>
      </w:r>
      <w:r w:rsidRPr="00C90605">
        <w:rPr>
          <w:rFonts w:hint="eastAsia"/>
          <w:b/>
          <w:szCs w:val="18"/>
          <w:lang w:eastAsia="ja-JP"/>
        </w:rPr>
        <w:t>10</w:t>
      </w:r>
      <w:r w:rsidRPr="00C90605">
        <w:rPr>
          <w:rFonts w:hint="eastAsia"/>
          <w:b/>
          <w:szCs w:val="18"/>
          <w:vertAlign w:val="superscript"/>
          <w:lang w:eastAsia="ja-JP"/>
        </w:rPr>
        <w:t>5</w:t>
      </w:r>
      <w:r w:rsidRPr="00C90605">
        <w:rPr>
          <w:b/>
          <w:szCs w:val="18"/>
          <w:vertAlign w:val="superscript"/>
          <w:lang w:eastAsia="ja-JP"/>
        </w:rPr>
        <w:t xml:space="preserve"> </w:t>
      </w:r>
      <w:r w:rsidRPr="00C90605">
        <w:rPr>
          <w:b/>
        </w:rPr>
        <w:t>and 6.45</w:t>
      </w:r>
      <w:r w:rsidRPr="00C90605">
        <w:rPr>
          <w:b/>
          <w:szCs w:val="18"/>
        </w:rPr>
        <w:t>∙</w:t>
      </w:r>
      <w:r w:rsidRPr="00C90605">
        <w:rPr>
          <w:rFonts w:hint="eastAsia"/>
          <w:b/>
          <w:szCs w:val="18"/>
          <w:lang w:eastAsia="ja-JP"/>
        </w:rPr>
        <w:t>10</w:t>
      </w:r>
      <w:r w:rsidRPr="00C90605">
        <w:rPr>
          <w:rFonts w:hint="eastAsia"/>
          <w:b/>
          <w:szCs w:val="18"/>
          <w:vertAlign w:val="superscript"/>
          <w:lang w:eastAsia="ja-JP"/>
        </w:rPr>
        <w:t>5</w:t>
      </w:r>
      <w:r w:rsidRPr="00C90605">
        <w:rPr>
          <w:b/>
        </w:rPr>
        <w:t xml:space="preserve"> candelas (as indicated by the number 12.5) using a plastic lens (PL) pursuant to this Regulation as amended by the 01 series of amendments (</w:t>
      </w:r>
      <w:r w:rsidR="00F07D91">
        <w:rPr>
          <w:b/>
        </w:rPr>
        <w:t>149R</w:t>
      </w:r>
      <w:r w:rsidRPr="00C90605">
        <w:rPr>
          <w:b/>
        </w:rPr>
        <w:t xml:space="preserve">01) grouped with a front position lamp </w:t>
      </w:r>
      <w:r w:rsidR="00E014F3">
        <w:rPr>
          <w:b/>
        </w:rPr>
        <w:t xml:space="preserve">for category L vehicle </w:t>
      </w:r>
      <w:r w:rsidR="00F07D91">
        <w:rPr>
          <w:b/>
        </w:rPr>
        <w:t xml:space="preserve">(MA) </w:t>
      </w:r>
      <w:r w:rsidRPr="00C90605">
        <w:rPr>
          <w:b/>
        </w:rPr>
        <w:t xml:space="preserve">approved in accordance with the 01 series of amendments </w:t>
      </w:r>
      <w:r w:rsidR="00C847E0">
        <w:rPr>
          <w:b/>
        </w:rPr>
        <w:t>to</w:t>
      </w:r>
      <w:r w:rsidR="00C847E0" w:rsidRPr="00C90605">
        <w:rPr>
          <w:b/>
        </w:rPr>
        <w:t xml:space="preserve"> </w:t>
      </w:r>
      <w:r w:rsidRPr="00C90605">
        <w:rPr>
          <w:b/>
        </w:rPr>
        <w:t>UN Regulation No. 148</w:t>
      </w:r>
      <w:r w:rsidR="00F07D91">
        <w:rPr>
          <w:b/>
        </w:rPr>
        <w:t xml:space="preserve"> (148R01)</w:t>
      </w:r>
      <w:r w:rsidRPr="00C90605">
        <w:rPr>
          <w:b/>
        </w:rPr>
        <w:t>. All three lamps (functions) are approved in Spain (E9) under approval number 1199</w:t>
      </w:r>
      <w:proofErr w:type="gramStart"/>
      <w:r w:rsidRPr="00C90605">
        <w:rPr>
          <w:b/>
        </w:rPr>
        <w:t>.</w:t>
      </w:r>
      <w:r w:rsidR="0078348A">
        <w:rPr>
          <w:b/>
        </w:rPr>
        <w:t xml:space="preserve"> ”</w:t>
      </w:r>
      <w:proofErr w:type="gramEnd"/>
    </w:p>
    <w:p w14:paraId="4C3BB48A" w14:textId="342E75B4" w:rsidR="0078348A" w:rsidRDefault="0078348A" w:rsidP="0078348A">
      <w:pPr>
        <w:pStyle w:val="SingleTxtG"/>
        <w:spacing w:before="120"/>
      </w:pPr>
      <w:r>
        <w:rPr>
          <w:i/>
        </w:rPr>
        <w:t xml:space="preserve">Add </w:t>
      </w:r>
      <w:r w:rsidR="00230011">
        <w:rPr>
          <w:i/>
        </w:rPr>
        <w:t xml:space="preserve">a </w:t>
      </w:r>
      <w:r>
        <w:rPr>
          <w:i/>
        </w:rPr>
        <w:t xml:space="preserve">new </w:t>
      </w:r>
      <w:r w:rsidRPr="008B7408">
        <w:rPr>
          <w:i/>
          <w:lang w:eastAsia="ja-JP"/>
        </w:rPr>
        <w:t>Figure A13</w:t>
      </w:r>
      <w:r>
        <w:rPr>
          <w:i/>
          <w:lang w:eastAsia="ja-JP"/>
        </w:rPr>
        <w:t>-VI in Annex 13</w:t>
      </w:r>
      <w:r w:rsidRPr="008B7408">
        <w:rPr>
          <w:i/>
          <w:lang w:eastAsia="ja-JP"/>
        </w:rPr>
        <w:t>,</w:t>
      </w:r>
      <w:r>
        <w:rPr>
          <w:i/>
          <w:lang w:eastAsia="ja-JP"/>
        </w:rPr>
        <w:t xml:space="preserve"> </w:t>
      </w:r>
      <w:r w:rsidRPr="008B7408">
        <w:rPr>
          <w:iCs/>
        </w:rPr>
        <w:t>to read</w:t>
      </w:r>
      <w:r w:rsidRPr="008B7408">
        <w:t>:</w:t>
      </w:r>
    </w:p>
    <w:p w14:paraId="43B9A494" w14:textId="1437E446" w:rsidR="00817A65" w:rsidRPr="00817A65" w:rsidRDefault="0078348A" w:rsidP="00817A65">
      <w:pPr>
        <w:adjustRightInd w:val="0"/>
        <w:snapToGrid w:val="0"/>
        <w:spacing w:before="120"/>
        <w:ind w:left="1134" w:firstLine="6"/>
        <w:rPr>
          <w:bCs/>
          <w:snapToGrid w:val="0"/>
          <w:lang w:eastAsia="ja-JP"/>
        </w:rPr>
      </w:pPr>
      <w:r>
        <w:rPr>
          <w:bCs/>
          <w:snapToGrid w:val="0"/>
        </w:rPr>
        <w:t>“</w:t>
      </w:r>
      <w:r w:rsidR="00817A65" w:rsidRPr="00817A65">
        <w:rPr>
          <w:bCs/>
          <w:snapToGrid w:val="0"/>
        </w:rPr>
        <w:t>Figure A13-VI</w:t>
      </w:r>
    </w:p>
    <w:p w14:paraId="43EBA3B2" w14:textId="77777777" w:rsidR="00817A65" w:rsidRPr="00C90605" w:rsidRDefault="00817A65" w:rsidP="00817A65">
      <w:pPr>
        <w:spacing w:after="120"/>
        <w:ind w:left="1134" w:right="1134"/>
        <w:jc w:val="both"/>
        <w:rPr>
          <w:b/>
          <w:bCs/>
          <w:snapToGrid w:val="0"/>
          <w:lang w:eastAsia="ja-JP"/>
        </w:rPr>
      </w:pPr>
      <w:r w:rsidRPr="00C90605">
        <w:rPr>
          <w:b/>
          <w:bCs/>
          <w:snapToGrid w:val="0"/>
        </w:rPr>
        <w:t xml:space="preserve">Marking example </w:t>
      </w:r>
      <w:r w:rsidRPr="00C90605">
        <w:rPr>
          <w:rFonts w:hint="eastAsia"/>
          <w:b/>
          <w:bCs/>
          <w:snapToGrid w:val="0"/>
          <w:lang w:eastAsia="ja-JP"/>
        </w:rPr>
        <w:t>6</w:t>
      </w:r>
    </w:p>
    <w:p w14:paraId="41F3CD03" w14:textId="18F233A3" w:rsidR="00817A65" w:rsidRPr="00C90605" w:rsidRDefault="00817A65" w:rsidP="00817A65">
      <w:pPr>
        <w:spacing w:after="120"/>
        <w:ind w:left="1134" w:right="1134"/>
        <w:jc w:val="both"/>
        <w:rPr>
          <w:b/>
        </w:rPr>
      </w:pPr>
      <w:r w:rsidRPr="00C90605">
        <w:rPr>
          <w:b/>
        </w:rPr>
        <w:t xml:space="preserve">This example corresponds to a headlamp with </w:t>
      </w:r>
      <w:r w:rsidR="00C847E0">
        <w:rPr>
          <w:b/>
        </w:rPr>
        <w:t>C</w:t>
      </w:r>
      <w:r w:rsidR="00C847E0" w:rsidRPr="00C90605">
        <w:rPr>
          <w:b/>
        </w:rPr>
        <w:t xml:space="preserve">lass </w:t>
      </w:r>
      <w:r w:rsidRPr="00C90605">
        <w:rPr>
          <w:b/>
        </w:rPr>
        <w:t xml:space="preserve">CS </w:t>
      </w:r>
      <w:r w:rsidR="00C847E0" w:rsidRPr="00C90605">
        <w:rPr>
          <w:b/>
        </w:rPr>
        <w:t>passing</w:t>
      </w:r>
      <w:r w:rsidR="00694488">
        <w:rPr>
          <w:b/>
        </w:rPr>
        <w:t xml:space="preserve"> </w:t>
      </w:r>
      <w:r w:rsidRPr="00C90605">
        <w:rPr>
          <w:b/>
        </w:rPr>
        <w:t xml:space="preserve">beam and </w:t>
      </w:r>
      <w:r w:rsidR="00C847E0">
        <w:rPr>
          <w:b/>
        </w:rPr>
        <w:t>C</w:t>
      </w:r>
      <w:r w:rsidR="00C847E0" w:rsidRPr="00C90605">
        <w:rPr>
          <w:b/>
        </w:rPr>
        <w:t xml:space="preserve">lass </w:t>
      </w:r>
      <w:r w:rsidRPr="00C90605">
        <w:rPr>
          <w:b/>
        </w:rPr>
        <w:t xml:space="preserve">DS </w:t>
      </w:r>
      <w:r w:rsidR="00C847E0" w:rsidRPr="00C90605">
        <w:rPr>
          <w:b/>
        </w:rPr>
        <w:t>driving</w:t>
      </w:r>
      <w:r w:rsidR="00694488">
        <w:rPr>
          <w:b/>
        </w:rPr>
        <w:t xml:space="preserve"> </w:t>
      </w:r>
      <w:r w:rsidRPr="00C90605">
        <w:rPr>
          <w:b/>
        </w:rPr>
        <w:t>beam.</w:t>
      </w:r>
    </w:p>
    <w:p w14:paraId="410CD4C4" w14:textId="27D7A20A" w:rsidR="00817A65" w:rsidRPr="00C90605" w:rsidRDefault="00047EC8" w:rsidP="00817A65">
      <w:pPr>
        <w:spacing w:after="120"/>
        <w:ind w:left="1134" w:right="1134"/>
        <w:jc w:val="center"/>
        <w:rPr>
          <w:b/>
        </w:rPr>
      </w:pPr>
      <w:r>
        <w:rPr>
          <w:b/>
          <w:noProof/>
        </w:rPr>
        <w:drawing>
          <wp:inline distT="0" distB="0" distL="0" distR="0" wp14:anchorId="09F4347E" wp14:editId="652FF63F">
            <wp:extent cx="2237740" cy="2222500"/>
            <wp:effectExtent l="0" t="0" r="0" b="0"/>
            <wp:docPr id="87206510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1">
                      <a:extLst>
                        <a:ext uri="{28A0092B-C50C-407E-A947-70E740481C1C}">
                          <a14:useLocalDpi xmlns:a14="http://schemas.microsoft.com/office/drawing/2010/main" val="0"/>
                        </a:ext>
                      </a:extLst>
                    </a:blip>
                    <a:srcRect b="6040"/>
                    <a:stretch/>
                  </pic:blipFill>
                  <pic:spPr bwMode="auto">
                    <a:xfrm>
                      <a:off x="0" y="0"/>
                      <a:ext cx="2237740" cy="2222500"/>
                    </a:xfrm>
                    <a:prstGeom prst="rect">
                      <a:avLst/>
                    </a:prstGeom>
                    <a:noFill/>
                    <a:ln>
                      <a:noFill/>
                    </a:ln>
                    <a:extLst>
                      <a:ext uri="{53640926-AAD7-44D8-BBD7-CCE9431645EC}">
                        <a14:shadowObscured xmlns:a14="http://schemas.microsoft.com/office/drawing/2010/main"/>
                      </a:ext>
                    </a:extLst>
                  </pic:spPr>
                </pic:pic>
              </a:graphicData>
            </a:graphic>
          </wp:inline>
        </w:drawing>
      </w:r>
    </w:p>
    <w:p w14:paraId="258D4D07" w14:textId="2713C6DD" w:rsidR="00817A65" w:rsidRDefault="00817A65" w:rsidP="0078348A">
      <w:pPr>
        <w:spacing w:after="120"/>
        <w:ind w:left="1134" w:right="1134"/>
        <w:jc w:val="both"/>
        <w:rPr>
          <w:snapToGrid w:val="0"/>
        </w:rPr>
      </w:pPr>
      <w:r w:rsidRPr="00C90605">
        <w:rPr>
          <w:b/>
        </w:rPr>
        <w:t>The lamp bearing the approval mark shown above identifies a headlamp with a passing</w:t>
      </w:r>
      <w:r w:rsidR="00694488">
        <w:rPr>
          <w:b/>
        </w:rPr>
        <w:t xml:space="preserve"> </w:t>
      </w:r>
      <w:r w:rsidRPr="00C90605">
        <w:rPr>
          <w:b/>
        </w:rPr>
        <w:t xml:space="preserve">beam of Class CS </w:t>
      </w:r>
      <w:r w:rsidR="00050F10">
        <w:rPr>
          <w:b/>
        </w:rPr>
        <w:t xml:space="preserve">(WC-CS) </w:t>
      </w:r>
      <w:r w:rsidRPr="00C90605">
        <w:rPr>
          <w:b/>
        </w:rPr>
        <w:t xml:space="preserve">and a </w:t>
      </w:r>
      <w:r w:rsidR="00050F10">
        <w:rPr>
          <w:b/>
        </w:rPr>
        <w:t>s</w:t>
      </w:r>
      <w:r w:rsidR="00050F10" w:rsidRPr="00050F10">
        <w:rPr>
          <w:b/>
        </w:rPr>
        <w:t xml:space="preserve">econdary </w:t>
      </w:r>
      <w:r w:rsidR="00050F10" w:rsidRPr="00C90605">
        <w:rPr>
          <w:b/>
        </w:rPr>
        <w:t>driving</w:t>
      </w:r>
      <w:r w:rsidR="00694488">
        <w:rPr>
          <w:b/>
        </w:rPr>
        <w:t xml:space="preserve"> </w:t>
      </w:r>
      <w:r w:rsidRPr="00C90605">
        <w:rPr>
          <w:b/>
        </w:rPr>
        <w:t xml:space="preserve">beam of Class DS </w:t>
      </w:r>
      <w:r w:rsidR="00050F10">
        <w:rPr>
          <w:b/>
        </w:rPr>
        <w:t xml:space="preserve">(WR-DS) </w:t>
      </w:r>
      <w:r w:rsidRPr="00C90605">
        <w:rPr>
          <w:b/>
        </w:rPr>
        <w:t>with a maximum intensity comprised between 4.84</w:t>
      </w:r>
      <w:r w:rsidRPr="00C90605">
        <w:rPr>
          <w:b/>
          <w:szCs w:val="18"/>
        </w:rPr>
        <w:t>∙</w:t>
      </w:r>
      <w:r w:rsidRPr="00C90605">
        <w:rPr>
          <w:rFonts w:hint="eastAsia"/>
          <w:b/>
          <w:szCs w:val="18"/>
          <w:lang w:eastAsia="ja-JP"/>
        </w:rPr>
        <w:t>10</w:t>
      </w:r>
      <w:r w:rsidRPr="00C90605">
        <w:rPr>
          <w:rFonts w:hint="eastAsia"/>
          <w:b/>
          <w:szCs w:val="18"/>
          <w:vertAlign w:val="superscript"/>
          <w:lang w:eastAsia="ja-JP"/>
        </w:rPr>
        <w:t>5</w:t>
      </w:r>
      <w:r w:rsidRPr="00C90605">
        <w:rPr>
          <w:b/>
          <w:szCs w:val="18"/>
          <w:vertAlign w:val="superscript"/>
          <w:lang w:eastAsia="ja-JP"/>
        </w:rPr>
        <w:t xml:space="preserve"> </w:t>
      </w:r>
      <w:r w:rsidRPr="00C90605">
        <w:rPr>
          <w:b/>
        </w:rPr>
        <w:t>and 6.45</w:t>
      </w:r>
      <w:r w:rsidRPr="00C90605">
        <w:rPr>
          <w:b/>
          <w:szCs w:val="18"/>
        </w:rPr>
        <w:t>∙</w:t>
      </w:r>
      <w:r w:rsidRPr="00C90605">
        <w:rPr>
          <w:rFonts w:hint="eastAsia"/>
          <w:b/>
          <w:szCs w:val="18"/>
          <w:lang w:eastAsia="ja-JP"/>
        </w:rPr>
        <w:t>10</w:t>
      </w:r>
      <w:r w:rsidRPr="00C90605">
        <w:rPr>
          <w:rFonts w:hint="eastAsia"/>
          <w:b/>
          <w:szCs w:val="18"/>
          <w:vertAlign w:val="superscript"/>
          <w:lang w:eastAsia="ja-JP"/>
        </w:rPr>
        <w:t>5</w:t>
      </w:r>
      <w:r w:rsidRPr="00C90605">
        <w:rPr>
          <w:b/>
        </w:rPr>
        <w:t xml:space="preserve"> candelas (as indicated by the number 12.5) using a plastic lens (PL) pursuant to this Regulation as amended by the 01 series of amendments (</w:t>
      </w:r>
      <w:r w:rsidR="00052D24">
        <w:rPr>
          <w:b/>
        </w:rPr>
        <w:t>149R</w:t>
      </w:r>
      <w:r w:rsidRPr="00C90605">
        <w:rPr>
          <w:b/>
        </w:rPr>
        <w:t xml:space="preserve">01) grouped with a front position lamp </w:t>
      </w:r>
      <w:r>
        <w:rPr>
          <w:b/>
        </w:rPr>
        <w:t xml:space="preserve">for category L vehicle </w:t>
      </w:r>
      <w:r w:rsidR="00052D24">
        <w:rPr>
          <w:b/>
        </w:rPr>
        <w:t xml:space="preserve">(MA) </w:t>
      </w:r>
      <w:r w:rsidRPr="00C90605">
        <w:rPr>
          <w:b/>
        </w:rPr>
        <w:t xml:space="preserve">approved in accordance with the 01 series of amendments </w:t>
      </w:r>
      <w:r w:rsidR="00C847E0">
        <w:rPr>
          <w:b/>
        </w:rPr>
        <w:t>to</w:t>
      </w:r>
      <w:r w:rsidR="00C847E0" w:rsidRPr="00C90605">
        <w:rPr>
          <w:b/>
        </w:rPr>
        <w:t xml:space="preserve"> </w:t>
      </w:r>
      <w:r w:rsidRPr="00C90605">
        <w:rPr>
          <w:b/>
        </w:rPr>
        <w:t>UN Regulation No. 148</w:t>
      </w:r>
      <w:r w:rsidR="00052D24">
        <w:rPr>
          <w:b/>
        </w:rPr>
        <w:t xml:space="preserve"> (148R01)</w:t>
      </w:r>
      <w:r w:rsidRPr="00C90605">
        <w:rPr>
          <w:b/>
        </w:rPr>
        <w:t>. All three lamps (functions) are approved in Spain (E9) under approval number 2023.</w:t>
      </w:r>
      <w:r w:rsidR="0078348A">
        <w:rPr>
          <w:b/>
        </w:rPr>
        <w:t xml:space="preserve"> ”</w:t>
      </w:r>
      <w:r>
        <w:br w:type="page"/>
      </w:r>
    </w:p>
    <w:p w14:paraId="0791FD34" w14:textId="274A1743" w:rsidR="0078348A" w:rsidRDefault="0078348A" w:rsidP="0078348A">
      <w:pPr>
        <w:pStyle w:val="SingleTxtG"/>
        <w:spacing w:before="120"/>
      </w:pPr>
      <w:r>
        <w:rPr>
          <w:i/>
        </w:rPr>
        <w:lastRenderedPageBreak/>
        <w:t>Annex 13</w:t>
      </w:r>
      <w:r w:rsidRPr="008B7408">
        <w:rPr>
          <w:i/>
        </w:rPr>
        <w:t>,</w:t>
      </w:r>
      <w:r w:rsidRPr="00B741E5">
        <w:rPr>
          <w:i/>
          <w:lang w:eastAsia="ja-JP"/>
        </w:rPr>
        <w:t xml:space="preserve"> </w:t>
      </w:r>
      <w:r w:rsidRPr="008B7408">
        <w:rPr>
          <w:i/>
          <w:lang w:eastAsia="ja-JP"/>
        </w:rPr>
        <w:t>Figure A13</w:t>
      </w:r>
      <w:r>
        <w:rPr>
          <w:i/>
          <w:lang w:eastAsia="ja-JP"/>
        </w:rPr>
        <w:t>-V</w:t>
      </w:r>
      <w:r w:rsidR="00F23144">
        <w:rPr>
          <w:i/>
          <w:lang w:eastAsia="ja-JP"/>
        </w:rPr>
        <w:t xml:space="preserve"> (former)</w:t>
      </w:r>
      <w:r w:rsidRPr="008B7408">
        <w:rPr>
          <w:i/>
          <w:lang w:eastAsia="ja-JP"/>
        </w:rPr>
        <w:t>,</w:t>
      </w:r>
      <w:r w:rsidRPr="008B7408">
        <w:rPr>
          <w:i/>
          <w:iCs/>
        </w:rPr>
        <w:t xml:space="preserve"> </w:t>
      </w:r>
      <w:r w:rsidR="00445AD6" w:rsidRPr="00445AD6">
        <w:t xml:space="preserve">renumber and </w:t>
      </w:r>
      <w:r w:rsidRPr="008B7408">
        <w:rPr>
          <w:iCs/>
        </w:rPr>
        <w:t>amend to read</w:t>
      </w:r>
      <w:r w:rsidRPr="008B7408">
        <w:t>:</w:t>
      </w:r>
    </w:p>
    <w:p w14:paraId="4316C2D6" w14:textId="3CE32D3B" w:rsidR="00817A65" w:rsidRDefault="0078348A" w:rsidP="00817A65">
      <w:pPr>
        <w:adjustRightInd w:val="0"/>
        <w:snapToGrid w:val="0"/>
        <w:spacing w:before="120" w:line="240" w:lineRule="auto"/>
        <w:ind w:left="2268" w:firstLine="6"/>
        <w:rPr>
          <w:snapToGrid w:val="0"/>
          <w:szCs w:val="24"/>
        </w:rPr>
      </w:pPr>
      <w:r>
        <w:rPr>
          <w:snapToGrid w:val="0"/>
          <w:szCs w:val="24"/>
        </w:rPr>
        <w:t>“</w:t>
      </w:r>
      <w:r w:rsidR="00817A65" w:rsidRPr="00644914">
        <w:rPr>
          <w:snapToGrid w:val="0"/>
          <w:szCs w:val="24"/>
        </w:rPr>
        <w:t>Figure A13-</w:t>
      </w:r>
      <w:r w:rsidR="00817A65" w:rsidRPr="00817A65">
        <w:rPr>
          <w:b/>
          <w:bCs/>
          <w:snapToGrid w:val="0"/>
          <w:szCs w:val="24"/>
        </w:rPr>
        <w:t>VII</w:t>
      </w:r>
      <w:r w:rsidR="00817A65" w:rsidRPr="00817A65">
        <w:rPr>
          <w:strike/>
          <w:snapToGrid w:val="0"/>
          <w:szCs w:val="24"/>
        </w:rPr>
        <w:t>V</w:t>
      </w:r>
    </w:p>
    <w:p w14:paraId="5B3D6129" w14:textId="77777777" w:rsidR="00817A65" w:rsidRPr="007F07B3" w:rsidRDefault="00817A65" w:rsidP="00817A65">
      <w:pPr>
        <w:adjustRightInd w:val="0"/>
        <w:snapToGrid w:val="0"/>
        <w:spacing w:after="120" w:line="240" w:lineRule="auto"/>
        <w:ind w:left="2268" w:firstLine="6"/>
        <w:rPr>
          <w:b/>
          <w:bCs/>
          <w:snapToGrid w:val="0"/>
          <w:szCs w:val="24"/>
        </w:rPr>
      </w:pPr>
      <w:r w:rsidRPr="007F07B3">
        <w:rPr>
          <w:b/>
          <w:bCs/>
          <w:snapToGrid w:val="0"/>
          <w:szCs w:val="24"/>
        </w:rPr>
        <w:t>Light source module marking</w:t>
      </w:r>
      <w:r>
        <w:rPr>
          <w:b/>
          <w:bCs/>
          <w:snapToGrid w:val="0"/>
          <w:szCs w:val="24"/>
        </w:rPr>
        <w:t xml:space="preserve"> </w:t>
      </w:r>
      <w:proofErr w:type="gramStart"/>
      <w:r>
        <w:rPr>
          <w:b/>
          <w:bCs/>
          <w:snapToGrid w:val="0"/>
          <w:szCs w:val="24"/>
        </w:rPr>
        <w:t>example</w:t>
      </w:r>
      <w:proofErr w:type="gramEnd"/>
    </w:p>
    <w:p w14:paraId="5CC53E6E" w14:textId="77777777" w:rsidR="00817A65" w:rsidRPr="00B52DAF" w:rsidRDefault="00817A65" w:rsidP="00817A65">
      <w:pPr>
        <w:adjustRightInd w:val="0"/>
        <w:snapToGrid w:val="0"/>
        <w:spacing w:before="120" w:after="120" w:line="240" w:lineRule="auto"/>
        <w:ind w:left="2268"/>
        <w:rPr>
          <w:rFonts w:ascii="Arial" w:hAnsi="Arial" w:cs="Arial"/>
          <w:sz w:val="48"/>
          <w:szCs w:val="48"/>
        </w:rPr>
      </w:pPr>
      <w:r w:rsidRPr="00B52DAF">
        <w:rPr>
          <w:rFonts w:ascii="Arial" w:hAnsi="Arial" w:cs="Arial"/>
          <w:sz w:val="48"/>
          <w:szCs w:val="48"/>
        </w:rPr>
        <w:t>MD E3 17325</w:t>
      </w:r>
    </w:p>
    <w:p w14:paraId="15F8E851" w14:textId="0DFD4171" w:rsidR="00817A65" w:rsidRDefault="00817A65" w:rsidP="0082558D">
      <w:pPr>
        <w:adjustRightInd w:val="0"/>
        <w:snapToGrid w:val="0"/>
        <w:spacing w:before="120" w:after="120"/>
        <w:ind w:left="2268" w:right="1134"/>
        <w:jc w:val="both"/>
        <w:rPr>
          <w:snapToGrid w:val="0"/>
        </w:rPr>
      </w:pPr>
      <w:r w:rsidRPr="00B52DAF">
        <w:rPr>
          <w:snapToGrid w:val="0"/>
        </w:rPr>
        <w:t xml:space="preserve">The light source module bearing the identification code shown </w:t>
      </w:r>
      <w:r>
        <w:rPr>
          <w:snapToGrid w:val="0"/>
        </w:rPr>
        <w:t>in Figure A13-</w:t>
      </w:r>
      <w:r w:rsidRPr="00817A65">
        <w:rPr>
          <w:b/>
          <w:bCs/>
          <w:snapToGrid w:val="0"/>
          <w:szCs w:val="24"/>
        </w:rPr>
        <w:t>VII</w:t>
      </w:r>
      <w:r w:rsidRPr="00817A65">
        <w:rPr>
          <w:strike/>
          <w:snapToGrid w:val="0"/>
          <w:szCs w:val="24"/>
        </w:rPr>
        <w:t>V</w:t>
      </w:r>
      <w:r w:rsidRPr="00B52DAF">
        <w:rPr>
          <w:snapToGrid w:val="0"/>
        </w:rPr>
        <w:t xml:space="preserve"> has been approved together with a lamp approved in Italy (E3) under approval number 17325</w:t>
      </w:r>
      <w:proofErr w:type="gramStart"/>
      <w:r w:rsidRPr="00B52DAF">
        <w:rPr>
          <w:snapToGrid w:val="0"/>
        </w:rPr>
        <w:t>.</w:t>
      </w:r>
      <w:r w:rsidR="0078348A">
        <w:rPr>
          <w:snapToGrid w:val="0"/>
        </w:rPr>
        <w:t xml:space="preserve"> ”</w:t>
      </w:r>
      <w:proofErr w:type="gramEnd"/>
    </w:p>
    <w:p w14:paraId="07A30E5D" w14:textId="02199C2C" w:rsidR="0078348A" w:rsidRDefault="0078348A" w:rsidP="0078348A">
      <w:pPr>
        <w:pStyle w:val="SingleTxtG"/>
        <w:spacing w:before="120"/>
      </w:pPr>
      <w:r>
        <w:rPr>
          <w:i/>
        </w:rPr>
        <w:t>Annex 13</w:t>
      </w:r>
      <w:r w:rsidRPr="008B7408">
        <w:rPr>
          <w:i/>
        </w:rPr>
        <w:t>,</w:t>
      </w:r>
      <w:r w:rsidRPr="00B741E5">
        <w:rPr>
          <w:i/>
          <w:lang w:eastAsia="ja-JP"/>
        </w:rPr>
        <w:t xml:space="preserve"> </w:t>
      </w:r>
      <w:r w:rsidRPr="008B7408">
        <w:rPr>
          <w:i/>
          <w:lang w:eastAsia="ja-JP"/>
        </w:rPr>
        <w:t>Figure A13</w:t>
      </w:r>
      <w:r>
        <w:rPr>
          <w:i/>
          <w:lang w:eastAsia="ja-JP"/>
        </w:rPr>
        <w:t>-VI</w:t>
      </w:r>
      <w:r w:rsidR="0082558D">
        <w:rPr>
          <w:i/>
          <w:lang w:eastAsia="ja-JP"/>
        </w:rPr>
        <w:t xml:space="preserve"> (former)</w:t>
      </w:r>
      <w:r w:rsidRPr="008B7408">
        <w:rPr>
          <w:i/>
          <w:lang w:eastAsia="ja-JP"/>
        </w:rPr>
        <w:t>,</w:t>
      </w:r>
      <w:r w:rsidRPr="008B7408">
        <w:rPr>
          <w:i/>
          <w:iCs/>
        </w:rPr>
        <w:t xml:space="preserve"> </w:t>
      </w:r>
      <w:r w:rsidR="00445AD6" w:rsidRPr="00445AD6">
        <w:t xml:space="preserve">renumber and </w:t>
      </w:r>
      <w:r w:rsidRPr="008B7408">
        <w:rPr>
          <w:iCs/>
        </w:rPr>
        <w:t>amend to read</w:t>
      </w:r>
      <w:r w:rsidRPr="008B7408">
        <w:t>:</w:t>
      </w:r>
    </w:p>
    <w:p w14:paraId="1C810078" w14:textId="714468EC" w:rsidR="00817A65" w:rsidRDefault="0078348A" w:rsidP="00817A65">
      <w:pPr>
        <w:adjustRightInd w:val="0"/>
        <w:snapToGrid w:val="0"/>
        <w:spacing w:before="120" w:line="240" w:lineRule="auto"/>
        <w:ind w:left="2268" w:firstLine="6"/>
        <w:rPr>
          <w:snapToGrid w:val="0"/>
          <w:szCs w:val="24"/>
        </w:rPr>
      </w:pPr>
      <w:r>
        <w:rPr>
          <w:snapToGrid w:val="0"/>
          <w:szCs w:val="24"/>
        </w:rPr>
        <w:t>“</w:t>
      </w:r>
      <w:r w:rsidR="00817A65" w:rsidRPr="00644914">
        <w:rPr>
          <w:snapToGrid w:val="0"/>
          <w:szCs w:val="24"/>
        </w:rPr>
        <w:t>Figure A13-</w:t>
      </w:r>
      <w:r w:rsidR="00817A65" w:rsidRPr="00D37602">
        <w:rPr>
          <w:b/>
          <w:snapToGrid w:val="0"/>
        </w:rPr>
        <w:t>VIII</w:t>
      </w:r>
      <w:r w:rsidR="00817A65" w:rsidRPr="00D37602">
        <w:rPr>
          <w:strike/>
          <w:snapToGrid w:val="0"/>
        </w:rPr>
        <w:t>VI</w:t>
      </w:r>
    </w:p>
    <w:p w14:paraId="1BFBBAB0" w14:textId="77777777" w:rsidR="00817A65" w:rsidRPr="007F07B3" w:rsidRDefault="00817A65" w:rsidP="00817A65">
      <w:pPr>
        <w:adjustRightInd w:val="0"/>
        <w:snapToGrid w:val="0"/>
        <w:spacing w:after="120" w:line="240" w:lineRule="auto"/>
        <w:ind w:left="2268" w:firstLine="6"/>
        <w:rPr>
          <w:b/>
          <w:bCs/>
          <w:snapToGrid w:val="0"/>
          <w:szCs w:val="24"/>
        </w:rPr>
      </w:pPr>
      <w:r w:rsidRPr="007F07B3">
        <w:rPr>
          <w:b/>
          <w:bCs/>
          <w:snapToGrid w:val="0"/>
          <w:szCs w:val="24"/>
        </w:rPr>
        <w:t xml:space="preserve">Lighting unit marking </w:t>
      </w:r>
      <w:proofErr w:type="gramStart"/>
      <w:r>
        <w:rPr>
          <w:b/>
          <w:bCs/>
          <w:snapToGrid w:val="0"/>
          <w:szCs w:val="24"/>
        </w:rPr>
        <w:t>example</w:t>
      </w:r>
      <w:proofErr w:type="gramEnd"/>
    </w:p>
    <w:p w14:paraId="2335A32B" w14:textId="77777777" w:rsidR="00817A65" w:rsidRPr="00B52DAF" w:rsidRDefault="00817A65" w:rsidP="00817A65">
      <w:pPr>
        <w:adjustRightInd w:val="0"/>
        <w:snapToGrid w:val="0"/>
        <w:spacing w:before="120" w:after="120" w:line="240" w:lineRule="auto"/>
        <w:ind w:left="2268"/>
        <w:rPr>
          <w:rFonts w:ascii="Arial" w:hAnsi="Arial" w:cs="Arial"/>
          <w:sz w:val="48"/>
          <w:szCs w:val="48"/>
        </w:rPr>
      </w:pPr>
      <w:r w:rsidRPr="00B52DAF">
        <w:rPr>
          <w:rFonts w:ascii="Arial" w:hAnsi="Arial" w:cs="Arial"/>
          <w:sz w:val="48"/>
          <w:szCs w:val="48"/>
        </w:rPr>
        <w:t>ALU E43 1234</w:t>
      </w:r>
    </w:p>
    <w:p w14:paraId="6852B867" w14:textId="47860A11" w:rsidR="002337FF" w:rsidRDefault="00817A65" w:rsidP="0082558D">
      <w:pPr>
        <w:adjustRightInd w:val="0"/>
        <w:snapToGrid w:val="0"/>
        <w:spacing w:before="120" w:after="120"/>
        <w:ind w:left="2268" w:right="1134"/>
        <w:jc w:val="both"/>
        <w:rPr>
          <w:snapToGrid w:val="0"/>
        </w:rPr>
      </w:pPr>
      <w:r>
        <w:rPr>
          <w:snapToGrid w:val="0"/>
        </w:rPr>
        <w:tab/>
      </w:r>
      <w:r w:rsidRPr="00817A65">
        <w:rPr>
          <w:snapToGrid w:val="0"/>
        </w:rPr>
        <w:t>The</w:t>
      </w:r>
      <w:r w:rsidRPr="000A4FE7">
        <w:rPr>
          <w:rFonts w:eastAsiaTheme="minorHAnsi"/>
          <w:lang w:val="en-US"/>
        </w:rPr>
        <w:t xml:space="preserve"> additional lighting unit bearing the identification code shown </w:t>
      </w:r>
      <w:r>
        <w:rPr>
          <w:rFonts w:eastAsiaTheme="minorHAnsi"/>
          <w:lang w:val="en-US"/>
        </w:rPr>
        <w:t>in Figure A13-</w:t>
      </w:r>
      <w:r w:rsidRPr="00D37602">
        <w:rPr>
          <w:b/>
          <w:snapToGrid w:val="0"/>
        </w:rPr>
        <w:t>VIII</w:t>
      </w:r>
      <w:r w:rsidRPr="00D37602">
        <w:rPr>
          <w:strike/>
          <w:snapToGrid w:val="0"/>
        </w:rPr>
        <w:t>VI</w:t>
      </w:r>
      <w:r w:rsidRPr="000A4FE7">
        <w:rPr>
          <w:rFonts w:eastAsiaTheme="minorHAnsi"/>
          <w:lang w:val="en-US"/>
        </w:rPr>
        <w:t xml:space="preserve"> has been</w:t>
      </w:r>
      <w:r>
        <w:rPr>
          <w:rFonts w:eastAsiaTheme="minorHAnsi"/>
          <w:lang w:val="en-US"/>
        </w:rPr>
        <w:t xml:space="preserve"> </w:t>
      </w:r>
      <w:r w:rsidRPr="000A4FE7">
        <w:rPr>
          <w:rFonts w:eastAsiaTheme="minorHAnsi"/>
          <w:lang w:val="en-US"/>
        </w:rPr>
        <w:t xml:space="preserve">approved </w:t>
      </w:r>
      <w:r w:rsidRPr="003E0BDF">
        <w:rPr>
          <w:rFonts w:eastAsiaTheme="minorHAnsi"/>
          <w:lang w:val="en-US"/>
        </w:rPr>
        <w:t>together with a headlamp initially approved in Japan (E43) under approval number 1234</w:t>
      </w:r>
      <w:proofErr w:type="gramStart"/>
      <w:r w:rsidRPr="003E0BDF">
        <w:rPr>
          <w:rFonts w:eastAsiaTheme="minorHAnsi"/>
          <w:lang w:val="en-US"/>
        </w:rPr>
        <w:t>.</w:t>
      </w:r>
      <w:r w:rsidR="0078348A">
        <w:rPr>
          <w:rFonts w:eastAsiaTheme="minorHAnsi"/>
          <w:lang w:val="en-US"/>
        </w:rPr>
        <w:t xml:space="preserve"> ”</w:t>
      </w:r>
      <w:proofErr w:type="gramEnd"/>
    </w:p>
    <w:p w14:paraId="09B90E1E" w14:textId="77777777" w:rsidR="009265AA" w:rsidRDefault="009265AA" w:rsidP="009265AA">
      <w:pPr>
        <w:pStyle w:val="HChG"/>
      </w:pPr>
      <w:r>
        <w:tab/>
      </w:r>
      <w:r w:rsidRPr="00525E6C">
        <w:t>II.</w:t>
      </w:r>
      <w:r>
        <w:tab/>
      </w:r>
      <w:r w:rsidRPr="00525E6C">
        <w:t>Justification</w:t>
      </w:r>
    </w:p>
    <w:p w14:paraId="772637B5" w14:textId="5593937C" w:rsidR="00910576" w:rsidRDefault="00A15554" w:rsidP="000262BA">
      <w:pPr>
        <w:pStyle w:val="SingleTxtG"/>
        <w:rPr>
          <w:bCs/>
        </w:rPr>
      </w:pPr>
      <w:r>
        <w:rPr>
          <w:bCs/>
        </w:rPr>
        <w:tab/>
      </w:r>
      <w:r w:rsidR="00817A65">
        <w:rPr>
          <w:bCs/>
        </w:rPr>
        <w:t>1.</w:t>
      </w:r>
      <w:r w:rsidR="00817A65">
        <w:rPr>
          <w:bCs/>
        </w:rPr>
        <w:tab/>
      </w:r>
      <w:r w:rsidR="00817A65" w:rsidRPr="00DB072D">
        <w:rPr>
          <w:lang w:eastAsia="ja-JP"/>
        </w:rPr>
        <w:t xml:space="preserve">The symbols </w:t>
      </w:r>
      <w:r w:rsidR="00445AD6" w:rsidRPr="004E2AF7">
        <w:t xml:space="preserve">identifying </w:t>
      </w:r>
      <w:r w:rsidR="00445AD6">
        <w:t xml:space="preserve">road illumination </w:t>
      </w:r>
      <w:r w:rsidR="00817A65" w:rsidRPr="00DB072D">
        <w:rPr>
          <w:lang w:eastAsia="ja-JP"/>
        </w:rPr>
        <w:t xml:space="preserve">functions have been reviewed in </w:t>
      </w:r>
      <w:r w:rsidR="00B1102A">
        <w:rPr>
          <w:lang w:eastAsia="ja-JP"/>
        </w:rPr>
        <w:t xml:space="preserve">the </w:t>
      </w:r>
      <w:r w:rsidR="00817A65" w:rsidRPr="00DB072D">
        <w:rPr>
          <w:lang w:eastAsia="ja-JP"/>
        </w:rPr>
        <w:t xml:space="preserve">01 series of </w:t>
      </w:r>
      <w:r w:rsidR="00445AD6">
        <w:rPr>
          <w:lang w:eastAsia="ja-JP"/>
        </w:rPr>
        <w:t xml:space="preserve">amendments to UN </w:t>
      </w:r>
      <w:r w:rsidR="00817A65" w:rsidRPr="00DB072D">
        <w:rPr>
          <w:lang w:eastAsia="ja-JP"/>
        </w:rPr>
        <w:t>R</w:t>
      </w:r>
      <w:r w:rsidR="00445AD6">
        <w:rPr>
          <w:lang w:eastAsia="ja-JP"/>
        </w:rPr>
        <w:t xml:space="preserve">egulation No. </w:t>
      </w:r>
      <w:r w:rsidR="00817A65" w:rsidRPr="00DB072D">
        <w:rPr>
          <w:lang w:eastAsia="ja-JP"/>
        </w:rPr>
        <w:t>149</w:t>
      </w:r>
      <w:r w:rsidR="00445AD6">
        <w:rPr>
          <w:lang w:eastAsia="ja-JP"/>
        </w:rPr>
        <w:t>. H</w:t>
      </w:r>
      <w:r w:rsidR="00817A65" w:rsidRPr="00DB072D">
        <w:rPr>
          <w:lang w:eastAsia="ja-JP"/>
        </w:rPr>
        <w:t xml:space="preserve">owever, it is still unclear </w:t>
      </w:r>
      <w:r w:rsidR="00445AD6" w:rsidRPr="00DB072D">
        <w:rPr>
          <w:lang w:eastAsia="ja-JP"/>
        </w:rPr>
        <w:t xml:space="preserve">in the current text </w:t>
      </w:r>
      <w:r w:rsidR="00817A65" w:rsidRPr="00DB072D">
        <w:rPr>
          <w:lang w:eastAsia="ja-JP"/>
        </w:rPr>
        <w:t>how to mark them on the lamps</w:t>
      </w:r>
      <w:r w:rsidR="00910576">
        <w:rPr>
          <w:bCs/>
        </w:rPr>
        <w:t>.</w:t>
      </w:r>
    </w:p>
    <w:p w14:paraId="65AAC927" w14:textId="4AEDEB82" w:rsidR="00817A65" w:rsidRDefault="00817A65" w:rsidP="000262BA">
      <w:pPr>
        <w:pStyle w:val="SingleTxtG"/>
        <w:rPr>
          <w:bCs/>
        </w:rPr>
      </w:pPr>
      <w:r>
        <w:rPr>
          <w:bCs/>
        </w:rPr>
        <w:t>2.</w:t>
      </w:r>
      <w:r>
        <w:rPr>
          <w:bCs/>
        </w:rPr>
        <w:tab/>
      </w:r>
      <w:r>
        <w:rPr>
          <w:lang w:eastAsia="ja-JP"/>
        </w:rPr>
        <w:t>Some countries and regions, such as India, Taiwan</w:t>
      </w:r>
      <w:r w:rsidR="00633420">
        <w:rPr>
          <w:lang w:eastAsia="ja-JP"/>
        </w:rPr>
        <w:t>,</w:t>
      </w:r>
      <w:r>
        <w:rPr>
          <w:lang w:eastAsia="ja-JP"/>
        </w:rPr>
        <w:t xml:space="preserve"> etc. refer to the requirement</w:t>
      </w:r>
      <w:r w:rsidR="00225C0B">
        <w:rPr>
          <w:lang w:eastAsia="ja-JP"/>
        </w:rPr>
        <w:t>s</w:t>
      </w:r>
      <w:r>
        <w:rPr>
          <w:lang w:eastAsia="ja-JP"/>
        </w:rPr>
        <w:t xml:space="preserve"> of </w:t>
      </w:r>
      <w:r w:rsidR="00225C0B">
        <w:rPr>
          <w:lang w:eastAsia="ja-JP"/>
        </w:rPr>
        <w:t xml:space="preserve">the </w:t>
      </w:r>
      <w:r>
        <w:rPr>
          <w:lang w:eastAsia="ja-JP"/>
        </w:rPr>
        <w:t xml:space="preserve">00 series of </w:t>
      </w:r>
      <w:r w:rsidR="00225C0B">
        <w:rPr>
          <w:lang w:eastAsia="ja-JP"/>
        </w:rPr>
        <w:t xml:space="preserve">amendments to UN </w:t>
      </w:r>
      <w:r w:rsidR="00225C0B" w:rsidRPr="00DB072D">
        <w:rPr>
          <w:lang w:eastAsia="ja-JP"/>
        </w:rPr>
        <w:t>R</w:t>
      </w:r>
      <w:r w:rsidR="00225C0B">
        <w:rPr>
          <w:lang w:eastAsia="ja-JP"/>
        </w:rPr>
        <w:t xml:space="preserve">egulation No. </w:t>
      </w:r>
      <w:r w:rsidR="00225C0B" w:rsidRPr="00DB072D">
        <w:rPr>
          <w:lang w:eastAsia="ja-JP"/>
        </w:rPr>
        <w:t>149</w:t>
      </w:r>
      <w:r w:rsidR="00225C0B">
        <w:rPr>
          <w:lang w:eastAsia="ja-JP"/>
        </w:rPr>
        <w:t xml:space="preserve">, </w:t>
      </w:r>
      <w:r>
        <w:rPr>
          <w:lang w:eastAsia="ja-JP"/>
        </w:rPr>
        <w:t>or older regulations</w:t>
      </w:r>
      <w:r w:rsidR="00225C0B">
        <w:rPr>
          <w:lang w:eastAsia="ja-JP"/>
        </w:rPr>
        <w:t>,</w:t>
      </w:r>
      <w:r>
        <w:rPr>
          <w:lang w:eastAsia="ja-JP"/>
        </w:rPr>
        <w:t xml:space="preserve"> </w:t>
      </w:r>
      <w:r w:rsidR="00225C0B">
        <w:rPr>
          <w:lang w:eastAsia="ja-JP"/>
        </w:rPr>
        <w:t xml:space="preserve">as </w:t>
      </w:r>
      <w:r>
        <w:rPr>
          <w:lang w:eastAsia="ja-JP"/>
        </w:rPr>
        <w:t>they have not introduced the requirement</w:t>
      </w:r>
      <w:r w:rsidR="00225C0B">
        <w:rPr>
          <w:lang w:eastAsia="ja-JP"/>
        </w:rPr>
        <w:t>s</w:t>
      </w:r>
      <w:r>
        <w:rPr>
          <w:lang w:eastAsia="ja-JP"/>
        </w:rPr>
        <w:t xml:space="preserve"> of </w:t>
      </w:r>
      <w:r w:rsidR="00135CBB">
        <w:rPr>
          <w:lang w:eastAsia="ja-JP"/>
        </w:rPr>
        <w:t xml:space="preserve">the </w:t>
      </w:r>
      <w:r>
        <w:rPr>
          <w:lang w:eastAsia="ja-JP"/>
        </w:rPr>
        <w:t xml:space="preserve">01 series of </w:t>
      </w:r>
      <w:r w:rsidR="00225C0B">
        <w:rPr>
          <w:lang w:eastAsia="ja-JP"/>
        </w:rPr>
        <w:t>amendments</w:t>
      </w:r>
      <w:r>
        <w:rPr>
          <w:lang w:eastAsia="ja-JP"/>
        </w:rPr>
        <w:t xml:space="preserve">. </w:t>
      </w:r>
      <w:proofErr w:type="gramStart"/>
      <w:r>
        <w:rPr>
          <w:lang w:eastAsia="ja-JP"/>
        </w:rPr>
        <w:t>In order to</w:t>
      </w:r>
      <w:proofErr w:type="gramEnd"/>
      <w:r>
        <w:rPr>
          <w:lang w:eastAsia="ja-JP"/>
        </w:rPr>
        <w:t xml:space="preserve"> avoid the redundant burden to mark the symbols of both </w:t>
      </w:r>
      <w:r w:rsidR="00225C0B">
        <w:rPr>
          <w:lang w:eastAsia="ja-JP"/>
        </w:rPr>
        <w:t xml:space="preserve">the </w:t>
      </w:r>
      <w:r>
        <w:rPr>
          <w:lang w:eastAsia="ja-JP"/>
        </w:rPr>
        <w:t xml:space="preserve">00 and 01 series </w:t>
      </w:r>
      <w:r w:rsidR="00225C0B">
        <w:rPr>
          <w:lang w:eastAsia="ja-JP"/>
        </w:rPr>
        <w:t xml:space="preserve">of amendments </w:t>
      </w:r>
      <w:r>
        <w:rPr>
          <w:lang w:eastAsia="ja-JP"/>
        </w:rPr>
        <w:t>on the lamp</w:t>
      </w:r>
      <w:r w:rsidR="00225C0B">
        <w:rPr>
          <w:lang w:eastAsia="ja-JP"/>
        </w:rPr>
        <w:t>,</w:t>
      </w:r>
      <w:r>
        <w:rPr>
          <w:lang w:eastAsia="ja-JP"/>
        </w:rPr>
        <w:t xml:space="preserve"> such as “HCR” or “HR and C”, the consistency of the symbols between </w:t>
      </w:r>
      <w:r w:rsidR="00225C0B">
        <w:rPr>
          <w:lang w:eastAsia="ja-JP"/>
        </w:rPr>
        <w:t xml:space="preserve">the </w:t>
      </w:r>
      <w:r>
        <w:rPr>
          <w:lang w:eastAsia="ja-JP"/>
        </w:rPr>
        <w:t xml:space="preserve">00 and </w:t>
      </w:r>
      <w:r w:rsidR="00225C0B">
        <w:rPr>
          <w:lang w:eastAsia="ja-JP"/>
        </w:rPr>
        <w:t xml:space="preserve">the </w:t>
      </w:r>
      <w:r>
        <w:rPr>
          <w:lang w:eastAsia="ja-JP"/>
        </w:rPr>
        <w:t xml:space="preserve">01 series </w:t>
      </w:r>
      <w:r w:rsidR="00225C0B">
        <w:rPr>
          <w:lang w:eastAsia="ja-JP"/>
        </w:rPr>
        <w:t xml:space="preserve">of amendments </w:t>
      </w:r>
      <w:r>
        <w:rPr>
          <w:lang w:eastAsia="ja-JP"/>
        </w:rPr>
        <w:t xml:space="preserve">should be </w:t>
      </w:r>
      <w:r w:rsidR="00777757" w:rsidRPr="00777757">
        <w:rPr>
          <w:lang w:eastAsia="ja-JP"/>
        </w:rPr>
        <w:t>allowed when possible</w:t>
      </w:r>
      <w:r>
        <w:rPr>
          <w:lang w:eastAsia="ja-JP"/>
        </w:rPr>
        <w:t>.</w:t>
      </w:r>
    </w:p>
    <w:p w14:paraId="059E0661" w14:textId="1525A5EB" w:rsidR="00910576" w:rsidRDefault="00817A65" w:rsidP="00910576">
      <w:pPr>
        <w:pStyle w:val="SingleTxtG"/>
        <w:rPr>
          <w:lang w:eastAsia="ja-JP"/>
        </w:rPr>
      </w:pPr>
      <w:r>
        <w:rPr>
          <w:bCs/>
        </w:rPr>
        <w:t>3.</w:t>
      </w:r>
      <w:r>
        <w:rPr>
          <w:bCs/>
        </w:rPr>
        <w:tab/>
      </w:r>
      <w:r w:rsidR="00201B7A">
        <w:rPr>
          <w:lang w:eastAsia="ja-JP"/>
        </w:rPr>
        <w:t>T</w:t>
      </w:r>
      <w:r w:rsidR="00201B7A" w:rsidRPr="00DB072D">
        <w:rPr>
          <w:lang w:eastAsia="ja-JP"/>
        </w:rPr>
        <w:t xml:space="preserve">he </w:t>
      </w:r>
      <w:r w:rsidR="00135CBB">
        <w:rPr>
          <w:lang w:eastAsia="ja-JP"/>
        </w:rPr>
        <w:t>f</w:t>
      </w:r>
      <w:r w:rsidR="00201B7A">
        <w:rPr>
          <w:lang w:eastAsia="ja-JP"/>
        </w:rPr>
        <w:t>igures</w:t>
      </w:r>
      <w:r w:rsidR="00201B7A" w:rsidRPr="00DB072D">
        <w:rPr>
          <w:lang w:eastAsia="ja-JP"/>
        </w:rPr>
        <w:t xml:space="preserve"> in Annex 13 show</w:t>
      </w:r>
      <w:r w:rsidR="00201B7A">
        <w:rPr>
          <w:lang w:eastAsia="ja-JP"/>
        </w:rPr>
        <w:t>ing</w:t>
      </w:r>
      <w:r w:rsidR="00201B7A" w:rsidRPr="00DB072D">
        <w:rPr>
          <w:lang w:eastAsia="ja-JP"/>
        </w:rPr>
        <w:t xml:space="preserve"> example</w:t>
      </w:r>
      <w:r w:rsidR="00201B7A">
        <w:rPr>
          <w:lang w:eastAsia="ja-JP"/>
        </w:rPr>
        <w:t>s</w:t>
      </w:r>
      <w:r w:rsidR="00201B7A" w:rsidRPr="00DB072D">
        <w:rPr>
          <w:lang w:eastAsia="ja-JP"/>
        </w:rPr>
        <w:t xml:space="preserve"> </w:t>
      </w:r>
      <w:r w:rsidR="00201B7A">
        <w:rPr>
          <w:lang w:eastAsia="ja-JP"/>
        </w:rPr>
        <w:t xml:space="preserve">still referring to the </w:t>
      </w:r>
      <w:r w:rsidR="00201B7A" w:rsidRPr="00DB072D">
        <w:rPr>
          <w:lang w:eastAsia="ja-JP"/>
        </w:rPr>
        <w:t xml:space="preserve">00 series of </w:t>
      </w:r>
      <w:r w:rsidR="00201B7A">
        <w:rPr>
          <w:lang w:eastAsia="ja-JP"/>
        </w:rPr>
        <w:t xml:space="preserve">amendments to UN </w:t>
      </w:r>
      <w:r w:rsidR="00201B7A" w:rsidRPr="00DB072D">
        <w:rPr>
          <w:lang w:eastAsia="ja-JP"/>
        </w:rPr>
        <w:t>R</w:t>
      </w:r>
      <w:r w:rsidR="00201B7A">
        <w:rPr>
          <w:lang w:eastAsia="ja-JP"/>
        </w:rPr>
        <w:t xml:space="preserve">egulation No. </w:t>
      </w:r>
      <w:r w:rsidR="00201B7A" w:rsidRPr="00DB072D">
        <w:rPr>
          <w:lang w:eastAsia="ja-JP"/>
        </w:rPr>
        <w:t>149</w:t>
      </w:r>
      <w:r w:rsidR="00201B7A">
        <w:rPr>
          <w:lang w:eastAsia="ja-JP"/>
        </w:rPr>
        <w:t xml:space="preserve"> have been corrected to indicate the 01 series of amendments</w:t>
      </w:r>
      <w:r w:rsidR="006D36D6">
        <w:rPr>
          <w:lang w:eastAsia="ja-JP"/>
        </w:rPr>
        <w:t xml:space="preserve">; the </w:t>
      </w:r>
      <w:r w:rsidR="00201B7A" w:rsidRPr="00201B7A">
        <w:rPr>
          <w:lang w:eastAsia="ja-JP"/>
        </w:rPr>
        <w:t xml:space="preserve">explanations </w:t>
      </w:r>
      <w:r w:rsidR="006D36D6">
        <w:rPr>
          <w:lang w:eastAsia="ja-JP"/>
        </w:rPr>
        <w:t xml:space="preserve">have been </w:t>
      </w:r>
      <w:r w:rsidR="00201B7A">
        <w:rPr>
          <w:lang w:eastAsia="ja-JP"/>
        </w:rPr>
        <w:t>updated accordingly</w:t>
      </w:r>
      <w:r w:rsidRPr="00DB072D">
        <w:rPr>
          <w:lang w:eastAsia="ja-JP"/>
        </w:rPr>
        <w:t>.</w:t>
      </w:r>
    </w:p>
    <w:p w14:paraId="4C8B65D2" w14:textId="54B1F92D" w:rsidR="00817A65" w:rsidRDefault="00817A65" w:rsidP="00910576">
      <w:pPr>
        <w:pStyle w:val="SingleTxtG"/>
        <w:rPr>
          <w:lang w:eastAsia="ja-JP"/>
        </w:rPr>
      </w:pPr>
      <w:r>
        <w:rPr>
          <w:bCs/>
        </w:rPr>
        <w:t>4.</w:t>
      </w:r>
      <w:r>
        <w:rPr>
          <w:bCs/>
        </w:rPr>
        <w:tab/>
      </w:r>
      <w:r w:rsidR="00EA7450">
        <w:rPr>
          <w:lang w:eastAsia="ja-JP"/>
        </w:rPr>
        <w:t xml:space="preserve">UN </w:t>
      </w:r>
      <w:r w:rsidR="00EA7450" w:rsidRPr="00DB072D">
        <w:rPr>
          <w:lang w:eastAsia="ja-JP"/>
        </w:rPr>
        <w:t>R</w:t>
      </w:r>
      <w:r w:rsidR="00EA7450">
        <w:rPr>
          <w:lang w:eastAsia="ja-JP"/>
        </w:rPr>
        <w:t xml:space="preserve">egulation No. </w:t>
      </w:r>
      <w:r w:rsidRPr="00DB072D">
        <w:rPr>
          <w:lang w:eastAsia="ja-JP"/>
        </w:rPr>
        <w:t xml:space="preserve">149 also includes </w:t>
      </w:r>
      <w:r>
        <w:rPr>
          <w:lang w:eastAsia="ja-JP"/>
        </w:rPr>
        <w:t xml:space="preserve">the requirements of </w:t>
      </w:r>
      <w:r w:rsidR="00EA7450">
        <w:rPr>
          <w:lang w:eastAsia="ja-JP"/>
        </w:rPr>
        <w:t>passing</w:t>
      </w:r>
      <w:r w:rsidR="00694488">
        <w:rPr>
          <w:lang w:eastAsia="ja-JP"/>
        </w:rPr>
        <w:t xml:space="preserve"> </w:t>
      </w:r>
      <w:r w:rsidRPr="00DB072D">
        <w:rPr>
          <w:lang w:eastAsia="ja-JP"/>
        </w:rPr>
        <w:t>beam</w:t>
      </w:r>
      <w:r>
        <w:rPr>
          <w:lang w:eastAsia="ja-JP"/>
        </w:rPr>
        <w:t xml:space="preserve"> designed to provide symmetrical “cut-off” line</w:t>
      </w:r>
      <w:r w:rsidRPr="00DB072D">
        <w:rPr>
          <w:lang w:eastAsia="ja-JP"/>
        </w:rPr>
        <w:t xml:space="preserve">, but there </w:t>
      </w:r>
      <w:r w:rsidR="00EA7450">
        <w:rPr>
          <w:lang w:eastAsia="ja-JP"/>
        </w:rPr>
        <w:t xml:space="preserve">are </w:t>
      </w:r>
      <w:r w:rsidRPr="00DB072D">
        <w:rPr>
          <w:lang w:eastAsia="ja-JP"/>
        </w:rPr>
        <w:t>no example</w:t>
      </w:r>
      <w:r w:rsidR="00EA7450">
        <w:rPr>
          <w:lang w:eastAsia="ja-JP"/>
        </w:rPr>
        <w:t>s</w:t>
      </w:r>
      <w:r w:rsidRPr="00DB072D">
        <w:rPr>
          <w:lang w:eastAsia="ja-JP"/>
        </w:rPr>
        <w:t xml:space="preserve"> in Annex 13.</w:t>
      </w:r>
    </w:p>
    <w:p w14:paraId="3D8119E2" w14:textId="19688471" w:rsidR="00817A65" w:rsidRDefault="00817A65" w:rsidP="00910576">
      <w:pPr>
        <w:pStyle w:val="SingleTxtG"/>
        <w:rPr>
          <w:lang w:eastAsia="ja-JP"/>
        </w:rPr>
      </w:pPr>
      <w:r>
        <w:rPr>
          <w:lang w:eastAsia="ja-JP"/>
        </w:rPr>
        <w:t>5.</w:t>
      </w:r>
      <w:r>
        <w:rPr>
          <w:lang w:eastAsia="ja-JP"/>
        </w:rPr>
        <w:tab/>
      </w:r>
      <w:proofErr w:type="gramStart"/>
      <w:r w:rsidRPr="00DB072D">
        <w:rPr>
          <w:lang w:eastAsia="ja-JP"/>
        </w:rPr>
        <w:t>In order to</w:t>
      </w:r>
      <w:proofErr w:type="gramEnd"/>
      <w:r w:rsidRPr="00DB072D">
        <w:rPr>
          <w:lang w:eastAsia="ja-JP"/>
        </w:rPr>
        <w:t xml:space="preserve"> solve these problems, </w:t>
      </w:r>
      <w:r w:rsidR="00EA7450">
        <w:rPr>
          <w:lang w:eastAsia="ja-JP"/>
        </w:rPr>
        <w:t>this proposal intends to clarify the markings by</w:t>
      </w:r>
      <w:r w:rsidRPr="00DB072D">
        <w:rPr>
          <w:lang w:eastAsia="ja-JP"/>
        </w:rPr>
        <w:t xml:space="preserve"> amend</w:t>
      </w:r>
      <w:r w:rsidR="00EA7450">
        <w:rPr>
          <w:lang w:eastAsia="ja-JP"/>
        </w:rPr>
        <w:t>ing</w:t>
      </w:r>
      <w:r w:rsidRPr="00DB072D">
        <w:rPr>
          <w:lang w:eastAsia="ja-JP"/>
        </w:rPr>
        <w:t xml:space="preserve"> the main text and the contents of Annex 13.</w:t>
      </w:r>
    </w:p>
    <w:p w14:paraId="3D1D2D20" w14:textId="10B146DB" w:rsidR="00B1102A" w:rsidRPr="00FA64FE" w:rsidRDefault="00FA64FE" w:rsidP="00FA64FE">
      <w:pPr>
        <w:spacing w:before="240"/>
        <w:jc w:val="center"/>
        <w:rPr>
          <w:u w:val="single"/>
          <w:lang w:eastAsia="ja-JP"/>
        </w:rPr>
      </w:pPr>
      <w:r>
        <w:rPr>
          <w:u w:val="single"/>
          <w:lang w:eastAsia="ja-JP"/>
        </w:rPr>
        <w:tab/>
      </w:r>
      <w:r>
        <w:rPr>
          <w:u w:val="single"/>
          <w:lang w:eastAsia="ja-JP"/>
        </w:rPr>
        <w:tab/>
      </w:r>
      <w:r>
        <w:rPr>
          <w:u w:val="single"/>
          <w:lang w:eastAsia="ja-JP"/>
        </w:rPr>
        <w:tab/>
      </w:r>
    </w:p>
    <w:p w14:paraId="0561293D" w14:textId="77777777" w:rsidR="004D67A4" w:rsidRDefault="004D67A4" w:rsidP="00910576">
      <w:pPr>
        <w:pStyle w:val="SingleTxtG"/>
        <w:rPr>
          <w:lang w:eastAsia="ja-JP"/>
        </w:rPr>
      </w:pPr>
    </w:p>
    <w:sectPr w:rsidR="004D67A4" w:rsidSect="00AB2C57">
      <w:headerReference w:type="even" r:id="rId22"/>
      <w:headerReference w:type="default" r:id="rId23"/>
      <w:footerReference w:type="default" r:id="rId24"/>
      <w:headerReference w:type="first" r:id="rId25"/>
      <w:endnotePr>
        <w:numFmt w:val="decimal"/>
      </w:endnotePr>
      <w:type w:val="continuous"/>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F37C" w14:textId="77777777" w:rsidR="00AB2C57" w:rsidRDefault="00AB2C57"/>
  </w:endnote>
  <w:endnote w:type="continuationSeparator" w:id="0">
    <w:p w14:paraId="2DDD7E40" w14:textId="77777777" w:rsidR="00AB2C57" w:rsidRDefault="00AB2C57"/>
  </w:endnote>
  <w:endnote w:type="continuationNotice" w:id="1">
    <w:p w14:paraId="5152E5E1" w14:textId="77777777" w:rsidR="00AB2C57" w:rsidRDefault="00AB2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67B2" w14:textId="35597B70" w:rsidR="00F47CD5" w:rsidRDefault="00F47CD5" w:rsidP="00F47CD5">
    <w:pPr>
      <w:pStyle w:val="Footer"/>
    </w:pPr>
    <w:r w:rsidRPr="0027112F">
      <w:rPr>
        <w:noProof/>
        <w:lang w:val="en-US"/>
      </w:rPr>
      <w:drawing>
        <wp:anchor distT="0" distB="0" distL="114300" distR="114300" simplePos="0" relativeHeight="251659264" behindDoc="0" locked="1" layoutInCell="1" allowOverlap="1" wp14:anchorId="3960EB83" wp14:editId="5637CA5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E154C0" w14:textId="2B159982" w:rsidR="00F47CD5" w:rsidRPr="00F47CD5" w:rsidRDefault="00F47CD5" w:rsidP="00F47CD5">
    <w:pPr>
      <w:pStyle w:val="Footer"/>
      <w:ind w:right="1134"/>
      <w:rPr>
        <w:sz w:val="20"/>
      </w:rPr>
    </w:pPr>
    <w:r>
      <w:rPr>
        <w:sz w:val="20"/>
      </w:rPr>
      <w:t>GE.24-02074(E)</w:t>
    </w:r>
    <w:r>
      <w:rPr>
        <w:noProof/>
        <w:sz w:val="20"/>
      </w:rPr>
      <w:drawing>
        <wp:anchor distT="0" distB="0" distL="114300" distR="114300" simplePos="0" relativeHeight="251660288" behindDoc="0" locked="0" layoutInCell="1" allowOverlap="1" wp14:anchorId="13B0F513" wp14:editId="2E68096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6B41"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7</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BDA5" w14:textId="77777777" w:rsidR="00AB2C57" w:rsidRPr="000B175B" w:rsidRDefault="00AB2C57" w:rsidP="000B175B">
      <w:pPr>
        <w:tabs>
          <w:tab w:val="right" w:pos="2155"/>
        </w:tabs>
        <w:spacing w:after="80"/>
        <w:ind w:left="680"/>
        <w:rPr>
          <w:u w:val="single"/>
        </w:rPr>
      </w:pPr>
      <w:r>
        <w:rPr>
          <w:u w:val="single"/>
        </w:rPr>
        <w:tab/>
      </w:r>
    </w:p>
  </w:footnote>
  <w:footnote w:type="continuationSeparator" w:id="0">
    <w:p w14:paraId="1B280C80" w14:textId="77777777" w:rsidR="00AB2C57" w:rsidRPr="00FC68B7" w:rsidRDefault="00AB2C57" w:rsidP="00FC68B7">
      <w:pPr>
        <w:tabs>
          <w:tab w:val="left" w:pos="2155"/>
        </w:tabs>
        <w:spacing w:after="80"/>
        <w:ind w:left="680"/>
        <w:rPr>
          <w:u w:val="single"/>
        </w:rPr>
      </w:pPr>
      <w:r>
        <w:rPr>
          <w:u w:val="single"/>
        </w:rPr>
        <w:tab/>
      </w:r>
    </w:p>
  </w:footnote>
  <w:footnote w:type="continuationNotice" w:id="1">
    <w:p w14:paraId="0D3791EC" w14:textId="77777777" w:rsidR="00AB2C57" w:rsidRDefault="00AB2C57"/>
  </w:footnote>
  <w:footnote w:id="2">
    <w:p w14:paraId="26469265" w14:textId="11D2E9DE" w:rsidR="00E317C2" w:rsidRPr="004876E3" w:rsidRDefault="00E317C2" w:rsidP="00297676">
      <w:pPr>
        <w:pStyle w:val="FootnoteText"/>
      </w:pPr>
      <w:r w:rsidRPr="00A90EA8">
        <w:tab/>
      </w:r>
      <w:r w:rsidR="0002472C" w:rsidRPr="002232AF">
        <w:rPr>
          <w:rStyle w:val="FootnoteReference"/>
          <w:sz w:val="20"/>
          <w:lang w:val="en-US"/>
        </w:rPr>
        <w:t>*</w:t>
      </w:r>
      <w:r w:rsidR="0002472C" w:rsidRPr="002232AF">
        <w:rPr>
          <w:sz w:val="20"/>
          <w:lang w:val="en-US"/>
        </w:rPr>
        <w:tab/>
      </w:r>
      <w:r w:rsidR="005F4B65">
        <w:rPr>
          <w:szCs w:val="18"/>
          <w:lang w:val="en-US"/>
        </w:rPr>
        <w:t>In accordance with the programme of work of the Inland Transport Committee for 202</w:t>
      </w:r>
      <w:r w:rsidR="009D15F9">
        <w:rPr>
          <w:szCs w:val="18"/>
          <w:lang w:val="en-US"/>
        </w:rPr>
        <w:t>4</w:t>
      </w:r>
      <w:r w:rsidR="005F4B65">
        <w:rPr>
          <w:szCs w:val="18"/>
          <w:lang w:val="en-US"/>
        </w:rPr>
        <w:t xml:space="preserve"> as outlined in proposed programme budget for 2024 (</w:t>
      </w:r>
      <w:r w:rsidR="005F4B65">
        <w:rPr>
          <w:lang w:val="en-US"/>
        </w:rPr>
        <w:t>A/78/6 (Sect. 20), table 20.5</w:t>
      </w:r>
      <w:r w:rsidR="005F4B65">
        <w:rPr>
          <w:szCs w:val="18"/>
          <w:lang w:val="en-US"/>
        </w:rPr>
        <w:t xml:space="preserve">), the World Forum will develop, </w:t>
      </w:r>
      <w:proofErr w:type="gramStart"/>
      <w:r w:rsidR="005F4B65">
        <w:rPr>
          <w:szCs w:val="18"/>
          <w:lang w:val="en-US"/>
        </w:rPr>
        <w:t>harmonize</w:t>
      </w:r>
      <w:proofErr w:type="gramEnd"/>
      <w:r w:rsidR="005F4B65">
        <w:rPr>
          <w:szCs w:val="18"/>
          <w:lang w:val="en-US"/>
        </w:rPr>
        <w:t xml:space="preserve"> and update UN Regulations in order to enhance the performance of vehicles. The present document is submitted in conformity with that mandate</w:t>
      </w:r>
      <w:r w:rsidR="0002472C" w:rsidRPr="00AB708F">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5CF7" w14:textId="7397E249" w:rsidR="00C740F6" w:rsidRPr="00A6183A" w:rsidRDefault="009D15F9" w:rsidP="00A6183A">
    <w:pPr>
      <w:pStyle w:val="Header"/>
    </w:pPr>
    <w:r w:rsidRPr="009D15F9">
      <w:t>ECE/TRANS/WP.29/GRE/2024/</w:t>
    </w:r>
    <w: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57D7" w14:textId="3C95815B" w:rsidR="00C740F6" w:rsidRPr="00A6183A" w:rsidRDefault="009D15F9" w:rsidP="009D15F9">
    <w:pPr>
      <w:pStyle w:val="Header"/>
      <w:jc w:val="right"/>
    </w:pPr>
    <w:r w:rsidRPr="009D15F9">
      <w:t>ECE/TRANS/WP.29/GRE/2024/</w:t>
    </w:r>
    <w: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06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428A6772"/>
    <w:multiLevelType w:val="hybridMultilevel"/>
    <w:tmpl w:val="41C22656"/>
    <w:lvl w:ilvl="0" w:tplc="3A7E5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3" w15:restartNumberingAfterBreak="0">
    <w:nsid w:val="531E6DFD"/>
    <w:multiLevelType w:val="hybridMultilevel"/>
    <w:tmpl w:val="83F27BC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553E6D49"/>
    <w:multiLevelType w:val="hybridMultilevel"/>
    <w:tmpl w:val="AF1E7E1A"/>
    <w:lvl w:ilvl="0" w:tplc="0410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F29661C"/>
    <w:multiLevelType w:val="hybridMultilevel"/>
    <w:tmpl w:val="410CE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434719"/>
    <w:multiLevelType w:val="hybridMultilevel"/>
    <w:tmpl w:val="C05AF39A"/>
    <w:lvl w:ilvl="0" w:tplc="9B4427B6">
      <w:start w:val="1"/>
      <w:numFmt w:val="decimal"/>
      <w:lvlText w:val="%1."/>
      <w:lvlJc w:val="left"/>
      <w:pPr>
        <w:ind w:left="1848" w:hanging="360"/>
      </w:pPr>
      <w:rPr>
        <w:rFonts w:hint="default"/>
      </w:rPr>
    </w:lvl>
    <w:lvl w:ilvl="1" w:tplc="08090019">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1"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7C39582F"/>
    <w:multiLevelType w:val="hybridMultilevel"/>
    <w:tmpl w:val="B8D43B46"/>
    <w:lvl w:ilvl="0" w:tplc="44AA79D0">
      <w:start w:val="3"/>
      <w:numFmt w:val="bullet"/>
      <w:lvlText w:val="-"/>
      <w:lvlJc w:val="left"/>
      <w:pPr>
        <w:ind w:left="1493" w:hanging="360"/>
      </w:pPr>
      <w:rPr>
        <w:rFonts w:ascii="Times New Roman" w:eastAsia="Times New Roman" w:hAnsi="Times New Roman" w:cs="Times New Roman" w:hint="default"/>
      </w:rPr>
    </w:lvl>
    <w:lvl w:ilvl="1" w:tplc="04070003">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num w:numId="1" w16cid:durableId="47994595">
    <w:abstractNumId w:val="1"/>
  </w:num>
  <w:num w:numId="2" w16cid:durableId="479347135">
    <w:abstractNumId w:val="19"/>
  </w:num>
  <w:num w:numId="3" w16cid:durableId="1674647666">
    <w:abstractNumId w:val="10"/>
  </w:num>
  <w:num w:numId="4" w16cid:durableId="384450639">
    <w:abstractNumId w:val="16"/>
  </w:num>
  <w:num w:numId="5" w16cid:durableId="1008947859">
    <w:abstractNumId w:val="18"/>
  </w:num>
  <w:num w:numId="6" w16cid:durableId="1864397896">
    <w:abstractNumId w:val="3"/>
  </w:num>
  <w:num w:numId="7" w16cid:durableId="805004135">
    <w:abstractNumId w:val="2"/>
  </w:num>
  <w:num w:numId="8" w16cid:durableId="74790847">
    <w:abstractNumId w:val="15"/>
  </w:num>
  <w:num w:numId="9" w16cid:durableId="1546214503">
    <w:abstractNumId w:val="8"/>
  </w:num>
  <w:num w:numId="10" w16cid:durableId="1105881446">
    <w:abstractNumId w:val="9"/>
  </w:num>
  <w:num w:numId="11" w16cid:durableId="1078406041">
    <w:abstractNumId w:val="7"/>
  </w:num>
  <w:num w:numId="12" w16cid:durableId="1696229310">
    <w:abstractNumId w:val="0"/>
  </w:num>
  <w:num w:numId="13" w16cid:durableId="1703045859">
    <w:abstractNumId w:val="21"/>
  </w:num>
  <w:num w:numId="14" w16cid:durableId="1574048366">
    <w:abstractNumId w:val="6"/>
  </w:num>
  <w:num w:numId="15" w16cid:durableId="1352604448">
    <w:abstractNumId w:val="12"/>
  </w:num>
  <w:num w:numId="16" w16cid:durableId="1100494220">
    <w:abstractNumId w:val="4"/>
  </w:num>
  <w:num w:numId="17" w16cid:durableId="883636123">
    <w:abstractNumId w:val="22"/>
  </w:num>
  <w:num w:numId="18" w16cid:durableId="391275985">
    <w:abstractNumId w:val="11"/>
  </w:num>
  <w:num w:numId="19" w16cid:durableId="1399790029">
    <w:abstractNumId w:val="20"/>
  </w:num>
  <w:num w:numId="20" w16cid:durableId="1924336526">
    <w:abstractNumId w:val="13"/>
  </w:num>
  <w:num w:numId="21" w16cid:durableId="24137658">
    <w:abstractNumId w:val="14"/>
  </w:num>
  <w:num w:numId="22" w16cid:durableId="1020937708">
    <w:abstractNumId w:val="5"/>
  </w:num>
  <w:num w:numId="23" w16cid:durableId="211782615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44BD"/>
    <w:rsid w:val="000045E5"/>
    <w:rsid w:val="000051ED"/>
    <w:rsid w:val="000055BF"/>
    <w:rsid w:val="000055D1"/>
    <w:rsid w:val="000060A0"/>
    <w:rsid w:val="000067BC"/>
    <w:rsid w:val="00007723"/>
    <w:rsid w:val="00007899"/>
    <w:rsid w:val="00010344"/>
    <w:rsid w:val="0001103D"/>
    <w:rsid w:val="00011528"/>
    <w:rsid w:val="000115EB"/>
    <w:rsid w:val="000119CA"/>
    <w:rsid w:val="00013B6E"/>
    <w:rsid w:val="00013E9C"/>
    <w:rsid w:val="00014557"/>
    <w:rsid w:val="00014B73"/>
    <w:rsid w:val="000159D5"/>
    <w:rsid w:val="00016D6D"/>
    <w:rsid w:val="00017C2C"/>
    <w:rsid w:val="00020B64"/>
    <w:rsid w:val="00020C67"/>
    <w:rsid w:val="000215B9"/>
    <w:rsid w:val="000228F3"/>
    <w:rsid w:val="00023558"/>
    <w:rsid w:val="00023BEE"/>
    <w:rsid w:val="00023C19"/>
    <w:rsid w:val="000240E6"/>
    <w:rsid w:val="0002472C"/>
    <w:rsid w:val="00024A79"/>
    <w:rsid w:val="00025D05"/>
    <w:rsid w:val="000262BA"/>
    <w:rsid w:val="00026D89"/>
    <w:rsid w:val="00027645"/>
    <w:rsid w:val="00030363"/>
    <w:rsid w:val="0003094F"/>
    <w:rsid w:val="00031437"/>
    <w:rsid w:val="000314F8"/>
    <w:rsid w:val="00031599"/>
    <w:rsid w:val="0003168E"/>
    <w:rsid w:val="00031FA0"/>
    <w:rsid w:val="00032216"/>
    <w:rsid w:val="000327E8"/>
    <w:rsid w:val="00032847"/>
    <w:rsid w:val="00032B78"/>
    <w:rsid w:val="00032C9C"/>
    <w:rsid w:val="000337AD"/>
    <w:rsid w:val="00033A7F"/>
    <w:rsid w:val="000341F3"/>
    <w:rsid w:val="000349F4"/>
    <w:rsid w:val="00034F5E"/>
    <w:rsid w:val="00035809"/>
    <w:rsid w:val="00035A02"/>
    <w:rsid w:val="000402B0"/>
    <w:rsid w:val="00041720"/>
    <w:rsid w:val="00041C3C"/>
    <w:rsid w:val="00041EC5"/>
    <w:rsid w:val="00042473"/>
    <w:rsid w:val="00042A0F"/>
    <w:rsid w:val="000432BE"/>
    <w:rsid w:val="00043668"/>
    <w:rsid w:val="00045040"/>
    <w:rsid w:val="00045589"/>
    <w:rsid w:val="00047A11"/>
    <w:rsid w:val="00047C7E"/>
    <w:rsid w:val="00047EC8"/>
    <w:rsid w:val="00050D9E"/>
    <w:rsid w:val="00050F10"/>
    <w:rsid w:val="00050F6B"/>
    <w:rsid w:val="000519A2"/>
    <w:rsid w:val="000521C3"/>
    <w:rsid w:val="000524C0"/>
    <w:rsid w:val="00052645"/>
    <w:rsid w:val="0005266A"/>
    <w:rsid w:val="00052700"/>
    <w:rsid w:val="00052D24"/>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42E"/>
    <w:rsid w:val="000637DA"/>
    <w:rsid w:val="00065074"/>
    <w:rsid w:val="0006558E"/>
    <w:rsid w:val="00065CE7"/>
    <w:rsid w:val="000669AB"/>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12C"/>
    <w:rsid w:val="000806A5"/>
    <w:rsid w:val="000808F6"/>
    <w:rsid w:val="00081DEB"/>
    <w:rsid w:val="00082F39"/>
    <w:rsid w:val="00082F82"/>
    <w:rsid w:val="000836AA"/>
    <w:rsid w:val="00083BF4"/>
    <w:rsid w:val="00084263"/>
    <w:rsid w:val="00084BE4"/>
    <w:rsid w:val="00084CB0"/>
    <w:rsid w:val="000851AD"/>
    <w:rsid w:val="000855CF"/>
    <w:rsid w:val="00085D26"/>
    <w:rsid w:val="000866FB"/>
    <w:rsid w:val="00086795"/>
    <w:rsid w:val="00087274"/>
    <w:rsid w:val="00087B85"/>
    <w:rsid w:val="000903FA"/>
    <w:rsid w:val="00091DCD"/>
    <w:rsid w:val="00092FF9"/>
    <w:rsid w:val="000931C0"/>
    <w:rsid w:val="0009359F"/>
    <w:rsid w:val="0009389D"/>
    <w:rsid w:val="00093AB3"/>
    <w:rsid w:val="00093E34"/>
    <w:rsid w:val="00093E6D"/>
    <w:rsid w:val="00094228"/>
    <w:rsid w:val="000947DC"/>
    <w:rsid w:val="00094AF7"/>
    <w:rsid w:val="00094B73"/>
    <w:rsid w:val="000954C6"/>
    <w:rsid w:val="00095A22"/>
    <w:rsid w:val="00095AD2"/>
    <w:rsid w:val="000960D4"/>
    <w:rsid w:val="00096380"/>
    <w:rsid w:val="000977A6"/>
    <w:rsid w:val="000A0737"/>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CA1"/>
    <w:rsid w:val="000C5D67"/>
    <w:rsid w:val="000C65B0"/>
    <w:rsid w:val="000C6AD7"/>
    <w:rsid w:val="000C6BF7"/>
    <w:rsid w:val="000C7197"/>
    <w:rsid w:val="000C75D0"/>
    <w:rsid w:val="000D0124"/>
    <w:rsid w:val="000D0D57"/>
    <w:rsid w:val="000D0F39"/>
    <w:rsid w:val="000D19C9"/>
    <w:rsid w:val="000D2557"/>
    <w:rsid w:val="000D2F6B"/>
    <w:rsid w:val="000D30C2"/>
    <w:rsid w:val="000D31AD"/>
    <w:rsid w:val="000D3B94"/>
    <w:rsid w:val="000D4C47"/>
    <w:rsid w:val="000D5451"/>
    <w:rsid w:val="000D6070"/>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2FD"/>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177"/>
    <w:rsid w:val="00105554"/>
    <w:rsid w:val="0010567B"/>
    <w:rsid w:val="001064C9"/>
    <w:rsid w:val="00106610"/>
    <w:rsid w:val="001070CF"/>
    <w:rsid w:val="00107F70"/>
    <w:rsid w:val="00107FE0"/>
    <w:rsid w:val="00110185"/>
    <w:rsid w:val="00111143"/>
    <w:rsid w:val="00111B26"/>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0B13"/>
    <w:rsid w:val="001313A7"/>
    <w:rsid w:val="00131A95"/>
    <w:rsid w:val="00131BA5"/>
    <w:rsid w:val="0013209B"/>
    <w:rsid w:val="00132480"/>
    <w:rsid w:val="00132564"/>
    <w:rsid w:val="00132796"/>
    <w:rsid w:val="0013325C"/>
    <w:rsid w:val="001339E1"/>
    <w:rsid w:val="00133D49"/>
    <w:rsid w:val="00133D6D"/>
    <w:rsid w:val="00134F58"/>
    <w:rsid w:val="00135CBB"/>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45B"/>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16E2"/>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6A6"/>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2D11"/>
    <w:rsid w:val="001A3F39"/>
    <w:rsid w:val="001A4DBF"/>
    <w:rsid w:val="001A6300"/>
    <w:rsid w:val="001A66F9"/>
    <w:rsid w:val="001A6EF7"/>
    <w:rsid w:val="001A7286"/>
    <w:rsid w:val="001A7C15"/>
    <w:rsid w:val="001B0BAA"/>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351"/>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5F9E"/>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584E"/>
    <w:rsid w:val="001D608D"/>
    <w:rsid w:val="001D6545"/>
    <w:rsid w:val="001D76F6"/>
    <w:rsid w:val="001D7D5E"/>
    <w:rsid w:val="001D7D6A"/>
    <w:rsid w:val="001E0635"/>
    <w:rsid w:val="001E0C4E"/>
    <w:rsid w:val="001E17F1"/>
    <w:rsid w:val="001E1A91"/>
    <w:rsid w:val="001E2152"/>
    <w:rsid w:val="001E4057"/>
    <w:rsid w:val="001E4BBB"/>
    <w:rsid w:val="001E4F38"/>
    <w:rsid w:val="001E5B15"/>
    <w:rsid w:val="001E5EBF"/>
    <w:rsid w:val="001E5FF2"/>
    <w:rsid w:val="001E6A29"/>
    <w:rsid w:val="001E6BD6"/>
    <w:rsid w:val="001E6CF2"/>
    <w:rsid w:val="001E71CC"/>
    <w:rsid w:val="001F05DD"/>
    <w:rsid w:val="001F13D6"/>
    <w:rsid w:val="001F154E"/>
    <w:rsid w:val="001F1CB4"/>
    <w:rsid w:val="001F3B63"/>
    <w:rsid w:val="001F4438"/>
    <w:rsid w:val="001F58D3"/>
    <w:rsid w:val="001F71E6"/>
    <w:rsid w:val="001F7234"/>
    <w:rsid w:val="001F7734"/>
    <w:rsid w:val="00200117"/>
    <w:rsid w:val="00200899"/>
    <w:rsid w:val="002008AC"/>
    <w:rsid w:val="002015F7"/>
    <w:rsid w:val="00201A0F"/>
    <w:rsid w:val="00201B69"/>
    <w:rsid w:val="00201B7A"/>
    <w:rsid w:val="00201D4F"/>
    <w:rsid w:val="00201ED7"/>
    <w:rsid w:val="00202622"/>
    <w:rsid w:val="00203D9E"/>
    <w:rsid w:val="00203FF4"/>
    <w:rsid w:val="0020498C"/>
    <w:rsid w:val="002052DB"/>
    <w:rsid w:val="00205435"/>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6DC"/>
    <w:rsid w:val="0022190B"/>
    <w:rsid w:val="00221B6B"/>
    <w:rsid w:val="00221D57"/>
    <w:rsid w:val="002222A1"/>
    <w:rsid w:val="00222772"/>
    <w:rsid w:val="00222D4D"/>
    <w:rsid w:val="0022356E"/>
    <w:rsid w:val="00223D61"/>
    <w:rsid w:val="00224C65"/>
    <w:rsid w:val="00225963"/>
    <w:rsid w:val="00225C0B"/>
    <w:rsid w:val="00225C76"/>
    <w:rsid w:val="002267AA"/>
    <w:rsid w:val="002279E1"/>
    <w:rsid w:val="00230011"/>
    <w:rsid w:val="00230410"/>
    <w:rsid w:val="00230BB6"/>
    <w:rsid w:val="002311E3"/>
    <w:rsid w:val="002312B3"/>
    <w:rsid w:val="00231FC0"/>
    <w:rsid w:val="00232960"/>
    <w:rsid w:val="00232D8D"/>
    <w:rsid w:val="00233280"/>
    <w:rsid w:val="002332F8"/>
    <w:rsid w:val="002337FF"/>
    <w:rsid w:val="00233835"/>
    <w:rsid w:val="00233F27"/>
    <w:rsid w:val="002345F2"/>
    <w:rsid w:val="00235F09"/>
    <w:rsid w:val="00235F6C"/>
    <w:rsid w:val="00236050"/>
    <w:rsid w:val="00237324"/>
    <w:rsid w:val="002373B1"/>
    <w:rsid w:val="002375DE"/>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15A"/>
    <w:rsid w:val="00251539"/>
    <w:rsid w:val="00251E7E"/>
    <w:rsid w:val="00252983"/>
    <w:rsid w:val="00252AB6"/>
    <w:rsid w:val="002538E1"/>
    <w:rsid w:val="00253C91"/>
    <w:rsid w:val="00254C7E"/>
    <w:rsid w:val="00255289"/>
    <w:rsid w:val="00255B7B"/>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0AAF"/>
    <w:rsid w:val="00272836"/>
    <w:rsid w:val="00273753"/>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671"/>
    <w:rsid w:val="00294B41"/>
    <w:rsid w:val="00294E33"/>
    <w:rsid w:val="002954E1"/>
    <w:rsid w:val="00295F2E"/>
    <w:rsid w:val="00297676"/>
    <w:rsid w:val="00297687"/>
    <w:rsid w:val="00297A0F"/>
    <w:rsid w:val="002A0E47"/>
    <w:rsid w:val="002A102F"/>
    <w:rsid w:val="002A1093"/>
    <w:rsid w:val="002A1682"/>
    <w:rsid w:val="002A1CDD"/>
    <w:rsid w:val="002A258C"/>
    <w:rsid w:val="002A35C6"/>
    <w:rsid w:val="002A3860"/>
    <w:rsid w:val="002A4F05"/>
    <w:rsid w:val="002A539F"/>
    <w:rsid w:val="002A55B7"/>
    <w:rsid w:val="002A5AB7"/>
    <w:rsid w:val="002A60BD"/>
    <w:rsid w:val="002A73ED"/>
    <w:rsid w:val="002A7C41"/>
    <w:rsid w:val="002A7C6B"/>
    <w:rsid w:val="002A7D5C"/>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088"/>
    <w:rsid w:val="002B71CE"/>
    <w:rsid w:val="002B72B0"/>
    <w:rsid w:val="002B79AE"/>
    <w:rsid w:val="002C04AD"/>
    <w:rsid w:val="002C068F"/>
    <w:rsid w:val="002C0B7A"/>
    <w:rsid w:val="002C0C52"/>
    <w:rsid w:val="002C1939"/>
    <w:rsid w:val="002C27BB"/>
    <w:rsid w:val="002C2C34"/>
    <w:rsid w:val="002C3B8E"/>
    <w:rsid w:val="002C4714"/>
    <w:rsid w:val="002C4A7C"/>
    <w:rsid w:val="002C4CCA"/>
    <w:rsid w:val="002C4DE6"/>
    <w:rsid w:val="002C5735"/>
    <w:rsid w:val="002C5A7A"/>
    <w:rsid w:val="002C5E6D"/>
    <w:rsid w:val="002C6485"/>
    <w:rsid w:val="002C6E1C"/>
    <w:rsid w:val="002C701E"/>
    <w:rsid w:val="002C772A"/>
    <w:rsid w:val="002C7DF7"/>
    <w:rsid w:val="002C7E32"/>
    <w:rsid w:val="002D0292"/>
    <w:rsid w:val="002D1D21"/>
    <w:rsid w:val="002D1FA8"/>
    <w:rsid w:val="002D3223"/>
    <w:rsid w:val="002D329C"/>
    <w:rsid w:val="002D47B4"/>
    <w:rsid w:val="002D5880"/>
    <w:rsid w:val="002D5C40"/>
    <w:rsid w:val="002D5FEB"/>
    <w:rsid w:val="002D6390"/>
    <w:rsid w:val="002D6711"/>
    <w:rsid w:val="002D72E7"/>
    <w:rsid w:val="002D7A39"/>
    <w:rsid w:val="002E02E2"/>
    <w:rsid w:val="002E0ECA"/>
    <w:rsid w:val="002E0ED5"/>
    <w:rsid w:val="002E1F6F"/>
    <w:rsid w:val="002E1FFD"/>
    <w:rsid w:val="002E28C3"/>
    <w:rsid w:val="002E362A"/>
    <w:rsid w:val="002E39C4"/>
    <w:rsid w:val="002E473A"/>
    <w:rsid w:val="002E507C"/>
    <w:rsid w:val="002E5D7D"/>
    <w:rsid w:val="002E694C"/>
    <w:rsid w:val="002E71AD"/>
    <w:rsid w:val="002E7434"/>
    <w:rsid w:val="002E7E48"/>
    <w:rsid w:val="002F000C"/>
    <w:rsid w:val="002F0636"/>
    <w:rsid w:val="002F06E8"/>
    <w:rsid w:val="002F0860"/>
    <w:rsid w:val="002F1735"/>
    <w:rsid w:val="002F1AF8"/>
    <w:rsid w:val="002F1C15"/>
    <w:rsid w:val="002F243D"/>
    <w:rsid w:val="002F323E"/>
    <w:rsid w:val="002F4907"/>
    <w:rsid w:val="002F4E96"/>
    <w:rsid w:val="002F4E9C"/>
    <w:rsid w:val="002F5B02"/>
    <w:rsid w:val="002F5BEC"/>
    <w:rsid w:val="002F6CC1"/>
    <w:rsid w:val="002F6D4B"/>
    <w:rsid w:val="002F6D91"/>
    <w:rsid w:val="002F7B4D"/>
    <w:rsid w:val="002F7E48"/>
    <w:rsid w:val="0030014B"/>
    <w:rsid w:val="0030060D"/>
    <w:rsid w:val="00300844"/>
    <w:rsid w:val="00300B29"/>
    <w:rsid w:val="00302537"/>
    <w:rsid w:val="00302BC1"/>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6A9"/>
    <w:rsid w:val="00325C30"/>
    <w:rsid w:val="003260D7"/>
    <w:rsid w:val="003260E4"/>
    <w:rsid w:val="00327545"/>
    <w:rsid w:val="003277B0"/>
    <w:rsid w:val="0033009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46C"/>
    <w:rsid w:val="003427A2"/>
    <w:rsid w:val="00342D3C"/>
    <w:rsid w:val="00343B8A"/>
    <w:rsid w:val="0034544A"/>
    <w:rsid w:val="00345A98"/>
    <w:rsid w:val="00346885"/>
    <w:rsid w:val="00347100"/>
    <w:rsid w:val="003502CB"/>
    <w:rsid w:val="0035085A"/>
    <w:rsid w:val="00350F87"/>
    <w:rsid w:val="0035448A"/>
    <w:rsid w:val="00354A29"/>
    <w:rsid w:val="00354B00"/>
    <w:rsid w:val="00356A47"/>
    <w:rsid w:val="0035743B"/>
    <w:rsid w:val="00360359"/>
    <w:rsid w:val="00360EDD"/>
    <w:rsid w:val="0036187E"/>
    <w:rsid w:val="00363162"/>
    <w:rsid w:val="0036339F"/>
    <w:rsid w:val="00363C80"/>
    <w:rsid w:val="00364F03"/>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69B"/>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8C1"/>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1D5C"/>
    <w:rsid w:val="003B2AB5"/>
    <w:rsid w:val="003B3237"/>
    <w:rsid w:val="003B4326"/>
    <w:rsid w:val="003B4880"/>
    <w:rsid w:val="003B532D"/>
    <w:rsid w:val="003B5417"/>
    <w:rsid w:val="003B58BE"/>
    <w:rsid w:val="003B7476"/>
    <w:rsid w:val="003C14C9"/>
    <w:rsid w:val="003C1E07"/>
    <w:rsid w:val="003C21AD"/>
    <w:rsid w:val="003C2202"/>
    <w:rsid w:val="003C2CC4"/>
    <w:rsid w:val="003C2E72"/>
    <w:rsid w:val="003C3132"/>
    <w:rsid w:val="003C3560"/>
    <w:rsid w:val="003C38D0"/>
    <w:rsid w:val="003C3936"/>
    <w:rsid w:val="003C3A15"/>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0088"/>
    <w:rsid w:val="003E1040"/>
    <w:rsid w:val="003E1349"/>
    <w:rsid w:val="003E1C5B"/>
    <w:rsid w:val="003E23B7"/>
    <w:rsid w:val="003E2B15"/>
    <w:rsid w:val="003E2B30"/>
    <w:rsid w:val="003E36C4"/>
    <w:rsid w:val="003E3710"/>
    <w:rsid w:val="003E563D"/>
    <w:rsid w:val="003E642C"/>
    <w:rsid w:val="003E650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3E01"/>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3F1C"/>
    <w:rsid w:val="00415DAC"/>
    <w:rsid w:val="00416054"/>
    <w:rsid w:val="00416911"/>
    <w:rsid w:val="0041729A"/>
    <w:rsid w:val="004172CF"/>
    <w:rsid w:val="00417C97"/>
    <w:rsid w:val="004206F1"/>
    <w:rsid w:val="00420CD7"/>
    <w:rsid w:val="0042145C"/>
    <w:rsid w:val="00421EA7"/>
    <w:rsid w:val="004223FF"/>
    <w:rsid w:val="00422DF8"/>
    <w:rsid w:val="00424A75"/>
    <w:rsid w:val="00424EE6"/>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AD6"/>
    <w:rsid w:val="00445EF5"/>
    <w:rsid w:val="004463A1"/>
    <w:rsid w:val="004467CA"/>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2B73"/>
    <w:rsid w:val="00483909"/>
    <w:rsid w:val="00485227"/>
    <w:rsid w:val="0048560F"/>
    <w:rsid w:val="00485638"/>
    <w:rsid w:val="0048637F"/>
    <w:rsid w:val="0048638C"/>
    <w:rsid w:val="00486A6B"/>
    <w:rsid w:val="00486D7C"/>
    <w:rsid w:val="00487E1A"/>
    <w:rsid w:val="00490CE1"/>
    <w:rsid w:val="00491139"/>
    <w:rsid w:val="00492857"/>
    <w:rsid w:val="00493027"/>
    <w:rsid w:val="00493509"/>
    <w:rsid w:val="004935AD"/>
    <w:rsid w:val="00494601"/>
    <w:rsid w:val="00494CA7"/>
    <w:rsid w:val="00494CF4"/>
    <w:rsid w:val="00494FDB"/>
    <w:rsid w:val="00495554"/>
    <w:rsid w:val="00495C25"/>
    <w:rsid w:val="00495E99"/>
    <w:rsid w:val="0049628D"/>
    <w:rsid w:val="00496670"/>
    <w:rsid w:val="0049696B"/>
    <w:rsid w:val="00496E16"/>
    <w:rsid w:val="00497763"/>
    <w:rsid w:val="00497E08"/>
    <w:rsid w:val="004A0CAB"/>
    <w:rsid w:val="004A0E38"/>
    <w:rsid w:val="004A0F7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6C8"/>
    <w:rsid w:val="004B0BE3"/>
    <w:rsid w:val="004B17A0"/>
    <w:rsid w:val="004B1943"/>
    <w:rsid w:val="004B209B"/>
    <w:rsid w:val="004B3569"/>
    <w:rsid w:val="004B395D"/>
    <w:rsid w:val="004B3A0A"/>
    <w:rsid w:val="004B3CC9"/>
    <w:rsid w:val="004B3FC3"/>
    <w:rsid w:val="004B4368"/>
    <w:rsid w:val="004B5625"/>
    <w:rsid w:val="004B5943"/>
    <w:rsid w:val="004B59DF"/>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C2A"/>
    <w:rsid w:val="004C6F51"/>
    <w:rsid w:val="004D04A6"/>
    <w:rsid w:val="004D0B3E"/>
    <w:rsid w:val="004D0C9D"/>
    <w:rsid w:val="004D0CC4"/>
    <w:rsid w:val="004D0DA2"/>
    <w:rsid w:val="004D1558"/>
    <w:rsid w:val="004D3367"/>
    <w:rsid w:val="004D3766"/>
    <w:rsid w:val="004D4092"/>
    <w:rsid w:val="004D4E9D"/>
    <w:rsid w:val="004D5BB3"/>
    <w:rsid w:val="004D5ECA"/>
    <w:rsid w:val="004D5F7D"/>
    <w:rsid w:val="004D63AC"/>
    <w:rsid w:val="004D643E"/>
    <w:rsid w:val="004D67A4"/>
    <w:rsid w:val="004D70D6"/>
    <w:rsid w:val="004D7181"/>
    <w:rsid w:val="004D74C6"/>
    <w:rsid w:val="004E00A7"/>
    <w:rsid w:val="004E13AE"/>
    <w:rsid w:val="004E1609"/>
    <w:rsid w:val="004E1A82"/>
    <w:rsid w:val="004E1C39"/>
    <w:rsid w:val="004E1CFB"/>
    <w:rsid w:val="004E2BAE"/>
    <w:rsid w:val="004E2DA8"/>
    <w:rsid w:val="004E3262"/>
    <w:rsid w:val="004E3411"/>
    <w:rsid w:val="004E36D1"/>
    <w:rsid w:val="004E36E8"/>
    <w:rsid w:val="004E373B"/>
    <w:rsid w:val="004E4B6B"/>
    <w:rsid w:val="004E6BF6"/>
    <w:rsid w:val="004E6EA1"/>
    <w:rsid w:val="004E75E5"/>
    <w:rsid w:val="004E7753"/>
    <w:rsid w:val="004E7F66"/>
    <w:rsid w:val="004E7F99"/>
    <w:rsid w:val="004F0B1B"/>
    <w:rsid w:val="004F0BBB"/>
    <w:rsid w:val="004F10A2"/>
    <w:rsid w:val="004F133F"/>
    <w:rsid w:val="004F1C0A"/>
    <w:rsid w:val="004F1E0A"/>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4DCA"/>
    <w:rsid w:val="00515925"/>
    <w:rsid w:val="00515AAA"/>
    <w:rsid w:val="0051677E"/>
    <w:rsid w:val="00516E85"/>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62A"/>
    <w:rsid w:val="00527CAE"/>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544"/>
    <w:rsid w:val="00544AE6"/>
    <w:rsid w:val="0054520B"/>
    <w:rsid w:val="005462D5"/>
    <w:rsid w:val="005466D3"/>
    <w:rsid w:val="00546A2F"/>
    <w:rsid w:val="00546B3A"/>
    <w:rsid w:val="00546D15"/>
    <w:rsid w:val="005474F2"/>
    <w:rsid w:val="00547558"/>
    <w:rsid w:val="0054792E"/>
    <w:rsid w:val="00547AAB"/>
    <w:rsid w:val="00547C96"/>
    <w:rsid w:val="00550634"/>
    <w:rsid w:val="00550938"/>
    <w:rsid w:val="00551959"/>
    <w:rsid w:val="00551981"/>
    <w:rsid w:val="00552A7F"/>
    <w:rsid w:val="00552B3C"/>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6FDF"/>
    <w:rsid w:val="005674CA"/>
    <w:rsid w:val="00567552"/>
    <w:rsid w:val="005721F9"/>
    <w:rsid w:val="005724FB"/>
    <w:rsid w:val="0057254A"/>
    <w:rsid w:val="005726B5"/>
    <w:rsid w:val="00572BF6"/>
    <w:rsid w:val="00572E6F"/>
    <w:rsid w:val="005731CB"/>
    <w:rsid w:val="00573470"/>
    <w:rsid w:val="0057380C"/>
    <w:rsid w:val="005744EC"/>
    <w:rsid w:val="00575544"/>
    <w:rsid w:val="00575D2C"/>
    <w:rsid w:val="00576F06"/>
    <w:rsid w:val="00577F69"/>
    <w:rsid w:val="00580186"/>
    <w:rsid w:val="00580A39"/>
    <w:rsid w:val="00582003"/>
    <w:rsid w:val="00582BD5"/>
    <w:rsid w:val="00583C1C"/>
    <w:rsid w:val="00584547"/>
    <w:rsid w:val="005849FC"/>
    <w:rsid w:val="00584AB0"/>
    <w:rsid w:val="00584C85"/>
    <w:rsid w:val="005850CE"/>
    <w:rsid w:val="00585A8B"/>
    <w:rsid w:val="00585AE6"/>
    <w:rsid w:val="005863D3"/>
    <w:rsid w:val="00586551"/>
    <w:rsid w:val="00587EC3"/>
    <w:rsid w:val="00590935"/>
    <w:rsid w:val="0059173D"/>
    <w:rsid w:val="0059196B"/>
    <w:rsid w:val="005919D9"/>
    <w:rsid w:val="00591CC5"/>
    <w:rsid w:val="00591E7E"/>
    <w:rsid w:val="005920F4"/>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60"/>
    <w:rsid w:val="005B3DB3"/>
    <w:rsid w:val="005B431E"/>
    <w:rsid w:val="005B46B5"/>
    <w:rsid w:val="005B51AE"/>
    <w:rsid w:val="005B5698"/>
    <w:rsid w:val="005B648D"/>
    <w:rsid w:val="005B70D5"/>
    <w:rsid w:val="005B7A5B"/>
    <w:rsid w:val="005B7E21"/>
    <w:rsid w:val="005C00D2"/>
    <w:rsid w:val="005C0152"/>
    <w:rsid w:val="005C0B72"/>
    <w:rsid w:val="005C0D68"/>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7BD"/>
    <w:rsid w:val="005E2BD2"/>
    <w:rsid w:val="005E2CD5"/>
    <w:rsid w:val="005E32B8"/>
    <w:rsid w:val="005E4048"/>
    <w:rsid w:val="005E407A"/>
    <w:rsid w:val="005E43BF"/>
    <w:rsid w:val="005E4C42"/>
    <w:rsid w:val="005E4EBF"/>
    <w:rsid w:val="005E5D18"/>
    <w:rsid w:val="005E607A"/>
    <w:rsid w:val="005E6EB6"/>
    <w:rsid w:val="005F0558"/>
    <w:rsid w:val="005F057A"/>
    <w:rsid w:val="005F1BC6"/>
    <w:rsid w:val="005F1BD1"/>
    <w:rsid w:val="005F2CAF"/>
    <w:rsid w:val="005F376D"/>
    <w:rsid w:val="005F46D0"/>
    <w:rsid w:val="005F4813"/>
    <w:rsid w:val="005F48DA"/>
    <w:rsid w:val="005F4B65"/>
    <w:rsid w:val="005F4F7A"/>
    <w:rsid w:val="005F587C"/>
    <w:rsid w:val="005F5D50"/>
    <w:rsid w:val="005F61E8"/>
    <w:rsid w:val="00600013"/>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4E14"/>
    <w:rsid w:val="0061542B"/>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42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508"/>
    <w:rsid w:val="006516F8"/>
    <w:rsid w:val="0065343B"/>
    <w:rsid w:val="00653880"/>
    <w:rsid w:val="00653F63"/>
    <w:rsid w:val="006548AA"/>
    <w:rsid w:val="0065545C"/>
    <w:rsid w:val="0065603A"/>
    <w:rsid w:val="00656909"/>
    <w:rsid w:val="006572DB"/>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0A41"/>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4488"/>
    <w:rsid w:val="0069539D"/>
    <w:rsid w:val="006954F3"/>
    <w:rsid w:val="006959AD"/>
    <w:rsid w:val="00695E90"/>
    <w:rsid w:val="0069602D"/>
    <w:rsid w:val="006965C0"/>
    <w:rsid w:val="00696776"/>
    <w:rsid w:val="006970FF"/>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3F3F"/>
    <w:rsid w:val="006C507B"/>
    <w:rsid w:val="006C5266"/>
    <w:rsid w:val="006C5E27"/>
    <w:rsid w:val="006C63D0"/>
    <w:rsid w:val="006C6AFA"/>
    <w:rsid w:val="006C6B53"/>
    <w:rsid w:val="006C6EC4"/>
    <w:rsid w:val="006C77F5"/>
    <w:rsid w:val="006D0E49"/>
    <w:rsid w:val="006D181F"/>
    <w:rsid w:val="006D24AD"/>
    <w:rsid w:val="006D2875"/>
    <w:rsid w:val="006D28EE"/>
    <w:rsid w:val="006D2D5B"/>
    <w:rsid w:val="006D332E"/>
    <w:rsid w:val="006D36D6"/>
    <w:rsid w:val="006D3902"/>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A00"/>
    <w:rsid w:val="00707424"/>
    <w:rsid w:val="007078E9"/>
    <w:rsid w:val="00707AF1"/>
    <w:rsid w:val="00707C07"/>
    <w:rsid w:val="007100E8"/>
    <w:rsid w:val="0071166F"/>
    <w:rsid w:val="00711E19"/>
    <w:rsid w:val="00711ECB"/>
    <w:rsid w:val="00712F7D"/>
    <w:rsid w:val="00713D87"/>
    <w:rsid w:val="00714A93"/>
    <w:rsid w:val="00714AF6"/>
    <w:rsid w:val="0071504D"/>
    <w:rsid w:val="00715486"/>
    <w:rsid w:val="007156D5"/>
    <w:rsid w:val="007159C3"/>
    <w:rsid w:val="0071676A"/>
    <w:rsid w:val="0071696C"/>
    <w:rsid w:val="00717A72"/>
    <w:rsid w:val="00720779"/>
    <w:rsid w:val="0072117C"/>
    <w:rsid w:val="00721521"/>
    <w:rsid w:val="00721608"/>
    <w:rsid w:val="0072178A"/>
    <w:rsid w:val="00721E0A"/>
    <w:rsid w:val="007228B9"/>
    <w:rsid w:val="00722CB8"/>
    <w:rsid w:val="00723FC0"/>
    <w:rsid w:val="0072410C"/>
    <w:rsid w:val="007241E6"/>
    <w:rsid w:val="00724232"/>
    <w:rsid w:val="00724D6C"/>
    <w:rsid w:val="0072632A"/>
    <w:rsid w:val="00726B76"/>
    <w:rsid w:val="00726C1A"/>
    <w:rsid w:val="00727DBD"/>
    <w:rsid w:val="0073018D"/>
    <w:rsid w:val="00730E74"/>
    <w:rsid w:val="00731BA4"/>
    <w:rsid w:val="00731C05"/>
    <w:rsid w:val="007324BE"/>
    <w:rsid w:val="00732AD2"/>
    <w:rsid w:val="00732C05"/>
    <w:rsid w:val="00732CF6"/>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41"/>
    <w:rsid w:val="0074459E"/>
    <w:rsid w:val="00744DDC"/>
    <w:rsid w:val="00745285"/>
    <w:rsid w:val="00745AD0"/>
    <w:rsid w:val="007463B3"/>
    <w:rsid w:val="00746B17"/>
    <w:rsid w:val="00747E61"/>
    <w:rsid w:val="00747EC5"/>
    <w:rsid w:val="007505C4"/>
    <w:rsid w:val="007509E7"/>
    <w:rsid w:val="00751797"/>
    <w:rsid w:val="00751F2A"/>
    <w:rsid w:val="00754529"/>
    <w:rsid w:val="00754996"/>
    <w:rsid w:val="00754D9B"/>
    <w:rsid w:val="0075573A"/>
    <w:rsid w:val="00757D16"/>
    <w:rsid w:val="00757D96"/>
    <w:rsid w:val="00757DB2"/>
    <w:rsid w:val="00760633"/>
    <w:rsid w:val="0076158B"/>
    <w:rsid w:val="00761EBB"/>
    <w:rsid w:val="007624CB"/>
    <w:rsid w:val="007628AB"/>
    <w:rsid w:val="00763359"/>
    <w:rsid w:val="007641B8"/>
    <w:rsid w:val="007641F2"/>
    <w:rsid w:val="00764A26"/>
    <w:rsid w:val="00764D1D"/>
    <w:rsid w:val="007654CA"/>
    <w:rsid w:val="007656C6"/>
    <w:rsid w:val="00765D95"/>
    <w:rsid w:val="007660E7"/>
    <w:rsid w:val="00766D0C"/>
    <w:rsid w:val="0077070E"/>
    <w:rsid w:val="00770FB1"/>
    <w:rsid w:val="007714EA"/>
    <w:rsid w:val="00771D6D"/>
    <w:rsid w:val="00772451"/>
    <w:rsid w:val="00772821"/>
    <w:rsid w:val="0077290F"/>
    <w:rsid w:val="00772A4F"/>
    <w:rsid w:val="00772D55"/>
    <w:rsid w:val="00773503"/>
    <w:rsid w:val="007750D1"/>
    <w:rsid w:val="00775151"/>
    <w:rsid w:val="00775795"/>
    <w:rsid w:val="0077651B"/>
    <w:rsid w:val="00776A70"/>
    <w:rsid w:val="00777712"/>
    <w:rsid w:val="00777757"/>
    <w:rsid w:val="00777AC1"/>
    <w:rsid w:val="00777C57"/>
    <w:rsid w:val="00777E41"/>
    <w:rsid w:val="007813D1"/>
    <w:rsid w:val="00781609"/>
    <w:rsid w:val="00781705"/>
    <w:rsid w:val="007817C5"/>
    <w:rsid w:val="00781840"/>
    <w:rsid w:val="00782423"/>
    <w:rsid w:val="0078348A"/>
    <w:rsid w:val="00784016"/>
    <w:rsid w:val="0078528F"/>
    <w:rsid w:val="00787279"/>
    <w:rsid w:val="007874E7"/>
    <w:rsid w:val="00787B5A"/>
    <w:rsid w:val="00787B74"/>
    <w:rsid w:val="00790A65"/>
    <w:rsid w:val="00790C91"/>
    <w:rsid w:val="00790D7D"/>
    <w:rsid w:val="00790D9A"/>
    <w:rsid w:val="007920C2"/>
    <w:rsid w:val="007927C0"/>
    <w:rsid w:val="00792E02"/>
    <w:rsid w:val="00793D46"/>
    <w:rsid w:val="00793F89"/>
    <w:rsid w:val="00794680"/>
    <w:rsid w:val="0079506D"/>
    <w:rsid w:val="007951F0"/>
    <w:rsid w:val="00795AE7"/>
    <w:rsid w:val="00795EDC"/>
    <w:rsid w:val="00795F16"/>
    <w:rsid w:val="0079639C"/>
    <w:rsid w:val="00796EC8"/>
    <w:rsid w:val="007971C9"/>
    <w:rsid w:val="0079769E"/>
    <w:rsid w:val="00797803"/>
    <w:rsid w:val="00797AAB"/>
    <w:rsid w:val="00797F28"/>
    <w:rsid w:val="007A02A5"/>
    <w:rsid w:val="007A05A3"/>
    <w:rsid w:val="007A0A1A"/>
    <w:rsid w:val="007A20E9"/>
    <w:rsid w:val="007A2556"/>
    <w:rsid w:val="007A26C0"/>
    <w:rsid w:val="007A28B8"/>
    <w:rsid w:val="007A2D84"/>
    <w:rsid w:val="007A31CE"/>
    <w:rsid w:val="007A3CB8"/>
    <w:rsid w:val="007A3D41"/>
    <w:rsid w:val="007A3F98"/>
    <w:rsid w:val="007A4235"/>
    <w:rsid w:val="007A4383"/>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18FA"/>
    <w:rsid w:val="007C327E"/>
    <w:rsid w:val="007C3390"/>
    <w:rsid w:val="007C41B1"/>
    <w:rsid w:val="007C41E4"/>
    <w:rsid w:val="007C420C"/>
    <w:rsid w:val="007C4638"/>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166"/>
    <w:rsid w:val="007E0651"/>
    <w:rsid w:val="007E1056"/>
    <w:rsid w:val="007E1267"/>
    <w:rsid w:val="007E13DF"/>
    <w:rsid w:val="007E1680"/>
    <w:rsid w:val="007E1844"/>
    <w:rsid w:val="007E23C0"/>
    <w:rsid w:val="007E2425"/>
    <w:rsid w:val="007E277C"/>
    <w:rsid w:val="007E2B5F"/>
    <w:rsid w:val="007E2FA5"/>
    <w:rsid w:val="007E3436"/>
    <w:rsid w:val="007E3469"/>
    <w:rsid w:val="007E3CAA"/>
    <w:rsid w:val="007E494E"/>
    <w:rsid w:val="007E6088"/>
    <w:rsid w:val="007E6898"/>
    <w:rsid w:val="007E6AD3"/>
    <w:rsid w:val="007E70FC"/>
    <w:rsid w:val="007E73AE"/>
    <w:rsid w:val="007E7946"/>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DDE"/>
    <w:rsid w:val="00806F08"/>
    <w:rsid w:val="008072B2"/>
    <w:rsid w:val="00807304"/>
    <w:rsid w:val="00807960"/>
    <w:rsid w:val="00807C1F"/>
    <w:rsid w:val="00811023"/>
    <w:rsid w:val="00811583"/>
    <w:rsid w:val="0081185B"/>
    <w:rsid w:val="008118DC"/>
    <w:rsid w:val="008118FA"/>
    <w:rsid w:val="00811921"/>
    <w:rsid w:val="00811F53"/>
    <w:rsid w:val="00813540"/>
    <w:rsid w:val="008137DF"/>
    <w:rsid w:val="0081384F"/>
    <w:rsid w:val="00813E02"/>
    <w:rsid w:val="00814D5A"/>
    <w:rsid w:val="00815CBB"/>
    <w:rsid w:val="008161CE"/>
    <w:rsid w:val="0081686A"/>
    <w:rsid w:val="00816B39"/>
    <w:rsid w:val="008175E9"/>
    <w:rsid w:val="0081765E"/>
    <w:rsid w:val="00817A65"/>
    <w:rsid w:val="008202FA"/>
    <w:rsid w:val="00820F00"/>
    <w:rsid w:val="00820FF1"/>
    <w:rsid w:val="008218E4"/>
    <w:rsid w:val="00822087"/>
    <w:rsid w:val="00822231"/>
    <w:rsid w:val="00822F65"/>
    <w:rsid w:val="00823A67"/>
    <w:rsid w:val="00823F20"/>
    <w:rsid w:val="008240A3"/>
    <w:rsid w:val="008242D7"/>
    <w:rsid w:val="008244E6"/>
    <w:rsid w:val="00824B2F"/>
    <w:rsid w:val="008254B2"/>
    <w:rsid w:val="0082558D"/>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836"/>
    <w:rsid w:val="008419DA"/>
    <w:rsid w:val="008421E2"/>
    <w:rsid w:val="0084359E"/>
    <w:rsid w:val="008436D7"/>
    <w:rsid w:val="00843978"/>
    <w:rsid w:val="00843BF5"/>
    <w:rsid w:val="00843C1D"/>
    <w:rsid w:val="00844042"/>
    <w:rsid w:val="008441FB"/>
    <w:rsid w:val="00844654"/>
    <w:rsid w:val="008458D3"/>
    <w:rsid w:val="00846E5D"/>
    <w:rsid w:val="00847E86"/>
    <w:rsid w:val="00850473"/>
    <w:rsid w:val="00850E0C"/>
    <w:rsid w:val="00851335"/>
    <w:rsid w:val="00851F8E"/>
    <w:rsid w:val="008521E4"/>
    <w:rsid w:val="008523C4"/>
    <w:rsid w:val="008528E0"/>
    <w:rsid w:val="00853849"/>
    <w:rsid w:val="008541AC"/>
    <w:rsid w:val="00854C89"/>
    <w:rsid w:val="00855010"/>
    <w:rsid w:val="008566F3"/>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0E2"/>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6F3"/>
    <w:rsid w:val="008A5A09"/>
    <w:rsid w:val="008A5A7D"/>
    <w:rsid w:val="008A5E94"/>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857"/>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56F"/>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346A"/>
    <w:rsid w:val="00904401"/>
    <w:rsid w:val="00904AA7"/>
    <w:rsid w:val="009056C0"/>
    <w:rsid w:val="00906070"/>
    <w:rsid w:val="009061DD"/>
    <w:rsid w:val="009063DD"/>
    <w:rsid w:val="00907375"/>
    <w:rsid w:val="0090765F"/>
    <w:rsid w:val="009078A2"/>
    <w:rsid w:val="00907AD2"/>
    <w:rsid w:val="00910576"/>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254"/>
    <w:rsid w:val="00922558"/>
    <w:rsid w:val="00922C04"/>
    <w:rsid w:val="0092420E"/>
    <w:rsid w:val="00924750"/>
    <w:rsid w:val="00925893"/>
    <w:rsid w:val="00925996"/>
    <w:rsid w:val="0092605C"/>
    <w:rsid w:val="009265AA"/>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1E3B"/>
    <w:rsid w:val="00952435"/>
    <w:rsid w:val="009525C2"/>
    <w:rsid w:val="009525EC"/>
    <w:rsid w:val="00952664"/>
    <w:rsid w:val="00952CED"/>
    <w:rsid w:val="00953038"/>
    <w:rsid w:val="00953087"/>
    <w:rsid w:val="009539D6"/>
    <w:rsid w:val="009540D4"/>
    <w:rsid w:val="0095454C"/>
    <w:rsid w:val="0095455D"/>
    <w:rsid w:val="00954623"/>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3DA8"/>
    <w:rsid w:val="009848A4"/>
    <w:rsid w:val="009849EA"/>
    <w:rsid w:val="00985AFC"/>
    <w:rsid w:val="00986A60"/>
    <w:rsid w:val="0098797B"/>
    <w:rsid w:val="00987F86"/>
    <w:rsid w:val="0099007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6E1"/>
    <w:rsid w:val="009B58A2"/>
    <w:rsid w:val="009B5CA5"/>
    <w:rsid w:val="009B5DD0"/>
    <w:rsid w:val="009B60EB"/>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A1B"/>
    <w:rsid w:val="009D13E1"/>
    <w:rsid w:val="009D15F9"/>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959"/>
    <w:rsid w:val="009F4F26"/>
    <w:rsid w:val="009F4F6A"/>
    <w:rsid w:val="009F58F9"/>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1D5F"/>
    <w:rsid w:val="00A12B8C"/>
    <w:rsid w:val="00A1317B"/>
    <w:rsid w:val="00A13218"/>
    <w:rsid w:val="00A137BA"/>
    <w:rsid w:val="00A1427D"/>
    <w:rsid w:val="00A14E76"/>
    <w:rsid w:val="00A15554"/>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54BC"/>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AF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56DC"/>
    <w:rsid w:val="00A76BED"/>
    <w:rsid w:val="00A779C6"/>
    <w:rsid w:val="00A80947"/>
    <w:rsid w:val="00A80EBC"/>
    <w:rsid w:val="00A81AFD"/>
    <w:rsid w:val="00A81B91"/>
    <w:rsid w:val="00A81F45"/>
    <w:rsid w:val="00A823A7"/>
    <w:rsid w:val="00A82B4F"/>
    <w:rsid w:val="00A8316B"/>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4C6"/>
    <w:rsid w:val="00AA4AD6"/>
    <w:rsid w:val="00AA4B9F"/>
    <w:rsid w:val="00AA5563"/>
    <w:rsid w:val="00AA592B"/>
    <w:rsid w:val="00AA5BA4"/>
    <w:rsid w:val="00AA6962"/>
    <w:rsid w:val="00AA72C6"/>
    <w:rsid w:val="00AA72EE"/>
    <w:rsid w:val="00AA7776"/>
    <w:rsid w:val="00AB14A9"/>
    <w:rsid w:val="00AB1774"/>
    <w:rsid w:val="00AB1F0B"/>
    <w:rsid w:val="00AB2229"/>
    <w:rsid w:val="00AB25C7"/>
    <w:rsid w:val="00AB27AE"/>
    <w:rsid w:val="00AB2C57"/>
    <w:rsid w:val="00AB3157"/>
    <w:rsid w:val="00AB321F"/>
    <w:rsid w:val="00AB37E5"/>
    <w:rsid w:val="00AB6C76"/>
    <w:rsid w:val="00AB7C69"/>
    <w:rsid w:val="00AC03A6"/>
    <w:rsid w:val="00AC0DA7"/>
    <w:rsid w:val="00AC17DC"/>
    <w:rsid w:val="00AC1DCA"/>
    <w:rsid w:val="00AC2023"/>
    <w:rsid w:val="00AC2638"/>
    <w:rsid w:val="00AC2961"/>
    <w:rsid w:val="00AC2F5B"/>
    <w:rsid w:val="00AC33D1"/>
    <w:rsid w:val="00AC3972"/>
    <w:rsid w:val="00AC3CB4"/>
    <w:rsid w:val="00AC3D27"/>
    <w:rsid w:val="00AC44DB"/>
    <w:rsid w:val="00AC49B8"/>
    <w:rsid w:val="00AC59BD"/>
    <w:rsid w:val="00AC604D"/>
    <w:rsid w:val="00AC6294"/>
    <w:rsid w:val="00AC72D7"/>
    <w:rsid w:val="00AC73A0"/>
    <w:rsid w:val="00AC78D8"/>
    <w:rsid w:val="00AC7FE0"/>
    <w:rsid w:val="00AD08D4"/>
    <w:rsid w:val="00AD1946"/>
    <w:rsid w:val="00AD217F"/>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AF7FDB"/>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0FC5"/>
    <w:rsid w:val="00B1102A"/>
    <w:rsid w:val="00B11494"/>
    <w:rsid w:val="00B11A92"/>
    <w:rsid w:val="00B12368"/>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1ED7"/>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471FC"/>
    <w:rsid w:val="00B50074"/>
    <w:rsid w:val="00B500EA"/>
    <w:rsid w:val="00B51357"/>
    <w:rsid w:val="00B51527"/>
    <w:rsid w:val="00B51E35"/>
    <w:rsid w:val="00B52166"/>
    <w:rsid w:val="00B534BB"/>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41E5"/>
    <w:rsid w:val="00B75D8C"/>
    <w:rsid w:val="00B76480"/>
    <w:rsid w:val="00B77D2F"/>
    <w:rsid w:val="00B77E75"/>
    <w:rsid w:val="00B77E96"/>
    <w:rsid w:val="00B81E12"/>
    <w:rsid w:val="00B820B1"/>
    <w:rsid w:val="00B832B6"/>
    <w:rsid w:val="00B8381A"/>
    <w:rsid w:val="00B84166"/>
    <w:rsid w:val="00B84F1E"/>
    <w:rsid w:val="00B85A72"/>
    <w:rsid w:val="00B864C8"/>
    <w:rsid w:val="00B86CE7"/>
    <w:rsid w:val="00B873FD"/>
    <w:rsid w:val="00B87697"/>
    <w:rsid w:val="00B87F87"/>
    <w:rsid w:val="00B90157"/>
    <w:rsid w:val="00B908A0"/>
    <w:rsid w:val="00B91EF9"/>
    <w:rsid w:val="00B93168"/>
    <w:rsid w:val="00B932AE"/>
    <w:rsid w:val="00B94E04"/>
    <w:rsid w:val="00B94FFB"/>
    <w:rsid w:val="00B95C58"/>
    <w:rsid w:val="00B96472"/>
    <w:rsid w:val="00B96C01"/>
    <w:rsid w:val="00BA0496"/>
    <w:rsid w:val="00BA1931"/>
    <w:rsid w:val="00BA212A"/>
    <w:rsid w:val="00BA21AB"/>
    <w:rsid w:val="00BA2494"/>
    <w:rsid w:val="00BA299A"/>
    <w:rsid w:val="00BA2D36"/>
    <w:rsid w:val="00BA396D"/>
    <w:rsid w:val="00BA3E22"/>
    <w:rsid w:val="00BA4047"/>
    <w:rsid w:val="00BA406B"/>
    <w:rsid w:val="00BA50B0"/>
    <w:rsid w:val="00BA54C9"/>
    <w:rsid w:val="00BA639C"/>
    <w:rsid w:val="00BA6933"/>
    <w:rsid w:val="00BA6961"/>
    <w:rsid w:val="00BA6F4E"/>
    <w:rsid w:val="00BA7035"/>
    <w:rsid w:val="00BA7318"/>
    <w:rsid w:val="00BB01EC"/>
    <w:rsid w:val="00BB0223"/>
    <w:rsid w:val="00BB0A0B"/>
    <w:rsid w:val="00BB1AC3"/>
    <w:rsid w:val="00BB2AE7"/>
    <w:rsid w:val="00BB3575"/>
    <w:rsid w:val="00BB4866"/>
    <w:rsid w:val="00BB5548"/>
    <w:rsid w:val="00BB55C1"/>
    <w:rsid w:val="00BB789E"/>
    <w:rsid w:val="00BB7B20"/>
    <w:rsid w:val="00BC0A4F"/>
    <w:rsid w:val="00BC16C4"/>
    <w:rsid w:val="00BC197B"/>
    <w:rsid w:val="00BC24E7"/>
    <w:rsid w:val="00BC2716"/>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526"/>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0C"/>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55AB"/>
    <w:rsid w:val="00C060E3"/>
    <w:rsid w:val="00C06B4D"/>
    <w:rsid w:val="00C06CF6"/>
    <w:rsid w:val="00C06E0A"/>
    <w:rsid w:val="00C10DBC"/>
    <w:rsid w:val="00C116F3"/>
    <w:rsid w:val="00C1191E"/>
    <w:rsid w:val="00C11CC5"/>
    <w:rsid w:val="00C121CE"/>
    <w:rsid w:val="00C12F3F"/>
    <w:rsid w:val="00C13428"/>
    <w:rsid w:val="00C140A8"/>
    <w:rsid w:val="00C159DC"/>
    <w:rsid w:val="00C15BB8"/>
    <w:rsid w:val="00C15DB0"/>
    <w:rsid w:val="00C16092"/>
    <w:rsid w:val="00C164D4"/>
    <w:rsid w:val="00C166C2"/>
    <w:rsid w:val="00C16890"/>
    <w:rsid w:val="00C16CE3"/>
    <w:rsid w:val="00C16FA9"/>
    <w:rsid w:val="00C1704F"/>
    <w:rsid w:val="00C1708C"/>
    <w:rsid w:val="00C175DE"/>
    <w:rsid w:val="00C17699"/>
    <w:rsid w:val="00C21013"/>
    <w:rsid w:val="00C22438"/>
    <w:rsid w:val="00C24322"/>
    <w:rsid w:val="00C249AB"/>
    <w:rsid w:val="00C250BA"/>
    <w:rsid w:val="00C2603F"/>
    <w:rsid w:val="00C300F4"/>
    <w:rsid w:val="00C30571"/>
    <w:rsid w:val="00C30EA4"/>
    <w:rsid w:val="00C3196F"/>
    <w:rsid w:val="00C32E6F"/>
    <w:rsid w:val="00C331A8"/>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9A8"/>
    <w:rsid w:val="00C55C93"/>
    <w:rsid w:val="00C56036"/>
    <w:rsid w:val="00C56CF0"/>
    <w:rsid w:val="00C57CEF"/>
    <w:rsid w:val="00C606AC"/>
    <w:rsid w:val="00C61A5B"/>
    <w:rsid w:val="00C61B27"/>
    <w:rsid w:val="00C6207E"/>
    <w:rsid w:val="00C62EC6"/>
    <w:rsid w:val="00C63552"/>
    <w:rsid w:val="00C64FD1"/>
    <w:rsid w:val="00C6500C"/>
    <w:rsid w:val="00C65093"/>
    <w:rsid w:val="00C65BA0"/>
    <w:rsid w:val="00C666B3"/>
    <w:rsid w:val="00C67823"/>
    <w:rsid w:val="00C7022C"/>
    <w:rsid w:val="00C70851"/>
    <w:rsid w:val="00C72594"/>
    <w:rsid w:val="00C72D55"/>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47E0"/>
    <w:rsid w:val="00C848B7"/>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04EB"/>
    <w:rsid w:val="00CA172C"/>
    <w:rsid w:val="00CA1D35"/>
    <w:rsid w:val="00CA232E"/>
    <w:rsid w:val="00CA2EB8"/>
    <w:rsid w:val="00CA361E"/>
    <w:rsid w:val="00CA50F1"/>
    <w:rsid w:val="00CA55C5"/>
    <w:rsid w:val="00CA6233"/>
    <w:rsid w:val="00CA626B"/>
    <w:rsid w:val="00CA6429"/>
    <w:rsid w:val="00CA70E8"/>
    <w:rsid w:val="00CA7451"/>
    <w:rsid w:val="00CA766B"/>
    <w:rsid w:val="00CB040B"/>
    <w:rsid w:val="00CB0BAB"/>
    <w:rsid w:val="00CB0D62"/>
    <w:rsid w:val="00CB0F86"/>
    <w:rsid w:val="00CB28A9"/>
    <w:rsid w:val="00CB2A9C"/>
    <w:rsid w:val="00CB3835"/>
    <w:rsid w:val="00CB3CC3"/>
    <w:rsid w:val="00CB4B95"/>
    <w:rsid w:val="00CB59B4"/>
    <w:rsid w:val="00CB675D"/>
    <w:rsid w:val="00CB7021"/>
    <w:rsid w:val="00CC01D8"/>
    <w:rsid w:val="00CC050B"/>
    <w:rsid w:val="00CC221E"/>
    <w:rsid w:val="00CC3853"/>
    <w:rsid w:val="00CC38F1"/>
    <w:rsid w:val="00CC44DF"/>
    <w:rsid w:val="00CC4723"/>
    <w:rsid w:val="00CC55C4"/>
    <w:rsid w:val="00CC752F"/>
    <w:rsid w:val="00CD0268"/>
    <w:rsid w:val="00CD0597"/>
    <w:rsid w:val="00CD0941"/>
    <w:rsid w:val="00CD0C52"/>
    <w:rsid w:val="00CD0EE1"/>
    <w:rsid w:val="00CD1236"/>
    <w:rsid w:val="00CD12B0"/>
    <w:rsid w:val="00CD1B5E"/>
    <w:rsid w:val="00CD2783"/>
    <w:rsid w:val="00CD3CA0"/>
    <w:rsid w:val="00CD41FD"/>
    <w:rsid w:val="00CD5194"/>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3F4E"/>
    <w:rsid w:val="00CE4A8F"/>
    <w:rsid w:val="00CE6796"/>
    <w:rsid w:val="00CE7D24"/>
    <w:rsid w:val="00CF03EC"/>
    <w:rsid w:val="00CF0F03"/>
    <w:rsid w:val="00CF14D1"/>
    <w:rsid w:val="00CF186A"/>
    <w:rsid w:val="00CF1E40"/>
    <w:rsid w:val="00CF1EB0"/>
    <w:rsid w:val="00CF2E71"/>
    <w:rsid w:val="00CF35E5"/>
    <w:rsid w:val="00CF390E"/>
    <w:rsid w:val="00CF3A0B"/>
    <w:rsid w:val="00CF450D"/>
    <w:rsid w:val="00CF50E5"/>
    <w:rsid w:val="00CF55BD"/>
    <w:rsid w:val="00CF7029"/>
    <w:rsid w:val="00CF7177"/>
    <w:rsid w:val="00CF75A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08"/>
    <w:rsid w:val="00D04742"/>
    <w:rsid w:val="00D0475B"/>
    <w:rsid w:val="00D047CA"/>
    <w:rsid w:val="00D04EF4"/>
    <w:rsid w:val="00D0539A"/>
    <w:rsid w:val="00D05C20"/>
    <w:rsid w:val="00D05F3E"/>
    <w:rsid w:val="00D06921"/>
    <w:rsid w:val="00D06A9E"/>
    <w:rsid w:val="00D075DD"/>
    <w:rsid w:val="00D106CD"/>
    <w:rsid w:val="00D10B93"/>
    <w:rsid w:val="00D10F9E"/>
    <w:rsid w:val="00D11B04"/>
    <w:rsid w:val="00D146BE"/>
    <w:rsid w:val="00D14733"/>
    <w:rsid w:val="00D14B8D"/>
    <w:rsid w:val="00D14F09"/>
    <w:rsid w:val="00D1527E"/>
    <w:rsid w:val="00D15849"/>
    <w:rsid w:val="00D2031B"/>
    <w:rsid w:val="00D206B0"/>
    <w:rsid w:val="00D207F9"/>
    <w:rsid w:val="00D20A40"/>
    <w:rsid w:val="00D21554"/>
    <w:rsid w:val="00D21710"/>
    <w:rsid w:val="00D21DC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04CE"/>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CCD"/>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6AB8"/>
    <w:rsid w:val="00D87A7E"/>
    <w:rsid w:val="00D87F01"/>
    <w:rsid w:val="00D91109"/>
    <w:rsid w:val="00D927D6"/>
    <w:rsid w:val="00D92A6C"/>
    <w:rsid w:val="00D93AE9"/>
    <w:rsid w:val="00D94FF2"/>
    <w:rsid w:val="00D951D2"/>
    <w:rsid w:val="00D963D1"/>
    <w:rsid w:val="00D978C6"/>
    <w:rsid w:val="00DA014E"/>
    <w:rsid w:val="00DA11DA"/>
    <w:rsid w:val="00DA163C"/>
    <w:rsid w:val="00DA1BD5"/>
    <w:rsid w:val="00DA230E"/>
    <w:rsid w:val="00DA235B"/>
    <w:rsid w:val="00DA23BE"/>
    <w:rsid w:val="00DA2A91"/>
    <w:rsid w:val="00DA2FA5"/>
    <w:rsid w:val="00DA32FF"/>
    <w:rsid w:val="00DA3FE4"/>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5346"/>
    <w:rsid w:val="00DC63A7"/>
    <w:rsid w:val="00DC644B"/>
    <w:rsid w:val="00DC65AA"/>
    <w:rsid w:val="00DC6760"/>
    <w:rsid w:val="00DC676E"/>
    <w:rsid w:val="00DC7CBD"/>
    <w:rsid w:val="00DC7D64"/>
    <w:rsid w:val="00DC7E42"/>
    <w:rsid w:val="00DD0AE3"/>
    <w:rsid w:val="00DD0F13"/>
    <w:rsid w:val="00DD20AD"/>
    <w:rsid w:val="00DD22DE"/>
    <w:rsid w:val="00DD37B6"/>
    <w:rsid w:val="00DD389D"/>
    <w:rsid w:val="00DD3A8E"/>
    <w:rsid w:val="00DD3B43"/>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14F3"/>
    <w:rsid w:val="00E02A65"/>
    <w:rsid w:val="00E02C81"/>
    <w:rsid w:val="00E033AB"/>
    <w:rsid w:val="00E035EC"/>
    <w:rsid w:val="00E039A3"/>
    <w:rsid w:val="00E03B22"/>
    <w:rsid w:val="00E03BDA"/>
    <w:rsid w:val="00E048CF"/>
    <w:rsid w:val="00E048DB"/>
    <w:rsid w:val="00E04A24"/>
    <w:rsid w:val="00E04B89"/>
    <w:rsid w:val="00E04C6F"/>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18"/>
    <w:rsid w:val="00E2352A"/>
    <w:rsid w:val="00E235F3"/>
    <w:rsid w:val="00E23A9E"/>
    <w:rsid w:val="00E240C9"/>
    <w:rsid w:val="00E248B0"/>
    <w:rsid w:val="00E249D9"/>
    <w:rsid w:val="00E25015"/>
    <w:rsid w:val="00E25174"/>
    <w:rsid w:val="00E2548B"/>
    <w:rsid w:val="00E26382"/>
    <w:rsid w:val="00E30DF3"/>
    <w:rsid w:val="00E313A5"/>
    <w:rsid w:val="00E317C2"/>
    <w:rsid w:val="00E3212D"/>
    <w:rsid w:val="00E32575"/>
    <w:rsid w:val="00E33431"/>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971"/>
    <w:rsid w:val="00E45BE0"/>
    <w:rsid w:val="00E45C44"/>
    <w:rsid w:val="00E46FD5"/>
    <w:rsid w:val="00E470CE"/>
    <w:rsid w:val="00E504BC"/>
    <w:rsid w:val="00E50575"/>
    <w:rsid w:val="00E5195C"/>
    <w:rsid w:val="00E51CE3"/>
    <w:rsid w:val="00E523C1"/>
    <w:rsid w:val="00E52F65"/>
    <w:rsid w:val="00E536EE"/>
    <w:rsid w:val="00E53D3B"/>
    <w:rsid w:val="00E54831"/>
    <w:rsid w:val="00E556AD"/>
    <w:rsid w:val="00E55E64"/>
    <w:rsid w:val="00E55EFC"/>
    <w:rsid w:val="00E56F4E"/>
    <w:rsid w:val="00E5769A"/>
    <w:rsid w:val="00E6098A"/>
    <w:rsid w:val="00E62F0D"/>
    <w:rsid w:val="00E62FC0"/>
    <w:rsid w:val="00E6330B"/>
    <w:rsid w:val="00E6333B"/>
    <w:rsid w:val="00E64818"/>
    <w:rsid w:val="00E64BFC"/>
    <w:rsid w:val="00E64C3B"/>
    <w:rsid w:val="00E65426"/>
    <w:rsid w:val="00E65A6B"/>
    <w:rsid w:val="00E65E72"/>
    <w:rsid w:val="00E669EB"/>
    <w:rsid w:val="00E66D37"/>
    <w:rsid w:val="00E676C9"/>
    <w:rsid w:val="00E6787F"/>
    <w:rsid w:val="00E67EA8"/>
    <w:rsid w:val="00E67EF9"/>
    <w:rsid w:val="00E7082A"/>
    <w:rsid w:val="00E70E1C"/>
    <w:rsid w:val="00E717EA"/>
    <w:rsid w:val="00E71A2F"/>
    <w:rsid w:val="00E7260F"/>
    <w:rsid w:val="00E72E82"/>
    <w:rsid w:val="00E7328E"/>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14"/>
    <w:rsid w:val="00E94C93"/>
    <w:rsid w:val="00E95374"/>
    <w:rsid w:val="00E95541"/>
    <w:rsid w:val="00E95B73"/>
    <w:rsid w:val="00E9637E"/>
    <w:rsid w:val="00E96630"/>
    <w:rsid w:val="00E969EF"/>
    <w:rsid w:val="00E96BE4"/>
    <w:rsid w:val="00E97C9A"/>
    <w:rsid w:val="00EA0CA0"/>
    <w:rsid w:val="00EA131D"/>
    <w:rsid w:val="00EA15FA"/>
    <w:rsid w:val="00EA1B2D"/>
    <w:rsid w:val="00EA1CF9"/>
    <w:rsid w:val="00EA2621"/>
    <w:rsid w:val="00EA264E"/>
    <w:rsid w:val="00EA336C"/>
    <w:rsid w:val="00EA3938"/>
    <w:rsid w:val="00EA4819"/>
    <w:rsid w:val="00EA5256"/>
    <w:rsid w:val="00EA5569"/>
    <w:rsid w:val="00EA572C"/>
    <w:rsid w:val="00EA620F"/>
    <w:rsid w:val="00EA696B"/>
    <w:rsid w:val="00EA7450"/>
    <w:rsid w:val="00EA7DD7"/>
    <w:rsid w:val="00EB0494"/>
    <w:rsid w:val="00EB0D33"/>
    <w:rsid w:val="00EB1731"/>
    <w:rsid w:val="00EB1813"/>
    <w:rsid w:val="00EB1ACF"/>
    <w:rsid w:val="00EB1D68"/>
    <w:rsid w:val="00EB3BA3"/>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208"/>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1D1"/>
    <w:rsid w:val="00EC7F76"/>
    <w:rsid w:val="00ED0040"/>
    <w:rsid w:val="00ED06B5"/>
    <w:rsid w:val="00ED0990"/>
    <w:rsid w:val="00ED1102"/>
    <w:rsid w:val="00ED15C7"/>
    <w:rsid w:val="00ED240E"/>
    <w:rsid w:val="00ED26D5"/>
    <w:rsid w:val="00ED290A"/>
    <w:rsid w:val="00ED2C4E"/>
    <w:rsid w:val="00ED2D72"/>
    <w:rsid w:val="00ED50A2"/>
    <w:rsid w:val="00ED56FE"/>
    <w:rsid w:val="00ED572A"/>
    <w:rsid w:val="00ED69A7"/>
    <w:rsid w:val="00ED6B1A"/>
    <w:rsid w:val="00ED75AF"/>
    <w:rsid w:val="00ED7A2A"/>
    <w:rsid w:val="00ED7D4A"/>
    <w:rsid w:val="00EE0592"/>
    <w:rsid w:val="00EE074A"/>
    <w:rsid w:val="00EE0C1C"/>
    <w:rsid w:val="00EE0DD6"/>
    <w:rsid w:val="00EE105E"/>
    <w:rsid w:val="00EE24E6"/>
    <w:rsid w:val="00EE24F2"/>
    <w:rsid w:val="00EE2D28"/>
    <w:rsid w:val="00EE352D"/>
    <w:rsid w:val="00EE37B0"/>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07D91"/>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144"/>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7844"/>
    <w:rsid w:val="00F40C3B"/>
    <w:rsid w:val="00F41A5B"/>
    <w:rsid w:val="00F41C09"/>
    <w:rsid w:val="00F42E0D"/>
    <w:rsid w:val="00F43ECF"/>
    <w:rsid w:val="00F44610"/>
    <w:rsid w:val="00F44CEF"/>
    <w:rsid w:val="00F451D8"/>
    <w:rsid w:val="00F45D02"/>
    <w:rsid w:val="00F46171"/>
    <w:rsid w:val="00F47C7A"/>
    <w:rsid w:val="00F47CD5"/>
    <w:rsid w:val="00F503D9"/>
    <w:rsid w:val="00F5040D"/>
    <w:rsid w:val="00F5042B"/>
    <w:rsid w:val="00F50D54"/>
    <w:rsid w:val="00F5137D"/>
    <w:rsid w:val="00F51A76"/>
    <w:rsid w:val="00F530CC"/>
    <w:rsid w:val="00F5318C"/>
    <w:rsid w:val="00F539E7"/>
    <w:rsid w:val="00F53EDA"/>
    <w:rsid w:val="00F54454"/>
    <w:rsid w:val="00F54710"/>
    <w:rsid w:val="00F54B00"/>
    <w:rsid w:val="00F54D57"/>
    <w:rsid w:val="00F56194"/>
    <w:rsid w:val="00F5659E"/>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3E6"/>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385"/>
    <w:rsid w:val="00F91425"/>
    <w:rsid w:val="00F91484"/>
    <w:rsid w:val="00F924EE"/>
    <w:rsid w:val="00F93AA1"/>
    <w:rsid w:val="00F9422D"/>
    <w:rsid w:val="00F94389"/>
    <w:rsid w:val="00F9614D"/>
    <w:rsid w:val="00F97BC2"/>
    <w:rsid w:val="00F97C95"/>
    <w:rsid w:val="00F97CF2"/>
    <w:rsid w:val="00F97E44"/>
    <w:rsid w:val="00FA04D9"/>
    <w:rsid w:val="00FA06F7"/>
    <w:rsid w:val="00FA1970"/>
    <w:rsid w:val="00FA217E"/>
    <w:rsid w:val="00FA2D23"/>
    <w:rsid w:val="00FA3968"/>
    <w:rsid w:val="00FA3DEC"/>
    <w:rsid w:val="00FA52BA"/>
    <w:rsid w:val="00FA64FE"/>
    <w:rsid w:val="00FA6EA7"/>
    <w:rsid w:val="00FA6F96"/>
    <w:rsid w:val="00FA72BB"/>
    <w:rsid w:val="00FA7467"/>
    <w:rsid w:val="00FA74C8"/>
    <w:rsid w:val="00FA7A71"/>
    <w:rsid w:val="00FB111D"/>
    <w:rsid w:val="00FB14B1"/>
    <w:rsid w:val="00FB171A"/>
    <w:rsid w:val="00FB19F0"/>
    <w:rsid w:val="00FB22A0"/>
    <w:rsid w:val="00FB247D"/>
    <w:rsid w:val="00FB2556"/>
    <w:rsid w:val="00FB2AA5"/>
    <w:rsid w:val="00FB2B76"/>
    <w:rsid w:val="00FB2EC1"/>
    <w:rsid w:val="00FB3A3F"/>
    <w:rsid w:val="00FB3AFD"/>
    <w:rsid w:val="00FB42F8"/>
    <w:rsid w:val="00FB495A"/>
    <w:rsid w:val="00FB4B1D"/>
    <w:rsid w:val="00FB4D6F"/>
    <w:rsid w:val="00FB4FC2"/>
    <w:rsid w:val="00FB5487"/>
    <w:rsid w:val="00FB5649"/>
    <w:rsid w:val="00FB57AF"/>
    <w:rsid w:val="00FB583F"/>
    <w:rsid w:val="00FB73D9"/>
    <w:rsid w:val="00FB7B63"/>
    <w:rsid w:val="00FC0A84"/>
    <w:rsid w:val="00FC0DEA"/>
    <w:rsid w:val="00FC1441"/>
    <w:rsid w:val="00FC2220"/>
    <w:rsid w:val="00FC293B"/>
    <w:rsid w:val="00FC3444"/>
    <w:rsid w:val="00FC3BDB"/>
    <w:rsid w:val="00FC40E3"/>
    <w:rsid w:val="00FC4D8A"/>
    <w:rsid w:val="00FC5019"/>
    <w:rsid w:val="00FC50F2"/>
    <w:rsid w:val="00FC5CEE"/>
    <w:rsid w:val="00FC6265"/>
    <w:rsid w:val="00FC6612"/>
    <w:rsid w:val="00FC68B7"/>
    <w:rsid w:val="00FC6E04"/>
    <w:rsid w:val="00FC755F"/>
    <w:rsid w:val="00FC7563"/>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069"/>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qFormat/>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uiPriority w:val="99"/>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fontstyle01">
    <w:name w:val="fontstyle01"/>
    <w:basedOn w:val="DefaultParagraphFont"/>
    <w:rsid w:val="000D30C2"/>
    <w:rPr>
      <w:rFonts w:ascii="TimesNewRomanPS-BoldMT" w:hAnsi="TimesNewRomanPS-BoldMT" w:hint="default"/>
      <w:b/>
      <w:bCs/>
      <w:i w:val="0"/>
      <w:iCs w:val="0"/>
      <w:color w:val="000000"/>
      <w:sz w:val="18"/>
      <w:szCs w:val="18"/>
    </w:rPr>
  </w:style>
  <w:style w:type="paragraph" w:customStyle="1" w:styleId="4Para4thlevel">
    <w:name w:val="4.Para 4th level"/>
    <w:basedOn w:val="Normal"/>
    <w:link w:val="4Para4thlevelCar"/>
    <w:qFormat/>
    <w:rsid w:val="009B56E1"/>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9B56E1"/>
    <w:rPr>
      <w:rFonts w:eastAsiaTheme="minorEastAsia"/>
      <w:lang w:eastAsia="en-US"/>
    </w:rPr>
  </w:style>
  <w:style w:type="paragraph" w:customStyle="1" w:styleId="3para3rdlevel">
    <w:name w:val="3.para 3rd level"/>
    <w:basedOn w:val="SingleTxtG"/>
    <w:link w:val="3para3rdlevelCar"/>
    <w:qFormat/>
    <w:rsid w:val="009B56E1"/>
    <w:pPr>
      <w:ind w:left="2268" w:hanging="1134"/>
      <w:outlineLvl w:val="2"/>
    </w:pPr>
    <w:rPr>
      <w:rFonts w:eastAsiaTheme="minorEastAsia"/>
    </w:rPr>
  </w:style>
  <w:style w:type="character" w:customStyle="1" w:styleId="3para3rdlevelCar">
    <w:name w:val="3.para 3rd level Car"/>
    <w:link w:val="3para3rdlevel"/>
    <w:rsid w:val="009B56E1"/>
    <w:rPr>
      <w:rFonts w:eastAsiaTheme="minorEastAsia"/>
      <w:lang w:eastAsia="en-US"/>
    </w:rPr>
  </w:style>
  <w:style w:type="character" w:customStyle="1" w:styleId="Carpredefinitoparagrafo1">
    <w:name w:val="Car. predefinito paragrafo1"/>
    <w:rsid w:val="00C331A8"/>
  </w:style>
  <w:style w:type="paragraph" w:customStyle="1" w:styleId="Normale1">
    <w:name w:val="Normale1"/>
    <w:rsid w:val="00C331A8"/>
    <w:pPr>
      <w:widowControl w:val="0"/>
      <w:suppressAutoHyphens/>
      <w:autoSpaceDN w:val="0"/>
      <w:textAlignment w:val="baseline"/>
    </w:pPr>
    <w:rPr>
      <w:lang w:val="en-US" w:eastAsia="en-US"/>
    </w:rPr>
  </w:style>
  <w:style w:type="character" w:customStyle="1" w:styleId="FootnoteCharacters">
    <w:name w:val="Footnote Characters"/>
    <w:uiPriority w:val="99"/>
    <w:qFormat/>
    <w:rsid w:val="00BA2494"/>
    <w:rPr>
      <w:rFonts w:ascii="Times New Roman" w:eastAsia="Times New Roman" w:hAnsi="Times New Roman" w:cs="Times New Roman"/>
      <w:position w:val="0"/>
      <w:sz w:val="18"/>
      <w:vertAlign w:val="superscript"/>
    </w:rPr>
  </w:style>
  <w:style w:type="paragraph" w:customStyle="1" w:styleId="2para2ndlevel">
    <w:name w:val="2.para 2nd level"/>
    <w:basedOn w:val="3para3rdlevel"/>
    <w:link w:val="2para2ndlevelCar"/>
    <w:qFormat/>
    <w:rsid w:val="009540D4"/>
    <w:pPr>
      <w:outlineLvl w:val="1"/>
    </w:pPr>
  </w:style>
  <w:style w:type="character" w:customStyle="1" w:styleId="2para2ndlevelCar">
    <w:name w:val="2.para 2nd level Car"/>
    <w:basedOn w:val="3para3rdlevelCar"/>
    <w:link w:val="2para2ndlevel"/>
    <w:rsid w:val="009540D4"/>
    <w:rPr>
      <w:rFonts w:eastAsiaTheme="minorEastAsia"/>
      <w:lang w:eastAsia="en-US"/>
    </w:rPr>
  </w:style>
  <w:style w:type="paragraph" w:customStyle="1" w:styleId="1para1stlevel">
    <w:name w:val="1.para 1st level"/>
    <w:basedOn w:val="Normal"/>
    <w:link w:val="1para1stlevelCar"/>
    <w:qFormat/>
    <w:rsid w:val="00B741E5"/>
    <w:pPr>
      <w:spacing w:after="120"/>
      <w:ind w:left="2268" w:right="1134" w:hanging="1134"/>
      <w:jc w:val="both"/>
      <w:outlineLvl w:val="0"/>
    </w:pPr>
    <w:rPr>
      <w:rFonts w:eastAsiaTheme="minorEastAsia"/>
    </w:rPr>
  </w:style>
  <w:style w:type="character" w:customStyle="1" w:styleId="1para1stlevelCar">
    <w:name w:val="1.para 1st level Car"/>
    <w:basedOn w:val="DefaultParagraphFont"/>
    <w:link w:val="1para1stlevel"/>
    <w:rsid w:val="00B741E5"/>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2.xml><?xml version="1.0" encoding="utf-8"?>
<ds:datastoreItem xmlns:ds="http://schemas.openxmlformats.org/officeDocument/2006/customXml" ds:itemID="{07305CC0-053D-486F-B1B9-895370F6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customXml/itemProps4.xml><?xml version="1.0" encoding="utf-8"?>
<ds:datastoreItem xmlns:ds="http://schemas.openxmlformats.org/officeDocument/2006/customXml" ds:itemID="{1C89772E-B9F7-4560-AACF-2D2F4B02323B}">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4b4a1c0d-4a69-4996-a84a-fc699b9f49de"/>
    <ds:schemaRef ds:uri="985ec44e-1bab-4c0b-9df0-6ba128686fc9"/>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6</Pages>
  <Words>1693</Words>
  <Characters>8437</Characters>
  <Application>Microsoft Office Word</Application>
  <DocSecurity>0</DocSecurity>
  <Lines>198</Lines>
  <Paragraphs>81</Paragraphs>
  <ScaleCrop>false</ScaleCrop>
  <HeadingPairs>
    <vt:vector size="8" baseType="variant">
      <vt:variant>
        <vt:lpstr>Titolo</vt:lpstr>
      </vt:variant>
      <vt:variant>
        <vt:i4>1</vt:i4>
      </vt:variant>
      <vt:variant>
        <vt:lpstr>Titre</vt:lpstr>
      </vt:variant>
      <vt:variant>
        <vt:i4>1</vt:i4>
      </vt:variant>
      <vt:variant>
        <vt:lpstr>Title</vt:lpstr>
      </vt:variant>
      <vt:variant>
        <vt:i4>1</vt:i4>
      </vt:variant>
      <vt:variant>
        <vt:lpstr>Titel</vt:lpstr>
      </vt:variant>
      <vt:variant>
        <vt:i4>1</vt:i4>
      </vt:variant>
    </vt:vector>
  </HeadingPairs>
  <TitlesOfParts>
    <vt:vector size="4" baseType="lpstr">
      <vt:lpstr>ECE/TRANS/WP.29/GRE/2022/10</vt:lpstr>
      <vt:lpstr>ECE/TRANS/WP.29/GRE/2022/10</vt:lpstr>
      <vt:lpstr>ECE/TRANS/WP.29/GRE/2020/9</vt:lpstr>
      <vt:lpstr>ECE/TRANS/WP.29/GRE/2019/3</vt:lpstr>
    </vt:vector>
  </TitlesOfParts>
  <Company>CSD</Company>
  <LinksUpToDate>false</LinksUpToDate>
  <CharactersWithSpaces>10063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ECE/TRANS/WP.29/GRE/2024/8</dc:title>
  <dc:subject>2402074</dc:subject>
  <dc:creator>AFTER JUNE</dc:creator>
  <cp:keywords/>
  <dc:description/>
  <cp:lastModifiedBy>Pauline Anne Escalante</cp:lastModifiedBy>
  <cp:revision>2</cp:revision>
  <cp:lastPrinted>2022-07-26T12:04:00Z</cp:lastPrinted>
  <dcterms:created xsi:type="dcterms:W3CDTF">2024-02-06T10:01:00Z</dcterms:created>
  <dcterms:modified xsi:type="dcterms:W3CDTF">2024-02-06T10:01:00Z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