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F35D598" w14:textId="77777777" w:rsidTr="00C97039">
        <w:trPr>
          <w:trHeight w:hRule="exact" w:val="851"/>
        </w:trPr>
        <w:tc>
          <w:tcPr>
            <w:tcW w:w="1276" w:type="dxa"/>
            <w:tcBorders>
              <w:bottom w:val="single" w:sz="4" w:space="0" w:color="auto"/>
            </w:tcBorders>
          </w:tcPr>
          <w:p w14:paraId="27A70514" w14:textId="77777777" w:rsidR="00F35BAF" w:rsidRPr="00DB58B5" w:rsidRDefault="00F35BAF" w:rsidP="00F74773"/>
        </w:tc>
        <w:tc>
          <w:tcPr>
            <w:tcW w:w="2268" w:type="dxa"/>
            <w:tcBorders>
              <w:bottom w:val="single" w:sz="4" w:space="0" w:color="auto"/>
            </w:tcBorders>
            <w:vAlign w:val="bottom"/>
          </w:tcPr>
          <w:p w14:paraId="4D7A9AA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8C7A1E" w14:textId="6F3425D8" w:rsidR="00F35BAF" w:rsidRPr="00DB58B5" w:rsidRDefault="00F74773" w:rsidP="00F74773">
            <w:pPr>
              <w:jc w:val="right"/>
            </w:pPr>
            <w:r w:rsidRPr="00F74773">
              <w:rPr>
                <w:sz w:val="40"/>
              </w:rPr>
              <w:t>ECE</w:t>
            </w:r>
            <w:r>
              <w:t>/TRANS/WP.29/GRE/2024/4</w:t>
            </w:r>
          </w:p>
        </w:tc>
      </w:tr>
      <w:tr w:rsidR="00F35BAF" w:rsidRPr="00DB58B5" w14:paraId="31ED8F08" w14:textId="77777777" w:rsidTr="00C97039">
        <w:trPr>
          <w:trHeight w:hRule="exact" w:val="2835"/>
        </w:trPr>
        <w:tc>
          <w:tcPr>
            <w:tcW w:w="1276" w:type="dxa"/>
            <w:tcBorders>
              <w:top w:val="single" w:sz="4" w:space="0" w:color="auto"/>
              <w:bottom w:val="single" w:sz="12" w:space="0" w:color="auto"/>
            </w:tcBorders>
          </w:tcPr>
          <w:p w14:paraId="7F501C6E" w14:textId="77777777" w:rsidR="00F35BAF" w:rsidRPr="00DB58B5" w:rsidRDefault="00F35BAF" w:rsidP="00C97039">
            <w:pPr>
              <w:spacing w:before="120"/>
              <w:jc w:val="center"/>
            </w:pPr>
            <w:r>
              <w:rPr>
                <w:noProof/>
                <w:lang w:eastAsia="fr-CH"/>
              </w:rPr>
              <w:drawing>
                <wp:inline distT="0" distB="0" distL="0" distR="0" wp14:anchorId="63ABCD17" wp14:editId="50E7E9F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5F9DA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1D683F" w14:textId="77777777" w:rsidR="00F35BAF" w:rsidRDefault="00F74773" w:rsidP="00C97039">
            <w:pPr>
              <w:spacing w:before="240"/>
            </w:pPr>
            <w:r>
              <w:t>Distr. générale</w:t>
            </w:r>
          </w:p>
          <w:p w14:paraId="52D6FBB0" w14:textId="77777777" w:rsidR="00F74773" w:rsidRDefault="00F74773" w:rsidP="00F74773">
            <w:pPr>
              <w:spacing w:line="240" w:lineRule="exact"/>
            </w:pPr>
            <w:r>
              <w:t>6 février 2024</w:t>
            </w:r>
          </w:p>
          <w:p w14:paraId="2AC53AFA" w14:textId="77777777" w:rsidR="00F74773" w:rsidRDefault="00F74773" w:rsidP="00F74773">
            <w:pPr>
              <w:spacing w:line="240" w:lineRule="exact"/>
            </w:pPr>
            <w:r>
              <w:t>Français</w:t>
            </w:r>
          </w:p>
          <w:p w14:paraId="5230B71C" w14:textId="6A6FC546" w:rsidR="00F74773" w:rsidRPr="00DB58B5" w:rsidRDefault="00F74773" w:rsidP="00F74773">
            <w:pPr>
              <w:spacing w:line="240" w:lineRule="exact"/>
            </w:pPr>
            <w:r>
              <w:t>Original : anglais</w:t>
            </w:r>
          </w:p>
        </w:tc>
      </w:tr>
    </w:tbl>
    <w:p w14:paraId="0194E1EE" w14:textId="77777777" w:rsidR="007F20FA" w:rsidRPr="000312C0" w:rsidRDefault="007F20FA" w:rsidP="007F20FA">
      <w:pPr>
        <w:spacing w:before="120"/>
        <w:rPr>
          <w:b/>
          <w:sz w:val="28"/>
          <w:szCs w:val="28"/>
        </w:rPr>
      </w:pPr>
      <w:r w:rsidRPr="000312C0">
        <w:rPr>
          <w:b/>
          <w:sz w:val="28"/>
          <w:szCs w:val="28"/>
        </w:rPr>
        <w:t>Commission économique pour l’Europe</w:t>
      </w:r>
    </w:p>
    <w:p w14:paraId="47AC0788" w14:textId="77777777" w:rsidR="007F20FA" w:rsidRDefault="007F20FA" w:rsidP="007F20FA">
      <w:pPr>
        <w:spacing w:before="120"/>
        <w:rPr>
          <w:sz w:val="28"/>
          <w:szCs w:val="28"/>
        </w:rPr>
      </w:pPr>
      <w:r w:rsidRPr="00685843">
        <w:rPr>
          <w:sz w:val="28"/>
          <w:szCs w:val="28"/>
        </w:rPr>
        <w:t>Comité des transports intérieurs</w:t>
      </w:r>
    </w:p>
    <w:p w14:paraId="746DA681" w14:textId="77777777" w:rsidR="00F74773" w:rsidRDefault="00F74773"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D999967" w14:textId="77777777" w:rsidR="00F74773" w:rsidRDefault="00F74773" w:rsidP="00257168">
      <w:pPr>
        <w:spacing w:before="120" w:after="120" w:line="240" w:lineRule="exact"/>
        <w:rPr>
          <w:b/>
        </w:rPr>
      </w:pPr>
      <w:r>
        <w:rPr>
          <w:b/>
        </w:rPr>
        <w:t>Groupe de travail de l’éclairage et de la signalisation lumineuse</w:t>
      </w:r>
    </w:p>
    <w:p w14:paraId="21D00CC6" w14:textId="77777777" w:rsidR="00F74773" w:rsidRPr="0029236B" w:rsidRDefault="00F74773" w:rsidP="00F74773">
      <w:pPr>
        <w:ind w:right="1134"/>
        <w:rPr>
          <w:b/>
          <w:lang w:val="fr-FR"/>
        </w:rPr>
      </w:pPr>
      <w:r>
        <w:rPr>
          <w:b/>
          <w:bCs/>
          <w:lang w:val="fr-FR"/>
        </w:rPr>
        <w:t>Quatre-vingt-dixième session</w:t>
      </w:r>
    </w:p>
    <w:p w14:paraId="4586D0D6" w14:textId="77777777" w:rsidR="00F74773" w:rsidRPr="0029236B" w:rsidRDefault="00F74773" w:rsidP="00F74773">
      <w:pPr>
        <w:ind w:right="1134"/>
        <w:rPr>
          <w:lang w:val="fr-FR"/>
        </w:rPr>
      </w:pPr>
      <w:r>
        <w:rPr>
          <w:lang w:val="fr-FR"/>
        </w:rPr>
        <w:t>Genève, 29 avril-3 mai 2024</w:t>
      </w:r>
    </w:p>
    <w:p w14:paraId="60067177" w14:textId="77777777" w:rsidR="00F74773" w:rsidRPr="0029236B" w:rsidRDefault="00F74773" w:rsidP="00F74773">
      <w:pPr>
        <w:ind w:right="1134"/>
        <w:rPr>
          <w:bCs/>
          <w:lang w:val="fr-FR"/>
        </w:rPr>
      </w:pPr>
      <w:r>
        <w:rPr>
          <w:lang w:val="fr-FR"/>
        </w:rPr>
        <w:t>Point 6 a) de l’ordre du jour provisoire</w:t>
      </w:r>
    </w:p>
    <w:p w14:paraId="723BC642" w14:textId="6D8719EF" w:rsidR="00F74773" w:rsidRPr="0029236B" w:rsidRDefault="00F74773" w:rsidP="00F74773">
      <w:pPr>
        <w:ind w:right="1467"/>
        <w:rPr>
          <w:b/>
          <w:bCs/>
          <w:lang w:val="fr-FR"/>
        </w:rPr>
      </w:pPr>
      <w:r>
        <w:rPr>
          <w:b/>
          <w:bCs/>
          <w:lang w:val="fr-FR"/>
        </w:rPr>
        <w:t>Règlements ONU concernant l’installation</w:t>
      </w:r>
      <w:r>
        <w:rPr>
          <w:b/>
          <w:bCs/>
          <w:lang w:val="fr-FR"/>
        </w:rPr>
        <w:t> </w:t>
      </w:r>
      <w:r>
        <w:rPr>
          <w:b/>
          <w:bCs/>
          <w:lang w:val="fr-FR"/>
        </w:rPr>
        <w:t xml:space="preserve">: Règlement ONU </w:t>
      </w:r>
      <w:r w:rsidRPr="00F74773">
        <w:rPr>
          <w:rFonts w:eastAsia="MS Mincho"/>
          <w:b/>
          <w:bCs/>
          <w:lang w:val="fr-FR"/>
        </w:rPr>
        <w:t>n</w:t>
      </w:r>
      <w:r w:rsidRPr="00F74773">
        <w:rPr>
          <w:rFonts w:eastAsia="MS Mincho"/>
          <w:b/>
          <w:bCs/>
          <w:vertAlign w:val="superscript"/>
          <w:lang w:val="fr-FR"/>
        </w:rPr>
        <w:t>o</w:t>
      </w:r>
      <w:r>
        <w:rPr>
          <w:b/>
          <w:bCs/>
          <w:lang w:val="fr-FR"/>
        </w:rPr>
        <w:t xml:space="preserve"> 48 </w:t>
      </w:r>
      <w:r>
        <w:rPr>
          <w:b/>
          <w:bCs/>
          <w:lang w:val="fr-FR"/>
        </w:rPr>
        <w:br/>
      </w:r>
      <w:r>
        <w:rPr>
          <w:b/>
          <w:bCs/>
          <w:lang w:val="fr-FR"/>
        </w:rPr>
        <w:t>(Installation des dispositifs d’éclairage et de signalisation lumineuse)</w:t>
      </w:r>
    </w:p>
    <w:p w14:paraId="7A31BE9F" w14:textId="1AF6334B" w:rsidR="00F74773" w:rsidRPr="0029236B" w:rsidRDefault="00F74773" w:rsidP="00F74773">
      <w:pPr>
        <w:pStyle w:val="HChG"/>
        <w:rPr>
          <w:lang w:val="fr-FR"/>
        </w:rPr>
      </w:pPr>
      <w:r>
        <w:rPr>
          <w:lang w:val="fr-FR"/>
        </w:rPr>
        <w:tab/>
      </w:r>
      <w:r>
        <w:rPr>
          <w:lang w:val="fr-FR"/>
        </w:rPr>
        <w:tab/>
        <w:t xml:space="preserve">Proposition de complément aux séries 06, 07 et 08 d’amendements au Règlement ONU </w:t>
      </w:r>
      <w:r w:rsidRPr="00F74773">
        <w:rPr>
          <w:rFonts w:eastAsia="MS Mincho"/>
          <w:lang w:val="fr-FR"/>
        </w:rPr>
        <w:t>n</w:t>
      </w:r>
      <w:r w:rsidRPr="00F74773">
        <w:rPr>
          <w:rFonts w:eastAsia="MS Mincho"/>
          <w:vertAlign w:val="superscript"/>
          <w:lang w:val="fr-FR"/>
        </w:rPr>
        <w:t>o</w:t>
      </w:r>
      <w:r>
        <w:rPr>
          <w:lang w:val="fr-FR"/>
        </w:rPr>
        <w:t xml:space="preserve"> 48</w:t>
      </w:r>
    </w:p>
    <w:p w14:paraId="616AC249" w14:textId="20A92155" w:rsidR="00F74773" w:rsidRPr="0029236B" w:rsidRDefault="00F74773" w:rsidP="00F74773">
      <w:pPr>
        <w:pStyle w:val="H1G"/>
        <w:rPr>
          <w:szCs w:val="24"/>
          <w:lang w:val="fr-FR"/>
        </w:rPr>
      </w:pPr>
      <w:r>
        <w:rPr>
          <w:lang w:val="fr-FR"/>
        </w:rPr>
        <w:tab/>
      </w:r>
      <w:r>
        <w:rPr>
          <w:lang w:val="fr-FR"/>
        </w:rPr>
        <w:tab/>
        <w:t>Communication des experts du Groupe de travail «</w:t>
      </w:r>
      <w:r>
        <w:rPr>
          <w:lang w:val="fr-FR"/>
        </w:rPr>
        <w:t> </w:t>
      </w:r>
      <w:r>
        <w:rPr>
          <w:lang w:val="fr-FR"/>
        </w:rPr>
        <w:t>Bruxelles 1952</w:t>
      </w:r>
      <w:r>
        <w:rPr>
          <w:lang w:val="fr-FR"/>
        </w:rPr>
        <w:t> </w:t>
      </w:r>
      <w:r>
        <w:rPr>
          <w:lang w:val="fr-FR"/>
        </w:rPr>
        <w:t>»</w:t>
      </w:r>
      <w:r w:rsidRPr="00F74773">
        <w:rPr>
          <w:b w:val="0"/>
          <w:bCs/>
          <w:sz w:val="20"/>
          <w:lang w:val="fr-FR"/>
        </w:rPr>
        <w:t>*</w:t>
      </w:r>
      <w:r>
        <w:rPr>
          <w:lang w:val="fr-FR"/>
        </w:rPr>
        <w:t xml:space="preserve"> </w:t>
      </w:r>
    </w:p>
    <w:p w14:paraId="6E0485C2" w14:textId="6E826ED8" w:rsidR="00F74773" w:rsidRDefault="00F74773" w:rsidP="00F74773">
      <w:pPr>
        <w:pStyle w:val="SingleTxtG"/>
        <w:ind w:firstLine="567"/>
        <w:rPr>
          <w:lang w:val="fr-FR"/>
        </w:rPr>
      </w:pPr>
      <w:r>
        <w:rPr>
          <w:lang w:val="fr-FR"/>
        </w:rPr>
        <w:footnoteReference w:customMarkFollows="1" w:id="2"/>
        <w:t>Le texte ci-après, établi par les experts du Groupe de travail «</w:t>
      </w:r>
      <w:r>
        <w:rPr>
          <w:lang w:val="fr-FR"/>
        </w:rPr>
        <w:t> </w:t>
      </w:r>
      <w:r>
        <w:rPr>
          <w:lang w:val="fr-FR"/>
        </w:rPr>
        <w:t>Bruxelles 1952</w:t>
      </w:r>
      <w:r>
        <w:rPr>
          <w:lang w:val="fr-FR"/>
        </w:rPr>
        <w:t> </w:t>
      </w:r>
      <w:r>
        <w:rPr>
          <w:lang w:val="fr-FR"/>
        </w:rPr>
        <w:t xml:space="preserve">» (GTB), vise à harmoniser les prescriptions relatives à l’inclinaison verticale du faisceau de croisement des véhicules tout-terrain figurant dans les séries 06, 07 et 08 d’amendements au Règlement ONU </w:t>
      </w:r>
      <w:r w:rsidRPr="00F74773">
        <w:rPr>
          <w:rFonts w:eastAsia="MS Mincho"/>
          <w:lang w:val="fr-FR"/>
        </w:rPr>
        <w:t>n</w:t>
      </w:r>
      <w:r w:rsidRPr="00F74773">
        <w:rPr>
          <w:rFonts w:eastAsia="MS Mincho"/>
          <w:vertAlign w:val="superscript"/>
          <w:lang w:val="fr-FR"/>
        </w:rPr>
        <w:t>o</w:t>
      </w:r>
      <w:r>
        <w:rPr>
          <w:lang w:val="fr-FR"/>
        </w:rPr>
        <w:t xml:space="preserve"> 48 avec celles de la série 09 d’amendements. Les modifications qu’il est proposé d’apporter au texte actuel du Règlement ONU figurent en caractères gras pour les ajouts et biffés pour les suppressions.</w:t>
      </w:r>
    </w:p>
    <w:p w14:paraId="4A006D5C" w14:textId="77777777" w:rsidR="00F74773" w:rsidRDefault="00F74773">
      <w:pPr>
        <w:suppressAutoHyphens w:val="0"/>
        <w:kinsoku/>
        <w:overflowPunct/>
        <w:autoSpaceDE/>
        <w:autoSpaceDN/>
        <w:adjustRightInd/>
        <w:snapToGrid/>
        <w:spacing w:after="200" w:line="276" w:lineRule="auto"/>
        <w:rPr>
          <w:lang w:val="fr-FR"/>
        </w:rPr>
      </w:pPr>
      <w:r>
        <w:rPr>
          <w:lang w:val="fr-FR"/>
        </w:rPr>
        <w:br w:type="page"/>
      </w:r>
    </w:p>
    <w:p w14:paraId="1A5042C8" w14:textId="749C3BDC" w:rsidR="00F74773" w:rsidRPr="0029236B" w:rsidRDefault="00F74773" w:rsidP="00F74773">
      <w:pPr>
        <w:pStyle w:val="HChG"/>
        <w:rPr>
          <w:lang w:val="fr-FR"/>
        </w:rPr>
      </w:pPr>
      <w:r>
        <w:rPr>
          <w:lang w:val="fr-FR"/>
        </w:rPr>
        <w:lastRenderedPageBreak/>
        <w:tab/>
      </w:r>
      <w:r>
        <w:rPr>
          <w:lang w:val="fr-FR"/>
        </w:rPr>
        <w:t>I.</w:t>
      </w:r>
      <w:r>
        <w:rPr>
          <w:lang w:val="fr-FR"/>
        </w:rPr>
        <w:tab/>
        <w:t>Proposition</w:t>
      </w:r>
    </w:p>
    <w:p w14:paraId="141EA815" w14:textId="1619190A" w:rsidR="00F74773" w:rsidRPr="0029236B" w:rsidRDefault="00F74773" w:rsidP="00F74773">
      <w:pPr>
        <w:pStyle w:val="SingleTxtG"/>
        <w:rPr>
          <w:lang w:val="fr-FR"/>
        </w:rPr>
      </w:pPr>
      <w:r w:rsidRPr="00F74773">
        <w:rPr>
          <w:i/>
          <w:iCs/>
          <w:lang w:val="fr-FR"/>
        </w:rPr>
        <w:t>Le paragraphe 6.2.6.1.2</w:t>
      </w:r>
      <w:r>
        <w:rPr>
          <w:lang w:val="fr-FR"/>
        </w:rPr>
        <w:t xml:space="preserve"> est modifié comme suit</w:t>
      </w:r>
      <w:r>
        <w:rPr>
          <w:lang w:val="fr-FR"/>
        </w:rPr>
        <w:t> </w:t>
      </w:r>
      <w:r>
        <w:rPr>
          <w:lang w:val="fr-FR"/>
        </w:rPr>
        <w:t>:</w:t>
      </w:r>
    </w:p>
    <w:p w14:paraId="7722F4A8" w14:textId="4B935942" w:rsidR="00F74773" w:rsidRPr="0029236B" w:rsidRDefault="00F74773" w:rsidP="00F74773">
      <w:pPr>
        <w:pStyle w:val="SingleTxtG"/>
        <w:keepNext/>
        <w:ind w:left="2268" w:hanging="1134"/>
        <w:rPr>
          <w:lang w:val="fr-FR"/>
        </w:rPr>
      </w:pPr>
      <w:r w:rsidRPr="0029236B">
        <w:rPr>
          <w:lang w:val="fr-FR"/>
        </w:rPr>
        <w:t>«</w:t>
      </w:r>
      <w:r>
        <w:rPr>
          <w:lang w:val="fr-FR"/>
        </w:rPr>
        <w:t> </w:t>
      </w:r>
      <w:r w:rsidRPr="0029236B">
        <w:rPr>
          <w:lang w:val="fr-FR"/>
        </w:rPr>
        <w:t>6.2.6.1.2</w:t>
      </w:r>
      <w:r w:rsidRPr="0029236B">
        <w:rPr>
          <w:lang w:val="fr-FR"/>
        </w:rPr>
        <w:tab/>
        <w:t>Selon la hauteur en mètres (h) du bord inférieur de la surface apparente dans la direction de l</w:t>
      </w:r>
      <w:r>
        <w:rPr>
          <w:lang w:val="fr-FR"/>
        </w:rPr>
        <w:t>’</w:t>
      </w:r>
      <w:r w:rsidRPr="0029236B">
        <w:rPr>
          <w:lang w:val="fr-FR"/>
        </w:rPr>
        <w:t>axe de référence du faisceau-croisement, mesurée sur le véhicule à vide, l</w:t>
      </w:r>
      <w:r>
        <w:rPr>
          <w:lang w:val="fr-FR"/>
        </w:rPr>
        <w:t>’</w:t>
      </w:r>
      <w:r w:rsidRPr="0029236B">
        <w:rPr>
          <w:lang w:val="fr-FR"/>
        </w:rPr>
        <w:t>inclinaison verticale de la ligne de coupure du faisceau de croisement doit se situer, dans toutes les conditions statiques définies à l</w:t>
      </w:r>
      <w:r>
        <w:rPr>
          <w:lang w:val="fr-FR"/>
        </w:rPr>
        <w:t>’</w:t>
      </w:r>
      <w:r w:rsidRPr="0029236B">
        <w:rPr>
          <w:lang w:val="fr-FR"/>
        </w:rPr>
        <w:t>annexe 5, dans les limites ci-après, l</w:t>
      </w:r>
      <w:r>
        <w:rPr>
          <w:lang w:val="fr-FR"/>
        </w:rPr>
        <w:t>’</w:t>
      </w:r>
      <w:r w:rsidRPr="0029236B">
        <w:rPr>
          <w:lang w:val="fr-FR"/>
        </w:rPr>
        <w:t>orientation initiale ayant les valeurs suivantes</w:t>
      </w:r>
      <w:r>
        <w:rPr>
          <w:lang w:val="fr-FR"/>
        </w:rPr>
        <w:t> </w:t>
      </w:r>
      <w:r w:rsidRPr="0029236B">
        <w:rPr>
          <w:lang w:val="fr-FR"/>
        </w:rPr>
        <w:t>:</w:t>
      </w:r>
    </w:p>
    <w:p w14:paraId="1310D8BB" w14:textId="77777777" w:rsidR="00F74773" w:rsidRPr="0029236B" w:rsidRDefault="00F74773" w:rsidP="00F74773">
      <w:pPr>
        <w:pStyle w:val="SingleTxtG"/>
        <w:ind w:left="2268"/>
        <w:rPr>
          <w:lang w:val="fr-FR"/>
        </w:rPr>
      </w:pPr>
      <w:r w:rsidRPr="0029236B">
        <w:rPr>
          <w:lang w:val="fr-FR"/>
        </w:rPr>
        <w:t>h &lt; 0,8</w:t>
      </w:r>
    </w:p>
    <w:p w14:paraId="08572F9D" w14:textId="6ED403C1" w:rsidR="00F74773" w:rsidRPr="0029236B" w:rsidRDefault="00F74773" w:rsidP="00F74773">
      <w:pPr>
        <w:pStyle w:val="SingleTxtG"/>
        <w:ind w:left="4253" w:hanging="1985"/>
        <w:rPr>
          <w:lang w:val="fr-FR"/>
        </w:rPr>
      </w:pPr>
      <w:r w:rsidRPr="0029236B">
        <w:rPr>
          <w:lang w:val="fr-FR"/>
        </w:rPr>
        <w:t>Limites</w:t>
      </w:r>
      <w:r>
        <w:rPr>
          <w:lang w:val="fr-FR"/>
        </w:rPr>
        <w:t> </w:t>
      </w:r>
      <w:r w:rsidRPr="0029236B">
        <w:rPr>
          <w:lang w:val="fr-FR"/>
        </w:rPr>
        <w:t>:</w:t>
      </w:r>
      <w:r w:rsidRPr="0029236B">
        <w:rPr>
          <w:lang w:val="fr-FR"/>
        </w:rPr>
        <w:tab/>
        <w:t>entre -0,5 % et -2,5 %</w:t>
      </w:r>
    </w:p>
    <w:p w14:paraId="13CA5DEC" w14:textId="56A0E797" w:rsidR="00F74773" w:rsidRPr="0029236B" w:rsidRDefault="00F74773" w:rsidP="00F74773">
      <w:pPr>
        <w:pStyle w:val="SingleTxtG"/>
        <w:ind w:left="4253" w:hanging="1985"/>
        <w:rPr>
          <w:lang w:val="fr-FR"/>
        </w:rPr>
      </w:pPr>
      <w:r w:rsidRPr="0029236B">
        <w:rPr>
          <w:lang w:val="fr-FR"/>
        </w:rPr>
        <w:t>Orientation initiale</w:t>
      </w:r>
      <w:r>
        <w:rPr>
          <w:lang w:val="fr-FR"/>
        </w:rPr>
        <w:t> </w:t>
      </w:r>
      <w:r w:rsidRPr="0029236B">
        <w:rPr>
          <w:lang w:val="fr-FR"/>
        </w:rPr>
        <w:t>:</w:t>
      </w:r>
      <w:r w:rsidRPr="0029236B">
        <w:rPr>
          <w:lang w:val="fr-FR"/>
        </w:rPr>
        <w:tab/>
        <w:t>entre -1,0 % et -1,5 %</w:t>
      </w:r>
    </w:p>
    <w:p w14:paraId="5581EFF0" w14:textId="77777777" w:rsidR="00F74773" w:rsidRPr="0029236B" w:rsidRDefault="00F74773" w:rsidP="00F74773">
      <w:pPr>
        <w:pStyle w:val="SingleTxtG"/>
        <w:ind w:left="2268"/>
        <w:rPr>
          <w:lang w:val="fr-FR"/>
        </w:rPr>
      </w:pPr>
      <w:r w:rsidRPr="0029236B">
        <w:rPr>
          <w:lang w:val="fr-FR"/>
        </w:rPr>
        <w:t>0,8 &lt; h &lt; 1,0</w:t>
      </w:r>
    </w:p>
    <w:p w14:paraId="74DEB5C8" w14:textId="75E17C05" w:rsidR="00F74773" w:rsidRPr="0029236B" w:rsidRDefault="00F74773" w:rsidP="00F74773">
      <w:pPr>
        <w:pStyle w:val="SingleTxtG"/>
        <w:ind w:left="4253" w:hanging="1985"/>
        <w:rPr>
          <w:lang w:val="fr-FR"/>
        </w:rPr>
      </w:pPr>
      <w:r w:rsidRPr="0029236B">
        <w:rPr>
          <w:lang w:val="fr-FR"/>
        </w:rPr>
        <w:t>Limites</w:t>
      </w:r>
      <w:r>
        <w:rPr>
          <w:lang w:val="fr-FR"/>
        </w:rPr>
        <w:t> </w:t>
      </w:r>
      <w:r w:rsidRPr="0029236B">
        <w:rPr>
          <w:lang w:val="fr-FR"/>
        </w:rPr>
        <w:t>:</w:t>
      </w:r>
      <w:r w:rsidRPr="0029236B">
        <w:rPr>
          <w:lang w:val="fr-FR"/>
        </w:rPr>
        <w:tab/>
        <w:t>entre -0,5 % et -2,5 %</w:t>
      </w:r>
    </w:p>
    <w:p w14:paraId="1EF0B391" w14:textId="665FC8CB" w:rsidR="00F74773" w:rsidRPr="0029236B" w:rsidRDefault="00F74773" w:rsidP="00F74773">
      <w:pPr>
        <w:pStyle w:val="SingleTxtG"/>
        <w:ind w:left="4253" w:hanging="1985"/>
        <w:rPr>
          <w:lang w:val="fr-FR"/>
        </w:rPr>
      </w:pPr>
      <w:r w:rsidRPr="0029236B">
        <w:rPr>
          <w:lang w:val="fr-FR"/>
        </w:rPr>
        <w:t>Orientation initiale</w:t>
      </w:r>
      <w:r>
        <w:rPr>
          <w:lang w:val="fr-FR"/>
        </w:rPr>
        <w:t> </w:t>
      </w:r>
      <w:r w:rsidRPr="0029236B">
        <w:rPr>
          <w:lang w:val="fr-FR"/>
        </w:rPr>
        <w:t>:</w:t>
      </w:r>
      <w:r w:rsidRPr="0029236B">
        <w:rPr>
          <w:lang w:val="fr-FR"/>
        </w:rPr>
        <w:tab/>
        <w:t>entre -1,0 % et -1,5 %</w:t>
      </w:r>
    </w:p>
    <w:p w14:paraId="13258989" w14:textId="77777777" w:rsidR="00F74773" w:rsidRPr="0029236B" w:rsidRDefault="00F74773" w:rsidP="00F74773">
      <w:pPr>
        <w:pStyle w:val="SingleTxtG"/>
        <w:keepNext/>
        <w:ind w:left="3969" w:hanging="1701"/>
        <w:rPr>
          <w:lang w:val="fr-FR"/>
        </w:rPr>
      </w:pPr>
      <w:r w:rsidRPr="0029236B">
        <w:rPr>
          <w:lang w:val="fr-FR"/>
        </w:rPr>
        <w:t>Ou, au gré du fabricant,</w:t>
      </w:r>
    </w:p>
    <w:p w14:paraId="221A07AA" w14:textId="03A7130E" w:rsidR="00F74773" w:rsidRPr="0029236B" w:rsidRDefault="00F74773" w:rsidP="00F74773">
      <w:pPr>
        <w:pStyle w:val="SingleTxtG"/>
        <w:ind w:left="4253" w:hanging="1985"/>
        <w:rPr>
          <w:lang w:val="fr-FR"/>
        </w:rPr>
      </w:pPr>
      <w:r w:rsidRPr="0029236B">
        <w:rPr>
          <w:lang w:val="fr-FR"/>
        </w:rPr>
        <w:t>Limites</w:t>
      </w:r>
      <w:r>
        <w:rPr>
          <w:lang w:val="fr-FR"/>
        </w:rPr>
        <w:t> </w:t>
      </w:r>
      <w:r w:rsidRPr="0029236B">
        <w:rPr>
          <w:lang w:val="fr-FR"/>
        </w:rPr>
        <w:t>:</w:t>
      </w:r>
      <w:r w:rsidRPr="0029236B">
        <w:rPr>
          <w:lang w:val="fr-FR"/>
        </w:rPr>
        <w:tab/>
        <w:t>entre -1,0 % et -3,0 %</w:t>
      </w:r>
    </w:p>
    <w:p w14:paraId="5BA4D5C1" w14:textId="3B92A480" w:rsidR="00F74773" w:rsidRPr="0029236B" w:rsidRDefault="00F74773" w:rsidP="00F74773">
      <w:pPr>
        <w:pStyle w:val="SingleTxtG"/>
        <w:ind w:left="4253" w:hanging="1985"/>
        <w:rPr>
          <w:lang w:val="fr-FR"/>
        </w:rPr>
      </w:pPr>
      <w:r w:rsidRPr="0029236B">
        <w:rPr>
          <w:lang w:val="fr-FR"/>
        </w:rPr>
        <w:t>Orientation initiale</w:t>
      </w:r>
      <w:r>
        <w:rPr>
          <w:lang w:val="fr-FR"/>
        </w:rPr>
        <w:t> </w:t>
      </w:r>
      <w:r w:rsidRPr="0029236B">
        <w:rPr>
          <w:lang w:val="fr-FR"/>
        </w:rPr>
        <w:t>:</w:t>
      </w:r>
      <w:r w:rsidRPr="0029236B">
        <w:rPr>
          <w:lang w:val="fr-FR"/>
        </w:rPr>
        <w:tab/>
        <w:t>entre -1,5 % et -2,0 %</w:t>
      </w:r>
    </w:p>
    <w:p w14:paraId="5DA93483" w14:textId="77777777" w:rsidR="00F74773" w:rsidRPr="0029236B" w:rsidRDefault="00F74773" w:rsidP="00F74773">
      <w:pPr>
        <w:pStyle w:val="SingleTxtG"/>
        <w:ind w:left="2268"/>
        <w:rPr>
          <w:lang w:val="fr-FR"/>
        </w:rPr>
      </w:pPr>
      <w:r w:rsidRPr="0029236B">
        <w:rPr>
          <w:lang w:val="fr-FR"/>
        </w:rPr>
        <w:t>La demande d</w:t>
      </w:r>
      <w:r>
        <w:rPr>
          <w:lang w:val="fr-FR"/>
        </w:rPr>
        <w:t>’</w:t>
      </w:r>
      <w:r w:rsidRPr="0029236B">
        <w:rPr>
          <w:lang w:val="fr-FR"/>
        </w:rPr>
        <w:t>homologation de type du véhicule doit, dans ce cas, indiquer laquelle des deux variantes est utilisée.</w:t>
      </w:r>
    </w:p>
    <w:p w14:paraId="3F5078E8" w14:textId="77777777" w:rsidR="00F74773" w:rsidRPr="0029236B" w:rsidRDefault="00F74773" w:rsidP="00F74773">
      <w:pPr>
        <w:pStyle w:val="SingleTxtG"/>
        <w:ind w:left="3969" w:hanging="1701"/>
        <w:rPr>
          <w:lang w:val="fr-FR"/>
        </w:rPr>
      </w:pPr>
      <w:r w:rsidRPr="0029236B">
        <w:rPr>
          <w:lang w:val="fr-FR"/>
        </w:rPr>
        <w:t>h &gt; 1,0</w:t>
      </w:r>
    </w:p>
    <w:p w14:paraId="0D3B24AA" w14:textId="03BDA6FC" w:rsidR="00F74773" w:rsidRPr="0029236B" w:rsidRDefault="00F74773" w:rsidP="00F74773">
      <w:pPr>
        <w:pStyle w:val="SingleTxtG"/>
        <w:ind w:left="4253" w:hanging="1985"/>
        <w:rPr>
          <w:lang w:val="fr-FR"/>
        </w:rPr>
      </w:pPr>
      <w:r w:rsidRPr="0029236B">
        <w:rPr>
          <w:lang w:val="fr-FR"/>
        </w:rPr>
        <w:t>Limites</w:t>
      </w:r>
      <w:r>
        <w:rPr>
          <w:lang w:val="fr-FR"/>
        </w:rPr>
        <w:t> </w:t>
      </w:r>
      <w:r w:rsidRPr="0029236B">
        <w:rPr>
          <w:lang w:val="fr-FR"/>
        </w:rPr>
        <w:t>:</w:t>
      </w:r>
      <w:r w:rsidRPr="0029236B">
        <w:rPr>
          <w:lang w:val="fr-FR"/>
        </w:rPr>
        <w:tab/>
        <w:t>entre -1,0 % et -3,0 %</w:t>
      </w:r>
    </w:p>
    <w:p w14:paraId="30FA5311" w14:textId="1DBBB4EA" w:rsidR="00F74773" w:rsidRPr="0029236B" w:rsidRDefault="00F74773" w:rsidP="00F74773">
      <w:pPr>
        <w:pStyle w:val="SingleTxtG"/>
        <w:ind w:left="4253" w:hanging="1985"/>
        <w:rPr>
          <w:lang w:val="fr-FR"/>
        </w:rPr>
      </w:pPr>
      <w:r w:rsidRPr="0029236B">
        <w:rPr>
          <w:lang w:val="fr-FR"/>
        </w:rPr>
        <w:t>Orientation initiale</w:t>
      </w:r>
      <w:r>
        <w:rPr>
          <w:lang w:val="fr-FR"/>
        </w:rPr>
        <w:t> </w:t>
      </w:r>
      <w:r w:rsidRPr="0029236B">
        <w:rPr>
          <w:lang w:val="fr-FR"/>
        </w:rPr>
        <w:t>:</w:t>
      </w:r>
      <w:r w:rsidRPr="0029236B">
        <w:rPr>
          <w:lang w:val="fr-FR"/>
        </w:rPr>
        <w:tab/>
        <w:t>entre -1,5 % et -2,0 %</w:t>
      </w:r>
    </w:p>
    <w:p w14:paraId="0E518DB1" w14:textId="77777777" w:rsidR="00F74773" w:rsidRPr="0029236B" w:rsidRDefault="00F74773" w:rsidP="00F74773">
      <w:pPr>
        <w:pStyle w:val="SingleTxtG"/>
        <w:ind w:left="2268"/>
        <w:rPr>
          <w:lang w:val="fr-FR"/>
        </w:rPr>
      </w:pPr>
      <w:r w:rsidRPr="0029236B">
        <w:rPr>
          <w:lang w:val="fr-FR"/>
        </w:rPr>
        <w:t>Le diagramme ci-dessous illustre ces limites et valeurs d</w:t>
      </w:r>
      <w:r>
        <w:rPr>
          <w:lang w:val="fr-FR"/>
        </w:rPr>
        <w:t>’</w:t>
      </w:r>
      <w:r w:rsidRPr="0029236B">
        <w:rPr>
          <w:lang w:val="fr-FR"/>
        </w:rPr>
        <w:t>orientation initiale.</w:t>
      </w:r>
    </w:p>
    <w:p w14:paraId="69B582F5" w14:textId="451844A8" w:rsidR="00F74773" w:rsidRPr="0029236B" w:rsidRDefault="00F74773" w:rsidP="00F74773">
      <w:pPr>
        <w:pStyle w:val="SingleTxtG"/>
        <w:ind w:left="2268"/>
        <w:rPr>
          <w:lang w:val="fr-FR"/>
        </w:rPr>
      </w:pPr>
      <w:r w:rsidRPr="0029236B">
        <w:rPr>
          <w:lang w:val="fr-FR"/>
        </w:rPr>
        <w:t xml:space="preserve">Pour les véhicules de la catégorie </w:t>
      </w:r>
      <w:r w:rsidRPr="0029236B">
        <w:rPr>
          <w:b/>
          <w:bCs/>
          <w:lang w:val="fr-FR"/>
        </w:rPr>
        <w:t>N</w:t>
      </w:r>
      <w:r w:rsidRPr="0029236B">
        <w:rPr>
          <w:b/>
          <w:bCs/>
          <w:vertAlign w:val="subscript"/>
          <w:lang w:val="fr-FR"/>
        </w:rPr>
        <w:t>2</w:t>
      </w:r>
      <w:r w:rsidRPr="0029236B">
        <w:rPr>
          <w:b/>
          <w:bCs/>
          <w:lang w:val="fr-FR"/>
        </w:rPr>
        <w:t>G,</w:t>
      </w:r>
      <w:r>
        <w:rPr>
          <w:lang w:val="fr-FR"/>
        </w:rPr>
        <w:t xml:space="preserve"> </w:t>
      </w:r>
      <w:r w:rsidRPr="0029236B">
        <w:rPr>
          <w:lang w:val="fr-FR"/>
        </w:rPr>
        <w:t>N</w:t>
      </w:r>
      <w:r w:rsidRPr="0029236B">
        <w:rPr>
          <w:vertAlign w:val="subscript"/>
          <w:lang w:val="fr-FR"/>
        </w:rPr>
        <w:t>3</w:t>
      </w:r>
      <w:r w:rsidRPr="0029236B">
        <w:rPr>
          <w:lang w:val="fr-FR"/>
        </w:rPr>
        <w:t>G</w:t>
      </w:r>
      <w:r w:rsidRPr="0029236B">
        <w:rPr>
          <w:b/>
          <w:bCs/>
          <w:lang w:val="fr-FR"/>
        </w:rPr>
        <w:t>, M</w:t>
      </w:r>
      <w:r w:rsidRPr="0029236B">
        <w:rPr>
          <w:b/>
          <w:bCs/>
          <w:vertAlign w:val="subscript"/>
          <w:lang w:val="fr-FR"/>
        </w:rPr>
        <w:t>2</w:t>
      </w:r>
      <w:r w:rsidRPr="0029236B">
        <w:rPr>
          <w:b/>
          <w:bCs/>
          <w:lang w:val="fr-FR"/>
        </w:rPr>
        <w:t>G, M</w:t>
      </w:r>
      <w:r w:rsidRPr="0029236B">
        <w:rPr>
          <w:b/>
          <w:bCs/>
          <w:vertAlign w:val="subscript"/>
          <w:lang w:val="fr-FR"/>
        </w:rPr>
        <w:t>3</w:t>
      </w:r>
      <w:r w:rsidRPr="0029236B">
        <w:rPr>
          <w:b/>
          <w:bCs/>
          <w:lang w:val="fr-FR"/>
        </w:rPr>
        <w:t>G</w:t>
      </w:r>
      <w:r w:rsidRPr="0029236B">
        <w:rPr>
          <w:lang w:val="fr-FR"/>
        </w:rPr>
        <w:t xml:space="preserve"> (tout-terrain) si la hauteur des projecteurs est supérieure à 1 200 mm, les limites de l</w:t>
      </w:r>
      <w:r>
        <w:rPr>
          <w:lang w:val="fr-FR"/>
        </w:rPr>
        <w:t>’</w:t>
      </w:r>
      <w:r w:rsidRPr="0029236B">
        <w:rPr>
          <w:lang w:val="fr-FR"/>
        </w:rPr>
        <w:t>inclinaison verticale de la ligne de coupure doivent être entre</w:t>
      </w:r>
      <w:r>
        <w:rPr>
          <w:lang w:val="fr-FR"/>
        </w:rPr>
        <w:t> </w:t>
      </w:r>
      <w:r w:rsidRPr="0029236B">
        <w:rPr>
          <w:lang w:val="fr-FR"/>
        </w:rPr>
        <w:t>: -1,5 % et -3,5 %.</w:t>
      </w:r>
    </w:p>
    <w:p w14:paraId="736DF207" w14:textId="4F0EBE17" w:rsidR="00F74773" w:rsidRPr="0029236B" w:rsidRDefault="00F74773" w:rsidP="00F74773">
      <w:pPr>
        <w:pStyle w:val="SingleTxtG"/>
        <w:ind w:left="2268"/>
        <w:rPr>
          <w:lang w:val="fr-FR"/>
        </w:rPr>
      </w:pPr>
      <w:r w:rsidRPr="0029236B">
        <w:rPr>
          <w:lang w:val="fr-FR"/>
        </w:rPr>
        <w:t>L</w:t>
      </w:r>
      <w:r>
        <w:rPr>
          <w:lang w:val="fr-FR"/>
        </w:rPr>
        <w:t>’</w:t>
      </w:r>
      <w:r w:rsidRPr="0029236B">
        <w:rPr>
          <w:lang w:val="fr-FR"/>
        </w:rPr>
        <w:t>orientation initiale doit être entre</w:t>
      </w:r>
      <w:r>
        <w:rPr>
          <w:lang w:val="fr-FR"/>
        </w:rPr>
        <w:t> </w:t>
      </w:r>
      <w:r w:rsidRPr="0029236B">
        <w:rPr>
          <w:lang w:val="fr-FR"/>
        </w:rPr>
        <w:t>: -2 % et -2,5 %.</w:t>
      </w:r>
    </w:p>
    <w:bookmarkStart w:id="0" w:name="_MON_1489494819"/>
    <w:bookmarkEnd w:id="0"/>
    <w:p w14:paraId="5BEAEE80" w14:textId="77777777" w:rsidR="00F74773" w:rsidRPr="00C1319A" w:rsidRDefault="00F74773" w:rsidP="00F74773">
      <w:pPr>
        <w:pStyle w:val="para"/>
        <w:rPr>
          <w:i/>
          <w:iCs/>
        </w:rPr>
      </w:pPr>
      <w:r w:rsidRPr="00920887">
        <w:object w:dxaOrig="7371" w:dyaOrig="6977" w14:anchorId="6FFEB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75pt;height:356.6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Word.Picture.8" ShapeID="_x0000_i1025" DrawAspect="Content" ObjectID="_1771137805" r:id="rId9"/>
        </w:object>
      </w:r>
    </w:p>
    <w:p w14:paraId="5ECC9D5C" w14:textId="6B1392AC" w:rsidR="00F74773" w:rsidRPr="0029236B" w:rsidRDefault="00F74773" w:rsidP="00F74773">
      <w:pPr>
        <w:pStyle w:val="SingleTxtG"/>
        <w:ind w:left="2268" w:hanging="1134"/>
        <w:rPr>
          <w:lang w:val="fr-FR"/>
        </w:rPr>
      </w:pPr>
      <w:r>
        <w:rPr>
          <w:lang w:val="fr-FR"/>
        </w:rPr>
        <w:t>. </w:t>
      </w:r>
      <w:r>
        <w:rPr>
          <w:lang w:val="fr-FR"/>
        </w:rPr>
        <w:t>».</w:t>
      </w:r>
    </w:p>
    <w:p w14:paraId="6ABDABBC" w14:textId="68EEC49F" w:rsidR="00F74773" w:rsidRPr="0029236B" w:rsidRDefault="00F74773" w:rsidP="00F74773">
      <w:pPr>
        <w:pStyle w:val="HChG"/>
        <w:rPr>
          <w:lang w:val="fr-FR"/>
        </w:rPr>
      </w:pPr>
      <w:r>
        <w:rPr>
          <w:bCs/>
          <w:lang w:val="fr-FR"/>
        </w:rPr>
        <w:tab/>
      </w:r>
      <w:r>
        <w:rPr>
          <w:bCs/>
          <w:lang w:val="fr-FR"/>
        </w:rPr>
        <w:t>II.</w:t>
      </w:r>
      <w:r>
        <w:rPr>
          <w:lang w:val="fr-FR"/>
        </w:rPr>
        <w:tab/>
        <w:t>Justification</w:t>
      </w:r>
    </w:p>
    <w:p w14:paraId="097238EC" w14:textId="52757E68" w:rsidR="00F74773" w:rsidRPr="0029236B" w:rsidRDefault="00F74773" w:rsidP="00F74773">
      <w:pPr>
        <w:pStyle w:val="SingleTxtG"/>
        <w:rPr>
          <w:lang w:val="fr-FR"/>
        </w:rPr>
      </w:pPr>
      <w:r>
        <w:rPr>
          <w:lang w:val="fr-FR"/>
        </w:rPr>
        <w:t>1.</w:t>
      </w:r>
      <w:r>
        <w:rPr>
          <w:lang w:val="fr-FR"/>
        </w:rPr>
        <w:tab/>
        <w:t xml:space="preserve">La série 09 d’amendements au Règlement ONU </w:t>
      </w:r>
      <w:r w:rsidRPr="00F74773">
        <w:rPr>
          <w:rFonts w:eastAsia="MS Mincho"/>
          <w:lang w:val="fr-FR"/>
        </w:rPr>
        <w:t>n</w:t>
      </w:r>
      <w:r w:rsidRPr="00F74773">
        <w:rPr>
          <w:rFonts w:eastAsia="MS Mincho"/>
          <w:vertAlign w:val="superscript"/>
          <w:lang w:val="fr-FR"/>
        </w:rPr>
        <w:t>o</w:t>
      </w:r>
      <w:r>
        <w:rPr>
          <w:lang w:val="fr-FR"/>
        </w:rPr>
        <w:t xml:space="preserve"> 48 a précisé les prescriptions applicables aux véhicules M</w:t>
      </w:r>
      <w:r>
        <w:rPr>
          <w:vertAlign w:val="subscript"/>
          <w:lang w:val="fr-FR"/>
        </w:rPr>
        <w:t>2</w:t>
      </w:r>
      <w:r>
        <w:rPr>
          <w:lang w:val="fr-FR"/>
        </w:rPr>
        <w:t>G, M</w:t>
      </w:r>
      <w:r>
        <w:rPr>
          <w:vertAlign w:val="subscript"/>
          <w:lang w:val="fr-FR"/>
        </w:rPr>
        <w:t>3</w:t>
      </w:r>
      <w:r>
        <w:rPr>
          <w:lang w:val="fr-FR"/>
        </w:rPr>
        <w:t>G, N</w:t>
      </w:r>
      <w:r>
        <w:rPr>
          <w:vertAlign w:val="subscript"/>
          <w:lang w:val="fr-FR"/>
        </w:rPr>
        <w:t>2</w:t>
      </w:r>
      <w:r>
        <w:rPr>
          <w:lang w:val="fr-FR"/>
        </w:rPr>
        <w:t>G et N</w:t>
      </w:r>
      <w:r>
        <w:rPr>
          <w:vertAlign w:val="subscript"/>
          <w:lang w:val="fr-FR"/>
        </w:rPr>
        <w:t>3</w:t>
      </w:r>
      <w:r>
        <w:rPr>
          <w:lang w:val="fr-FR"/>
        </w:rPr>
        <w:t>G (tout-terrain) en ce qui concerne l’inclinaison verticale du faisceau de croisement en fonction de la hauteur de montage des projecteurs.</w:t>
      </w:r>
    </w:p>
    <w:p w14:paraId="7DFE5F3E" w14:textId="2AB4AC62" w:rsidR="00F74773" w:rsidRPr="0029236B" w:rsidRDefault="00F74773" w:rsidP="00F74773">
      <w:pPr>
        <w:pStyle w:val="SingleTxtG"/>
        <w:rPr>
          <w:lang w:val="fr-FR"/>
        </w:rPr>
      </w:pPr>
      <w:r>
        <w:rPr>
          <w:lang w:val="fr-FR"/>
        </w:rPr>
        <w:t>2.</w:t>
      </w:r>
      <w:r>
        <w:rPr>
          <w:lang w:val="fr-FR"/>
        </w:rPr>
        <w:tab/>
        <w:t xml:space="preserve">La présente proposition vise à harmoniser les prescriptions entre les différentes séries d’amendements en étendant les dispositions de la série 09 aux séries 06, 07 et 08 d’amendements au Règlement ONU </w:t>
      </w:r>
      <w:r w:rsidRPr="00F74773">
        <w:rPr>
          <w:rFonts w:eastAsia="MS Mincho"/>
          <w:lang w:val="fr-FR"/>
        </w:rPr>
        <w:t>n</w:t>
      </w:r>
      <w:r w:rsidRPr="00F74773">
        <w:rPr>
          <w:rFonts w:eastAsia="MS Mincho"/>
          <w:vertAlign w:val="superscript"/>
          <w:lang w:val="fr-FR"/>
        </w:rPr>
        <w:t>o</w:t>
      </w:r>
      <w:r>
        <w:rPr>
          <w:lang w:val="fr-FR"/>
        </w:rPr>
        <w:t xml:space="preserve"> 48.</w:t>
      </w:r>
    </w:p>
    <w:p w14:paraId="2C38A50E" w14:textId="7A4D7662" w:rsidR="00F9573C" w:rsidRPr="00F74773" w:rsidRDefault="00F74773" w:rsidP="00F7477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F9573C" w:rsidRPr="00F74773" w:rsidSect="00F7477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E71C1" w14:textId="77777777" w:rsidR="00F557A7" w:rsidRDefault="00F557A7" w:rsidP="00F95C08">
      <w:pPr>
        <w:spacing w:line="240" w:lineRule="auto"/>
      </w:pPr>
    </w:p>
  </w:endnote>
  <w:endnote w:type="continuationSeparator" w:id="0">
    <w:p w14:paraId="13967B85" w14:textId="77777777" w:rsidR="00F557A7" w:rsidRPr="00AC3823" w:rsidRDefault="00F557A7" w:rsidP="00AC3823">
      <w:pPr>
        <w:pStyle w:val="Pieddepage"/>
      </w:pPr>
    </w:p>
  </w:endnote>
  <w:endnote w:type="continuationNotice" w:id="1">
    <w:p w14:paraId="0E03A05C" w14:textId="77777777" w:rsidR="00F557A7" w:rsidRDefault="00F557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A3E2" w14:textId="6C8FDA16" w:rsidR="00F74773" w:rsidRPr="00F74773" w:rsidRDefault="00F74773" w:rsidP="00F74773">
    <w:pPr>
      <w:pStyle w:val="Pieddepage"/>
      <w:tabs>
        <w:tab w:val="right" w:pos="9638"/>
      </w:tabs>
    </w:pPr>
    <w:r w:rsidRPr="00F74773">
      <w:rPr>
        <w:b/>
        <w:sz w:val="18"/>
      </w:rPr>
      <w:fldChar w:fldCharType="begin"/>
    </w:r>
    <w:r w:rsidRPr="00F74773">
      <w:rPr>
        <w:b/>
        <w:sz w:val="18"/>
      </w:rPr>
      <w:instrText xml:space="preserve"> PAGE  \* MERGEFORMAT </w:instrText>
    </w:r>
    <w:r w:rsidRPr="00F74773">
      <w:rPr>
        <w:b/>
        <w:sz w:val="18"/>
      </w:rPr>
      <w:fldChar w:fldCharType="separate"/>
    </w:r>
    <w:r w:rsidRPr="00F74773">
      <w:rPr>
        <w:b/>
        <w:noProof/>
        <w:sz w:val="18"/>
      </w:rPr>
      <w:t>2</w:t>
    </w:r>
    <w:r w:rsidRPr="00F74773">
      <w:rPr>
        <w:b/>
        <w:sz w:val="18"/>
      </w:rPr>
      <w:fldChar w:fldCharType="end"/>
    </w:r>
    <w:r>
      <w:rPr>
        <w:b/>
        <w:sz w:val="18"/>
      </w:rPr>
      <w:tab/>
    </w:r>
    <w:r>
      <w:t>GE.24-02066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B41A" w14:textId="2F8E82F2" w:rsidR="00F74773" w:rsidRPr="00F74773" w:rsidRDefault="00F74773" w:rsidP="00F74773">
    <w:pPr>
      <w:pStyle w:val="Pieddepage"/>
      <w:tabs>
        <w:tab w:val="right" w:pos="9638"/>
      </w:tabs>
      <w:rPr>
        <w:b/>
        <w:sz w:val="18"/>
      </w:rPr>
    </w:pPr>
    <w:r>
      <w:t>GE.24-02066</w:t>
    </w:r>
    <w:r>
      <w:tab/>
    </w:r>
    <w:r w:rsidRPr="00F74773">
      <w:rPr>
        <w:b/>
        <w:sz w:val="18"/>
      </w:rPr>
      <w:fldChar w:fldCharType="begin"/>
    </w:r>
    <w:r w:rsidRPr="00F74773">
      <w:rPr>
        <w:b/>
        <w:sz w:val="18"/>
      </w:rPr>
      <w:instrText xml:space="preserve"> PAGE  \* MERGEFORMAT </w:instrText>
    </w:r>
    <w:r w:rsidRPr="00F74773">
      <w:rPr>
        <w:b/>
        <w:sz w:val="18"/>
      </w:rPr>
      <w:fldChar w:fldCharType="separate"/>
    </w:r>
    <w:r w:rsidRPr="00F74773">
      <w:rPr>
        <w:b/>
        <w:noProof/>
        <w:sz w:val="18"/>
      </w:rPr>
      <w:t>3</w:t>
    </w:r>
    <w:r w:rsidRPr="00F747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0C0B" w14:textId="4785D72A" w:rsidR="007F20FA" w:rsidRPr="00F74773" w:rsidRDefault="00F74773" w:rsidP="00F7477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6BABAC" wp14:editId="12FBD9E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24-02066  (F)</w:t>
    </w:r>
    <w:r>
      <w:rPr>
        <w:noProof/>
        <w:sz w:val="20"/>
      </w:rPr>
      <w:drawing>
        <wp:anchor distT="0" distB="0" distL="114300" distR="114300" simplePos="0" relativeHeight="251660288" behindDoc="0" locked="0" layoutInCell="1" allowOverlap="1" wp14:anchorId="347C93E3" wp14:editId="1A8CC3AE">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050324    050324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4156" w14:textId="77777777" w:rsidR="00F557A7" w:rsidRPr="00AC3823" w:rsidRDefault="00F557A7" w:rsidP="00AC3823">
      <w:pPr>
        <w:pStyle w:val="Pieddepage"/>
        <w:tabs>
          <w:tab w:val="right" w:pos="2155"/>
        </w:tabs>
        <w:spacing w:after="80" w:line="240" w:lineRule="atLeast"/>
        <w:ind w:left="680"/>
        <w:rPr>
          <w:u w:val="single"/>
        </w:rPr>
      </w:pPr>
      <w:r>
        <w:rPr>
          <w:u w:val="single"/>
        </w:rPr>
        <w:tab/>
      </w:r>
    </w:p>
  </w:footnote>
  <w:footnote w:type="continuationSeparator" w:id="0">
    <w:p w14:paraId="3056F923" w14:textId="77777777" w:rsidR="00F557A7" w:rsidRPr="00AC3823" w:rsidRDefault="00F557A7" w:rsidP="00AC3823">
      <w:pPr>
        <w:pStyle w:val="Pieddepage"/>
        <w:tabs>
          <w:tab w:val="right" w:pos="2155"/>
        </w:tabs>
        <w:spacing w:after="80" w:line="240" w:lineRule="atLeast"/>
        <w:ind w:left="680"/>
        <w:rPr>
          <w:u w:val="single"/>
        </w:rPr>
      </w:pPr>
      <w:r>
        <w:rPr>
          <w:u w:val="single"/>
        </w:rPr>
        <w:tab/>
      </w:r>
    </w:p>
  </w:footnote>
  <w:footnote w:type="continuationNotice" w:id="1">
    <w:p w14:paraId="0EDC8F5C" w14:textId="77777777" w:rsidR="00F557A7" w:rsidRPr="00AC3823" w:rsidRDefault="00F557A7">
      <w:pPr>
        <w:spacing w:line="240" w:lineRule="auto"/>
        <w:rPr>
          <w:sz w:val="2"/>
          <w:szCs w:val="2"/>
        </w:rPr>
      </w:pPr>
    </w:p>
  </w:footnote>
  <w:footnote w:id="2">
    <w:p w14:paraId="0906353B" w14:textId="77777777" w:rsidR="00F74773" w:rsidRPr="0029236B" w:rsidRDefault="00F74773" w:rsidP="00F74773">
      <w:pPr>
        <w:pStyle w:val="Notedebasdepage"/>
        <w:rPr>
          <w:lang w:val="fr-FR"/>
        </w:rPr>
      </w:pPr>
      <w:r>
        <w:rPr>
          <w:lang w:val="fr-FR"/>
        </w:rPr>
        <w:tab/>
      </w:r>
      <w:r w:rsidRPr="00F74773">
        <w:rPr>
          <w:sz w:val="20"/>
          <w:vertAlign w:val="superscript"/>
          <w:lang w:val="fr-FR"/>
        </w:rPr>
        <w:t>*</w:t>
      </w:r>
      <w:r>
        <w:rPr>
          <w:lang w:val="fr-FR"/>
        </w:rPr>
        <w:tab/>
        <w:t>Conformément au programme de travail du Comité des transports intérieurs pour 2024 tel qu’il figure dans le projet de budget-programme pour 2024 (A/78/6 (Sect. 20), tableau 20.5),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AF10" w14:textId="707C8163" w:rsidR="00F74773" w:rsidRPr="00F74773" w:rsidRDefault="00F74773">
    <w:pPr>
      <w:pStyle w:val="En-tte"/>
    </w:pPr>
    <w:fldSimple w:instr=" TITLE  \* MERGEFORMAT ">
      <w:r>
        <w:t>ECE/TRANS/WP.29/GRE/2024/4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4172" w14:textId="0D89A244" w:rsidR="00F74773" w:rsidRPr="00F74773" w:rsidRDefault="00F74773" w:rsidP="00F74773">
    <w:pPr>
      <w:pStyle w:val="En-tte"/>
      <w:jc w:val="right"/>
    </w:pPr>
    <w:fldSimple w:instr=" TITLE  \* MERGEFORMAT ">
      <w:r>
        <w:t>ECE/TRANS/WP.29/GRE/2024/4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39611662">
    <w:abstractNumId w:val="12"/>
  </w:num>
  <w:num w:numId="2" w16cid:durableId="2066949600">
    <w:abstractNumId w:val="11"/>
  </w:num>
  <w:num w:numId="3" w16cid:durableId="24445946">
    <w:abstractNumId w:val="10"/>
  </w:num>
  <w:num w:numId="4" w16cid:durableId="706225764">
    <w:abstractNumId w:val="8"/>
  </w:num>
  <w:num w:numId="5" w16cid:durableId="445076482">
    <w:abstractNumId w:val="3"/>
  </w:num>
  <w:num w:numId="6" w16cid:durableId="40255561">
    <w:abstractNumId w:val="2"/>
  </w:num>
  <w:num w:numId="7" w16cid:durableId="594244116">
    <w:abstractNumId w:val="1"/>
  </w:num>
  <w:num w:numId="8" w16cid:durableId="1691953256">
    <w:abstractNumId w:val="0"/>
  </w:num>
  <w:num w:numId="9" w16cid:durableId="1412660395">
    <w:abstractNumId w:val="9"/>
  </w:num>
  <w:num w:numId="10" w16cid:durableId="1836141568">
    <w:abstractNumId w:val="7"/>
  </w:num>
  <w:num w:numId="11" w16cid:durableId="746152597">
    <w:abstractNumId w:val="6"/>
  </w:num>
  <w:num w:numId="12" w16cid:durableId="1932203892">
    <w:abstractNumId w:val="5"/>
  </w:num>
  <w:num w:numId="13" w16cid:durableId="1773085947">
    <w:abstractNumId w:val="4"/>
  </w:num>
  <w:num w:numId="14" w16cid:durableId="161817246">
    <w:abstractNumId w:val="12"/>
  </w:num>
  <w:num w:numId="15" w16cid:durableId="1833326047">
    <w:abstractNumId w:val="11"/>
  </w:num>
  <w:num w:numId="16" w16cid:durableId="1185246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A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B637B"/>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2C6C"/>
    <w:rsid w:val="00F35BAF"/>
    <w:rsid w:val="00F557A7"/>
    <w:rsid w:val="00F660DF"/>
    <w:rsid w:val="00F74773"/>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7FBD0"/>
  <w15:docId w15:val="{F2CF04EB-11BE-462E-8FBB-34FC3050D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qFormat/>
    <w:rsid w:val="00F74773"/>
    <w:rPr>
      <w:rFonts w:ascii="Times New Roman" w:eastAsiaTheme="minorHAnsi" w:hAnsi="Times New Roman" w:cs="Times New Roman"/>
      <w:b/>
      <w:sz w:val="28"/>
      <w:szCs w:val="20"/>
      <w:lang w:eastAsia="en-US"/>
    </w:rPr>
  </w:style>
  <w:style w:type="character" w:customStyle="1" w:styleId="H1GChar">
    <w:name w:val="_ H_1_G Char"/>
    <w:link w:val="H1G"/>
    <w:rsid w:val="00F74773"/>
    <w:rPr>
      <w:rFonts w:ascii="Times New Roman" w:eastAsiaTheme="minorHAnsi" w:hAnsi="Times New Roman" w:cs="Times New Roman"/>
      <w:b/>
      <w:sz w:val="24"/>
      <w:szCs w:val="20"/>
      <w:lang w:eastAsia="en-US"/>
    </w:rPr>
  </w:style>
  <w:style w:type="paragraph" w:customStyle="1" w:styleId="para">
    <w:name w:val="para"/>
    <w:basedOn w:val="Normal"/>
    <w:link w:val="paraChar"/>
    <w:qFormat/>
    <w:rsid w:val="00F74773"/>
    <w:pPr>
      <w:suppressAutoHyphens w:val="0"/>
      <w:kinsoku/>
      <w:overflowPunct/>
      <w:autoSpaceDE/>
      <w:autoSpaceDN/>
      <w:adjustRightInd/>
      <w:snapToGrid/>
      <w:spacing w:after="120"/>
      <w:ind w:left="2268" w:right="1134" w:hanging="1134"/>
      <w:jc w:val="both"/>
    </w:pPr>
    <w:rPr>
      <w:rFonts w:eastAsia="Times New Roman"/>
      <w:snapToGrid w:val="0"/>
      <w:lang w:val="fr-FR"/>
    </w:rPr>
  </w:style>
  <w:style w:type="character" w:customStyle="1" w:styleId="SingleTxtGChar">
    <w:name w:val="_ Single Txt_G Char"/>
    <w:link w:val="SingleTxtG"/>
    <w:qFormat/>
    <w:rsid w:val="00F74773"/>
    <w:rPr>
      <w:rFonts w:ascii="Times New Roman" w:eastAsiaTheme="minorHAnsi" w:hAnsi="Times New Roman" w:cs="Times New Roman"/>
      <w:sz w:val="20"/>
      <w:szCs w:val="20"/>
      <w:lang w:eastAsia="en-US"/>
    </w:rPr>
  </w:style>
  <w:style w:type="character" w:customStyle="1" w:styleId="paraChar">
    <w:name w:val="para Char"/>
    <w:link w:val="para"/>
    <w:rsid w:val="00F74773"/>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FA3F4-BDFA-4F80-821B-2DA473972A40}"/>
</file>

<file path=customXml/itemProps2.xml><?xml version="1.0" encoding="utf-8"?>
<ds:datastoreItem xmlns:ds="http://schemas.openxmlformats.org/officeDocument/2006/customXml" ds:itemID="{F0BA5794-9DEE-4BBC-BA0A-F6B292CF5DA5}"/>
</file>

<file path=docProps/app.xml><?xml version="1.0" encoding="utf-8"?>
<Properties xmlns="http://schemas.openxmlformats.org/officeDocument/2006/extended-properties" xmlns:vt="http://schemas.openxmlformats.org/officeDocument/2006/docPropsVTypes">
  <Template>ECE_TRANS.dotm</Template>
  <TotalTime>0</TotalTime>
  <Pages>3</Pages>
  <Words>385</Words>
  <Characters>2700</Characters>
  <Application>Microsoft Office Word</Application>
  <DocSecurity>0</DocSecurity>
  <Lines>225</Lines>
  <Paragraphs>123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ECE/TRANS/WP.29/GRE/2024/4</dc:title>
  <dc:subject/>
  <dc:creator>Sandrine CLERE</dc:creator>
  <cp:keywords/>
  <cp:lastModifiedBy>Sandrine Clere</cp:lastModifiedBy>
  <cp:revision>2</cp:revision>
  <cp:lastPrinted>2014-05-14T10:59:00Z</cp:lastPrinted>
  <dcterms:created xsi:type="dcterms:W3CDTF">2024-03-05T08:57:00Z</dcterms:created>
  <dcterms:modified xsi:type="dcterms:W3CDTF">2024-03-05T08:57:00Z</dcterms:modified>
</cp:coreProperties>
</file>