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C706DF9" w14:textId="77777777" w:rsidTr="00387CD4">
        <w:trPr>
          <w:trHeight w:hRule="exact" w:val="851"/>
        </w:trPr>
        <w:tc>
          <w:tcPr>
            <w:tcW w:w="142" w:type="dxa"/>
            <w:tcBorders>
              <w:bottom w:val="single" w:sz="4" w:space="0" w:color="auto"/>
            </w:tcBorders>
          </w:tcPr>
          <w:p w14:paraId="209E71D7" w14:textId="77777777" w:rsidR="002D5AAC" w:rsidRDefault="002D5AAC" w:rsidP="00C57839">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982149A"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E5D4D70" w14:textId="5CB6ECA4" w:rsidR="002D5AAC" w:rsidRDefault="00C57839" w:rsidP="00C57839">
            <w:pPr>
              <w:jc w:val="right"/>
            </w:pPr>
            <w:r w:rsidRPr="00C57839">
              <w:rPr>
                <w:sz w:val="40"/>
              </w:rPr>
              <w:t>ECE</w:t>
            </w:r>
            <w:r>
              <w:t>/TRANS/2024/21</w:t>
            </w:r>
          </w:p>
        </w:tc>
      </w:tr>
      <w:tr w:rsidR="002D5AAC" w14:paraId="5539F86F" w14:textId="77777777" w:rsidTr="00387CD4">
        <w:trPr>
          <w:trHeight w:hRule="exact" w:val="2835"/>
        </w:trPr>
        <w:tc>
          <w:tcPr>
            <w:tcW w:w="1280" w:type="dxa"/>
            <w:gridSpan w:val="2"/>
            <w:tcBorders>
              <w:top w:val="single" w:sz="4" w:space="0" w:color="auto"/>
              <w:bottom w:val="single" w:sz="12" w:space="0" w:color="auto"/>
            </w:tcBorders>
          </w:tcPr>
          <w:p w14:paraId="7037AA58" w14:textId="77777777" w:rsidR="002D5AAC" w:rsidRDefault="002E5067" w:rsidP="00387CD4">
            <w:pPr>
              <w:spacing w:before="120"/>
              <w:jc w:val="center"/>
            </w:pPr>
            <w:r>
              <w:rPr>
                <w:noProof/>
                <w:lang w:val="fr-CH" w:eastAsia="fr-CH"/>
              </w:rPr>
              <w:drawing>
                <wp:inline distT="0" distB="0" distL="0" distR="0" wp14:anchorId="6311BE9A" wp14:editId="3AC9FA2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28ED759"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B664224" w14:textId="77777777" w:rsidR="002D5AAC" w:rsidRDefault="00C57839" w:rsidP="00387CD4">
            <w:pPr>
              <w:spacing w:before="240"/>
              <w:rPr>
                <w:lang w:val="en-US"/>
              </w:rPr>
            </w:pPr>
            <w:r>
              <w:rPr>
                <w:lang w:val="en-US"/>
              </w:rPr>
              <w:t>Distr.: General</w:t>
            </w:r>
          </w:p>
          <w:p w14:paraId="6547849F" w14:textId="77777777" w:rsidR="00C57839" w:rsidRDefault="00C57839" w:rsidP="00C57839">
            <w:pPr>
              <w:spacing w:line="240" w:lineRule="exact"/>
              <w:rPr>
                <w:lang w:val="en-US"/>
              </w:rPr>
            </w:pPr>
            <w:r>
              <w:rPr>
                <w:lang w:val="en-US"/>
              </w:rPr>
              <w:t>9 January 2024</w:t>
            </w:r>
          </w:p>
          <w:p w14:paraId="3BCB0CFE" w14:textId="77777777" w:rsidR="00C57839" w:rsidRDefault="00C57839" w:rsidP="00C57839">
            <w:pPr>
              <w:spacing w:line="240" w:lineRule="exact"/>
              <w:rPr>
                <w:lang w:val="en-US"/>
              </w:rPr>
            </w:pPr>
            <w:r>
              <w:rPr>
                <w:lang w:val="en-US"/>
              </w:rPr>
              <w:t>Russian</w:t>
            </w:r>
          </w:p>
          <w:p w14:paraId="5CE84207" w14:textId="5AD0C9FB" w:rsidR="00C57839" w:rsidRPr="008D53B6" w:rsidRDefault="00C57839" w:rsidP="00C57839">
            <w:pPr>
              <w:spacing w:line="240" w:lineRule="exact"/>
              <w:rPr>
                <w:lang w:val="en-US"/>
              </w:rPr>
            </w:pPr>
            <w:r>
              <w:rPr>
                <w:lang w:val="en-US"/>
              </w:rPr>
              <w:t>Original: English</w:t>
            </w:r>
          </w:p>
        </w:tc>
      </w:tr>
    </w:tbl>
    <w:p w14:paraId="2BFC97C3"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02EFD33F" w14:textId="77777777" w:rsidR="00C57839" w:rsidRPr="00D84538" w:rsidRDefault="00C57839" w:rsidP="00C57839">
      <w:pPr>
        <w:spacing w:before="120"/>
        <w:rPr>
          <w:sz w:val="28"/>
          <w:szCs w:val="28"/>
        </w:rPr>
      </w:pPr>
      <w:r w:rsidRPr="00D84538">
        <w:rPr>
          <w:sz w:val="28"/>
          <w:szCs w:val="28"/>
        </w:rPr>
        <w:t>Комитет по внутреннему транспорту</w:t>
      </w:r>
    </w:p>
    <w:p w14:paraId="4587C54B" w14:textId="77777777" w:rsidR="00C57839" w:rsidRPr="00D84538" w:rsidRDefault="00C57839" w:rsidP="00C57839">
      <w:pPr>
        <w:spacing w:before="120"/>
        <w:rPr>
          <w:b/>
          <w:bCs/>
        </w:rPr>
      </w:pPr>
      <w:r w:rsidRPr="00D84538">
        <w:rPr>
          <w:b/>
          <w:bCs/>
        </w:rPr>
        <w:t>Восемьдесят шестая сессия</w:t>
      </w:r>
    </w:p>
    <w:p w14:paraId="04A8AAF0" w14:textId="77777777" w:rsidR="00C57839" w:rsidRPr="00D84538" w:rsidRDefault="00C57839" w:rsidP="00C57839">
      <w:r w:rsidRPr="00D84538">
        <w:t xml:space="preserve">Женева, 20–23 февраля 2024 года </w:t>
      </w:r>
    </w:p>
    <w:p w14:paraId="55B277C0" w14:textId="77777777" w:rsidR="00C57839" w:rsidRPr="00D84538" w:rsidRDefault="00C57839" w:rsidP="00C57839">
      <w:r w:rsidRPr="00D84538">
        <w:t xml:space="preserve">Пункт 10 g) предварительной повестки дня </w:t>
      </w:r>
    </w:p>
    <w:p w14:paraId="3AA8F44A" w14:textId="77777777" w:rsidR="00C57839" w:rsidRPr="00D84538" w:rsidRDefault="00C57839" w:rsidP="00C57839">
      <w:pPr>
        <w:ind w:right="4677"/>
        <w:rPr>
          <w:b/>
          <w:bCs/>
        </w:rPr>
      </w:pPr>
      <w:r w:rsidRPr="00D84538">
        <w:rPr>
          <w:b/>
          <w:bCs/>
        </w:rPr>
        <w:t xml:space="preserve">Стратегические вопросы горизонтальной политики или нормативного характера: </w:t>
      </w:r>
    </w:p>
    <w:p w14:paraId="7EB0982A" w14:textId="77777777" w:rsidR="00C57839" w:rsidRPr="00D84538" w:rsidRDefault="00C57839" w:rsidP="00C57839">
      <w:pPr>
        <w:rPr>
          <w:b/>
          <w:bCs/>
        </w:rPr>
      </w:pPr>
      <w:r w:rsidRPr="00D84538">
        <w:rPr>
          <w:b/>
          <w:bCs/>
        </w:rPr>
        <w:t>аналитическая работа в области транспорта</w:t>
      </w:r>
    </w:p>
    <w:p w14:paraId="57CA88EE" w14:textId="77777777" w:rsidR="00C57839" w:rsidRPr="00D84538" w:rsidRDefault="00C57839" w:rsidP="00C57839">
      <w:pPr>
        <w:pStyle w:val="HChG"/>
      </w:pPr>
      <w:r w:rsidRPr="00D84538">
        <w:tab/>
      </w:r>
      <w:r w:rsidRPr="00D84538">
        <w:tab/>
      </w:r>
      <w:r w:rsidRPr="00D84538">
        <w:rPr>
          <w:bCs/>
        </w:rPr>
        <w:t>Проект круга ведения неофициальной целевой группы по электрической мобильности</w:t>
      </w:r>
    </w:p>
    <w:p w14:paraId="0FF3EE1A" w14:textId="68E6D1AC" w:rsidR="00C57839" w:rsidRPr="00D84538" w:rsidRDefault="00C57839" w:rsidP="00C57839">
      <w:pPr>
        <w:pStyle w:val="H1G"/>
      </w:pPr>
      <w:r w:rsidRPr="00D84538">
        <w:tab/>
      </w:r>
      <w:r w:rsidRPr="00D84538">
        <w:tab/>
      </w:r>
      <w:r w:rsidRPr="00D84538">
        <w:rPr>
          <w:bCs/>
        </w:rPr>
        <w:t>Записка Председателя Рабочей группы по тенденциям и</w:t>
      </w:r>
      <w:r>
        <w:rPr>
          <w:bCs/>
          <w:lang w:val="en-US"/>
        </w:rPr>
        <w:t> </w:t>
      </w:r>
      <w:r w:rsidRPr="00D84538">
        <w:rPr>
          <w:bCs/>
        </w:rPr>
        <w:t>экономике транспорта и секретариата</w:t>
      </w:r>
      <w:r w:rsidRPr="00C57839">
        <w:rPr>
          <w:rStyle w:val="aa"/>
          <w:b w:val="0"/>
          <w:bCs/>
          <w:sz w:val="20"/>
          <w:vertAlign w:val="baseline"/>
        </w:rPr>
        <w:footnoteReference w:customMarkFollows="1" w:id="1"/>
        <w:t>*</w:t>
      </w:r>
    </w:p>
    <w:p w14:paraId="1C02148B" w14:textId="77777777" w:rsidR="00C57839" w:rsidRPr="00D84538" w:rsidRDefault="00C57839" w:rsidP="00C57839">
      <w:pPr>
        <w:pStyle w:val="HChG"/>
      </w:pPr>
      <w:r w:rsidRPr="00D84538">
        <w:rPr>
          <w:bCs/>
        </w:rPr>
        <w:tab/>
        <w:t>I.</w:t>
      </w:r>
      <w:r w:rsidRPr="00D84538">
        <w:tab/>
      </w:r>
      <w:r w:rsidRPr="00D84538">
        <w:rPr>
          <w:bCs/>
        </w:rPr>
        <w:t>Введение</w:t>
      </w:r>
    </w:p>
    <w:p w14:paraId="16DADBB6" w14:textId="77777777" w:rsidR="00C57839" w:rsidRPr="00D84538" w:rsidRDefault="00C57839" w:rsidP="00C57839">
      <w:pPr>
        <w:pStyle w:val="SingleTxtG"/>
      </w:pPr>
      <w:r w:rsidRPr="00D84538">
        <w:t>1.</w:t>
      </w:r>
      <w:r w:rsidRPr="00D84538">
        <w:tab/>
        <w:t>В настоящем документе содержатся предлагаемый мандат на 2024–2026 годы и круг ведения новой неофициальной целевой группы по электрической мобильности (далее — электромобильность). На своей тридцать шестой ежегодной сессии (Женева, 4–6 сентября 2023 года, ECE/TRANS/WP.5/74, пункт 63) Рабочая группа по тенденциям и экономике транспорта (WP.5) признала, что для содействия прогрессу в области электромобильности следует учредить специальную неофициальную целевую группу, которая будет заниматься стимулированием и координацией усилий, связанных с разработкой электромобилей (ЭМ) и их зарядной инфраструктуры как в рамках ЕЭК (и ее различных подпрограмм), так и в сотрудничестве с другими учреждениями. В этой связи она поручила секретариату WP.5 совместно с Председателем разработать проект круга ведения такой целевой группы в тесной консультации с другими соответствующими рабочими группами и соответствующими межправительственными группами Отдела устойчивой энергетики ЕЭК и представить его Комитету по внутреннему транспорту (КВТ) на его восемьдесят шестой ежегодной сессии в феврале 2024 года для получения дальнейших руководящих указаний и принятия положительного решения.</w:t>
      </w:r>
    </w:p>
    <w:p w14:paraId="652B85F8" w14:textId="77777777" w:rsidR="00C57839" w:rsidRPr="00D84538" w:rsidRDefault="00C57839" w:rsidP="00C57839">
      <w:pPr>
        <w:pStyle w:val="HChG"/>
      </w:pPr>
      <w:r w:rsidRPr="00D84538">
        <w:rPr>
          <w:bCs/>
        </w:rPr>
        <w:tab/>
        <w:t>II.</w:t>
      </w:r>
      <w:r w:rsidRPr="00D84538">
        <w:tab/>
      </w:r>
      <w:r w:rsidRPr="00D84538">
        <w:rPr>
          <w:bCs/>
        </w:rPr>
        <w:t>Мандат</w:t>
      </w:r>
    </w:p>
    <w:p w14:paraId="51BF656B" w14:textId="77777777" w:rsidR="00C57839" w:rsidRPr="00D84538" w:rsidRDefault="00C57839" w:rsidP="00C57839">
      <w:pPr>
        <w:pStyle w:val="SingleTxtG"/>
      </w:pPr>
      <w:r w:rsidRPr="00D84538">
        <w:t>2.</w:t>
      </w:r>
      <w:r w:rsidRPr="00D84538">
        <w:tab/>
        <w:t xml:space="preserve">В задачу неофициальной целевой группы по электромобильности входит повышение осведомленности, наращивание потенциала и обобщение междисциплинарных знаний различных стран, научного сообщества, частного сектора и неправительственных организаций о последних разработках, касающихся всех типов </w:t>
      </w:r>
      <w:r w:rsidRPr="00D84538">
        <w:lastRenderedPageBreak/>
        <w:t xml:space="preserve">ЭМ (с охватом как пассажирских, так и грузовых перевозок всеми видами внутреннего транспорта) и их зарядной инфраструктуры. Перед неофициальной целевой группой также поставлена задача дальнейшего повышения уровня знаний о зарядной инфраструктуре для транспортных средств с нулевым </w:t>
      </w:r>
      <w:r w:rsidRPr="00D84538">
        <w:rPr>
          <w:shd w:val="clear" w:color="auto" w:fill="FFFFFF"/>
        </w:rPr>
        <w:t>содержанием вредных выбросов</w:t>
      </w:r>
      <w:r w:rsidRPr="00D84538">
        <w:t xml:space="preserve"> (ТСНВ), а также об «умных» решениях по организации зарядки, включая двунаправленную зарядку, и их взаимодействии с электрической сетью. Она призвана служить платформой для выявления подходящих и эффективных с точки зрения затрат стратегий и мер, учитывающих эффективность выбора места размещения объектов, системную эффективность и устойчивость энергосистемы</w:t>
      </w:r>
      <w:r w:rsidRPr="00D84538">
        <w:rPr>
          <w:rStyle w:val="aa"/>
        </w:rPr>
        <w:footnoteReference w:id="2"/>
      </w:r>
      <w:r w:rsidRPr="00D84538">
        <w:t>, которые позволят обеспечить переход в будущем к сектору автомобильного, железнодорожного и внутреннего водного транспорта с нулевым уровнем выбросов. В ходе своей работы неофициальная целевая группа будет на регулярной основе поддерживать связь с соответствующими рабочими группами и группами экспертов, действующими под эгидой КВТ ЕЭК</w:t>
      </w:r>
      <w:r w:rsidRPr="00D84538">
        <w:rPr>
          <w:rStyle w:val="aa"/>
        </w:rPr>
        <w:footnoteReference w:id="3"/>
      </w:r>
      <w:r w:rsidRPr="00D84538">
        <w:t xml:space="preserve"> и Комитета ЕЭК по устойчивой энергетике (КУЭ)</w:t>
      </w:r>
      <w:r w:rsidRPr="00D84538">
        <w:rPr>
          <w:rStyle w:val="aa"/>
        </w:rPr>
        <w:footnoteReference w:id="4"/>
      </w:r>
      <w:r w:rsidRPr="00D84538">
        <w:t>.</w:t>
      </w:r>
    </w:p>
    <w:p w14:paraId="36A28A0C" w14:textId="77777777" w:rsidR="00C57839" w:rsidRPr="00D84538" w:rsidRDefault="00C57839" w:rsidP="00C57839">
      <w:pPr>
        <w:pStyle w:val="SingleTxtG"/>
      </w:pPr>
      <w:r w:rsidRPr="00D84538">
        <w:t>3.</w:t>
      </w:r>
      <w:r w:rsidRPr="00D84538">
        <w:tab/>
        <w:t>Неофициальная целевая группа учреждается на первоначальный двухлетний период 2024–2026 годов с возможностью продления.</w:t>
      </w:r>
    </w:p>
    <w:p w14:paraId="1496AF7A" w14:textId="77777777" w:rsidR="00C57839" w:rsidRPr="00D84538" w:rsidRDefault="00C57839" w:rsidP="00C57839">
      <w:pPr>
        <w:pStyle w:val="HChG"/>
      </w:pPr>
      <w:r w:rsidRPr="00D84538">
        <w:rPr>
          <w:bCs/>
        </w:rPr>
        <w:tab/>
        <w:t>III.</w:t>
      </w:r>
      <w:r w:rsidRPr="00D84538">
        <w:tab/>
      </w:r>
      <w:r w:rsidRPr="00D84538">
        <w:rPr>
          <w:bCs/>
        </w:rPr>
        <w:t>Круг ведения</w:t>
      </w:r>
    </w:p>
    <w:p w14:paraId="73D688E0" w14:textId="77777777" w:rsidR="00C57839" w:rsidRPr="00D84538" w:rsidRDefault="00C57839" w:rsidP="00C57839">
      <w:pPr>
        <w:pStyle w:val="H1G"/>
      </w:pPr>
      <w:r w:rsidRPr="00D84538">
        <w:rPr>
          <w:bCs/>
        </w:rPr>
        <w:tab/>
        <w:t>A.</w:t>
      </w:r>
      <w:r w:rsidRPr="00D84538">
        <w:tab/>
      </w:r>
      <w:r w:rsidRPr="00D84538">
        <w:rPr>
          <w:bCs/>
        </w:rPr>
        <w:t>Задачи</w:t>
      </w:r>
    </w:p>
    <w:p w14:paraId="084DE400" w14:textId="77777777" w:rsidR="00C57839" w:rsidRPr="00D84538" w:rsidRDefault="00C57839" w:rsidP="00C57839">
      <w:pPr>
        <w:pStyle w:val="SingleTxtG"/>
      </w:pPr>
      <w:r w:rsidRPr="00D84538">
        <w:t>4.</w:t>
      </w:r>
      <w:r w:rsidRPr="00D84538">
        <w:tab/>
        <w:t>В соответствии со своим мандатом и опираясь на накопленный опыт и ноу-хау ряда рабочих групп, действующих под эгидой КВТ ЕЭК, а также по линии КУЭ ЕЭК, данной неофициальной целевой группе надлежит:</w:t>
      </w:r>
    </w:p>
    <w:p w14:paraId="2F3099C2" w14:textId="77777777" w:rsidR="00C57839" w:rsidRPr="00D84538" w:rsidRDefault="00C57839" w:rsidP="00C57839">
      <w:pPr>
        <w:pStyle w:val="SingleTxtG"/>
        <w:ind w:left="1701" w:hanging="567"/>
      </w:pPr>
      <w:r w:rsidRPr="00D84538">
        <w:t>a)</w:t>
      </w:r>
      <w:r w:rsidRPr="00D84538">
        <w:tab/>
        <w:t>служить платформой для сбора, обобщения и распространения на межсекторальном уровне знаний и опыта в области электрификации внутреннего транспорта, а также его взаимосвязи с зарядной инфраструктурой ЭМ и электросетью в целом, включая аспекты эффективности выбора места размещения объектов и управления мобильностью;</w:t>
      </w:r>
    </w:p>
    <w:p w14:paraId="7687856F" w14:textId="77777777" w:rsidR="00C57839" w:rsidRPr="00D84538" w:rsidRDefault="00C57839" w:rsidP="00C57839">
      <w:pPr>
        <w:pStyle w:val="SingleTxtG"/>
        <w:ind w:left="1701" w:hanging="567"/>
      </w:pPr>
      <w:r w:rsidRPr="00D84538">
        <w:t>b)</w:t>
      </w:r>
      <w:r w:rsidRPr="00D84538">
        <w:tab/>
        <w:t xml:space="preserve">изучить возможности создания механизма обмена передовым опытом и координации в области (мультимодальной) инфраструктуры транспортных средств с нулевым </w:t>
      </w:r>
      <w:r w:rsidRPr="00D84538">
        <w:rPr>
          <w:shd w:val="clear" w:color="auto" w:fill="FFFFFF"/>
        </w:rPr>
        <w:t>содержанием вредных выбросов</w:t>
      </w:r>
      <w:r w:rsidRPr="00D84538">
        <w:t xml:space="preserve"> (ТСНВ) для поддержки реализации политики, в том числе путем предоставления информации о долгосрочных потребностях в инфраструктуре ТСНВ и энергоснабжении, а также разработки новых инструментов и продуктов для поддержки планирования и моделирования инфраструктуры ТСНВ на различных уровнях (т.</w:t>
      </w:r>
      <w:r w:rsidRPr="00D84538">
        <w:rPr>
          <w:lang w:val="en-US"/>
        </w:rPr>
        <w:t> </w:t>
      </w:r>
      <w:r w:rsidRPr="00D84538">
        <w:t>е. местном, региональном, национальном, международном и глобальном);</w:t>
      </w:r>
    </w:p>
    <w:p w14:paraId="4816EAFC" w14:textId="77777777" w:rsidR="00C57839" w:rsidRPr="00D84538" w:rsidRDefault="00C57839" w:rsidP="00C57839">
      <w:pPr>
        <w:pStyle w:val="SingleTxtG"/>
        <w:ind w:left="1701" w:hanging="567"/>
      </w:pPr>
      <w:r w:rsidRPr="00D84538">
        <w:t>c)</w:t>
      </w:r>
      <w:r w:rsidRPr="00D84538">
        <w:tab/>
        <w:t>обеспечить странам платформу для выявления возможностей согласования на международном уровне процедур и типов зарядки ЭМ, учитывая такие партнерские инициативы, как «Прорывная повестка дня», Приоритетное действие № 4 для автомобильного транспорта в области зарядной инфраструктуры (RT4), Совет по переходу на ТСНВ</w:t>
      </w:r>
      <w:r w:rsidRPr="00D84538">
        <w:rPr>
          <w:shd w:val="clear" w:color="auto" w:fill="FFFFFF"/>
        </w:rPr>
        <w:t xml:space="preserve"> </w:t>
      </w:r>
      <w:r w:rsidRPr="00D84538">
        <w:t>(СПТСНВ), Целевая группа по зарядной инфраструктуре и другие;</w:t>
      </w:r>
    </w:p>
    <w:p w14:paraId="3241A289" w14:textId="77777777" w:rsidR="00C57839" w:rsidRPr="00D84538" w:rsidRDefault="00C57839" w:rsidP="00C57839">
      <w:pPr>
        <w:pStyle w:val="SingleTxtG"/>
        <w:ind w:left="1701" w:hanging="567"/>
      </w:pPr>
      <w:r w:rsidRPr="00D84538">
        <w:t>d)</w:t>
      </w:r>
      <w:r w:rsidRPr="00D84538">
        <w:tab/>
        <w:t xml:space="preserve">проанализировать широкий спектр «умных» и инновационных решений по организации зарядки, внедренных в регионе ЕЭК и за его пределами, для всех типов ЭМ, двух- и трехколесных транспортных средств, легковых автомобилей, </w:t>
      </w:r>
      <w:r w:rsidRPr="00D84538">
        <w:lastRenderedPageBreak/>
        <w:t xml:space="preserve">автофургонов, грузовиков и автобусов, гибридных поездов и специальных ЭМ (например, тракторов, строительной техники), а также барж, </w:t>
      </w:r>
      <w:r w:rsidRPr="00D84538">
        <w:rPr>
          <w:shd w:val="clear" w:color="auto" w:fill="FFFFFF"/>
        </w:rPr>
        <w:t>используемых во внутреннем судоходстве</w:t>
      </w:r>
      <w:r w:rsidRPr="00D84538">
        <w:t>, с особым акцентом на возможности двунаправленной зарядки (например, в режиме подключения к электросети/V2G и к дому/V2H);</w:t>
      </w:r>
    </w:p>
    <w:p w14:paraId="1B052535" w14:textId="77777777" w:rsidR="00C57839" w:rsidRPr="00D84538" w:rsidRDefault="00C57839" w:rsidP="00C57839">
      <w:pPr>
        <w:pStyle w:val="SingleTxtG"/>
        <w:ind w:left="1701" w:hanging="567"/>
      </w:pPr>
      <w:r w:rsidRPr="00D84538">
        <w:t>e)</w:t>
      </w:r>
      <w:r w:rsidRPr="00D84538">
        <w:tab/>
        <w:t>в отношении подпункта d) — служить платформой для:</w:t>
      </w:r>
    </w:p>
    <w:p w14:paraId="2F712803" w14:textId="77777777" w:rsidR="00C57839" w:rsidRPr="00D84538" w:rsidRDefault="00C57839" w:rsidP="00C57839">
      <w:pPr>
        <w:pStyle w:val="SingleTxtG"/>
        <w:ind w:left="2268" w:hanging="567"/>
      </w:pPr>
      <w:r w:rsidRPr="00D84538">
        <w:t>i)</w:t>
      </w:r>
      <w:r w:rsidRPr="00D84538">
        <w:tab/>
        <w:t>выявления нормативных барьеров любого характера, препятствующих внедрению «умных» и инновационных решений по организации зарядки, в том числе в плане ее физической и ценовой доступности, а также способов их преодоления;</w:t>
      </w:r>
    </w:p>
    <w:p w14:paraId="2318D90D" w14:textId="77777777" w:rsidR="00C57839" w:rsidRPr="00D84538" w:rsidRDefault="00C57839" w:rsidP="00C57839">
      <w:pPr>
        <w:pStyle w:val="SingleTxtG"/>
        <w:ind w:left="2268" w:hanging="567"/>
      </w:pPr>
      <w:r w:rsidRPr="00D84538">
        <w:t>ii)</w:t>
      </w:r>
      <w:r w:rsidRPr="00D84538">
        <w:tab/>
        <w:t>разработки благоприятной нормативно-правовой базы в виде эффективных налогов, сборов или надбавок, обеспечивающих прозрачность для клиента в отношении коэффициента выбросов используемого источника энергии;</w:t>
      </w:r>
    </w:p>
    <w:p w14:paraId="0B4B9906" w14:textId="77777777" w:rsidR="00C57839" w:rsidRPr="00D84538" w:rsidRDefault="00C57839" w:rsidP="00C57839">
      <w:pPr>
        <w:pStyle w:val="SingleTxtG"/>
        <w:ind w:left="2268" w:hanging="567"/>
      </w:pPr>
      <w:r w:rsidRPr="00D84538">
        <w:t>iii)</w:t>
      </w:r>
      <w:r w:rsidRPr="00D84538">
        <w:tab/>
        <w:t>разработки согласованных норм и стандартов в области двунаправленной зарядки и других «умных» решений по организации зарядки, равно как оценки потребности в соответствующей инфраструктуре, а также передовых методов регулирования нагрузки при зарядке, с тем чтобы свести к минимуму случаи внезапных, непропорционально больших и недиверсифицированных нагрузок на систему;</w:t>
      </w:r>
    </w:p>
    <w:p w14:paraId="6E3A31BA" w14:textId="77777777" w:rsidR="00C57839" w:rsidRPr="00D84538" w:rsidRDefault="00C57839" w:rsidP="00C57839">
      <w:pPr>
        <w:pStyle w:val="SingleTxtG"/>
        <w:ind w:left="2268" w:hanging="567"/>
      </w:pPr>
      <w:r w:rsidRPr="00D84538">
        <w:t>iv)</w:t>
      </w:r>
      <w:r w:rsidRPr="00D84538">
        <w:tab/>
        <w:t>выработки новых общих правил и вынесения рекомендаций по обеспечению соблюдения действующих правил обмена данными при обеспечении адекватной защиты данных и надлежащего уровня кибербезопасности;</w:t>
      </w:r>
    </w:p>
    <w:p w14:paraId="49928F67" w14:textId="77777777" w:rsidR="00C57839" w:rsidRPr="00D84538" w:rsidRDefault="00C57839" w:rsidP="00C57839">
      <w:pPr>
        <w:pStyle w:val="SingleTxtG"/>
        <w:ind w:left="2268" w:hanging="567"/>
      </w:pPr>
      <w:r w:rsidRPr="00D84538">
        <w:t>v)</w:t>
      </w:r>
      <w:r w:rsidRPr="00D84538">
        <w:tab/>
        <w:t>вынесения рекомендаций по гармонизации правил доступа к сети и разработки инструментов и технических решений, позволяющих решить проблему высокой нагрузки на сеть и ее потенциальной перегрузки;</w:t>
      </w:r>
    </w:p>
    <w:p w14:paraId="16942C60" w14:textId="77777777" w:rsidR="00C57839" w:rsidRPr="00D84538" w:rsidRDefault="00C57839" w:rsidP="00C57839">
      <w:pPr>
        <w:pStyle w:val="SingleTxtG"/>
        <w:ind w:left="2268" w:hanging="567"/>
      </w:pPr>
      <w:r w:rsidRPr="00D84538">
        <w:t>vi)</w:t>
      </w:r>
      <w:r w:rsidRPr="00D84538">
        <w:tab/>
        <w:t>вынесения рекомендаций по удобным и практичным методам оплаты за пользование общественными пунктами зарядки и по гармонизации платежных систем, в том числе путем изучения возможности введения динамических тарифов. Проведения сопоставительного анализа с рассмотрением методов приобретения других источников энергии (например, на автозаправочных станциях) и передового опыта в области экономичного подхода к использованию данных и цифровых технологий;</w:t>
      </w:r>
    </w:p>
    <w:p w14:paraId="4D771D11" w14:textId="77777777" w:rsidR="00C57839" w:rsidRPr="00D84538" w:rsidRDefault="00C57839" w:rsidP="00C57839">
      <w:pPr>
        <w:pStyle w:val="SingleTxtG"/>
        <w:ind w:left="2268" w:hanging="567"/>
      </w:pPr>
      <w:r w:rsidRPr="00D84538">
        <w:t>vii)</w:t>
      </w:r>
      <w:r w:rsidRPr="00D84538">
        <w:tab/>
        <w:t>изучения сопутствующих услуг применительно к «умным» и инновационным решениям по организации зарядки, а также создания благоприятных рамочных условий для выхода этих услуг на рынки;</w:t>
      </w:r>
    </w:p>
    <w:p w14:paraId="6DA2E5DF" w14:textId="5F9C4585" w:rsidR="00C57839" w:rsidRPr="00BB4CE5" w:rsidRDefault="00C57839" w:rsidP="00C57839">
      <w:pPr>
        <w:pStyle w:val="SingleTxtG"/>
        <w:ind w:left="2268" w:hanging="567"/>
      </w:pPr>
      <w:r w:rsidRPr="00D84538">
        <w:t>viii)</w:t>
      </w:r>
      <w:r w:rsidRPr="00D84538">
        <w:tab/>
        <w:t>изучения альтернативных моделей ценообразования на электроэнергию при использовании общественной зарядной инфраструктуры, с тем чтобы обеспечить адекватные финансовые стимулы для развития этой инфраструктуры с сохранением экономической выгоды для владельца транспортного средства</w:t>
      </w:r>
      <w:r w:rsidR="00BB4CE5">
        <w:t>;</w:t>
      </w:r>
    </w:p>
    <w:p w14:paraId="1D598DE8" w14:textId="77777777" w:rsidR="00C57839" w:rsidRPr="00D84538" w:rsidRDefault="00C57839" w:rsidP="00C57839">
      <w:pPr>
        <w:pStyle w:val="SingleTxtG"/>
        <w:ind w:left="1701" w:hanging="567"/>
      </w:pPr>
      <w:r w:rsidRPr="00D84538">
        <w:t>f)</w:t>
      </w:r>
      <w:r w:rsidRPr="00D84538">
        <w:tab/>
        <w:t>служить платформой для учета наиболее распространенных открытых протоколов и стандартов зарядки, обеспечивающих эксплуатационную совместимость систем зарядки и комплексные решения для бесперебойной зарядки ЭМ на трансграничном уровне;</w:t>
      </w:r>
    </w:p>
    <w:p w14:paraId="0FA5B45B" w14:textId="77777777" w:rsidR="00C57839" w:rsidRPr="00D84538" w:rsidRDefault="00C57839" w:rsidP="00C57839">
      <w:pPr>
        <w:pStyle w:val="SingleTxtG"/>
        <w:ind w:left="1701" w:hanging="567"/>
      </w:pPr>
      <w:r w:rsidRPr="00D84538">
        <w:t>g)</w:t>
      </w:r>
      <w:r w:rsidRPr="00D84538">
        <w:tab/>
        <w:t xml:space="preserve">создать базу данных с примерами передовой практики в регионе ЕЭК и за его пределами; </w:t>
      </w:r>
    </w:p>
    <w:p w14:paraId="6304CDF0" w14:textId="77777777" w:rsidR="00C57839" w:rsidRPr="00D84538" w:rsidRDefault="00C57839" w:rsidP="00C57839">
      <w:pPr>
        <w:pStyle w:val="SingleTxtG"/>
        <w:ind w:left="1701" w:hanging="567"/>
      </w:pPr>
      <w:r w:rsidRPr="00D84538">
        <w:t>h)</w:t>
      </w:r>
      <w:r w:rsidRPr="00D84538">
        <w:tab/>
        <w:t xml:space="preserve">в отношении подпункта g) выше: проанализировать инновационные виды практики, применяемые в связи с «умными» решениями по организации зарядки, а также процессами планирования и эксплуатации инфраструктуры </w:t>
      </w:r>
      <w:r w:rsidRPr="00D84538">
        <w:lastRenderedPageBreak/>
        <w:t>ЭМ, и разработать краткое руководство для использования странами, желающими добиться прогресса в этой области;</w:t>
      </w:r>
    </w:p>
    <w:p w14:paraId="4A5D69F2" w14:textId="77777777" w:rsidR="00C57839" w:rsidRPr="00D84538" w:rsidRDefault="00C57839" w:rsidP="00C57839">
      <w:pPr>
        <w:pStyle w:val="SingleTxtG"/>
        <w:ind w:left="1701" w:hanging="567"/>
      </w:pPr>
      <w:r w:rsidRPr="00D84538">
        <w:t>i)</w:t>
      </w:r>
      <w:r w:rsidRPr="00D84538">
        <w:tab/>
        <w:t>в отношении подпункта h) выше: продолжить изучение концепции эффективности выбора места размещения объектов и их доступности, которые играют центральную роль в оптимизации планирования инфраструктуры и снижении потребностей в мобильности и благодаря которым здания, промышленные предприятия, транспорт и инфраструктура как бы воедино связываются через землепользование</w:t>
      </w:r>
      <w:r w:rsidRPr="00D84538">
        <w:rPr>
          <w:rStyle w:val="aa"/>
        </w:rPr>
        <w:footnoteReference w:id="5"/>
      </w:r>
      <w:r w:rsidRPr="00D84538">
        <w:t xml:space="preserve">; </w:t>
      </w:r>
    </w:p>
    <w:p w14:paraId="7CB6491E" w14:textId="77777777" w:rsidR="00C57839" w:rsidRPr="00D84538" w:rsidRDefault="00C57839" w:rsidP="00C57839">
      <w:pPr>
        <w:pStyle w:val="SingleTxtG"/>
        <w:ind w:left="1701" w:hanging="567"/>
      </w:pPr>
      <w:r w:rsidRPr="00D84538">
        <w:t>j)</w:t>
      </w:r>
      <w:r w:rsidRPr="00D84538">
        <w:tab/>
        <w:t>подготавливать ежегодный доклад о достигнутых результатах и прогрессе, включая перечень рекомендаций для рабочих групп/групп экспертов, действующих под эгидой КВТ ЕЭК и КУЭ ЕЭК.</w:t>
      </w:r>
    </w:p>
    <w:p w14:paraId="78200CCA" w14:textId="77777777" w:rsidR="00C57839" w:rsidRPr="00D84538" w:rsidRDefault="00C57839" w:rsidP="00C57839">
      <w:pPr>
        <w:pStyle w:val="H1G"/>
      </w:pPr>
      <w:r w:rsidRPr="00D84538">
        <w:rPr>
          <w:bCs/>
        </w:rPr>
        <w:tab/>
        <w:t>B.</w:t>
      </w:r>
      <w:r w:rsidRPr="00D84538">
        <w:tab/>
      </w:r>
      <w:r w:rsidRPr="00D84538">
        <w:rPr>
          <w:bCs/>
        </w:rPr>
        <w:t>Методы работы</w:t>
      </w:r>
      <w:r w:rsidRPr="00D84538">
        <w:t xml:space="preserve"> </w:t>
      </w:r>
    </w:p>
    <w:p w14:paraId="00979C32" w14:textId="752E99C5" w:rsidR="00C57839" w:rsidRPr="00D84538" w:rsidRDefault="00C57839" w:rsidP="00C57839">
      <w:pPr>
        <w:pStyle w:val="SingleTxtG"/>
      </w:pPr>
      <w:r w:rsidRPr="00D84538">
        <w:t>5.</w:t>
      </w:r>
      <w:r w:rsidRPr="00D84538">
        <w:tab/>
        <w:t>Неофициальная целевая группа учреждается и будет функционировать в соответствии с Руководящими принципами создания и функционирования групп специалистов в рамках ЕЭК, утвержденными Исполнительным комитетом ЕЭК 31</w:t>
      </w:r>
      <w:r w:rsidR="00D666EC">
        <w:rPr>
          <w:lang w:val="en-US"/>
        </w:rPr>
        <w:t> </w:t>
      </w:r>
      <w:r w:rsidRPr="00D84538">
        <w:t xml:space="preserve">марта 2010 года (ECE/EX/2/Rev.1). На своем первом совещании неофициальная целевая группа изберет Председателя и заместителя Председателя и утвердит план работы, в котором будут определены конкретные направления деятельности, а также график работы по каждому из них. </w:t>
      </w:r>
    </w:p>
    <w:p w14:paraId="534FD28D" w14:textId="1790D9C6" w:rsidR="00C57839" w:rsidRPr="00D84538" w:rsidRDefault="00C57839" w:rsidP="00C57839">
      <w:pPr>
        <w:pStyle w:val="SingleTxtG"/>
      </w:pPr>
      <w:r w:rsidRPr="00D84538">
        <w:t>6.</w:t>
      </w:r>
      <w:r w:rsidRPr="00D84538">
        <w:tab/>
        <w:t>Предполагается, что неофициальная целевая группа будет проводить свои совещания не реже одного раза в шесть месяцев. Эти совещания следует проводить в онлайновом или смешанном формате. Если принимающей стороной выступают страны или партнерские организации, то</w:t>
      </w:r>
      <w:r>
        <w:t xml:space="preserve"> — </w:t>
      </w:r>
      <w:r w:rsidRPr="00D84538">
        <w:t>при условии наличия финансирования на поездки</w:t>
      </w:r>
      <w:r>
        <w:t xml:space="preserve"> — </w:t>
      </w:r>
      <w:r w:rsidRPr="00D84538">
        <w:t>они могут проводиться в смешанном формате за пределами Женевы.</w:t>
      </w:r>
    </w:p>
    <w:p w14:paraId="384D4164" w14:textId="77777777" w:rsidR="00C57839" w:rsidRPr="00D84538" w:rsidRDefault="00C57839" w:rsidP="00C57839">
      <w:pPr>
        <w:pStyle w:val="SingleTxtG"/>
      </w:pPr>
      <w:r w:rsidRPr="00D84538">
        <w:t>7.</w:t>
      </w:r>
      <w:r w:rsidRPr="00D84538">
        <w:tab/>
        <w:t xml:space="preserve">Председатель неофициальной целевой группы должен отчитываться о текущей работе на ежегодной сессии Рабочей группы по тенденциям и экономике транспорта (WP.5), а на сессии, запланированной на сентябрь 2026 года, должен быть представлен заключительный доклад. </w:t>
      </w:r>
    </w:p>
    <w:p w14:paraId="06D27A4A" w14:textId="77777777" w:rsidR="00C57839" w:rsidRPr="00D84538" w:rsidRDefault="00C57839" w:rsidP="00C57839">
      <w:pPr>
        <w:pStyle w:val="SingleTxtG"/>
      </w:pPr>
      <w:r w:rsidRPr="00D84538">
        <w:t>8.</w:t>
      </w:r>
      <w:r w:rsidRPr="00D84538">
        <w:tab/>
        <w:t>Проведение совещаний и составление документов осуществляются только на английском языке.</w:t>
      </w:r>
    </w:p>
    <w:p w14:paraId="53AA1E02" w14:textId="77777777" w:rsidR="00C57839" w:rsidRPr="00D84538" w:rsidRDefault="00C57839" w:rsidP="00C57839">
      <w:pPr>
        <w:pStyle w:val="SingleTxtG"/>
      </w:pPr>
      <w:r w:rsidRPr="00D84538">
        <w:t>9.</w:t>
      </w:r>
      <w:r w:rsidRPr="00D84538">
        <w:tab/>
        <w:t>Участие в работе неофициальной целевой группы открыто для всех заинтересованных государств — членов Организации Объединенных Наций, региональных организаций экономической интеграции (РОЭИ) и экспертов. Весьма приветствуется участие председателей/заместителей председателей и национальных делегатов, участвующих в работе существующих рабочих групп и групп экспертов, действующих под эгидой КВТ ЕЭК и КУЭ ЕЭК. В работе неофициальной целевой группы предлагается принять участие заинтересованным межправительственным и неправительственным организациям, а также соответствующим научным ассоциациям и ассоциациям частного сектора, которые могут представлять свои экспертные мнения в соответствии с правилами и существующей практикой Организации Объединенных Наций.</w:t>
      </w:r>
    </w:p>
    <w:p w14:paraId="404E0440" w14:textId="77777777" w:rsidR="00C57839" w:rsidRPr="00D84538" w:rsidRDefault="00C57839" w:rsidP="00C57839">
      <w:pPr>
        <w:pStyle w:val="H1G"/>
      </w:pPr>
      <w:r w:rsidRPr="00D84538">
        <w:rPr>
          <w:bCs/>
        </w:rPr>
        <w:tab/>
        <w:t>C.</w:t>
      </w:r>
      <w:r w:rsidRPr="00D84538">
        <w:tab/>
      </w:r>
      <w:r w:rsidRPr="00D84538">
        <w:rPr>
          <w:bCs/>
        </w:rPr>
        <w:t>Секретариат</w:t>
      </w:r>
    </w:p>
    <w:p w14:paraId="0C05D6B5" w14:textId="77777777" w:rsidR="00C57839" w:rsidRPr="00D84538" w:rsidRDefault="00C57839" w:rsidP="00C57839">
      <w:pPr>
        <w:pStyle w:val="SingleTxtG"/>
      </w:pPr>
      <w:r w:rsidRPr="00D84538">
        <w:t>10.</w:t>
      </w:r>
      <w:r w:rsidRPr="00D84538">
        <w:tab/>
        <w:t xml:space="preserve">ЕЭК под руководством Отдела устойчивого транспорта будет обеспечивать секретариатское обслуживание неофициальной целевой группы и тесное сотрудничество со всеми заинтересованными сторонами, включая секретариат Рамочной конвенции Организации Объединенных Наций об изменении климата (РКИКООН), региональные комиссии Организации Объединенных Наций и другие </w:t>
      </w:r>
      <w:r w:rsidRPr="00D84538">
        <w:lastRenderedPageBreak/>
        <w:t>соответствующие межправительственные и неправительственные организации и ассоциации частного сектора.</w:t>
      </w:r>
    </w:p>
    <w:p w14:paraId="570A8DDB" w14:textId="77777777" w:rsidR="00C57839" w:rsidRPr="00D84538" w:rsidRDefault="00C57839" w:rsidP="00C57839">
      <w:pPr>
        <w:pStyle w:val="H1G"/>
      </w:pPr>
      <w:r w:rsidRPr="00D84538">
        <w:rPr>
          <w:bCs/>
        </w:rPr>
        <w:tab/>
        <w:t>D.</w:t>
      </w:r>
      <w:r w:rsidRPr="00D84538">
        <w:tab/>
      </w:r>
      <w:r w:rsidRPr="00D84538">
        <w:rPr>
          <w:bCs/>
        </w:rPr>
        <w:t>Руководящие указания Комитета</w:t>
      </w:r>
    </w:p>
    <w:p w14:paraId="4AF0FBED" w14:textId="77777777" w:rsidR="00C57839" w:rsidRPr="00D84538" w:rsidRDefault="00C57839" w:rsidP="00C57839">
      <w:pPr>
        <w:pStyle w:val="SingleTxtG"/>
      </w:pPr>
      <w:r w:rsidRPr="00D84538">
        <w:t>11.</w:t>
      </w:r>
      <w:r w:rsidRPr="00D84538">
        <w:tab/>
        <w:t>Комитету предлагается рассмотреть в положительном ключе предложенный проект круга ведения и дать указания относительно любых дополнительных задач, которые он, возможно, пожелает включить, с тем чтобы в первой половине 2024 года Председатель WP.5 мог инициировать работу данной неофициальной целевой группы.</w:t>
      </w:r>
    </w:p>
    <w:p w14:paraId="19FD861F" w14:textId="77777777" w:rsidR="00C57839" w:rsidRPr="00D84538" w:rsidRDefault="00C57839" w:rsidP="00C57839">
      <w:pPr>
        <w:spacing w:before="240"/>
        <w:jc w:val="center"/>
        <w:rPr>
          <w:u w:val="single"/>
        </w:rPr>
      </w:pPr>
      <w:r w:rsidRPr="00D84538">
        <w:rPr>
          <w:u w:val="single"/>
        </w:rPr>
        <w:tab/>
      </w:r>
      <w:r w:rsidRPr="00D84538">
        <w:rPr>
          <w:u w:val="single"/>
        </w:rPr>
        <w:tab/>
      </w:r>
      <w:r w:rsidRPr="00D84538">
        <w:rPr>
          <w:u w:val="single"/>
        </w:rPr>
        <w:tab/>
      </w:r>
    </w:p>
    <w:p w14:paraId="0E1E1492" w14:textId="77777777" w:rsidR="00E12C5F" w:rsidRPr="008D53B6" w:rsidRDefault="00E12C5F" w:rsidP="00D9145B"/>
    <w:sectPr w:rsidR="00E12C5F" w:rsidRPr="008D53B6" w:rsidSect="00C57839">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94CEB" w14:textId="77777777" w:rsidR="00053302" w:rsidRPr="00A312BC" w:rsidRDefault="00053302" w:rsidP="00A312BC"/>
  </w:endnote>
  <w:endnote w:type="continuationSeparator" w:id="0">
    <w:p w14:paraId="0DB24D19" w14:textId="77777777" w:rsidR="00053302" w:rsidRPr="00A312BC" w:rsidRDefault="0005330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A8E49" w14:textId="751A1A30" w:rsidR="00C57839" w:rsidRPr="00C57839" w:rsidRDefault="00C57839">
    <w:pPr>
      <w:pStyle w:val="a8"/>
    </w:pPr>
    <w:r w:rsidRPr="00C57839">
      <w:rPr>
        <w:b/>
        <w:sz w:val="18"/>
      </w:rPr>
      <w:fldChar w:fldCharType="begin"/>
    </w:r>
    <w:r w:rsidRPr="00C57839">
      <w:rPr>
        <w:b/>
        <w:sz w:val="18"/>
      </w:rPr>
      <w:instrText xml:space="preserve"> PAGE  \* MERGEFORMAT </w:instrText>
    </w:r>
    <w:r w:rsidRPr="00C57839">
      <w:rPr>
        <w:b/>
        <w:sz w:val="18"/>
      </w:rPr>
      <w:fldChar w:fldCharType="separate"/>
    </w:r>
    <w:r w:rsidRPr="00C57839">
      <w:rPr>
        <w:b/>
        <w:noProof/>
        <w:sz w:val="18"/>
      </w:rPr>
      <w:t>2</w:t>
    </w:r>
    <w:r w:rsidRPr="00C57839">
      <w:rPr>
        <w:b/>
        <w:sz w:val="18"/>
      </w:rPr>
      <w:fldChar w:fldCharType="end"/>
    </w:r>
    <w:r>
      <w:rPr>
        <w:b/>
        <w:sz w:val="18"/>
      </w:rPr>
      <w:tab/>
    </w:r>
    <w:r>
      <w:t>GE.24-00302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3450" w14:textId="1E093310" w:rsidR="00C57839" w:rsidRPr="00C57839" w:rsidRDefault="00C57839" w:rsidP="00C57839">
    <w:pPr>
      <w:pStyle w:val="a8"/>
      <w:tabs>
        <w:tab w:val="clear" w:pos="9639"/>
        <w:tab w:val="right" w:pos="9638"/>
      </w:tabs>
      <w:rPr>
        <w:b/>
        <w:sz w:val="18"/>
      </w:rPr>
    </w:pPr>
    <w:r>
      <w:t>GE.24-00302</w:t>
    </w:r>
    <w:r>
      <w:tab/>
    </w:r>
    <w:r w:rsidRPr="00C57839">
      <w:rPr>
        <w:b/>
        <w:sz w:val="18"/>
      </w:rPr>
      <w:fldChar w:fldCharType="begin"/>
    </w:r>
    <w:r w:rsidRPr="00C57839">
      <w:rPr>
        <w:b/>
        <w:sz w:val="18"/>
      </w:rPr>
      <w:instrText xml:space="preserve"> PAGE  \* MERGEFORMAT </w:instrText>
    </w:r>
    <w:r w:rsidRPr="00C57839">
      <w:rPr>
        <w:b/>
        <w:sz w:val="18"/>
      </w:rPr>
      <w:fldChar w:fldCharType="separate"/>
    </w:r>
    <w:r w:rsidRPr="00C57839">
      <w:rPr>
        <w:b/>
        <w:noProof/>
        <w:sz w:val="18"/>
      </w:rPr>
      <w:t>3</w:t>
    </w:r>
    <w:r w:rsidRPr="00C5783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11A8A" w14:textId="457CD94E" w:rsidR="00042B72" w:rsidRPr="00C57839" w:rsidRDefault="00C57839" w:rsidP="00C57839">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06215F66" wp14:editId="3CA01F7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24-00302  (R)</w:t>
    </w:r>
    <w:r>
      <w:rPr>
        <w:noProof/>
      </w:rPr>
      <w:drawing>
        <wp:anchor distT="0" distB="0" distL="114300" distR="114300" simplePos="0" relativeHeight="251659264" behindDoc="0" locked="0" layoutInCell="1" allowOverlap="1" wp14:anchorId="25884A38" wp14:editId="02B65254">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290124  </w:t>
    </w:r>
    <w:r>
      <w:rPr>
        <w:lang w:val="en-US"/>
      </w:rPr>
      <w:t>290124</w:t>
    </w: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E8CB2" w14:textId="77777777" w:rsidR="00053302" w:rsidRPr="001075E9" w:rsidRDefault="00053302" w:rsidP="001075E9">
      <w:pPr>
        <w:tabs>
          <w:tab w:val="right" w:pos="2155"/>
        </w:tabs>
        <w:spacing w:after="80" w:line="240" w:lineRule="auto"/>
        <w:ind w:left="680"/>
        <w:rPr>
          <w:u w:val="single"/>
        </w:rPr>
      </w:pPr>
      <w:r>
        <w:rPr>
          <w:u w:val="single"/>
        </w:rPr>
        <w:tab/>
      </w:r>
    </w:p>
  </w:footnote>
  <w:footnote w:type="continuationSeparator" w:id="0">
    <w:p w14:paraId="3595A7E9" w14:textId="77777777" w:rsidR="00053302" w:rsidRDefault="00053302" w:rsidP="00407B78">
      <w:pPr>
        <w:tabs>
          <w:tab w:val="right" w:pos="2155"/>
        </w:tabs>
        <w:spacing w:after="80"/>
        <w:ind w:left="680"/>
        <w:rPr>
          <w:u w:val="single"/>
        </w:rPr>
      </w:pPr>
      <w:r>
        <w:rPr>
          <w:u w:val="single"/>
        </w:rPr>
        <w:tab/>
      </w:r>
    </w:p>
  </w:footnote>
  <w:footnote w:id="1">
    <w:p w14:paraId="2E0F10A1" w14:textId="77777777" w:rsidR="00C57839" w:rsidRPr="00121033" w:rsidRDefault="00C57839" w:rsidP="00C57839">
      <w:pPr>
        <w:pStyle w:val="ad"/>
        <w:rPr>
          <w:szCs w:val="18"/>
        </w:rPr>
      </w:pPr>
      <w:r w:rsidRPr="00121033">
        <w:tab/>
        <w:t>*</w:t>
      </w:r>
      <w:r w:rsidRPr="00121033">
        <w:tab/>
        <w:t>Настоящий документ был запланирован к изданию после установленного срока в силу обстоятельств, не зависящих от представившей его стороны.</w:t>
      </w:r>
    </w:p>
  </w:footnote>
  <w:footnote w:id="2">
    <w:p w14:paraId="12FDC144" w14:textId="77777777" w:rsidR="00C57839" w:rsidRPr="00C57839" w:rsidRDefault="00C57839" w:rsidP="00C57839">
      <w:pPr>
        <w:pStyle w:val="ad"/>
        <w:widowControl w:val="0"/>
        <w:tabs>
          <w:tab w:val="clear" w:pos="1021"/>
          <w:tab w:val="right" w:pos="1020"/>
        </w:tabs>
        <w:rPr>
          <w:lang w:val="en-US"/>
        </w:rPr>
      </w:pPr>
      <w:r w:rsidRPr="00121033">
        <w:tab/>
      </w:r>
      <w:r w:rsidRPr="00121033">
        <w:rPr>
          <w:rStyle w:val="aa"/>
        </w:rPr>
        <w:footnoteRef/>
      </w:r>
      <w:r w:rsidRPr="00C57839">
        <w:rPr>
          <w:lang w:val="en-US"/>
        </w:rPr>
        <w:tab/>
      </w:r>
      <w:r w:rsidRPr="00121033">
        <w:rPr>
          <w:lang w:val="en-US"/>
        </w:rPr>
        <w:t>ECE</w:t>
      </w:r>
      <w:r w:rsidRPr="00C57839">
        <w:rPr>
          <w:lang w:val="en-US"/>
        </w:rPr>
        <w:t>/</w:t>
      </w:r>
      <w:r w:rsidRPr="00121033">
        <w:rPr>
          <w:lang w:val="en-US"/>
        </w:rPr>
        <w:t>ENERGY</w:t>
      </w:r>
      <w:r w:rsidRPr="00C57839">
        <w:rPr>
          <w:lang w:val="en-US"/>
        </w:rPr>
        <w:t>/</w:t>
      </w:r>
      <w:r w:rsidRPr="00121033">
        <w:rPr>
          <w:lang w:val="en-US"/>
        </w:rPr>
        <w:t>GE</w:t>
      </w:r>
      <w:r w:rsidRPr="00C57839">
        <w:rPr>
          <w:lang w:val="en-US"/>
        </w:rPr>
        <w:t xml:space="preserve">.6/2023/2, </w:t>
      </w:r>
      <w:r w:rsidRPr="00121033">
        <w:t>пп</w:t>
      </w:r>
      <w:r w:rsidRPr="00C57839">
        <w:rPr>
          <w:lang w:val="en-US"/>
        </w:rPr>
        <w:t xml:space="preserve">. 20 </w:t>
      </w:r>
      <w:r w:rsidRPr="00121033">
        <w:t>и</w:t>
      </w:r>
      <w:r w:rsidRPr="00C57839">
        <w:rPr>
          <w:lang w:val="en-US"/>
        </w:rPr>
        <w:t xml:space="preserve"> 28. </w:t>
      </w:r>
    </w:p>
  </w:footnote>
  <w:footnote w:id="3">
    <w:p w14:paraId="2BEBF9D6" w14:textId="77777777" w:rsidR="00C57839" w:rsidRPr="00121033" w:rsidRDefault="00C57839" w:rsidP="00C57839">
      <w:pPr>
        <w:pStyle w:val="ad"/>
      </w:pPr>
      <w:r w:rsidRPr="00C57839">
        <w:rPr>
          <w:lang w:val="en-US"/>
        </w:rPr>
        <w:tab/>
      </w:r>
      <w:r w:rsidRPr="00121033">
        <w:rPr>
          <w:rStyle w:val="aa"/>
        </w:rPr>
        <w:footnoteRef/>
      </w:r>
      <w:r w:rsidRPr="00121033">
        <w:t xml:space="preserve"> </w:t>
      </w:r>
      <w:r w:rsidRPr="00121033">
        <w:tab/>
        <w:t>Рабочая группа по автомобильному транспорту (SC.1); Рабочая группа по внутреннему водному транспорту (WP.3/SC.3); Рабочая группа по тенденциям и экономике транспорта (WP.5); Рабочая группа по статистике транспорта (WP.6); Рабочая группа по интермодальным перевозкам и логистике (WP.24); Всемирный форум для согласования правил в области транспортных средств (WP.29) и его соответствующие вспомогательные органы.</w:t>
      </w:r>
    </w:p>
  </w:footnote>
  <w:footnote w:id="4">
    <w:p w14:paraId="16DC600F" w14:textId="77777777" w:rsidR="00C57839" w:rsidRPr="0010336E" w:rsidRDefault="00C57839" w:rsidP="00C57839">
      <w:pPr>
        <w:pStyle w:val="ad"/>
      </w:pPr>
      <w:r w:rsidRPr="0010336E">
        <w:tab/>
      </w:r>
      <w:r w:rsidRPr="0010336E">
        <w:rPr>
          <w:rStyle w:val="aa"/>
        </w:rPr>
        <w:footnoteRef/>
      </w:r>
      <w:r w:rsidRPr="0010336E">
        <w:t xml:space="preserve"> </w:t>
      </w:r>
      <w:r w:rsidRPr="0010336E">
        <w:tab/>
        <w:t>Комитет по устойчивой энергетике (КУЭ) и его соответствующие вспомогательные органы, а именно, Группа экспертов по энергоэффективности (ГЭЭ) и Группа экспертов по системам экологически чистого производства электроэнергии (ГЭЭЧЭ).</w:t>
      </w:r>
    </w:p>
  </w:footnote>
  <w:footnote w:id="5">
    <w:p w14:paraId="1F5DE6B5" w14:textId="77777777" w:rsidR="00C57839" w:rsidRPr="00B508E5" w:rsidRDefault="00C57839" w:rsidP="00C57839">
      <w:pPr>
        <w:pStyle w:val="ad"/>
        <w:widowControl w:val="0"/>
        <w:tabs>
          <w:tab w:val="clear" w:pos="1021"/>
          <w:tab w:val="right" w:pos="1020"/>
        </w:tabs>
        <w:rPr>
          <w:lang w:val="es-ES"/>
        </w:rPr>
      </w:pPr>
      <w:r w:rsidRPr="00B508E5">
        <w:tab/>
      </w:r>
      <w:r w:rsidRPr="00B508E5">
        <w:rPr>
          <w:rStyle w:val="aa"/>
        </w:rPr>
        <w:footnoteRef/>
      </w:r>
      <w:r w:rsidRPr="00B508E5">
        <w:rPr>
          <w:lang w:val="es-ES"/>
        </w:rPr>
        <w:tab/>
        <w:t xml:space="preserve">ECE/ENERGY/GE.6/2023/2, </w:t>
      </w:r>
      <w:r w:rsidRPr="00B508E5">
        <w:t>п</w:t>
      </w:r>
      <w:r w:rsidRPr="00B508E5">
        <w:rPr>
          <w:lang w:val="es-ES"/>
        </w:rPr>
        <w:t>. 28 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07D4C" w14:textId="773163CC" w:rsidR="00C57839" w:rsidRPr="00C57839" w:rsidRDefault="00C57839">
    <w:pPr>
      <w:pStyle w:val="a5"/>
    </w:pPr>
    <w:fldSimple w:instr=" TITLE  \* MERGEFORMAT ">
      <w:r w:rsidR="009C0224">
        <w:t>ECE/TRANS/2024/21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4C3DC" w14:textId="5BB5A587" w:rsidR="00C57839" w:rsidRPr="00C57839" w:rsidRDefault="00C57839" w:rsidP="00C57839">
    <w:pPr>
      <w:pStyle w:val="a5"/>
      <w:jc w:val="right"/>
    </w:pPr>
    <w:fldSimple w:instr=" TITLE  \* MERGEFORMAT ">
      <w:r w:rsidR="009C0224">
        <w:t>ECE/TRANS/2024/21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7"/>
  </w:num>
  <w:num w:numId="2" w16cid:durableId="966817556">
    <w:abstractNumId w:val="12"/>
  </w:num>
  <w:num w:numId="3" w16cid:durableId="1816291531">
    <w:abstractNumId w:val="11"/>
  </w:num>
  <w:num w:numId="4" w16cid:durableId="1492480875">
    <w:abstractNumId w:val="18"/>
  </w:num>
  <w:num w:numId="5" w16cid:durableId="1298685170">
    <w:abstractNumId w:val="14"/>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6"/>
  </w:num>
  <w:num w:numId="17" w16cid:durableId="53941411">
    <w:abstractNumId w:val="13"/>
  </w:num>
  <w:num w:numId="18" w16cid:durableId="961153681">
    <w:abstractNumId w:val="15"/>
  </w:num>
  <w:num w:numId="19" w16cid:durableId="1272468768">
    <w:abstractNumId w:val="16"/>
  </w:num>
  <w:num w:numId="20" w16cid:durableId="807743971">
    <w:abstractNumId w:val="13"/>
  </w:num>
  <w:num w:numId="21" w16cid:durableId="1591162185">
    <w:abstractNumId w:val="15"/>
  </w:num>
  <w:num w:numId="22" w16cid:durableId="686057424">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302"/>
    <w:rsid w:val="00033EE1"/>
    <w:rsid w:val="00042B72"/>
    <w:rsid w:val="0005330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0224"/>
    <w:rsid w:val="009C59D7"/>
    <w:rsid w:val="009C6FE6"/>
    <w:rsid w:val="009D7E7D"/>
    <w:rsid w:val="00A14DA8"/>
    <w:rsid w:val="00A312BC"/>
    <w:rsid w:val="00A84021"/>
    <w:rsid w:val="00A84D35"/>
    <w:rsid w:val="00A917B3"/>
    <w:rsid w:val="00AB4B51"/>
    <w:rsid w:val="00B10CC7"/>
    <w:rsid w:val="00B36DF7"/>
    <w:rsid w:val="00B539E7"/>
    <w:rsid w:val="00B62458"/>
    <w:rsid w:val="00BB4CE5"/>
    <w:rsid w:val="00BC18B2"/>
    <w:rsid w:val="00BD33EE"/>
    <w:rsid w:val="00BE1CC7"/>
    <w:rsid w:val="00C106D6"/>
    <w:rsid w:val="00C119AE"/>
    <w:rsid w:val="00C57839"/>
    <w:rsid w:val="00C60F0C"/>
    <w:rsid w:val="00C71E84"/>
    <w:rsid w:val="00C805C9"/>
    <w:rsid w:val="00C92939"/>
    <w:rsid w:val="00CA1679"/>
    <w:rsid w:val="00CB151C"/>
    <w:rsid w:val="00CE5A1A"/>
    <w:rsid w:val="00CF55F6"/>
    <w:rsid w:val="00D33D63"/>
    <w:rsid w:val="00D5253A"/>
    <w:rsid w:val="00D666EC"/>
    <w:rsid w:val="00D873A8"/>
    <w:rsid w:val="00D90028"/>
    <w:rsid w:val="00D90138"/>
    <w:rsid w:val="00D9145B"/>
    <w:rsid w:val="00DD78D1"/>
    <w:rsid w:val="00DE32CD"/>
    <w:rsid w:val="00DF5767"/>
    <w:rsid w:val="00DF71B9"/>
    <w:rsid w:val="00E12C5F"/>
    <w:rsid w:val="00E73F76"/>
    <w:rsid w:val="00E91A4A"/>
    <w:rsid w:val="00EA2C9F"/>
    <w:rsid w:val="00EA420E"/>
    <w:rsid w:val="00ED0BDA"/>
    <w:rsid w:val="00EE142A"/>
    <w:rsid w:val="00EF1360"/>
    <w:rsid w:val="00EF3220"/>
    <w:rsid w:val="00F2523A"/>
    <w:rsid w:val="00F43903"/>
    <w:rsid w:val="00F73C9D"/>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06A76"/>
  <w15:docId w15:val="{E4211118-A38C-479D-B0AE-CA21AE6E9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ftref,Знак сноски 1, Char Char,16 Point,Superscript 6 Point,ftref1,ftref2,ftref11,Normal + Font:9 Point,Superscript 3 Point Times,BVI fnr,BVI fnr Char1 Char Char Char Char Char Char, BVI fnr,Ref,de nota al pie"/>
    <w:basedOn w:val="a0"/>
    <w:link w:val="BVIfnrChar1CharCharCharCharChar"/>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single space,Footnote Text Char Char Char,FOOTNOTES,fn,ft,Footnote Text Char Char Char Char Char Char Char Char Char Char,Footnote Text Char Char Char Char Char Char Char Char Char Char Char Char,ft2,f Char"/>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Текст сноски Знак1,single space Знак,Текст сноски Знак Знак,Footnote Text Char Char Char Знак,FOOTNOTES Знак,fn Знак,ft Знак,Footnote Text Char Char Char Char Char Char Char Char Char Char Знак,ft2 Знак,f Char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locked/>
    <w:rsid w:val="00C57839"/>
    <w:rPr>
      <w:lang w:val="ru-RU" w:eastAsia="en-US"/>
    </w:rPr>
  </w:style>
  <w:style w:type="paragraph" w:customStyle="1" w:styleId="ParNoG">
    <w:name w:val="_ParNo_G"/>
    <w:basedOn w:val="SingleTxtG"/>
    <w:qFormat/>
    <w:rsid w:val="00C57839"/>
    <w:pPr>
      <w:numPr>
        <w:numId w:val="22"/>
      </w:numPr>
      <w:tabs>
        <w:tab w:val="clear" w:pos="2268"/>
        <w:tab w:val="clear" w:pos="2835"/>
      </w:tabs>
      <w:suppressAutoHyphens w:val="0"/>
    </w:pPr>
    <w:rPr>
      <w:lang w:val="en-GB" w:eastAsia="fr-FR"/>
    </w:rPr>
  </w:style>
  <w:style w:type="character" w:customStyle="1" w:styleId="H1GChar">
    <w:name w:val="_ H_1_G Char"/>
    <w:link w:val="H1G"/>
    <w:rsid w:val="00C57839"/>
    <w:rPr>
      <w:b/>
      <w:sz w:val="24"/>
      <w:lang w:val="ru-RU" w:eastAsia="ru-RU"/>
    </w:rPr>
  </w:style>
  <w:style w:type="paragraph" w:customStyle="1" w:styleId="BVIfnrChar1CharCharCharCharChar">
    <w:name w:val="BVI fnr Char1 Char Char Char Char Char"/>
    <w:aliases w:val="BVI fnr Car Car Char1 Char Char Char Char Char,BVI fnr Car Char1 Char Char Char Char Char,BVI fnr Car Car Car Car Char2 Char Char Char Char Char, BVI fnr Car Car Char1 Char Char Char Char Char"/>
    <w:basedOn w:val="a"/>
    <w:link w:val="aa"/>
    <w:rsid w:val="00C57839"/>
    <w:pPr>
      <w:suppressAutoHyphens w:val="0"/>
      <w:spacing w:after="160" w:line="240" w:lineRule="exact"/>
    </w:pPr>
    <w:rPr>
      <w:rFonts w:eastAsia="Times New Roman" w:cs="Times New Roman"/>
      <w:sz w:val="18"/>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3</TotalTime>
  <Pages>5</Pages>
  <Words>1426</Words>
  <Characters>10023</Characters>
  <Application>Microsoft Office Word</Application>
  <DocSecurity>0</DocSecurity>
  <Lines>194</Lines>
  <Paragraphs>52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ECE/TRANS/2024/21</vt:lpstr>
      <vt:lpstr>A/</vt:lpstr>
      <vt:lpstr>A/</vt:lpstr>
    </vt:vector>
  </TitlesOfParts>
  <Company>DCM</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ECE/TRANS/2024/21</dc:title>
  <dc:subject/>
  <dc:creator>Anna BLAGODATSKIKH</dc:creator>
  <cp:keywords/>
  <cp:lastModifiedBy>Anna Blagodatskikh</cp:lastModifiedBy>
  <cp:revision>3</cp:revision>
  <cp:lastPrinted>2024-01-29T08:52:00Z</cp:lastPrinted>
  <dcterms:created xsi:type="dcterms:W3CDTF">2024-01-29T08:52:00Z</dcterms:created>
  <dcterms:modified xsi:type="dcterms:W3CDTF">2024-01-29T08:53:00Z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