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42AF7DC" w14:textId="77777777" w:rsidTr="00387CD4">
        <w:trPr>
          <w:trHeight w:hRule="exact" w:val="851"/>
        </w:trPr>
        <w:tc>
          <w:tcPr>
            <w:tcW w:w="142" w:type="dxa"/>
            <w:tcBorders>
              <w:bottom w:val="single" w:sz="4" w:space="0" w:color="auto"/>
            </w:tcBorders>
          </w:tcPr>
          <w:p w14:paraId="2480F176" w14:textId="77777777" w:rsidR="002D5AAC" w:rsidRDefault="002D5AAC" w:rsidP="00C82A3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1BC0B8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612A404" w14:textId="32712A57" w:rsidR="002D5AAC" w:rsidRDefault="00C82A3D" w:rsidP="00C82A3D">
            <w:pPr>
              <w:jc w:val="right"/>
            </w:pPr>
            <w:r w:rsidRPr="00C82A3D">
              <w:rPr>
                <w:sz w:val="40"/>
              </w:rPr>
              <w:t>ECE</w:t>
            </w:r>
            <w:r>
              <w:t>/TRANS/WP.29/GRE/88</w:t>
            </w:r>
          </w:p>
        </w:tc>
      </w:tr>
      <w:tr w:rsidR="002D5AAC" w:rsidRPr="00A67690" w14:paraId="3D610FE8" w14:textId="77777777" w:rsidTr="00387CD4">
        <w:trPr>
          <w:trHeight w:hRule="exact" w:val="2835"/>
        </w:trPr>
        <w:tc>
          <w:tcPr>
            <w:tcW w:w="1280" w:type="dxa"/>
            <w:gridSpan w:val="2"/>
            <w:tcBorders>
              <w:top w:val="single" w:sz="4" w:space="0" w:color="auto"/>
              <w:bottom w:val="single" w:sz="12" w:space="0" w:color="auto"/>
            </w:tcBorders>
          </w:tcPr>
          <w:p w14:paraId="6F738B8F" w14:textId="77777777" w:rsidR="002D5AAC" w:rsidRDefault="002E5067" w:rsidP="00387CD4">
            <w:pPr>
              <w:spacing w:before="120"/>
              <w:jc w:val="center"/>
            </w:pPr>
            <w:r>
              <w:rPr>
                <w:noProof/>
                <w:lang w:val="fr-CH" w:eastAsia="fr-CH"/>
              </w:rPr>
              <w:drawing>
                <wp:inline distT="0" distB="0" distL="0" distR="0" wp14:anchorId="51BEE38E" wp14:editId="232C9D7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EBDE89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9A927F3" w14:textId="77777777" w:rsidR="002D5AAC" w:rsidRDefault="00C82A3D" w:rsidP="00387CD4">
            <w:pPr>
              <w:spacing w:before="240"/>
              <w:rPr>
                <w:lang w:val="en-US"/>
              </w:rPr>
            </w:pPr>
            <w:r>
              <w:rPr>
                <w:lang w:val="en-US"/>
              </w:rPr>
              <w:t>Distr.: General</w:t>
            </w:r>
          </w:p>
          <w:p w14:paraId="6517544B" w14:textId="1769432A" w:rsidR="00C82A3D" w:rsidRPr="00530957" w:rsidRDefault="008B02CC" w:rsidP="00C82A3D">
            <w:pPr>
              <w:spacing w:line="240" w:lineRule="exact"/>
              <w:rPr>
                <w:lang w:val="en-US"/>
              </w:rPr>
            </w:pPr>
            <w:r w:rsidRPr="00530957">
              <w:rPr>
                <w:lang w:val="en-US"/>
              </w:rPr>
              <w:t>25 May 2023</w:t>
            </w:r>
          </w:p>
          <w:p w14:paraId="147E9868" w14:textId="77777777" w:rsidR="00C82A3D" w:rsidRDefault="00C82A3D" w:rsidP="00C82A3D">
            <w:pPr>
              <w:spacing w:line="240" w:lineRule="exact"/>
              <w:rPr>
                <w:lang w:val="en-US"/>
              </w:rPr>
            </w:pPr>
            <w:r>
              <w:rPr>
                <w:lang w:val="en-US"/>
              </w:rPr>
              <w:t>Russian</w:t>
            </w:r>
          </w:p>
          <w:p w14:paraId="16906AE2" w14:textId="2100C269" w:rsidR="00C82A3D" w:rsidRPr="008D53B6" w:rsidRDefault="00C82A3D" w:rsidP="00C82A3D">
            <w:pPr>
              <w:spacing w:line="240" w:lineRule="exact"/>
              <w:rPr>
                <w:lang w:val="en-US"/>
              </w:rPr>
            </w:pPr>
            <w:r>
              <w:rPr>
                <w:lang w:val="en-US"/>
              </w:rPr>
              <w:t>Original: English</w:t>
            </w:r>
          </w:p>
        </w:tc>
      </w:tr>
    </w:tbl>
    <w:p w14:paraId="4FAC0CC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C09E765" w14:textId="77777777" w:rsidR="00C82A3D" w:rsidRPr="00C82A3D" w:rsidRDefault="00C82A3D" w:rsidP="00C82A3D">
      <w:pPr>
        <w:spacing w:before="120"/>
        <w:rPr>
          <w:sz w:val="28"/>
          <w:szCs w:val="28"/>
        </w:rPr>
      </w:pPr>
      <w:r w:rsidRPr="00C82A3D">
        <w:rPr>
          <w:sz w:val="28"/>
          <w:szCs w:val="28"/>
        </w:rPr>
        <w:t>Комитет по внутреннему транспорту</w:t>
      </w:r>
    </w:p>
    <w:p w14:paraId="32FEE4C2" w14:textId="6AA1710E" w:rsidR="00C82A3D" w:rsidRPr="00C82A3D" w:rsidRDefault="00C82A3D" w:rsidP="00C82A3D">
      <w:pPr>
        <w:spacing w:before="120"/>
        <w:rPr>
          <w:b/>
          <w:sz w:val="24"/>
          <w:szCs w:val="24"/>
        </w:rPr>
      </w:pPr>
      <w:r w:rsidRPr="00C82A3D">
        <w:rPr>
          <w:b/>
          <w:bCs/>
          <w:sz w:val="24"/>
          <w:szCs w:val="24"/>
        </w:rPr>
        <w:t xml:space="preserve">Всемирный форум для согласования правил </w:t>
      </w:r>
      <w:r>
        <w:rPr>
          <w:b/>
          <w:bCs/>
          <w:sz w:val="24"/>
          <w:szCs w:val="24"/>
        </w:rPr>
        <w:br/>
      </w:r>
      <w:r w:rsidRPr="00C82A3D">
        <w:rPr>
          <w:b/>
          <w:bCs/>
          <w:sz w:val="24"/>
          <w:szCs w:val="24"/>
        </w:rPr>
        <w:t>в области транспортных средств</w:t>
      </w:r>
    </w:p>
    <w:p w14:paraId="779AC2DC" w14:textId="4E7B28AF" w:rsidR="00C82A3D" w:rsidRPr="00A56802" w:rsidRDefault="00C82A3D" w:rsidP="00C82A3D">
      <w:pPr>
        <w:spacing w:before="120" w:after="120"/>
        <w:rPr>
          <w:b/>
          <w:bCs/>
        </w:rPr>
      </w:pPr>
      <w:r>
        <w:rPr>
          <w:b/>
          <w:bCs/>
        </w:rPr>
        <w:t xml:space="preserve">Рабочая группа по вопросам освещения </w:t>
      </w:r>
      <w:r>
        <w:rPr>
          <w:b/>
          <w:bCs/>
        </w:rPr>
        <w:br/>
        <w:t>и световой сигнализации</w:t>
      </w:r>
    </w:p>
    <w:p w14:paraId="073270B4" w14:textId="77777777" w:rsidR="00C82A3D" w:rsidRPr="00D26463" w:rsidRDefault="00C82A3D" w:rsidP="00C82A3D">
      <w:pPr>
        <w:spacing w:before="120"/>
        <w:rPr>
          <w:b/>
        </w:rPr>
      </w:pPr>
      <w:r>
        <w:rPr>
          <w:b/>
          <w:bCs/>
        </w:rPr>
        <w:t>Восемьдесят восьмая сессия</w:t>
      </w:r>
    </w:p>
    <w:p w14:paraId="351A69C1" w14:textId="77777777" w:rsidR="00C82A3D" w:rsidRPr="00C82A3D" w:rsidRDefault="00C82A3D" w:rsidP="00C82A3D">
      <w:pPr>
        <w:rPr>
          <w:color w:val="000000" w:themeColor="text1"/>
        </w:rPr>
      </w:pPr>
      <w:r>
        <w:t xml:space="preserve">Женева, </w:t>
      </w:r>
      <w:r w:rsidRPr="00C82A3D">
        <w:rPr>
          <w:color w:val="000000" w:themeColor="text1"/>
        </w:rPr>
        <w:t>25</w:t>
      </w:r>
      <w:r w:rsidRPr="00C82A3D">
        <w:rPr>
          <w:rStyle w:val="af1"/>
          <w:webHidden/>
          <w:color w:val="000000" w:themeColor="text1"/>
        </w:rPr>
        <w:t xml:space="preserve">–28 апреля 2023 года </w:t>
      </w:r>
    </w:p>
    <w:p w14:paraId="5157EC13" w14:textId="58869777" w:rsidR="00C82A3D" w:rsidRDefault="00C82A3D" w:rsidP="00C82A3D">
      <w:pPr>
        <w:pStyle w:val="HChG"/>
        <w:rPr>
          <w:bCs/>
        </w:rPr>
      </w:pPr>
      <w:r>
        <w:tab/>
      </w:r>
      <w:r>
        <w:tab/>
      </w:r>
      <w:r>
        <w:rPr>
          <w:bCs/>
        </w:rPr>
        <w:t>Доклад Рабочей группы по вопросам освещения и</w:t>
      </w:r>
      <w:r w:rsidR="008B02CC">
        <w:rPr>
          <w:bCs/>
          <w:lang w:val="fr-CH"/>
        </w:rPr>
        <w:t> </w:t>
      </w:r>
      <w:r>
        <w:rPr>
          <w:bCs/>
        </w:rPr>
        <w:t>световой сигнализации о работе ее восемьдесят восьмой сессии</w:t>
      </w:r>
      <w:bookmarkStart w:id="0" w:name="_Toc365898453"/>
      <w:bookmarkStart w:id="1" w:name="_Toc369772204"/>
      <w:bookmarkEnd w:id="0"/>
      <w:bookmarkEnd w:id="1"/>
    </w:p>
    <w:p w14:paraId="2BD684C2" w14:textId="77777777" w:rsidR="00C82A3D" w:rsidRDefault="00C82A3D" w:rsidP="00F1583A">
      <w:pPr>
        <w:spacing w:after="120"/>
        <w:rPr>
          <w:sz w:val="28"/>
        </w:rPr>
      </w:pPr>
      <w:r>
        <w:rPr>
          <w:sz w:val="28"/>
        </w:rPr>
        <w:t>Содержание</w:t>
      </w:r>
    </w:p>
    <w:p w14:paraId="5FAFD646" w14:textId="77777777" w:rsidR="00C82A3D" w:rsidRDefault="00C82A3D" w:rsidP="00F1583A">
      <w:pPr>
        <w:tabs>
          <w:tab w:val="right" w:pos="8929"/>
          <w:tab w:val="right" w:pos="9638"/>
        </w:tabs>
        <w:spacing w:after="120"/>
        <w:ind w:left="283"/>
        <w:rPr>
          <w:sz w:val="18"/>
        </w:rPr>
      </w:pPr>
      <w:r>
        <w:rPr>
          <w:i/>
          <w:sz w:val="18"/>
        </w:rPr>
        <w:tab/>
        <w:t>Пункты</w:t>
      </w:r>
      <w:r>
        <w:rPr>
          <w:i/>
          <w:sz w:val="18"/>
        </w:rPr>
        <w:tab/>
        <w:t>Стр.</w:t>
      </w:r>
    </w:p>
    <w:p w14:paraId="0AFD5801" w14:textId="73C28843" w:rsidR="008B02CC" w:rsidRDefault="00C82A3D" w:rsidP="00C82A3D">
      <w:pPr>
        <w:tabs>
          <w:tab w:val="right" w:pos="850"/>
          <w:tab w:val="left" w:pos="1134"/>
          <w:tab w:val="left" w:pos="1559"/>
          <w:tab w:val="left" w:pos="1984"/>
          <w:tab w:val="left" w:leader="dot" w:pos="7654"/>
          <w:tab w:val="right" w:pos="8929"/>
          <w:tab w:val="right" w:pos="9638"/>
        </w:tabs>
        <w:spacing w:after="120"/>
      </w:pPr>
      <w:r>
        <w:tab/>
      </w:r>
      <w:r w:rsidR="008B02CC">
        <w:rPr>
          <w:bCs/>
        </w:rPr>
        <w:t>I.</w:t>
      </w:r>
      <w:r w:rsidR="008B02CC">
        <w:tab/>
      </w:r>
      <w:r w:rsidR="008B02CC">
        <w:rPr>
          <w:bCs/>
        </w:rPr>
        <w:t>Участники</w:t>
      </w:r>
      <w:r>
        <w:tab/>
      </w:r>
      <w:r>
        <w:tab/>
      </w:r>
      <w:r w:rsidR="008B02CC" w:rsidRPr="008B02CC">
        <w:t>1</w:t>
      </w:r>
      <w:r>
        <w:tab/>
      </w:r>
      <w:r w:rsidR="00B5015A">
        <w:t>3</w:t>
      </w:r>
    </w:p>
    <w:p w14:paraId="77BC266D" w14:textId="08F2613D" w:rsidR="00C82A3D" w:rsidRDefault="00C82A3D" w:rsidP="00C82A3D">
      <w:pPr>
        <w:tabs>
          <w:tab w:val="right" w:pos="850"/>
          <w:tab w:val="left" w:pos="1134"/>
          <w:tab w:val="left" w:pos="1559"/>
          <w:tab w:val="left" w:pos="1984"/>
          <w:tab w:val="left" w:leader="dot" w:pos="7654"/>
          <w:tab w:val="right" w:pos="8929"/>
          <w:tab w:val="right" w:pos="9638"/>
        </w:tabs>
        <w:spacing w:after="120"/>
      </w:pPr>
      <w:r>
        <w:tab/>
      </w:r>
      <w:r w:rsidR="008B02CC">
        <w:rPr>
          <w:bCs/>
        </w:rPr>
        <w:t>II.</w:t>
      </w:r>
      <w:r w:rsidR="008B02CC">
        <w:tab/>
      </w:r>
      <w:r w:rsidR="008B02CC">
        <w:rPr>
          <w:bCs/>
        </w:rPr>
        <w:t>Утверждение повестки дня (пункт 1 повестки дня)</w:t>
      </w:r>
      <w:r>
        <w:tab/>
      </w:r>
      <w:r>
        <w:tab/>
      </w:r>
      <w:r w:rsidR="008B02CC" w:rsidRPr="008B02CC">
        <w:t>2–4</w:t>
      </w:r>
      <w:r>
        <w:tab/>
      </w:r>
      <w:r w:rsidR="00B5015A">
        <w:t>3</w:t>
      </w:r>
    </w:p>
    <w:p w14:paraId="47AC71BE" w14:textId="55890E0B" w:rsidR="008B02CC" w:rsidRDefault="008B02CC" w:rsidP="008B02CC">
      <w:pPr>
        <w:tabs>
          <w:tab w:val="right" w:pos="850"/>
          <w:tab w:val="left" w:pos="1134"/>
          <w:tab w:val="left" w:pos="1559"/>
          <w:tab w:val="left" w:pos="1984"/>
          <w:tab w:val="left" w:leader="dot" w:pos="7654"/>
          <w:tab w:val="right" w:pos="8929"/>
          <w:tab w:val="right" w:pos="9638"/>
        </w:tabs>
        <w:spacing w:after="120"/>
        <w:ind w:left="1134" w:hanging="1134"/>
      </w:pPr>
      <w:r>
        <w:tab/>
      </w:r>
      <w:r>
        <w:rPr>
          <w:bCs/>
        </w:rPr>
        <w:t>III.</w:t>
      </w:r>
      <w:r>
        <w:tab/>
        <w:t xml:space="preserve">Соглашение 1998 года — глобальные технические правила ООН: </w:t>
      </w:r>
      <w:r>
        <w:br/>
        <w:t>разработка (пункт 2 повестки дня)</w:t>
      </w:r>
      <w:r>
        <w:tab/>
      </w:r>
      <w:r>
        <w:tab/>
      </w:r>
      <w:r w:rsidRPr="008B02CC">
        <w:t>5</w:t>
      </w:r>
      <w:r>
        <w:tab/>
      </w:r>
      <w:r w:rsidR="00B5015A">
        <w:t>3</w:t>
      </w:r>
    </w:p>
    <w:p w14:paraId="2CD910FF" w14:textId="05EC8E45" w:rsidR="008B02CC" w:rsidRDefault="008B02CC" w:rsidP="008B02CC">
      <w:pPr>
        <w:tabs>
          <w:tab w:val="right" w:pos="850"/>
          <w:tab w:val="left" w:pos="1134"/>
          <w:tab w:val="left" w:pos="1559"/>
          <w:tab w:val="left" w:pos="1984"/>
          <w:tab w:val="left" w:leader="dot" w:pos="7654"/>
          <w:tab w:val="right" w:pos="8929"/>
          <w:tab w:val="right" w:pos="9638"/>
        </w:tabs>
        <w:spacing w:after="120"/>
        <w:ind w:left="1140" w:hanging="1140"/>
        <w:rPr>
          <w:bCs/>
        </w:rPr>
      </w:pPr>
      <w:r>
        <w:tab/>
      </w:r>
      <w:r>
        <w:rPr>
          <w:bCs/>
        </w:rPr>
        <w:t>IV.</w:t>
      </w:r>
      <w:r>
        <w:tab/>
      </w:r>
      <w:r>
        <w:rPr>
          <w:bCs/>
        </w:rPr>
        <w:t xml:space="preserve">Соглашение 1997 года — предписания: разработка </w:t>
      </w:r>
      <w:r>
        <w:rPr>
          <w:bCs/>
        </w:rPr>
        <w:br/>
        <w:t>(пункт 3 повестки дня)</w:t>
      </w:r>
      <w:r>
        <w:rPr>
          <w:bCs/>
        </w:rPr>
        <w:tab/>
      </w:r>
      <w:r>
        <w:rPr>
          <w:bCs/>
        </w:rPr>
        <w:tab/>
      </w:r>
      <w:r w:rsidRPr="008B02CC">
        <w:rPr>
          <w:bCs/>
        </w:rPr>
        <w:t>6</w:t>
      </w:r>
      <w:r>
        <w:rPr>
          <w:bCs/>
        </w:rPr>
        <w:tab/>
      </w:r>
      <w:r w:rsidR="00B5015A">
        <w:rPr>
          <w:bCs/>
        </w:rPr>
        <w:t>3</w:t>
      </w:r>
    </w:p>
    <w:p w14:paraId="141EDE97" w14:textId="5F1AB179" w:rsidR="008B02CC" w:rsidRDefault="008B02CC" w:rsidP="008B02CC">
      <w:pPr>
        <w:tabs>
          <w:tab w:val="right" w:pos="850"/>
          <w:tab w:val="left" w:pos="1134"/>
          <w:tab w:val="left" w:pos="1559"/>
          <w:tab w:val="left" w:pos="1984"/>
          <w:tab w:val="left" w:leader="dot" w:pos="7654"/>
          <w:tab w:val="right" w:pos="8929"/>
          <w:tab w:val="right" w:pos="9638"/>
        </w:tabs>
        <w:spacing w:after="120"/>
        <w:ind w:left="1140" w:hanging="721"/>
        <w:rPr>
          <w:bCs/>
        </w:rPr>
      </w:pPr>
      <w:r>
        <w:rPr>
          <w:bCs/>
        </w:rPr>
        <w:tab/>
        <w:t>V.</w:t>
      </w:r>
      <w:r>
        <w:tab/>
      </w:r>
      <w:r>
        <w:rPr>
          <w:bCs/>
        </w:rPr>
        <w:t>Упрощение правил ООН, касающихся освещения и</w:t>
      </w:r>
      <w:r>
        <w:rPr>
          <w:bCs/>
          <w:lang w:val="fr-CH"/>
        </w:rPr>
        <w:t> </w:t>
      </w:r>
      <w:r>
        <w:rPr>
          <w:bCs/>
        </w:rPr>
        <w:t xml:space="preserve">световой </w:t>
      </w:r>
      <w:r>
        <w:rPr>
          <w:bCs/>
        </w:rPr>
        <w:br/>
        <w:t>сигнализации (пункт 4 повестки дня)</w:t>
      </w:r>
      <w:r>
        <w:rPr>
          <w:bCs/>
        </w:rPr>
        <w:tab/>
      </w:r>
      <w:r>
        <w:rPr>
          <w:bCs/>
        </w:rPr>
        <w:tab/>
      </w:r>
      <w:r w:rsidRPr="008B02CC">
        <w:rPr>
          <w:bCs/>
        </w:rPr>
        <w:t>7–14</w:t>
      </w:r>
      <w:r>
        <w:rPr>
          <w:bCs/>
        </w:rPr>
        <w:tab/>
      </w:r>
      <w:r w:rsidR="00B5015A">
        <w:rPr>
          <w:bCs/>
        </w:rPr>
        <w:t>4</w:t>
      </w:r>
    </w:p>
    <w:p w14:paraId="43F42020" w14:textId="1E1768F1" w:rsidR="008B02CC" w:rsidRDefault="008B02CC" w:rsidP="008B02CC">
      <w:pPr>
        <w:tabs>
          <w:tab w:val="right" w:pos="850"/>
          <w:tab w:val="left" w:pos="1134"/>
          <w:tab w:val="left" w:pos="1559"/>
          <w:tab w:val="left" w:pos="1984"/>
          <w:tab w:val="left" w:leader="dot" w:pos="7654"/>
          <w:tab w:val="right" w:pos="8929"/>
          <w:tab w:val="right" w:pos="9638"/>
        </w:tabs>
        <w:spacing w:after="120"/>
        <w:ind w:left="1140" w:hanging="721"/>
        <w:rPr>
          <w:bCs/>
        </w:rPr>
      </w:pPr>
      <w:r>
        <w:rPr>
          <w:bCs/>
        </w:rPr>
        <w:tab/>
        <w:t>VI.</w:t>
      </w:r>
      <w:r>
        <w:tab/>
      </w:r>
      <w:r>
        <w:rPr>
          <w:bCs/>
        </w:rPr>
        <w:t xml:space="preserve">Правила ООН, касающиеся источников света, и Сводная резолюция </w:t>
      </w:r>
      <w:r>
        <w:rPr>
          <w:bCs/>
        </w:rPr>
        <w:br/>
        <w:t xml:space="preserve">по общей спецификации для категорий источников света </w:t>
      </w:r>
      <w:r>
        <w:rPr>
          <w:bCs/>
        </w:rPr>
        <w:br/>
        <w:t>(пункт 5 повестки дня)</w:t>
      </w:r>
      <w:r>
        <w:rPr>
          <w:bCs/>
        </w:rPr>
        <w:tab/>
      </w:r>
      <w:r>
        <w:rPr>
          <w:bCs/>
        </w:rPr>
        <w:tab/>
      </w:r>
      <w:r w:rsidRPr="008B02CC">
        <w:rPr>
          <w:bCs/>
        </w:rPr>
        <w:t>15</w:t>
      </w:r>
      <w:r>
        <w:rPr>
          <w:bCs/>
        </w:rPr>
        <w:tab/>
      </w:r>
      <w:r w:rsidR="00B5015A">
        <w:rPr>
          <w:bCs/>
        </w:rPr>
        <w:t>5</w:t>
      </w:r>
    </w:p>
    <w:p w14:paraId="2DE5E097" w14:textId="0321B44E" w:rsidR="008B02CC" w:rsidRDefault="008B02CC" w:rsidP="008B02CC">
      <w:pPr>
        <w:tabs>
          <w:tab w:val="right" w:pos="850"/>
          <w:tab w:val="left" w:pos="1134"/>
          <w:tab w:val="left" w:pos="1559"/>
          <w:tab w:val="left" w:pos="1984"/>
          <w:tab w:val="left" w:leader="dot" w:pos="7654"/>
          <w:tab w:val="right" w:pos="8929"/>
          <w:tab w:val="right" w:pos="9638"/>
        </w:tabs>
        <w:spacing w:after="120"/>
        <w:ind w:left="1140" w:hanging="721"/>
        <w:rPr>
          <w:bCs/>
        </w:rPr>
      </w:pPr>
      <w:r>
        <w:rPr>
          <w:bCs/>
        </w:rPr>
        <w:tab/>
        <w:t>VII.</w:t>
      </w:r>
      <w:r>
        <w:tab/>
      </w:r>
      <w:r>
        <w:rPr>
          <w:bCs/>
        </w:rPr>
        <w:t>Правила ООН, касающиеся установки (пункт 6 повестки дня)</w:t>
      </w:r>
      <w:r>
        <w:rPr>
          <w:bCs/>
        </w:rPr>
        <w:tab/>
      </w:r>
      <w:r>
        <w:rPr>
          <w:bCs/>
        </w:rPr>
        <w:tab/>
      </w:r>
      <w:r w:rsidR="00227F51" w:rsidRPr="00227F51">
        <w:rPr>
          <w:bCs/>
        </w:rPr>
        <w:t>16–29</w:t>
      </w:r>
      <w:r w:rsidR="00F6474B">
        <w:rPr>
          <w:bCs/>
        </w:rPr>
        <w:tab/>
      </w:r>
      <w:r w:rsidR="00B5015A">
        <w:rPr>
          <w:bCs/>
        </w:rPr>
        <w:t>5</w:t>
      </w:r>
    </w:p>
    <w:p w14:paraId="4D77EA1B" w14:textId="2DBEA95B" w:rsidR="00F6474B" w:rsidRDefault="00F6474B" w:rsidP="00F6474B">
      <w:pPr>
        <w:tabs>
          <w:tab w:val="right" w:pos="850"/>
          <w:tab w:val="left" w:pos="1134"/>
          <w:tab w:val="left" w:pos="1559"/>
          <w:tab w:val="left" w:pos="1984"/>
          <w:tab w:val="left" w:leader="dot" w:pos="7654"/>
          <w:tab w:val="right" w:pos="8929"/>
          <w:tab w:val="right" w:pos="9638"/>
        </w:tabs>
        <w:spacing w:after="120"/>
        <w:ind w:left="1559" w:hanging="1140"/>
      </w:pPr>
      <w:r>
        <w:rPr>
          <w:bCs/>
        </w:rPr>
        <w:tab/>
      </w:r>
      <w:r>
        <w:rPr>
          <w:bCs/>
        </w:rPr>
        <w:tab/>
      </w:r>
      <w:r>
        <w:t>A.</w:t>
      </w:r>
      <w:r>
        <w:tab/>
        <w:t xml:space="preserve">Правила № 48 ООН (установка устройств освещения и световой </w:t>
      </w:r>
      <w:r w:rsidR="00227F51">
        <w:br/>
      </w:r>
      <w:r>
        <w:t>сигнализации)</w:t>
      </w:r>
      <w:r>
        <w:tab/>
      </w:r>
      <w:r>
        <w:tab/>
      </w:r>
      <w:r w:rsidRPr="00F6474B">
        <w:t>1</w:t>
      </w:r>
      <w:r w:rsidR="00A67690" w:rsidRPr="00A67690">
        <w:t>6</w:t>
      </w:r>
      <w:r w:rsidRPr="00F6474B">
        <w:t>–27</w:t>
      </w:r>
      <w:r w:rsidRPr="00F6474B">
        <w:tab/>
      </w:r>
      <w:r w:rsidR="00B5015A">
        <w:t>5</w:t>
      </w:r>
    </w:p>
    <w:p w14:paraId="7081ACA7" w14:textId="34876E93" w:rsidR="00F6474B" w:rsidRDefault="00F6474B" w:rsidP="00F6474B">
      <w:pPr>
        <w:tabs>
          <w:tab w:val="right" w:pos="850"/>
          <w:tab w:val="left" w:pos="1134"/>
          <w:tab w:val="left" w:pos="1559"/>
          <w:tab w:val="left" w:pos="1984"/>
          <w:tab w:val="left" w:leader="dot" w:pos="7654"/>
          <w:tab w:val="right" w:pos="8929"/>
          <w:tab w:val="right" w:pos="9638"/>
        </w:tabs>
        <w:spacing w:after="120"/>
        <w:ind w:left="1559" w:hanging="1140"/>
      </w:pPr>
      <w:r>
        <w:tab/>
      </w:r>
      <w:r>
        <w:tab/>
        <w:t>B.</w:t>
      </w:r>
      <w:r>
        <w:tab/>
        <w:t>Другие правила ООН, касающиеся установки</w:t>
      </w:r>
      <w:r>
        <w:tab/>
      </w:r>
      <w:r>
        <w:tab/>
      </w:r>
      <w:r w:rsidRPr="00F6474B">
        <w:t>28–29</w:t>
      </w:r>
      <w:r>
        <w:tab/>
      </w:r>
      <w:r w:rsidR="00B5015A">
        <w:t>7</w:t>
      </w:r>
    </w:p>
    <w:p w14:paraId="797FF2A7" w14:textId="4AA9D18C" w:rsidR="00F6474B" w:rsidRDefault="00F6474B" w:rsidP="00F6474B">
      <w:pPr>
        <w:tabs>
          <w:tab w:val="right" w:pos="850"/>
          <w:tab w:val="left" w:pos="1134"/>
          <w:tab w:val="left" w:pos="1559"/>
          <w:tab w:val="left" w:pos="1984"/>
          <w:tab w:val="left" w:leader="dot" w:pos="7654"/>
          <w:tab w:val="right" w:pos="8929"/>
          <w:tab w:val="right" w:pos="9638"/>
        </w:tabs>
        <w:spacing w:after="120"/>
        <w:ind w:left="1559" w:hanging="1140"/>
        <w:rPr>
          <w:bCs/>
        </w:rPr>
      </w:pPr>
      <w:r>
        <w:tab/>
      </w:r>
      <w:r>
        <w:rPr>
          <w:bCs/>
        </w:rPr>
        <w:t>VIII.</w:t>
      </w:r>
      <w:r>
        <w:tab/>
      </w:r>
      <w:r>
        <w:rPr>
          <w:bCs/>
        </w:rPr>
        <w:t>Правила ООН, касающиеся устройств (пункт 7 повестки дня)</w:t>
      </w:r>
      <w:r>
        <w:rPr>
          <w:bCs/>
        </w:rPr>
        <w:tab/>
      </w:r>
      <w:r>
        <w:rPr>
          <w:bCs/>
        </w:rPr>
        <w:tab/>
      </w:r>
      <w:r w:rsidRPr="00F6474B">
        <w:rPr>
          <w:bCs/>
        </w:rPr>
        <w:t>30–31</w:t>
      </w:r>
      <w:r w:rsidRPr="00F6474B">
        <w:rPr>
          <w:bCs/>
        </w:rPr>
        <w:tab/>
      </w:r>
      <w:r w:rsidR="00B5015A">
        <w:rPr>
          <w:bCs/>
        </w:rPr>
        <w:t>8</w:t>
      </w:r>
    </w:p>
    <w:p w14:paraId="71206274" w14:textId="6FD8C105" w:rsidR="00F6474B" w:rsidRDefault="00F6474B" w:rsidP="00F6474B">
      <w:pPr>
        <w:tabs>
          <w:tab w:val="right" w:pos="850"/>
          <w:tab w:val="left" w:pos="1134"/>
          <w:tab w:val="left" w:pos="1559"/>
          <w:tab w:val="left" w:pos="1984"/>
          <w:tab w:val="left" w:leader="dot" w:pos="7654"/>
          <w:tab w:val="right" w:pos="8929"/>
          <w:tab w:val="right" w:pos="9638"/>
        </w:tabs>
        <w:spacing w:after="120"/>
        <w:ind w:left="1134" w:hanging="715"/>
        <w:rPr>
          <w:bCs/>
        </w:rPr>
      </w:pPr>
      <w:r>
        <w:rPr>
          <w:bCs/>
        </w:rPr>
        <w:tab/>
        <w:t>IX.</w:t>
      </w:r>
      <w:r>
        <w:tab/>
      </w:r>
      <w:r>
        <w:rPr>
          <w:bCs/>
        </w:rPr>
        <w:t xml:space="preserve">Правила № 10 ООН (электромагнитная совместимость) </w:t>
      </w:r>
      <w:r>
        <w:rPr>
          <w:bCs/>
        </w:rPr>
        <w:br/>
        <w:t>(пункт 8 повестки дня)</w:t>
      </w:r>
      <w:r>
        <w:rPr>
          <w:bCs/>
        </w:rPr>
        <w:tab/>
      </w:r>
      <w:r>
        <w:rPr>
          <w:bCs/>
        </w:rPr>
        <w:tab/>
      </w:r>
      <w:r w:rsidRPr="00F6474B">
        <w:rPr>
          <w:bCs/>
        </w:rPr>
        <w:t>32</w:t>
      </w:r>
      <w:r>
        <w:rPr>
          <w:bCs/>
        </w:rPr>
        <w:tab/>
      </w:r>
      <w:r w:rsidR="00B5015A">
        <w:rPr>
          <w:bCs/>
        </w:rPr>
        <w:t>8</w:t>
      </w:r>
    </w:p>
    <w:p w14:paraId="3F27BAB9" w14:textId="6971E2DC" w:rsidR="00F6474B" w:rsidRDefault="00F6474B" w:rsidP="00F6474B">
      <w:pPr>
        <w:tabs>
          <w:tab w:val="right" w:pos="850"/>
          <w:tab w:val="left" w:pos="1134"/>
          <w:tab w:val="left" w:pos="1559"/>
          <w:tab w:val="left" w:pos="1984"/>
          <w:tab w:val="left" w:leader="dot" w:pos="7654"/>
          <w:tab w:val="right" w:pos="8929"/>
          <w:tab w:val="right" w:pos="9638"/>
        </w:tabs>
        <w:spacing w:after="120"/>
        <w:ind w:left="1134" w:hanging="715"/>
        <w:rPr>
          <w:bCs/>
        </w:rPr>
      </w:pPr>
      <w:r>
        <w:rPr>
          <w:bCs/>
        </w:rPr>
        <w:tab/>
        <w:t>X.</w:t>
      </w:r>
      <w:r>
        <w:tab/>
      </w:r>
      <w:r>
        <w:rPr>
          <w:bCs/>
        </w:rPr>
        <w:t>Другие правила ООН (пункт 9 повестки дня)</w:t>
      </w:r>
      <w:r>
        <w:rPr>
          <w:bCs/>
        </w:rPr>
        <w:tab/>
      </w:r>
      <w:r>
        <w:rPr>
          <w:bCs/>
        </w:rPr>
        <w:tab/>
      </w:r>
      <w:r w:rsidRPr="00F6474B">
        <w:rPr>
          <w:bCs/>
        </w:rPr>
        <w:t>33</w:t>
      </w:r>
      <w:r>
        <w:rPr>
          <w:bCs/>
        </w:rPr>
        <w:tab/>
      </w:r>
      <w:r w:rsidR="00B5015A">
        <w:rPr>
          <w:bCs/>
        </w:rPr>
        <w:t>8</w:t>
      </w:r>
    </w:p>
    <w:p w14:paraId="68D1A772" w14:textId="5119107A" w:rsidR="00F6474B" w:rsidRDefault="00F6474B" w:rsidP="00F6474B">
      <w:pPr>
        <w:pageBreakBefore/>
        <w:tabs>
          <w:tab w:val="right" w:pos="850"/>
          <w:tab w:val="left" w:pos="1134"/>
          <w:tab w:val="left" w:pos="1559"/>
          <w:tab w:val="left" w:pos="1984"/>
          <w:tab w:val="left" w:leader="dot" w:pos="7654"/>
          <w:tab w:val="right" w:pos="8929"/>
          <w:tab w:val="right" w:pos="9638"/>
        </w:tabs>
        <w:spacing w:after="120"/>
        <w:ind w:left="1134" w:hanging="714"/>
        <w:rPr>
          <w:bCs/>
        </w:rPr>
      </w:pPr>
      <w:r>
        <w:rPr>
          <w:bCs/>
        </w:rPr>
        <w:lastRenderedPageBreak/>
        <w:tab/>
        <w:t>XI.</w:t>
      </w:r>
      <w:r>
        <w:tab/>
      </w:r>
      <w:r>
        <w:rPr>
          <w:bCs/>
        </w:rPr>
        <w:t>Прочие вопросы (пункт 10 повестки дня)</w:t>
      </w:r>
      <w:r>
        <w:rPr>
          <w:bCs/>
        </w:rPr>
        <w:tab/>
      </w:r>
      <w:r>
        <w:rPr>
          <w:bCs/>
        </w:rPr>
        <w:tab/>
      </w:r>
      <w:r w:rsidR="00227F51" w:rsidRPr="00227F51">
        <w:rPr>
          <w:bCs/>
        </w:rPr>
        <w:t>34–40</w:t>
      </w:r>
      <w:r>
        <w:rPr>
          <w:bCs/>
        </w:rPr>
        <w:tab/>
      </w:r>
      <w:r w:rsidR="00B5015A">
        <w:rPr>
          <w:bCs/>
        </w:rPr>
        <w:t>8</w:t>
      </w:r>
    </w:p>
    <w:p w14:paraId="3A55512D" w14:textId="4999EA24" w:rsidR="00F6474B" w:rsidRDefault="00F6474B" w:rsidP="00F6474B">
      <w:pPr>
        <w:tabs>
          <w:tab w:val="right" w:pos="850"/>
          <w:tab w:val="left" w:pos="1134"/>
          <w:tab w:val="left" w:pos="1559"/>
          <w:tab w:val="left" w:pos="1984"/>
          <w:tab w:val="left" w:leader="dot" w:pos="7654"/>
          <w:tab w:val="right" w:pos="8929"/>
          <w:tab w:val="right" w:pos="9638"/>
        </w:tabs>
        <w:spacing w:after="120"/>
        <w:ind w:left="1559" w:hanging="1139"/>
      </w:pPr>
      <w:r>
        <w:rPr>
          <w:bCs/>
        </w:rPr>
        <w:tab/>
      </w:r>
      <w:r>
        <w:rPr>
          <w:bCs/>
        </w:rPr>
        <w:tab/>
        <w:t>A.</w:t>
      </w:r>
      <w:r>
        <w:tab/>
        <w:t xml:space="preserve">Разработка международной системы официального утверждения </w:t>
      </w:r>
      <w:r>
        <w:br/>
        <w:t>типа комплектного транспортного средства</w:t>
      </w:r>
      <w:r>
        <w:tab/>
      </w:r>
      <w:r>
        <w:tab/>
      </w:r>
      <w:r w:rsidRPr="00F6474B">
        <w:t>34</w:t>
      </w:r>
      <w:r>
        <w:tab/>
      </w:r>
      <w:r w:rsidR="00B5015A">
        <w:t>8</w:t>
      </w:r>
    </w:p>
    <w:p w14:paraId="36D228F4" w14:textId="30B84E68" w:rsidR="00F6474B" w:rsidRDefault="00F6474B" w:rsidP="00F6474B">
      <w:pPr>
        <w:tabs>
          <w:tab w:val="right" w:pos="850"/>
          <w:tab w:val="left" w:pos="1134"/>
          <w:tab w:val="left" w:pos="1559"/>
          <w:tab w:val="left" w:pos="1984"/>
          <w:tab w:val="left" w:leader="dot" w:pos="7654"/>
          <w:tab w:val="right" w:pos="8929"/>
          <w:tab w:val="right" w:pos="9638"/>
        </w:tabs>
        <w:spacing w:after="120"/>
        <w:ind w:left="1559" w:hanging="1139"/>
        <w:rPr>
          <w:bCs/>
        </w:rPr>
      </w:pPr>
      <w:r>
        <w:tab/>
      </w:r>
      <w:r>
        <w:tab/>
      </w:r>
      <w:r>
        <w:rPr>
          <w:bCs/>
        </w:rPr>
        <w:t>B.</w:t>
      </w:r>
      <w:r>
        <w:tab/>
      </w:r>
      <w:r>
        <w:rPr>
          <w:bCs/>
        </w:rPr>
        <w:t>Поправки к Конвенции о дорожном движении (Вена, 1968 год)</w:t>
      </w:r>
      <w:r>
        <w:rPr>
          <w:bCs/>
        </w:rPr>
        <w:tab/>
      </w:r>
      <w:r>
        <w:rPr>
          <w:bCs/>
        </w:rPr>
        <w:tab/>
      </w:r>
      <w:r w:rsidRPr="00F6474B">
        <w:rPr>
          <w:bCs/>
        </w:rPr>
        <w:t>35–36</w:t>
      </w:r>
      <w:r>
        <w:rPr>
          <w:bCs/>
        </w:rPr>
        <w:tab/>
      </w:r>
      <w:r w:rsidR="00B5015A">
        <w:rPr>
          <w:bCs/>
        </w:rPr>
        <w:t>8</w:t>
      </w:r>
    </w:p>
    <w:p w14:paraId="59248AB9" w14:textId="29A4B1C4" w:rsidR="00F6474B" w:rsidRPr="00B5015A" w:rsidRDefault="00F6474B" w:rsidP="00F6474B">
      <w:pPr>
        <w:tabs>
          <w:tab w:val="right" w:pos="850"/>
          <w:tab w:val="left" w:pos="1134"/>
          <w:tab w:val="left" w:pos="1559"/>
          <w:tab w:val="left" w:pos="1984"/>
          <w:tab w:val="left" w:leader="dot" w:pos="7654"/>
          <w:tab w:val="right" w:pos="8929"/>
          <w:tab w:val="right" w:pos="9638"/>
        </w:tabs>
        <w:spacing w:after="120"/>
        <w:ind w:left="1559" w:hanging="1139"/>
      </w:pPr>
      <w:r>
        <w:rPr>
          <w:bCs/>
        </w:rPr>
        <w:tab/>
      </w:r>
      <w:r>
        <w:rPr>
          <w:bCs/>
        </w:rPr>
        <w:tab/>
      </w:r>
      <w:r>
        <w:t>C.</w:t>
      </w:r>
      <w:r>
        <w:tab/>
        <w:t>Разное</w:t>
      </w:r>
      <w:r>
        <w:tab/>
      </w:r>
      <w:r>
        <w:tab/>
      </w:r>
      <w:r w:rsidRPr="00B5015A">
        <w:t>37–40</w:t>
      </w:r>
      <w:r w:rsidRPr="00B5015A">
        <w:tab/>
      </w:r>
      <w:r w:rsidR="00B5015A">
        <w:t>9</w:t>
      </w:r>
    </w:p>
    <w:p w14:paraId="52A2EDD8" w14:textId="2E4478B5" w:rsidR="00F6474B" w:rsidRDefault="00F6474B" w:rsidP="00F6474B">
      <w:pPr>
        <w:tabs>
          <w:tab w:val="right" w:pos="850"/>
          <w:tab w:val="left" w:pos="1134"/>
          <w:tab w:val="left" w:pos="1559"/>
          <w:tab w:val="left" w:pos="1984"/>
          <w:tab w:val="left" w:leader="dot" w:pos="7654"/>
          <w:tab w:val="right" w:pos="8929"/>
          <w:tab w:val="right" w:pos="9638"/>
        </w:tabs>
        <w:spacing w:after="120"/>
        <w:ind w:left="1559" w:hanging="1139"/>
        <w:rPr>
          <w:bCs/>
        </w:rPr>
      </w:pPr>
      <w:r w:rsidRPr="00B5015A">
        <w:rPr>
          <w:bCs/>
        </w:rPr>
        <w:tab/>
      </w:r>
      <w:r>
        <w:rPr>
          <w:bCs/>
        </w:rPr>
        <w:t>XII.</w:t>
      </w:r>
      <w:r>
        <w:tab/>
      </w:r>
      <w:r>
        <w:rPr>
          <w:bCs/>
        </w:rPr>
        <w:t>Направления будущей работы GRE (пункт 11 повестки дня)</w:t>
      </w:r>
      <w:r w:rsidR="00124282">
        <w:rPr>
          <w:bCs/>
        </w:rPr>
        <w:tab/>
      </w:r>
      <w:r w:rsidR="00124282">
        <w:rPr>
          <w:bCs/>
        </w:rPr>
        <w:tab/>
      </w:r>
      <w:r w:rsidR="00124282" w:rsidRPr="00124282">
        <w:rPr>
          <w:bCs/>
        </w:rPr>
        <w:t>41–42</w:t>
      </w:r>
      <w:r w:rsidR="00124282" w:rsidRPr="00124282">
        <w:rPr>
          <w:bCs/>
        </w:rPr>
        <w:tab/>
      </w:r>
      <w:r w:rsidR="00B5015A">
        <w:rPr>
          <w:bCs/>
        </w:rPr>
        <w:t>9</w:t>
      </w:r>
    </w:p>
    <w:p w14:paraId="72CB78A4" w14:textId="7A3DADB8" w:rsidR="00124282" w:rsidRPr="00124282" w:rsidRDefault="00124282" w:rsidP="00124282">
      <w:pPr>
        <w:tabs>
          <w:tab w:val="right" w:pos="850"/>
          <w:tab w:val="left" w:pos="1134"/>
          <w:tab w:val="left" w:pos="1559"/>
          <w:tab w:val="left" w:pos="1984"/>
          <w:tab w:val="left" w:leader="dot" w:pos="7654"/>
          <w:tab w:val="right" w:pos="8929"/>
          <w:tab w:val="right" w:pos="9638"/>
        </w:tabs>
        <w:spacing w:after="120"/>
        <w:ind w:left="1134" w:hanging="714"/>
        <w:rPr>
          <w:bCs/>
        </w:rPr>
      </w:pPr>
      <w:r>
        <w:rPr>
          <w:bCs/>
        </w:rPr>
        <w:tab/>
        <w:t>XIII.</w:t>
      </w:r>
      <w:r>
        <w:tab/>
      </w:r>
      <w:r>
        <w:rPr>
          <w:bCs/>
        </w:rPr>
        <w:t xml:space="preserve">Предварительная повестка дня следующей сессии </w:t>
      </w:r>
      <w:r>
        <w:rPr>
          <w:bCs/>
        </w:rPr>
        <w:br/>
        <w:t>(пункт 12 повестки дня)</w:t>
      </w:r>
      <w:r>
        <w:rPr>
          <w:bCs/>
        </w:rPr>
        <w:tab/>
      </w:r>
      <w:r>
        <w:rPr>
          <w:bCs/>
        </w:rPr>
        <w:tab/>
      </w:r>
      <w:r w:rsidRPr="00124282">
        <w:rPr>
          <w:bCs/>
        </w:rPr>
        <w:t>43</w:t>
      </w:r>
      <w:r w:rsidR="00B5015A">
        <w:rPr>
          <w:bCs/>
        </w:rPr>
        <w:tab/>
        <w:t>10</w:t>
      </w:r>
    </w:p>
    <w:p w14:paraId="2421BCBA" w14:textId="1C013604" w:rsidR="00124282" w:rsidRDefault="00124282" w:rsidP="00124282">
      <w:pPr>
        <w:tabs>
          <w:tab w:val="right" w:pos="850"/>
          <w:tab w:val="left" w:pos="1134"/>
          <w:tab w:val="left" w:pos="1559"/>
          <w:tab w:val="left" w:pos="1984"/>
          <w:tab w:val="left" w:leader="dot" w:pos="7654"/>
          <w:tab w:val="right" w:pos="8929"/>
          <w:tab w:val="right" w:pos="9638"/>
        </w:tabs>
        <w:spacing w:after="120"/>
        <w:ind w:left="1134" w:hanging="714"/>
        <w:rPr>
          <w:bCs/>
        </w:rPr>
      </w:pPr>
      <w:r>
        <w:rPr>
          <w:bCs/>
        </w:rPr>
        <w:t>Приложения</w:t>
      </w:r>
    </w:p>
    <w:p w14:paraId="35139EE2" w14:textId="149B9BEB" w:rsidR="00124282" w:rsidRDefault="00124282" w:rsidP="00124282">
      <w:pPr>
        <w:tabs>
          <w:tab w:val="right" w:pos="850"/>
          <w:tab w:val="left" w:pos="1134"/>
          <w:tab w:val="left" w:pos="1559"/>
          <w:tab w:val="left" w:pos="1984"/>
          <w:tab w:val="right" w:leader="dot" w:pos="8929"/>
          <w:tab w:val="right" w:pos="9638"/>
        </w:tabs>
        <w:spacing w:after="120"/>
        <w:rPr>
          <w:rStyle w:val="af1"/>
          <w:rFonts w:eastAsia="Times New Roman" w:cs="Times New Roman"/>
          <w:color w:val="auto"/>
          <w:szCs w:val="20"/>
        </w:rPr>
      </w:pPr>
      <w:r w:rsidRPr="00530957">
        <w:rPr>
          <w:rStyle w:val="af1"/>
          <w:rFonts w:eastAsia="Times New Roman" w:cs="Times New Roman"/>
          <w:color w:val="auto"/>
          <w:szCs w:val="20"/>
        </w:rPr>
        <w:tab/>
      </w:r>
      <w:r w:rsidRPr="00124282">
        <w:rPr>
          <w:rStyle w:val="af1"/>
          <w:rFonts w:eastAsia="Times New Roman" w:cs="Times New Roman"/>
          <w:color w:val="auto"/>
          <w:szCs w:val="20"/>
          <w:lang w:val="en-GB"/>
        </w:rPr>
        <w:t>I</w:t>
      </w:r>
      <w:r w:rsidRPr="00124282">
        <w:rPr>
          <w:rStyle w:val="af1"/>
          <w:rFonts w:eastAsia="Times New Roman" w:cs="Times New Roman"/>
          <w:color w:val="auto"/>
          <w:szCs w:val="20"/>
        </w:rPr>
        <w:t>.</w:t>
      </w:r>
      <w:r w:rsidRPr="00124282">
        <w:rPr>
          <w:rStyle w:val="af1"/>
          <w:rFonts w:eastAsia="Times New Roman" w:cs="Times New Roman"/>
          <w:color w:val="auto"/>
          <w:szCs w:val="20"/>
        </w:rPr>
        <w:tab/>
        <w:t>Перечень неофициальных документов, распространенных в связи с сессией</w:t>
      </w:r>
      <w:r w:rsidRPr="00124282">
        <w:rPr>
          <w:rStyle w:val="af1"/>
          <w:rFonts w:eastAsia="Times New Roman" w:cs="Times New Roman"/>
          <w:color w:val="auto"/>
          <w:szCs w:val="20"/>
        </w:rPr>
        <w:tab/>
      </w:r>
      <w:r w:rsidRPr="00124282">
        <w:rPr>
          <w:rStyle w:val="af1"/>
          <w:rFonts w:eastAsia="Times New Roman" w:cs="Times New Roman"/>
          <w:color w:val="auto"/>
          <w:szCs w:val="20"/>
        </w:rPr>
        <w:tab/>
      </w:r>
      <w:r w:rsidR="00B5015A">
        <w:rPr>
          <w:rStyle w:val="af1"/>
          <w:rFonts w:eastAsia="Times New Roman" w:cs="Times New Roman"/>
          <w:color w:val="auto"/>
          <w:szCs w:val="20"/>
        </w:rPr>
        <w:t>11</w:t>
      </w:r>
    </w:p>
    <w:p w14:paraId="7581FA70" w14:textId="50CCBEE3" w:rsidR="00124282" w:rsidRDefault="00124282" w:rsidP="00124282">
      <w:pPr>
        <w:tabs>
          <w:tab w:val="right" w:pos="850"/>
          <w:tab w:val="left" w:pos="1134"/>
          <w:tab w:val="left" w:pos="1559"/>
          <w:tab w:val="left" w:pos="1984"/>
          <w:tab w:val="right" w:leader="dot" w:pos="8929"/>
          <w:tab w:val="right" w:pos="9638"/>
        </w:tabs>
        <w:spacing w:after="120"/>
        <w:rPr>
          <w:bCs/>
        </w:rPr>
      </w:pPr>
      <w:r>
        <w:rPr>
          <w:rStyle w:val="af1"/>
          <w:rFonts w:eastAsia="Times New Roman" w:cs="Times New Roman"/>
          <w:color w:val="auto"/>
          <w:szCs w:val="20"/>
        </w:rPr>
        <w:tab/>
      </w:r>
      <w:r>
        <w:rPr>
          <w:rStyle w:val="af1"/>
          <w:rFonts w:eastAsia="Times New Roman" w:cs="Times New Roman"/>
          <w:color w:val="auto"/>
          <w:szCs w:val="20"/>
          <w:lang w:val="fr-CH"/>
        </w:rPr>
        <w:t>II</w:t>
      </w:r>
      <w:r w:rsidRPr="00124282">
        <w:rPr>
          <w:rStyle w:val="af1"/>
          <w:rFonts w:eastAsia="Times New Roman" w:cs="Times New Roman"/>
          <w:color w:val="auto"/>
          <w:szCs w:val="20"/>
        </w:rPr>
        <w:t>.</w:t>
      </w:r>
      <w:r w:rsidRPr="00124282">
        <w:rPr>
          <w:rStyle w:val="af1"/>
          <w:rFonts w:eastAsia="Times New Roman" w:cs="Times New Roman"/>
          <w:color w:val="auto"/>
          <w:szCs w:val="20"/>
        </w:rPr>
        <w:tab/>
      </w:r>
      <w:r>
        <w:rPr>
          <w:bCs/>
        </w:rPr>
        <w:t>Переходные положения для поправок серии 09 к Правилам № 48 ООН</w:t>
      </w:r>
      <w:r>
        <w:rPr>
          <w:bCs/>
        </w:rPr>
        <w:tab/>
      </w:r>
      <w:r>
        <w:rPr>
          <w:bCs/>
        </w:rPr>
        <w:tab/>
      </w:r>
      <w:r w:rsidR="00B5015A">
        <w:rPr>
          <w:bCs/>
        </w:rPr>
        <w:t>13</w:t>
      </w:r>
    </w:p>
    <w:p w14:paraId="4D7D1DF7" w14:textId="4AAFFACB" w:rsidR="00124282" w:rsidRPr="00530957" w:rsidRDefault="00124282" w:rsidP="00124282">
      <w:pPr>
        <w:tabs>
          <w:tab w:val="right" w:pos="850"/>
          <w:tab w:val="left" w:pos="1134"/>
          <w:tab w:val="left" w:pos="1559"/>
          <w:tab w:val="left" w:pos="1984"/>
          <w:tab w:val="right" w:leader="dot" w:pos="8929"/>
          <w:tab w:val="right" w:pos="9638"/>
        </w:tabs>
        <w:spacing w:after="120"/>
        <w:rPr>
          <w:rStyle w:val="af1"/>
          <w:rFonts w:eastAsia="Times New Roman" w:cs="Times New Roman"/>
          <w:color w:val="auto"/>
          <w:szCs w:val="20"/>
        </w:rPr>
      </w:pPr>
      <w:r>
        <w:rPr>
          <w:bCs/>
        </w:rPr>
        <w:tab/>
      </w:r>
      <w:r>
        <w:rPr>
          <w:bCs/>
          <w:lang w:val="fr-CH"/>
        </w:rPr>
        <w:t>III</w:t>
      </w:r>
      <w:r w:rsidRPr="00530957">
        <w:rPr>
          <w:bCs/>
        </w:rPr>
        <w:t>.</w:t>
      </w:r>
      <w:r w:rsidRPr="00530957">
        <w:rPr>
          <w:bCs/>
        </w:rPr>
        <w:tab/>
      </w:r>
      <w:r w:rsidRPr="00124282">
        <w:t>Неофициальные группы GRE</w:t>
      </w:r>
      <w:r>
        <w:tab/>
      </w:r>
      <w:r>
        <w:tab/>
      </w:r>
      <w:r w:rsidR="00B5015A">
        <w:t>15</w:t>
      </w:r>
    </w:p>
    <w:p w14:paraId="048FEA71" w14:textId="77777777" w:rsidR="00C82A3D" w:rsidRDefault="00C82A3D" w:rsidP="00C82A3D">
      <w:pPr>
        <w:suppressAutoHyphens w:val="0"/>
        <w:spacing w:line="240" w:lineRule="auto"/>
        <w:rPr>
          <w:rStyle w:val="af1"/>
          <w:webHidden/>
        </w:rPr>
      </w:pPr>
      <w:r>
        <w:rPr>
          <w:rStyle w:val="af1"/>
          <w:webHidden/>
        </w:rPr>
        <w:br w:type="page"/>
      </w:r>
    </w:p>
    <w:p w14:paraId="2021947E" w14:textId="77777777" w:rsidR="00C82A3D" w:rsidRPr="00A56802" w:rsidRDefault="00C82A3D" w:rsidP="00C82A3D">
      <w:pPr>
        <w:pStyle w:val="HChG"/>
      </w:pPr>
      <w:bookmarkStart w:id="2" w:name="_Toc360526240"/>
      <w:bookmarkStart w:id="3" w:name="_Toc360526836"/>
      <w:bookmarkStart w:id="4" w:name="_Toc369772205"/>
      <w:r>
        <w:rPr>
          <w:bCs/>
        </w:rPr>
        <w:lastRenderedPageBreak/>
        <w:tab/>
        <w:t>I.</w:t>
      </w:r>
      <w:r>
        <w:tab/>
      </w:r>
      <w:r>
        <w:rPr>
          <w:bCs/>
        </w:rPr>
        <w:t>Участники</w:t>
      </w:r>
      <w:bookmarkEnd w:id="2"/>
      <w:bookmarkEnd w:id="3"/>
      <w:bookmarkEnd w:id="4"/>
    </w:p>
    <w:p w14:paraId="434A7C64" w14:textId="77777777" w:rsidR="00C82A3D" w:rsidRPr="00A56802" w:rsidRDefault="00C82A3D" w:rsidP="00C82A3D">
      <w:pPr>
        <w:pStyle w:val="SingleTxtG"/>
      </w:pPr>
      <w:r>
        <w:t>1.</w:t>
      </w:r>
      <w:r>
        <w:tab/>
        <w:t>Рабочая группа по вопросам освещения и световой сигнализации (GRE) провела свою восемьдесят восьмую сессию 25–28 апреля 2023 года в Женеве. Обязанности Председателя сессии исполнял г-н Т. Кярккяйнен (Финляндия). В соответствии с правилом 1 a) правил процедуры Всемирного форума для согласования правил в области транспортных средств (WP.29) (ЕСЕ/TRANS/WP.29/690/Rev.2) в работе сессии участвовали эксперты от следующих стран</w:t>
      </w:r>
      <w:r w:rsidRPr="00B5015A">
        <w:rPr>
          <w:color w:val="000000" w:themeColor="text1"/>
        </w:rPr>
        <w:t xml:space="preserve">: Австралии, Германии, Индии, Испании, Италии, Канады, Китая, Нидерландов, Норвегии, Польши, Республики Корея, Российской Федерации, Сербии, Соединенного Королевства Великобритании и Северной Ирландии, Соединенных Штатов Америки, Финляндии, Франции, Чехии, Южной Африки, Японии. В ее работе участвовал также эксперт от Европейской </w:t>
      </w:r>
      <w:r>
        <w:t>комиссии (ЕК). Кроме того, в работе сессии участвовали эксперты от следующих неправительственных организаций: Американского совета по автомобильной политике (АСАП), Европейской ассоциации сельскохозяйственного машиностроения (СЕМА), Европейской ассоциации поставщиков автомобильных деталей (КСАОД), Международной мотоциклетной федерации (ММФ), Международной ассоциации изготовителей автомобильных кузовов и прицепов (МАИАКП), Международной группы экспертов по вопросам автомобильного освещения и световой сигнализации (БРГ), Международной электротехнической комиссии (МЭК), Международного комитета по техническому осмотру механических транспортных средств (МКТОТ), Международной ассоциации заводов-изготовителей мотоциклов (МАЗМ), Международной организации предприятий автомобильной промышленности (МОПАП) и Общества автомобильных инженеров (САЕ).</w:t>
      </w:r>
    </w:p>
    <w:p w14:paraId="1B92E145" w14:textId="77777777" w:rsidR="00C82A3D" w:rsidRPr="00A56802" w:rsidRDefault="00C82A3D" w:rsidP="00C82A3D">
      <w:pPr>
        <w:pStyle w:val="HChG"/>
      </w:pPr>
      <w:r>
        <w:rPr>
          <w:bCs/>
        </w:rPr>
        <w:tab/>
        <w:t>II.</w:t>
      </w:r>
      <w:r>
        <w:tab/>
      </w:r>
      <w:r>
        <w:rPr>
          <w:bCs/>
        </w:rPr>
        <w:t>Утверждение повестки дня (пункт 1 повестки дня)</w:t>
      </w:r>
      <w:bookmarkStart w:id="5" w:name="_Toc360525455"/>
      <w:bookmarkStart w:id="6" w:name="_Toc360526241"/>
      <w:bookmarkStart w:id="7" w:name="_Toc360526837"/>
      <w:bookmarkStart w:id="8" w:name="_Toc369772206"/>
      <w:bookmarkEnd w:id="5"/>
      <w:bookmarkEnd w:id="6"/>
      <w:bookmarkEnd w:id="7"/>
      <w:bookmarkEnd w:id="8"/>
    </w:p>
    <w:p w14:paraId="6CD8DED8" w14:textId="63346505" w:rsidR="00C82A3D" w:rsidRPr="00A56802" w:rsidRDefault="00C82A3D" w:rsidP="00227F51">
      <w:pPr>
        <w:pStyle w:val="SingleTxtG"/>
        <w:ind w:left="2835" w:hanging="1701"/>
        <w:jc w:val="left"/>
      </w:pPr>
      <w:r>
        <w:rPr>
          <w:i/>
          <w:iCs/>
        </w:rPr>
        <w:t>Документация:</w:t>
      </w:r>
      <w:r>
        <w:t xml:space="preserve"> </w:t>
      </w:r>
      <w:r>
        <w:tab/>
        <w:t xml:space="preserve">ECE/TRANS/WP.29/GRE/2023/1, </w:t>
      </w:r>
      <w:r w:rsidR="00892024">
        <w:br/>
      </w:r>
      <w:r>
        <w:t xml:space="preserve">неофициальные документы GRE-88-01, GRE-88-06, </w:t>
      </w:r>
      <w:r w:rsidR="00892024">
        <w:br/>
      </w:r>
      <w:r>
        <w:t xml:space="preserve">GRE-88-12-Rev.1 </w:t>
      </w:r>
    </w:p>
    <w:p w14:paraId="56E9E8F2" w14:textId="77777777" w:rsidR="00C82A3D" w:rsidRPr="00A56802" w:rsidRDefault="00C82A3D" w:rsidP="00C82A3D">
      <w:pPr>
        <w:pStyle w:val="SingleTxtG"/>
      </w:pPr>
      <w:r>
        <w:t>2.</w:t>
      </w:r>
      <w:r>
        <w:tab/>
        <w:t xml:space="preserve">GRE рассмотрела и утвердила повестку дня (ECE/TRANS/WP.29/GRE/2023/1), воспроизведенную в документе GRE-88-01, вместе с неофициальными документами, распространенными в ходе сессии. GRE также приняла к сведению порядок работы, предложенный Председателем (GRE-88-06). </w:t>
      </w:r>
    </w:p>
    <w:p w14:paraId="669A7C14" w14:textId="4A179054" w:rsidR="00C82A3D" w:rsidRPr="00A56802" w:rsidRDefault="00C82A3D" w:rsidP="00C82A3D">
      <w:pPr>
        <w:pStyle w:val="SingleTxtG"/>
        <w:rPr>
          <w:bCs/>
        </w:rPr>
      </w:pPr>
      <w:r>
        <w:t>3.</w:t>
      </w:r>
      <w:r>
        <w:tab/>
        <w:t xml:space="preserve">Перечень неофициальных документов содержится в приложении I. Перечень неофициальных групп GRE приведен в приложении </w:t>
      </w:r>
      <w:r w:rsidR="00892024">
        <w:rPr>
          <w:lang w:val="fr-CH"/>
        </w:rPr>
        <w:t>III</w:t>
      </w:r>
      <w:r>
        <w:t>.</w:t>
      </w:r>
    </w:p>
    <w:p w14:paraId="4F97083F" w14:textId="77777777" w:rsidR="00C82A3D" w:rsidRPr="00A56802" w:rsidRDefault="00C82A3D" w:rsidP="00C82A3D">
      <w:pPr>
        <w:pStyle w:val="SingleTxtG"/>
        <w:rPr>
          <w:bCs/>
        </w:rPr>
      </w:pPr>
      <w:r>
        <w:t xml:space="preserve">4. </w:t>
      </w:r>
      <w:r>
        <w:tab/>
        <w:t xml:space="preserve">GRE приняла к сведению основные вопросы, рассмотренные WP.29 на его сессиях в ноябре 2022 года и в марте 2023 года (GRE-88-12-Rev.1). </w:t>
      </w:r>
    </w:p>
    <w:p w14:paraId="702431D3" w14:textId="77777777" w:rsidR="00C82A3D" w:rsidRPr="00A56802" w:rsidRDefault="00C82A3D" w:rsidP="00C82A3D">
      <w:pPr>
        <w:pStyle w:val="HChG"/>
      </w:pPr>
      <w:r>
        <w:rPr>
          <w:bCs/>
        </w:rPr>
        <w:tab/>
        <w:t>III.</w:t>
      </w:r>
      <w:r>
        <w:tab/>
        <w:t>Соглашение 1998 года — глобальные технические правила ООН: разработка (пункт 2 повестки дня)</w:t>
      </w:r>
      <w:bookmarkStart w:id="9" w:name="_Toc369772207"/>
      <w:bookmarkEnd w:id="9"/>
    </w:p>
    <w:p w14:paraId="37985CCB" w14:textId="77777777" w:rsidR="00C82A3D" w:rsidRPr="00A56802" w:rsidRDefault="00C82A3D" w:rsidP="00C82A3D">
      <w:pPr>
        <w:pStyle w:val="SingleTxtG"/>
      </w:pPr>
      <w:r>
        <w:t>5.</w:t>
      </w:r>
      <w:r>
        <w:tab/>
        <w:t xml:space="preserve">Никакой информации по данному пункту повестки дня представлено не было.  </w:t>
      </w:r>
    </w:p>
    <w:p w14:paraId="6B2CBC5F" w14:textId="77777777" w:rsidR="00C82A3D" w:rsidRPr="00A56802" w:rsidRDefault="00C82A3D" w:rsidP="00C82A3D">
      <w:pPr>
        <w:pStyle w:val="HChG"/>
      </w:pPr>
      <w:r>
        <w:rPr>
          <w:bCs/>
        </w:rPr>
        <w:tab/>
        <w:t>IV.</w:t>
      </w:r>
      <w:r>
        <w:tab/>
      </w:r>
      <w:r>
        <w:rPr>
          <w:bCs/>
        </w:rPr>
        <w:t>Соглашение 1997 года — предписания: разработка (пункт 3 повестки дня)</w:t>
      </w:r>
    </w:p>
    <w:p w14:paraId="2E43868B" w14:textId="77777777" w:rsidR="00C82A3D" w:rsidRPr="00A56802" w:rsidRDefault="00C82A3D" w:rsidP="00C82A3D">
      <w:pPr>
        <w:pStyle w:val="SingleTxtG"/>
      </w:pPr>
      <w:r>
        <w:rPr>
          <w:i/>
          <w:iCs/>
        </w:rPr>
        <w:t>Документация:</w:t>
      </w:r>
      <w:r>
        <w:tab/>
        <w:t xml:space="preserve">ECE/TRANS/WP.29/2022/145 </w:t>
      </w:r>
      <w:r>
        <w:tab/>
      </w:r>
    </w:p>
    <w:p w14:paraId="6F8D4A0D" w14:textId="40E657B4" w:rsidR="00C82A3D" w:rsidRPr="00A56802" w:rsidRDefault="00C82A3D" w:rsidP="00C82A3D">
      <w:pPr>
        <w:pStyle w:val="SingleTxtG"/>
      </w:pPr>
      <w:r>
        <w:t>6.</w:t>
      </w:r>
      <w:r>
        <w:tab/>
        <w:t>GRE напомнила, что на своей восемьдесят шестой сессии она поддержала концепцию соответствия транспортных средств в течение всего срока эксплуатации, подготовленную неофициальной рабочей группой по периодическим техническим осмотрам (НРГ по ПТО) (ECE/TRANS/WP.29/2022/145). GRE отметила, что пересмотренный вариант этого документа будет представлен, как ожидается, на сессии WP.29 в июне 2023 года.</w:t>
      </w:r>
    </w:p>
    <w:p w14:paraId="1A5EC079" w14:textId="49097091" w:rsidR="00C82A3D" w:rsidRPr="00A56802" w:rsidRDefault="00C82A3D" w:rsidP="00C82A3D">
      <w:pPr>
        <w:pStyle w:val="HChG"/>
      </w:pPr>
      <w:r>
        <w:rPr>
          <w:bCs/>
        </w:rPr>
        <w:lastRenderedPageBreak/>
        <w:tab/>
        <w:t>V.</w:t>
      </w:r>
      <w:r>
        <w:tab/>
      </w:r>
      <w:r>
        <w:rPr>
          <w:bCs/>
        </w:rPr>
        <w:t>Упрощение правил ООН, касающихся освещения и</w:t>
      </w:r>
      <w:r>
        <w:rPr>
          <w:bCs/>
          <w:lang w:val="fr-CH"/>
        </w:rPr>
        <w:t> </w:t>
      </w:r>
      <w:r>
        <w:rPr>
          <w:bCs/>
        </w:rPr>
        <w:t>световой сигнализации (пункт 4 повестки дня)</w:t>
      </w:r>
      <w:r>
        <w:tab/>
      </w:r>
    </w:p>
    <w:p w14:paraId="400A9D3A" w14:textId="4D22C88C" w:rsidR="00C82A3D" w:rsidRPr="00A56802" w:rsidRDefault="00C82A3D" w:rsidP="00C82A3D">
      <w:pPr>
        <w:spacing w:after="120"/>
        <w:ind w:left="2835" w:right="1134" w:hanging="1701"/>
      </w:pPr>
      <w:r>
        <w:rPr>
          <w:i/>
          <w:iCs/>
        </w:rPr>
        <w:t>Документация:</w:t>
      </w:r>
      <w:r>
        <w:tab/>
        <w:t>ECE/TRANS/WP.29/GRE/2020/8/Rev.3, ECE/TRANS/WP.29/GRE/2022/13, ECE/TRANS/WP.29/GRE/2023/3, ECE/TRANS/WP.29/GRE/2023/4, ECE/TRANS/WP.29/GRE/2023/5, ECE/TRANS/WP.29/GRE/2023/6,</w:t>
      </w:r>
      <w:r w:rsidR="00CF32EF">
        <w:br/>
      </w:r>
      <w:r>
        <w:t>неофициальные документы GRE-88-02-Rev.1, GRE-88-03-Rev.1, GRE-88-07, GRE-88-26, GRE-88-27</w:t>
      </w:r>
    </w:p>
    <w:p w14:paraId="723E878B" w14:textId="77777777" w:rsidR="00C82A3D" w:rsidRPr="00A56802" w:rsidRDefault="00C82A3D" w:rsidP="00C82A3D">
      <w:pPr>
        <w:pStyle w:val="SingleTxtG"/>
      </w:pPr>
      <w:r>
        <w:t>7.</w:t>
      </w:r>
      <w:r>
        <w:tab/>
        <w:t>GRE приняла к сведению информацию о ходе работы неофициальной рабочей группы по упрощению правил, касающихся освещения и световой сигнализации</w:t>
      </w:r>
      <w:r>
        <w:br/>
        <w:t xml:space="preserve">(НРГ по УПОC), и вопросы для рассмотрения в рамках шага 2 этапа 2 процесса упрощения (GRE-88-07), в частности: </w:t>
      </w:r>
    </w:p>
    <w:p w14:paraId="63E2D8A7" w14:textId="51E2EDE0" w:rsidR="00C82A3D" w:rsidRPr="00A56802" w:rsidRDefault="00CE30CE" w:rsidP="00CE30CE">
      <w:pPr>
        <w:pStyle w:val="Bullet1G"/>
        <w:numPr>
          <w:ilvl w:val="0"/>
          <w:numId w:val="0"/>
        </w:numPr>
        <w:tabs>
          <w:tab w:val="left" w:pos="1701"/>
        </w:tabs>
        <w:ind w:left="1701" w:hanging="170"/>
      </w:pPr>
      <w:r w:rsidRPr="00A56802">
        <w:t>•</w:t>
      </w:r>
      <w:r w:rsidRPr="00A56802">
        <w:tab/>
      </w:r>
      <w:r w:rsidR="00C82A3D">
        <w:t>упрощение и улучшение определения видимой поверхности;</w:t>
      </w:r>
    </w:p>
    <w:p w14:paraId="109E73EF" w14:textId="753D75F3" w:rsidR="00C82A3D" w:rsidRPr="00A56802" w:rsidRDefault="00CE30CE" w:rsidP="00CE30CE">
      <w:pPr>
        <w:pStyle w:val="Bullet1G"/>
        <w:numPr>
          <w:ilvl w:val="0"/>
          <w:numId w:val="0"/>
        </w:numPr>
        <w:tabs>
          <w:tab w:val="left" w:pos="1701"/>
        </w:tabs>
        <w:ind w:left="1701" w:hanging="170"/>
      </w:pPr>
      <w:r w:rsidRPr="00A56802">
        <w:t>•</w:t>
      </w:r>
      <w:r w:rsidRPr="00A56802">
        <w:tab/>
      </w:r>
      <w:r w:rsidR="00C82A3D">
        <w:t>объективная оценка фактических функций, установленных на транспортном средстве;</w:t>
      </w:r>
    </w:p>
    <w:p w14:paraId="29D25591" w14:textId="41E12461" w:rsidR="00C82A3D" w:rsidRPr="00A56802" w:rsidRDefault="00CE30CE" w:rsidP="00CE30CE">
      <w:pPr>
        <w:pStyle w:val="Bullet1G"/>
        <w:numPr>
          <w:ilvl w:val="0"/>
          <w:numId w:val="0"/>
        </w:numPr>
        <w:tabs>
          <w:tab w:val="left" w:pos="1701"/>
        </w:tabs>
        <w:ind w:left="1701" w:hanging="170"/>
      </w:pPr>
      <w:r w:rsidRPr="00A56802">
        <w:t>•</w:t>
      </w:r>
      <w:r w:rsidRPr="00A56802">
        <w:tab/>
      </w:r>
      <w:r w:rsidR="00C82A3D">
        <w:t>по возможности согласование требований по другим регионам;</w:t>
      </w:r>
    </w:p>
    <w:p w14:paraId="052968EE" w14:textId="1834EFD3" w:rsidR="00C82A3D" w:rsidRPr="00A56802" w:rsidRDefault="00CE30CE" w:rsidP="00CE30CE">
      <w:pPr>
        <w:pStyle w:val="Bullet1G"/>
        <w:numPr>
          <w:ilvl w:val="0"/>
          <w:numId w:val="0"/>
        </w:numPr>
        <w:tabs>
          <w:tab w:val="left" w:pos="1701"/>
        </w:tabs>
        <w:ind w:left="1701" w:hanging="170"/>
      </w:pPr>
      <w:r w:rsidRPr="00A56802">
        <w:t>•</w:t>
      </w:r>
      <w:r w:rsidRPr="00A56802">
        <w:tab/>
      </w:r>
      <w:r w:rsidR="00C82A3D">
        <w:t>последовательность в аналогичных требованиях и определениях, которые содержатся в правилах, касающихся установки.</w:t>
      </w:r>
    </w:p>
    <w:p w14:paraId="20AB305B" w14:textId="33D4685B" w:rsidR="00C82A3D" w:rsidRPr="00A56802" w:rsidRDefault="00C82A3D" w:rsidP="00C82A3D">
      <w:pPr>
        <w:pStyle w:val="SingleTxtG"/>
      </w:pPr>
      <w:r>
        <w:t>8.</w:t>
      </w:r>
      <w:r>
        <w:tab/>
        <w:t>Эксперты от НРГ по УПОС представили обновленное предложение по поправкам новой серии 09 к Правилам № 48 ООН, которые вводят новые требования к регулировке положения фар (ECE/TRANS/WP.29/GRE/2020/8/Rev.3). GRE приняла технические положения, содержащиеся в данном предложении. Ввиду наличия в повестке дня других предложений, которые могут стать частью поправок новой серии</w:t>
      </w:r>
      <w:r w:rsidR="00CF32EF">
        <w:rPr>
          <w:lang w:val="fr-CH"/>
        </w:rPr>
        <w:t> </w:t>
      </w:r>
      <w:r>
        <w:t xml:space="preserve">09 к Правилам № 48 ООН, GRE решила рассмотреть переходные положения для новой серии в рамках пункта 6 a) повестки дня. </w:t>
      </w:r>
    </w:p>
    <w:p w14:paraId="626AC7E2" w14:textId="2820F585" w:rsidR="00C82A3D" w:rsidRPr="00A56802" w:rsidRDefault="00C82A3D" w:rsidP="00C82A3D">
      <w:pPr>
        <w:pStyle w:val="SingleTxtG"/>
      </w:pPr>
      <w:r>
        <w:t>9.</w:t>
      </w:r>
      <w:r>
        <w:tab/>
        <w:t>Эксперты от НРГ по УПОС внесли предложения по поправкам к правилам ООН</w:t>
      </w:r>
      <w:r w:rsidR="00F333A6">
        <w:rPr>
          <w:lang w:val="fr-CH"/>
        </w:rPr>
        <w:t> </w:t>
      </w:r>
      <w:r>
        <w:t>№ 48, 53, 74 и 86, позволяющие обеспечить возможность постепенного отказа от установки огней/устройств устаревшего образца (документы ECE/TRANS/</w:t>
      </w:r>
      <w:r w:rsidR="008A073B">
        <w:br/>
      </w:r>
      <w:r>
        <w:t xml:space="preserve">WP.29/GRE/2023/3, ECE/TRANS/WP.29/GRE/2023/4, ECE/TRANS/WP.29/GRE/2023/5 и ECE/TRANS/WP.29/GRE/2023/6 соответственно). </w:t>
      </w:r>
      <w:bookmarkStart w:id="10" w:name="_Hlk134110862"/>
      <w:bookmarkEnd w:id="10"/>
    </w:p>
    <w:p w14:paraId="3583051D" w14:textId="4B1B4849" w:rsidR="00C82A3D" w:rsidRPr="00A56802" w:rsidRDefault="00C82A3D" w:rsidP="00C82A3D">
      <w:pPr>
        <w:pStyle w:val="SingleTxtG"/>
      </w:pPr>
      <w:r>
        <w:t>10.</w:t>
      </w:r>
      <w:r>
        <w:tab/>
        <w:t>GRE приняла — со снятием квадратных скобок и сохранением заключенного в них текста —</w:t>
      </w:r>
      <w:r w:rsidR="002F2931">
        <w:rPr>
          <w:lang w:val="fr-CH"/>
        </w:rPr>
        <w:t> </w:t>
      </w:r>
      <w:r>
        <w:t>документы ECE/TRANS/WP.29/GRE/2023/4, ECE/TRANS/WP.29/GRE/</w:t>
      </w:r>
      <w:r w:rsidR="0060726B">
        <w:br/>
      </w:r>
      <w:r>
        <w:t xml:space="preserve">2023/5 и ECE/TRANS/WP.29/GRE/2023/6 и поручила секретариату представить их для рассмотрения и голосования на сессиях WP.29 и Административного комитета (АС.1) в ноябре 2023 года в качестве поправок новой серии 04 к Правилам № 53 ООН, новой серии поправок 03 к Правилам № 74 ООН и новой серии поправок 03 </w:t>
      </w:r>
      <w:r w:rsidR="005B3D10">
        <w:br/>
      </w:r>
      <w:r>
        <w:t xml:space="preserve">к Правилам № 86 ООН.  </w:t>
      </w:r>
    </w:p>
    <w:p w14:paraId="7E680578" w14:textId="77777777" w:rsidR="00C82A3D" w:rsidRPr="00A56802" w:rsidRDefault="00C82A3D" w:rsidP="00C82A3D">
      <w:pPr>
        <w:pStyle w:val="SingleTxtG"/>
      </w:pPr>
      <w:r>
        <w:t>11.</w:t>
      </w:r>
      <w:r>
        <w:tab/>
        <w:t xml:space="preserve">GRE приняла документ GRE-88-27 в качестве замены документу ECE/TRANS/WP.29/GRE/2023/3 и решила включить его в поправки новой серии 09 к Правилам № 48 ООН (см. пункт 21 ниже).  </w:t>
      </w:r>
    </w:p>
    <w:p w14:paraId="77A6C7EC" w14:textId="77777777" w:rsidR="00C82A3D" w:rsidRPr="00A56802" w:rsidRDefault="00C82A3D" w:rsidP="00C82A3D">
      <w:pPr>
        <w:pStyle w:val="SingleTxtG"/>
      </w:pPr>
      <w:r>
        <w:t>12.</w:t>
      </w:r>
      <w:r>
        <w:tab/>
        <w:t xml:space="preserve">GRE приняла к сведению просьбу неофициальной рабочей группы по базе данных для обмена документацией об официальном утверждении типа (НРГ по ДЕТА) представить уточнение в отношении правил ООН, для которых может применяться маркировка с уникальным идентификатором (УИ) (документы GRE-88-02-Rev.1 и GRE-88-03-Rev.1). Эксперт от Международного комитета по техническому осмотру механических транспортных средств (МКТОТ) напомнил о своей предыдущей позиции относительно необходимости нанесения дополнительной маркировки в случае использования УИ в целях обеспечения наличия достаточной информации об устройстве для проведения периодических и придорожных технических осмотров (документы ECE/TRANS/WP.29/GRE/2022/13, GRE-87-07). Некоторые эксперты указали, что дополнительная маркировка противоречила бы самому смыслу УИ. </w:t>
      </w:r>
    </w:p>
    <w:p w14:paraId="5450A856" w14:textId="77777777" w:rsidR="00C82A3D" w:rsidRPr="00A56802" w:rsidRDefault="00C82A3D" w:rsidP="00C82A3D">
      <w:pPr>
        <w:pStyle w:val="SingleTxtG"/>
      </w:pPr>
      <w:r>
        <w:lastRenderedPageBreak/>
        <w:t>13.</w:t>
      </w:r>
      <w:r>
        <w:tab/>
        <w:t>GRE классифицировала правила ООН, относящиеся к ее ведению, с точки зрения возможностей использования УИ (GRE-88-26) следующим образом:</w:t>
      </w:r>
    </w:p>
    <w:p w14:paraId="3556D1F8" w14:textId="6CB928BC" w:rsidR="00C82A3D" w:rsidRPr="006D2AE1" w:rsidRDefault="00C82A3D" w:rsidP="00134465">
      <w:pPr>
        <w:pStyle w:val="SingleTxtG"/>
        <w:ind w:firstLine="567"/>
      </w:pPr>
      <w:r>
        <w:t>a)</w:t>
      </w:r>
      <w:r>
        <w:tab/>
        <w:t xml:space="preserve">устаревшие правила ООН, касающиеся устройств, применение которых (правил) было </w:t>
      </w:r>
      <w:r w:rsidR="00134465">
        <w:t>«</w:t>
      </w:r>
      <w:r>
        <w:t>заморожено</w:t>
      </w:r>
      <w:r w:rsidR="00134465">
        <w:t>»</w:t>
      </w:r>
      <w:r>
        <w:t xml:space="preserve"> в ходе двух предыдущих этапов;</w:t>
      </w:r>
    </w:p>
    <w:p w14:paraId="5EC1F20E" w14:textId="68B1B494" w:rsidR="00C82A3D" w:rsidRPr="006D2AE1" w:rsidRDefault="00C82A3D" w:rsidP="00134465">
      <w:pPr>
        <w:pStyle w:val="SingleTxtG"/>
        <w:ind w:firstLine="567"/>
      </w:pPr>
      <w:r>
        <w:t>b)</w:t>
      </w:r>
      <w:r>
        <w:tab/>
        <w:t>новые упрощенные правила ООН, касающиеся устройств, № 148, 149 и</w:t>
      </w:r>
      <w:r w:rsidR="005B3D10">
        <w:rPr>
          <w:lang w:val="fr-CH"/>
        </w:rPr>
        <w:t> </w:t>
      </w:r>
      <w:r>
        <w:t>150;</w:t>
      </w:r>
    </w:p>
    <w:p w14:paraId="516FF08E" w14:textId="77777777" w:rsidR="00C82A3D" w:rsidRPr="006D2AE1" w:rsidRDefault="00C82A3D" w:rsidP="00134465">
      <w:pPr>
        <w:pStyle w:val="SingleTxtG"/>
        <w:ind w:firstLine="567"/>
      </w:pPr>
      <w:r>
        <w:t>c)</w:t>
      </w:r>
      <w:r>
        <w:tab/>
        <w:t>правила ООН, касающиеся установки, № 48, 53, 74 и 86;</w:t>
      </w:r>
    </w:p>
    <w:p w14:paraId="4E6C5FE3" w14:textId="11557466" w:rsidR="00C82A3D" w:rsidRPr="00134465" w:rsidRDefault="00C82A3D" w:rsidP="00134465">
      <w:pPr>
        <w:pStyle w:val="SingleTxtG"/>
        <w:ind w:firstLine="567"/>
      </w:pPr>
      <w:r>
        <w:t>d)</w:t>
      </w:r>
      <w:r>
        <w:tab/>
        <w:t xml:space="preserve">правила ООН, касающиеся источников света, № 37, 99 и 128; </w:t>
      </w:r>
      <w:r w:rsidR="00134465">
        <w:t>и</w:t>
      </w:r>
    </w:p>
    <w:p w14:paraId="2EA75B50" w14:textId="77777777" w:rsidR="00C82A3D" w:rsidRPr="00A56802" w:rsidRDefault="00C82A3D" w:rsidP="00134465">
      <w:pPr>
        <w:pStyle w:val="SingleTxtG"/>
        <w:ind w:firstLine="567"/>
      </w:pPr>
      <w:r>
        <w:t>e)</w:t>
      </w:r>
      <w:r>
        <w:tab/>
        <w:t>правила ООН, стоящие особняком, № 10, 45 и 65.</w:t>
      </w:r>
    </w:p>
    <w:p w14:paraId="6566C95A" w14:textId="77777777" w:rsidR="00C82A3D" w:rsidRPr="006D2AE1" w:rsidRDefault="00C82A3D" w:rsidP="00C82A3D">
      <w:pPr>
        <w:pStyle w:val="SingleTxtG"/>
      </w:pPr>
      <w:r>
        <w:t>14.</w:t>
      </w:r>
      <w:r>
        <w:tab/>
        <w:t xml:space="preserve">GRE согласилась в том, что УИ может быть использован для группы b) выше, но точно не для группы a) и, вероятно, не для групп c) и d). Что касается группы e), GRE предложила НРГ по УПОС и неофициальной рабочей группе по электромагнитной совместимости (НРГ по ЭМС) подготовить рекомендации. В итоге GRE решила вернуться к этой теме на следующей сессии, включая вопрос о дополнительной маркировке. </w:t>
      </w:r>
    </w:p>
    <w:p w14:paraId="334771DD" w14:textId="6080F9CB" w:rsidR="00C82A3D" w:rsidRPr="00A56802" w:rsidRDefault="00C82A3D" w:rsidP="00C82A3D">
      <w:pPr>
        <w:pStyle w:val="HChG"/>
      </w:pPr>
      <w:r>
        <w:rPr>
          <w:bCs/>
        </w:rPr>
        <w:tab/>
        <w:t>VI.</w:t>
      </w:r>
      <w:r>
        <w:tab/>
      </w:r>
      <w:r>
        <w:rPr>
          <w:bCs/>
        </w:rPr>
        <w:t>Правила ООН, касающиеся источников света, и Сводная резолюция по общей спецификации для категорий источников света (пункт 5 повестки дня)</w:t>
      </w:r>
    </w:p>
    <w:p w14:paraId="56E801E7" w14:textId="479C8331" w:rsidR="00C82A3D" w:rsidRPr="00A56802" w:rsidRDefault="00C82A3D" w:rsidP="00C82A3D">
      <w:pPr>
        <w:pStyle w:val="SingleTxtG"/>
      </w:pPr>
      <w:r>
        <w:rPr>
          <w:i/>
          <w:iCs/>
        </w:rPr>
        <w:t>Документация:</w:t>
      </w:r>
      <w:r>
        <w:tab/>
      </w:r>
      <w:r w:rsidR="00A67690">
        <w:t>н</w:t>
      </w:r>
      <w:r>
        <w:t xml:space="preserve">еофициальный документ GRE-88-13 </w:t>
      </w:r>
    </w:p>
    <w:p w14:paraId="1D9DD3DC" w14:textId="322A5BE6" w:rsidR="00C82A3D" w:rsidRPr="00A56802" w:rsidRDefault="00C82A3D" w:rsidP="00C82A3D">
      <w:pPr>
        <w:pStyle w:val="SingleTxtG"/>
      </w:pPr>
      <w:r>
        <w:t>15.</w:t>
      </w:r>
      <w:r>
        <w:tab/>
        <w:t>Эксперт от целевой группы по альтернативным и модифицированным устройствам (ЦГ по АМ) проинформировал GRE о ее деятельности (GRE-88-13) и сообщил, что ее следующее совещание ЦГ по АМ состоится 14 июня 2023 года. Он</w:t>
      </w:r>
      <w:r w:rsidR="00134465">
        <w:t> </w:t>
      </w:r>
      <w:r>
        <w:t>сообщил, что ЦГ по АМ рассматривает два подхода в части включения мощных сменных источников света на СИД (СИДс) в положения Правил № 37 ООН и в Сводную резолюцию по общей спецификации категорий источников света (СР.5), а</w:t>
      </w:r>
      <w:r w:rsidR="00134465">
        <w:t> </w:t>
      </w:r>
      <w:r>
        <w:t xml:space="preserve">именно </w:t>
      </w:r>
      <w:r w:rsidR="00134465">
        <w:t>«</w:t>
      </w:r>
      <w:r>
        <w:t>интеллектуальная эквивалентность</w:t>
      </w:r>
      <w:r w:rsidR="00134465">
        <w:t>»</w:t>
      </w:r>
      <w:r>
        <w:t xml:space="preserve"> на уровне источника света и </w:t>
      </w:r>
      <w:r w:rsidR="00134465">
        <w:t>«</w:t>
      </w:r>
      <w:r>
        <w:t>эквивалентность на уровне применения</w:t>
      </w:r>
      <w:r w:rsidR="00134465">
        <w:t>»</w:t>
      </w:r>
      <w:r>
        <w:t xml:space="preserve">. Эксперты от Нидерландов и Соединенного Королевства поддержали первый подход.  </w:t>
      </w:r>
    </w:p>
    <w:p w14:paraId="4AD569B3" w14:textId="619956C6" w:rsidR="00C82A3D" w:rsidRPr="00A56802" w:rsidRDefault="00C82A3D" w:rsidP="00C82A3D">
      <w:pPr>
        <w:pStyle w:val="HChG"/>
      </w:pPr>
      <w:r>
        <w:rPr>
          <w:bCs/>
        </w:rPr>
        <w:tab/>
        <w:t>VII.</w:t>
      </w:r>
      <w:r>
        <w:tab/>
      </w:r>
      <w:r>
        <w:rPr>
          <w:bCs/>
        </w:rPr>
        <w:t xml:space="preserve">Правила ООН, касающиеся установки </w:t>
      </w:r>
      <w:r>
        <w:rPr>
          <w:bCs/>
        </w:rPr>
        <w:br/>
        <w:t>(пункт 6 повестки дня)</w:t>
      </w:r>
    </w:p>
    <w:p w14:paraId="7844DC81" w14:textId="77777777" w:rsidR="00C82A3D" w:rsidRPr="00A56802" w:rsidRDefault="00C82A3D" w:rsidP="00F6474B">
      <w:pPr>
        <w:pStyle w:val="H1G"/>
      </w:pPr>
      <w:r>
        <w:tab/>
        <w:t>A.</w:t>
      </w:r>
      <w:r>
        <w:tab/>
        <w:t>Правила № 48 ООН (установка устройств освещения и световой сигнализации)</w:t>
      </w:r>
    </w:p>
    <w:p w14:paraId="04CC30F6" w14:textId="184A5CC8" w:rsidR="00C82A3D" w:rsidRPr="00A56802" w:rsidRDefault="00C82A3D" w:rsidP="00134465">
      <w:pPr>
        <w:pStyle w:val="SingleTxtG"/>
        <w:ind w:left="2835" w:hanging="1701"/>
        <w:jc w:val="left"/>
      </w:pPr>
      <w:r>
        <w:rPr>
          <w:i/>
          <w:iCs/>
        </w:rPr>
        <w:t>Документация:</w:t>
      </w:r>
      <w:r>
        <w:t xml:space="preserve"> </w:t>
      </w:r>
      <w:r>
        <w:tab/>
        <w:t xml:space="preserve">ECE/TRANS/WP.29/GRE/2022/25/Rev.1, ECE/TRANS/WP.29/GRE/2023/2, ECE/TRANS/WP.29/GRE/2023/7, ECE/TRANS/WP.29/GRE/2023/8, ECE/TRANS/WP.29/GRE/2023/9, ECE/TRANS/WP.29/GRE/2023/10, </w:t>
      </w:r>
      <w:r w:rsidR="00134465">
        <w:br/>
      </w:r>
      <w:r>
        <w:t xml:space="preserve">неофициальные документы GRE-88-14, GRE-88-17, </w:t>
      </w:r>
      <w:r w:rsidR="00134465">
        <w:br/>
      </w:r>
      <w:r>
        <w:t xml:space="preserve">GRE-88-15-Rev.1, GRE-88-16-Rev.3, GRE-88-18, </w:t>
      </w:r>
      <w:r w:rsidR="00134465">
        <w:br/>
      </w:r>
      <w:r>
        <w:t xml:space="preserve">GRE-88-22-Rev.3, GRE-88-23-Rev.2, GRE-88-24, GRE-88-25-Rev.1 </w:t>
      </w:r>
    </w:p>
    <w:p w14:paraId="287EF6A8" w14:textId="7DACC49B" w:rsidR="00C82A3D" w:rsidRPr="00A56802" w:rsidRDefault="00C82A3D" w:rsidP="00C82A3D">
      <w:pPr>
        <w:pStyle w:val="SingleTxtG"/>
        <w:rPr>
          <w:bCs/>
        </w:rPr>
      </w:pPr>
      <w:r>
        <w:t>16.</w:t>
      </w:r>
      <w:r>
        <w:tab/>
        <w:t xml:space="preserve">Эксперт от МАИАКП представил пересмотренное предложение, предусматривающее увеличение числа огней маневрирования на прицепах в зависимости от длины прицепа (документы ECE/TRANS/WP.29/GRE/2022/25/Rev.1 и GRE-88-24). После обстоятельной дискуссии GRE приняла предложение, содержащееся в документе GRE-88-24, с учетом замены в тексте на английском языке </w:t>
      </w:r>
      <w:r>
        <w:lastRenderedPageBreak/>
        <w:t xml:space="preserve">слова </w:t>
      </w:r>
      <w:r w:rsidR="009E3DE9">
        <w:t>«</w:t>
      </w:r>
      <w:r>
        <w:t>must</w:t>
      </w:r>
      <w:r w:rsidR="009E3DE9">
        <w:t>»</w:t>
      </w:r>
      <w:r>
        <w:t xml:space="preserve"> на слово </w:t>
      </w:r>
      <w:r w:rsidR="009E3DE9">
        <w:t>«</w:t>
      </w:r>
      <w:r>
        <w:t>shall</w:t>
      </w:r>
      <w:r w:rsidR="009E3DE9">
        <w:t>»</w:t>
      </w:r>
      <w:r>
        <w:t xml:space="preserve"> в пункте 6.26.2, и решила включить в поправки новой серии 09 к Правилам № 48 ООН. </w:t>
      </w:r>
    </w:p>
    <w:p w14:paraId="29C941BB" w14:textId="77777777" w:rsidR="00C82A3D" w:rsidRPr="00A56802" w:rsidRDefault="00C82A3D" w:rsidP="00C82A3D">
      <w:pPr>
        <w:pStyle w:val="SingleTxtG"/>
        <w:rPr>
          <w:bCs/>
        </w:rPr>
      </w:pPr>
      <w:r>
        <w:t>17.</w:t>
      </w:r>
      <w:r>
        <w:tab/>
        <w:t xml:space="preserve">Эксперт от МОПАП предложил согласовать требование в отношении видимости красного света в направлении вперед и/или белого света в направлении назад от транспортного средства в различных сериях поправок к Правилам № 48 ООН с аналогичным требованием в поправках серии 01 к правилам ООН № 148 и 149 (документы GRE-88-17 и GRE-88-18). </w:t>
      </w:r>
      <w:bookmarkStart w:id="11" w:name="_Hlk134112037"/>
      <w:bookmarkStart w:id="12" w:name="_Hlk134111825"/>
      <w:bookmarkEnd w:id="11"/>
      <w:bookmarkEnd w:id="12"/>
    </w:p>
    <w:p w14:paraId="28EB6D57" w14:textId="628892E2" w:rsidR="00C82A3D" w:rsidRPr="00A56802" w:rsidRDefault="00C82A3D" w:rsidP="00C82A3D">
      <w:pPr>
        <w:pStyle w:val="SingleTxtG"/>
        <w:rPr>
          <w:bCs/>
        </w:rPr>
      </w:pPr>
      <w:r>
        <w:t>18.</w:t>
      </w:r>
      <w:r>
        <w:tab/>
        <w:t>GRE приняла документ GRE-88-18 и решила включить его в поправки новой серии 09 к Правилам № 48 ООН. GRE приняла также документ GRE-88-17 в качестве дополнения к поправкам серий с 03 по 08 к Правилам № 48 ООН. GRE поручила секретариату представить его для рассмотрения и голосования на сессиях WP.29 и AC.1 в ноябре 2023 года в качестве части проекта дополнения 19 к поправкам серии</w:t>
      </w:r>
      <w:r w:rsidR="00D66941">
        <w:t> </w:t>
      </w:r>
      <w:r>
        <w:t>06, проекта дополнения 6 к поправкам серии 07 и проекта дополнения 4 к поправкам серии</w:t>
      </w:r>
      <w:r w:rsidR="00D66941">
        <w:t> </w:t>
      </w:r>
      <w:r>
        <w:t>08 к Правилам № 48 ООН. GRE решила отложить передачу этих поправок к поправкам серий 03, 04 и 05, с тем чтобы объединить их с будущими предложениями по поправкам к тем же сериям поправок.</w:t>
      </w:r>
      <w:bookmarkStart w:id="13" w:name="_Hlk135043484"/>
      <w:bookmarkEnd w:id="13"/>
    </w:p>
    <w:p w14:paraId="6ACE643E" w14:textId="77777777" w:rsidR="00C82A3D" w:rsidRPr="00A56802" w:rsidRDefault="00C82A3D" w:rsidP="00C82A3D">
      <w:pPr>
        <w:pStyle w:val="SingleTxtG"/>
        <w:rPr>
          <w:bCs/>
        </w:rPr>
      </w:pPr>
      <w:r>
        <w:t>19.</w:t>
      </w:r>
      <w:r>
        <w:tab/>
        <w:t xml:space="preserve">Эксперт от группы заинтересованных экспертов (ГЗЭ) по поправкам серии 09 к Правилам № 48 ООН проинформировал о работе этой группы (GRE-88-15-Rev.1) и представил новое предложение этой группы, которое предусматривает включение в сферу применения Правил № 48 ООН условий стоянки транспортного средства (ECE/TRANS/WP.29/GRE/2023/2). После углубленного рассмотрения GRE приняла техническое содержание, изложенное в документе GRE-88-16-Rev.3. </w:t>
      </w:r>
    </w:p>
    <w:p w14:paraId="0AE87CDD" w14:textId="77777777" w:rsidR="00C82A3D" w:rsidRPr="00A56802" w:rsidRDefault="00C82A3D" w:rsidP="00C82A3D">
      <w:pPr>
        <w:pStyle w:val="SingleTxtG"/>
        <w:rPr>
          <w:bCs/>
        </w:rPr>
      </w:pPr>
      <w:r>
        <w:t>20.</w:t>
      </w:r>
      <w:r>
        <w:tab/>
        <w:t xml:space="preserve">Эксперт от МОПАП предложил продлить действие переходных положений для поправок серии 09 к Правилам № 48 ООН (документы GRE-88-22-Rev.3 и GRE-88-23-Rev.2). В качестве компромисса GRE приняла переходные положения, содержащиеся в приложении II.  </w:t>
      </w:r>
    </w:p>
    <w:p w14:paraId="140AD1C6" w14:textId="77777777" w:rsidR="00C82A3D" w:rsidRPr="00A56802" w:rsidRDefault="00C82A3D" w:rsidP="00C82A3D">
      <w:pPr>
        <w:pStyle w:val="SingleTxtG"/>
        <w:rPr>
          <w:bCs/>
        </w:rPr>
      </w:pPr>
      <w:r>
        <w:t>21.</w:t>
      </w:r>
      <w:r>
        <w:tab/>
        <w:t>Председатель резюмировал, что на этой сессии были приняты следующие проекты поправок, которые станут частью проекта поправок серии 09</w:t>
      </w:r>
      <w:r>
        <w:br/>
        <w:t>к Правилам № 48 ООН:</w:t>
      </w:r>
    </w:p>
    <w:p w14:paraId="7E1E6833" w14:textId="2E29E4A2" w:rsidR="00C82A3D" w:rsidRPr="006D2AE1" w:rsidRDefault="00CE30CE" w:rsidP="00CE30CE">
      <w:pPr>
        <w:pStyle w:val="SingleTxtG"/>
        <w:tabs>
          <w:tab w:val="clear" w:pos="1701"/>
          <w:tab w:val="clear" w:pos="2835"/>
        </w:tabs>
        <w:ind w:firstLine="567"/>
        <w:rPr>
          <w:bCs/>
        </w:rPr>
      </w:pPr>
      <w:r w:rsidRPr="006D2AE1">
        <w:rPr>
          <w:bCs/>
        </w:rPr>
        <w:t>a)</w:t>
      </w:r>
      <w:r w:rsidRPr="006D2AE1">
        <w:rPr>
          <w:bCs/>
        </w:rPr>
        <w:tab/>
      </w:r>
      <w:r w:rsidR="00C82A3D">
        <w:t>регулировка положения фар (пункт 8 выше);</w:t>
      </w:r>
    </w:p>
    <w:p w14:paraId="6F907378" w14:textId="35BCFC5A" w:rsidR="00C82A3D" w:rsidRPr="006D2AE1" w:rsidRDefault="00CE30CE" w:rsidP="00CE30CE">
      <w:pPr>
        <w:pStyle w:val="SingleTxtG"/>
        <w:tabs>
          <w:tab w:val="clear" w:pos="1701"/>
          <w:tab w:val="clear" w:pos="2835"/>
        </w:tabs>
        <w:ind w:firstLine="567"/>
        <w:rPr>
          <w:bCs/>
        </w:rPr>
      </w:pPr>
      <w:r w:rsidRPr="006D2AE1">
        <w:rPr>
          <w:bCs/>
        </w:rPr>
        <w:t>b)</w:t>
      </w:r>
      <w:r w:rsidRPr="006D2AE1">
        <w:rPr>
          <w:bCs/>
        </w:rPr>
        <w:tab/>
      </w:r>
      <w:r w:rsidR="00C82A3D">
        <w:t>переходные положения для устройств (пункт 11);</w:t>
      </w:r>
    </w:p>
    <w:p w14:paraId="13AAC80B" w14:textId="37F10E43" w:rsidR="00C82A3D" w:rsidRDefault="00CE30CE" w:rsidP="00CE30CE">
      <w:pPr>
        <w:pStyle w:val="SingleTxtG"/>
        <w:tabs>
          <w:tab w:val="clear" w:pos="1701"/>
          <w:tab w:val="clear" w:pos="2835"/>
        </w:tabs>
        <w:ind w:firstLine="567"/>
        <w:rPr>
          <w:bCs/>
        </w:rPr>
      </w:pPr>
      <w:r>
        <w:rPr>
          <w:bCs/>
        </w:rPr>
        <w:t>c)</w:t>
      </w:r>
      <w:r>
        <w:rPr>
          <w:bCs/>
        </w:rPr>
        <w:tab/>
      </w:r>
      <w:r w:rsidR="00C82A3D">
        <w:t>условия стоянки (пункт 19);</w:t>
      </w:r>
    </w:p>
    <w:p w14:paraId="19C914CE" w14:textId="332F482F" w:rsidR="00C82A3D" w:rsidRPr="006D2AE1" w:rsidRDefault="00CE30CE" w:rsidP="00CE30CE">
      <w:pPr>
        <w:pStyle w:val="SingleTxtG"/>
        <w:tabs>
          <w:tab w:val="clear" w:pos="1701"/>
          <w:tab w:val="clear" w:pos="2835"/>
        </w:tabs>
        <w:ind w:firstLine="567"/>
        <w:rPr>
          <w:bCs/>
        </w:rPr>
      </w:pPr>
      <w:r w:rsidRPr="006D2AE1">
        <w:rPr>
          <w:bCs/>
        </w:rPr>
        <w:t>d)</w:t>
      </w:r>
      <w:r w:rsidRPr="006D2AE1">
        <w:rPr>
          <w:bCs/>
        </w:rPr>
        <w:tab/>
      </w:r>
      <w:r w:rsidR="00C82A3D">
        <w:t xml:space="preserve">огни маневрирования на прицепах (пункт 16);    </w:t>
      </w:r>
    </w:p>
    <w:p w14:paraId="522FEF43" w14:textId="475C18C6" w:rsidR="00C82A3D" w:rsidRPr="00A56802" w:rsidRDefault="00CE30CE" w:rsidP="00CE30CE">
      <w:pPr>
        <w:pStyle w:val="SingleTxtG"/>
        <w:tabs>
          <w:tab w:val="clear" w:pos="1701"/>
          <w:tab w:val="clear" w:pos="2835"/>
        </w:tabs>
        <w:ind w:firstLine="567"/>
        <w:rPr>
          <w:bCs/>
        </w:rPr>
      </w:pPr>
      <w:r w:rsidRPr="00A56802">
        <w:rPr>
          <w:bCs/>
        </w:rPr>
        <w:t>e)</w:t>
      </w:r>
      <w:r w:rsidRPr="00A56802">
        <w:rPr>
          <w:bCs/>
        </w:rPr>
        <w:tab/>
      </w:r>
      <w:r w:rsidR="00C82A3D">
        <w:t xml:space="preserve">видимость красного света в направлении вперед и/или белого света в направлении назад (пункт 18); </w:t>
      </w:r>
    </w:p>
    <w:p w14:paraId="13FAC1AC" w14:textId="2EDBF53E" w:rsidR="00C82A3D" w:rsidRDefault="00CE30CE" w:rsidP="00CE30CE">
      <w:pPr>
        <w:pStyle w:val="SingleTxtG"/>
        <w:tabs>
          <w:tab w:val="clear" w:pos="1701"/>
          <w:tab w:val="clear" w:pos="2835"/>
        </w:tabs>
        <w:ind w:firstLine="567"/>
        <w:rPr>
          <w:bCs/>
        </w:rPr>
      </w:pPr>
      <w:r>
        <w:rPr>
          <w:bCs/>
        </w:rPr>
        <w:t>f)</w:t>
      </w:r>
      <w:r>
        <w:rPr>
          <w:bCs/>
        </w:rPr>
        <w:tab/>
      </w:r>
      <w:r w:rsidR="00C82A3D">
        <w:t xml:space="preserve">переходные положения (пункт 20).  </w:t>
      </w:r>
    </w:p>
    <w:p w14:paraId="15E49F48" w14:textId="77777777" w:rsidR="00C82A3D" w:rsidRPr="00A56802" w:rsidRDefault="00C82A3D" w:rsidP="00C82A3D">
      <w:pPr>
        <w:pStyle w:val="SingleTxtG"/>
        <w:rPr>
          <w:bCs/>
        </w:rPr>
      </w:pPr>
      <w:r>
        <w:t>22.</w:t>
      </w:r>
      <w:r>
        <w:tab/>
        <w:t xml:space="preserve">GRE решила представить вышеуказанные предложения для рассмотрения и голосования на сессиях WP.29 и AC.1 в марте 2024 года в качестве поправок новой серии 09 к Правилам № 48 ООН. На своей следующей сессии в октябре 2023 года GRE решила редакционно подтвердить эти предложения без изменения их содержания по существу и содержащихся в них требований. С этой целью GRE предложила подготовить сводный текст проекта поправок серии 09 к Правилам № 48 ООН.     </w:t>
      </w:r>
    </w:p>
    <w:p w14:paraId="7EBF3EAE" w14:textId="77777777" w:rsidR="00C82A3D" w:rsidRPr="00A56802" w:rsidRDefault="00C82A3D" w:rsidP="00C82A3D">
      <w:pPr>
        <w:pStyle w:val="SingleTxtG"/>
        <w:rPr>
          <w:bCs/>
        </w:rPr>
      </w:pPr>
      <w:r>
        <w:t>23.</w:t>
      </w:r>
      <w:r>
        <w:tab/>
        <w:t>Эксперт от МОПАП предложил допустить использование логотипов площадью менее 5 см</w:t>
      </w:r>
      <w:r>
        <w:rPr>
          <w:vertAlign w:val="superscript"/>
        </w:rPr>
        <w:t>2</w:t>
      </w:r>
      <w:r>
        <w:t xml:space="preserve"> (ECE/TRANS/WP.29/GRE/2023/10). Ряд экспертов от договаривающихся сторон выступили с критическими замечаниями и заявили, что они могут поддержать это предложение.   </w:t>
      </w:r>
    </w:p>
    <w:p w14:paraId="09D49BE4" w14:textId="77777777" w:rsidR="00C82A3D" w:rsidRPr="00A56802" w:rsidRDefault="00C82A3D" w:rsidP="00C82A3D">
      <w:pPr>
        <w:pStyle w:val="SingleTxtG"/>
        <w:rPr>
          <w:bCs/>
        </w:rPr>
      </w:pPr>
      <w:r>
        <w:t>24.</w:t>
      </w:r>
      <w:r>
        <w:tab/>
        <w:t xml:space="preserve">Эксперт от БРГ представил предложение, которое разрешает использование проекции схемы прогнозируемой траектории (ECE/TRANS/WP.29/GRE/2023/7). Эксперт от Франции предложил изменить ограничение скорости в контексте документа ECE/TRANS/WP.29/GRE/2023/8 (см. следующий пункт). Эксперт от Японии просил представить подтверждение того, что использование такой схемы не </w:t>
      </w:r>
      <w:r>
        <w:lastRenderedPageBreak/>
        <w:t xml:space="preserve">окажет негативного влияния на других участников дорожного движения. Председатель предложил БРГ наладить взаимодействие с Японией по этому вопросу.  </w:t>
      </w:r>
    </w:p>
    <w:p w14:paraId="3C6D24EA" w14:textId="6A3A254D" w:rsidR="00C82A3D" w:rsidRPr="00A56802" w:rsidRDefault="00C82A3D" w:rsidP="00C82A3D">
      <w:pPr>
        <w:pStyle w:val="SingleTxtG"/>
        <w:rPr>
          <w:bCs/>
        </w:rPr>
      </w:pPr>
      <w:r>
        <w:t>25.</w:t>
      </w:r>
      <w:r>
        <w:tab/>
        <w:t>Эксперт от БРГ предложил поправки, предусматривающие распространение на фары ближнего света адаптивных систем переднего освещения (АСПО) возможности проецирования символов и схем в помощь водителю. Эти поправки сопровождались соответствующей поправкой к Правилам № 149 ООН (документы ECE/TRANS/</w:t>
      </w:r>
      <w:r w:rsidR="00344C70">
        <w:br/>
      </w:r>
      <w:r>
        <w:t>WP.29/GRE/2023/8 и GRE-88-25-Rev.1). GRE приняла предложения, изложенные в документе GRE-88-25-Rev.1, и поручила секретариату представить их для рассмотрения и голосования на сессиях WP.29 и AC.1 в ноябре 2023 года в качестве проекта дополнения 2 к поправкам серии 01 к Правилам № 149 ООН, части проекта дополнения 19 к поправкам серии 06, части проекта дополнения 6 к поправкам серии</w:t>
      </w:r>
      <w:r w:rsidR="00344C70">
        <w:t> </w:t>
      </w:r>
      <w:r>
        <w:t>07 и части проекта дополнения 4 к поправкам серии 08 к Правилам № 48 ООН.</w:t>
      </w:r>
    </w:p>
    <w:p w14:paraId="422DE97E" w14:textId="75B6B517" w:rsidR="00C82A3D" w:rsidRPr="00A56802" w:rsidRDefault="00C82A3D" w:rsidP="00C82A3D">
      <w:pPr>
        <w:pStyle w:val="SingleTxtG"/>
        <w:rPr>
          <w:bCs/>
        </w:rPr>
      </w:pPr>
      <w:r>
        <w:t>26.</w:t>
      </w:r>
      <w:r>
        <w:tab/>
        <w:t xml:space="preserve">Эксперт от целевой группы по требованиям к сигнализации автономных транспортных средств (ЦГ по ТСАТС) представил проект поправок, нацеленных </w:t>
      </w:r>
      <w:r w:rsidR="00377563">
        <w:br/>
      </w:r>
      <w:r>
        <w:t>на включение в Правила</w:t>
      </w:r>
      <w:r w:rsidR="00377563">
        <w:t> </w:t>
      </w:r>
      <w:r>
        <w:t>№</w:t>
      </w:r>
      <w:r w:rsidR="00377563">
        <w:t> </w:t>
      </w:r>
      <w:r>
        <w:t>48</w:t>
      </w:r>
      <w:r w:rsidR="00377563">
        <w:t> </w:t>
      </w:r>
      <w:r>
        <w:t xml:space="preserve">ООН транспортных средств с функциями автоматизированного вождения или автоматизированной системой вождения (АСР) (ECE/TRANS/WP.29/GRE/2023/9). Эксперты указали на ряд вопросов, которые потребуют дальнейшего рассмотрения, в частности введение двух новых определений (в квадратных скобках). GRE просила ЦГ по ТСАТС представить предложения Рабочей группе по автоматизированным/автономным и подключенным транспортным средствам (GRVA) в целях обеспечения совместимости определений. </w:t>
      </w:r>
    </w:p>
    <w:p w14:paraId="7663615C" w14:textId="6F74B0B0" w:rsidR="00C82A3D" w:rsidRPr="00A56802" w:rsidRDefault="00C82A3D" w:rsidP="00C82A3D">
      <w:pPr>
        <w:pStyle w:val="SingleTxtG"/>
        <w:rPr>
          <w:bCs/>
        </w:rPr>
      </w:pPr>
      <w:r>
        <w:t>27.</w:t>
      </w:r>
      <w:r>
        <w:tab/>
        <w:t>Эксперт от Австралии поинтересовался, допускают ли Правила № 48 ООН установку других огней, помимо тех, которые перечислены в данных Правилах в качестве обязательных или факультативных, или которые соответствуют определению внешнего указателя состояния, например огней низкой интенсивности, огней для транспортных средств аварийных служб и/или указателей состояния других типов (GRE-88-14). Эксперт от Нидерландов выразил мнение о том, что установка таких огней не должна быть разрешена (</w:t>
      </w:r>
      <w:r w:rsidR="00134465">
        <w:t>«</w:t>
      </w:r>
      <w:r>
        <w:t>если не упоминается, то не устанавливается</w:t>
      </w:r>
      <w:r w:rsidR="00134465">
        <w:t>»</w:t>
      </w:r>
      <w:r>
        <w:t xml:space="preserve">). Председатель напомнил, что Правила № 48 ООН не содержат положений по некоторым огням, требования к установке которых относятся к ведению национального законодательства договаривающихся сторон, например по специальным предупреждающим огням, предусмотренным Правилами № 65 ООН. Эксперт от Австралии отметил, что продолжит очные консультации по этому вопросу.  </w:t>
      </w:r>
    </w:p>
    <w:p w14:paraId="5D9AF76A" w14:textId="77777777" w:rsidR="00C82A3D" w:rsidRPr="00A56802" w:rsidRDefault="00C82A3D" w:rsidP="00F6474B">
      <w:pPr>
        <w:pStyle w:val="H1G"/>
      </w:pPr>
      <w:r>
        <w:tab/>
        <w:t>B.</w:t>
      </w:r>
      <w:r>
        <w:tab/>
        <w:t>Другие правила ООН, касающиеся установки</w:t>
      </w:r>
    </w:p>
    <w:p w14:paraId="1D12740D" w14:textId="77777777" w:rsidR="00C82A3D" w:rsidRPr="00A56802" w:rsidRDefault="00C82A3D" w:rsidP="00C82A3D">
      <w:pPr>
        <w:pStyle w:val="SingleTxtG"/>
      </w:pPr>
      <w:r>
        <w:rPr>
          <w:i/>
          <w:iCs/>
        </w:rPr>
        <w:t xml:space="preserve">Документация: </w:t>
      </w:r>
      <w:r>
        <w:t>неофициальные документы GRE-88-04 и GRE-88-19</w:t>
      </w:r>
    </w:p>
    <w:p w14:paraId="67FAE8B1" w14:textId="77777777" w:rsidR="00C82A3D" w:rsidRPr="00A56802" w:rsidRDefault="00C82A3D" w:rsidP="00C82A3D">
      <w:pPr>
        <w:pStyle w:val="SingleTxtG"/>
      </w:pPr>
      <w:r>
        <w:t>28.</w:t>
      </w:r>
      <w:r>
        <w:tab/>
        <w:t xml:space="preserve">Эксперт от CEMA представил предложения по поправкам к Правилам № 86 ООН (документы GRE-88-04 и GRE-88-19), которые нацелены на включение:  </w:t>
      </w:r>
    </w:p>
    <w:p w14:paraId="1FBDC391" w14:textId="2CD4D5DF" w:rsidR="00C82A3D" w:rsidRPr="00A56802" w:rsidRDefault="00CE30CE" w:rsidP="00377563">
      <w:pPr>
        <w:pStyle w:val="Bullet1G"/>
      </w:pPr>
      <w:r w:rsidRPr="00A56802">
        <w:rPr>
          <w:rFonts w:ascii="Symbol" w:hAnsi="Symbol"/>
        </w:rPr>
        <w:tab/>
      </w:r>
      <w:r w:rsidR="00C82A3D">
        <w:t xml:space="preserve">более широких транспортных средств категорий R, S и T; </w:t>
      </w:r>
    </w:p>
    <w:p w14:paraId="4E044F6B" w14:textId="7C1D8E9F" w:rsidR="00C82A3D" w:rsidRPr="00A56802" w:rsidRDefault="00CE30CE" w:rsidP="00377563">
      <w:pPr>
        <w:pStyle w:val="Bullet1G"/>
      </w:pPr>
      <w:r w:rsidRPr="00A56802">
        <w:rPr>
          <w:rFonts w:ascii="Symbol" w:hAnsi="Symbol"/>
        </w:rPr>
        <w:tab/>
      </w:r>
      <w:r w:rsidR="00C82A3D">
        <w:t xml:space="preserve">светоотражающих материалов как альтернативы светоотражателям и боковым габаритным огням; </w:t>
      </w:r>
    </w:p>
    <w:p w14:paraId="16678920" w14:textId="14F555F6" w:rsidR="00C82A3D" w:rsidRPr="00A56802" w:rsidRDefault="00CE30CE" w:rsidP="00377563">
      <w:pPr>
        <w:pStyle w:val="Bullet1G"/>
      </w:pPr>
      <w:r w:rsidRPr="00A56802">
        <w:rPr>
          <w:rFonts w:ascii="Symbol" w:hAnsi="Symbol"/>
        </w:rPr>
        <w:tab/>
      </w:r>
      <w:r w:rsidR="00C82A3D">
        <w:t xml:space="preserve">специальных предупреждающих устройств автожелтого цвета для информирования о медленно движущихся транспортных средствах на дороге; </w:t>
      </w:r>
    </w:p>
    <w:p w14:paraId="1D044E85" w14:textId="43C8C78D" w:rsidR="00C82A3D" w:rsidRPr="00A56802" w:rsidRDefault="00CE30CE" w:rsidP="00377563">
      <w:pPr>
        <w:pStyle w:val="Bullet1G"/>
        <w:rPr>
          <w:color w:val="000000"/>
        </w:rPr>
      </w:pPr>
      <w:r w:rsidRPr="00A56802">
        <w:rPr>
          <w:rFonts w:ascii="Symbol" w:hAnsi="Symbol"/>
          <w:color w:val="000000"/>
        </w:rPr>
        <w:tab/>
      </w:r>
      <w:r w:rsidR="00C82A3D">
        <w:t xml:space="preserve">возможностей для использования логотипов изготовителей. </w:t>
      </w:r>
    </w:p>
    <w:p w14:paraId="4944F924" w14:textId="4388C0B0" w:rsidR="00C82A3D" w:rsidRPr="00A56802" w:rsidRDefault="00C82A3D" w:rsidP="00C82A3D">
      <w:pPr>
        <w:pStyle w:val="SingleTxtG"/>
        <w:rPr>
          <w:color w:val="000000"/>
        </w:rPr>
      </w:pPr>
      <w:r>
        <w:t>29.</w:t>
      </w:r>
      <w:r>
        <w:tab/>
        <w:t xml:space="preserve">После краткого обмена мнениями GRE пришла к выводу, что специальные предупреждающие огни должны оставаться только в области применения </w:t>
      </w:r>
      <w:r w:rsidR="00C852AF">
        <w:br/>
      </w:r>
      <w:r>
        <w:t xml:space="preserve">Правил № 65 ООН. Кроме того, GRE выразила сомнения по поводу замены светоотражателей и боковых габаритных огней на светоотражающие материалы. Председатель предложил CEMA обновить свои предложения и представить их в качестве рабочего документа на следующей сессии. </w:t>
      </w:r>
    </w:p>
    <w:p w14:paraId="7616B616" w14:textId="7054FC2C" w:rsidR="00C82A3D" w:rsidRPr="00A56802" w:rsidRDefault="00C82A3D" w:rsidP="00C82A3D">
      <w:pPr>
        <w:pStyle w:val="HChG"/>
      </w:pPr>
      <w:r>
        <w:rPr>
          <w:bCs/>
        </w:rPr>
        <w:lastRenderedPageBreak/>
        <w:tab/>
        <w:t>VIII.</w:t>
      </w:r>
      <w:r>
        <w:tab/>
      </w:r>
      <w:r>
        <w:rPr>
          <w:bCs/>
        </w:rPr>
        <w:t xml:space="preserve">Правила ООН, касающиеся устройств </w:t>
      </w:r>
      <w:r>
        <w:rPr>
          <w:bCs/>
        </w:rPr>
        <w:br/>
        <w:t>(пункт 7 повестки дня)</w:t>
      </w:r>
    </w:p>
    <w:p w14:paraId="60546C4A" w14:textId="162F1F03" w:rsidR="00C82A3D" w:rsidRPr="00A56802" w:rsidRDefault="00C82A3D" w:rsidP="00C82A3D">
      <w:pPr>
        <w:pStyle w:val="SingleTxtG"/>
        <w:ind w:left="2835" w:hanging="1701"/>
      </w:pPr>
      <w:r>
        <w:rPr>
          <w:i/>
          <w:iCs/>
        </w:rPr>
        <w:t>Документация:</w:t>
      </w:r>
      <w:r>
        <w:t xml:space="preserve"> </w:t>
      </w:r>
      <w:r>
        <w:tab/>
      </w:r>
      <w:r w:rsidR="001A258D">
        <w:t>н</w:t>
      </w:r>
      <w:r>
        <w:t xml:space="preserve">еофициальные документы GRE-88-09 и GRE-88-10  </w:t>
      </w:r>
    </w:p>
    <w:p w14:paraId="21CB4E4B" w14:textId="0F36462B" w:rsidR="00C82A3D" w:rsidRPr="00A56802" w:rsidRDefault="00C82A3D" w:rsidP="00C82A3D">
      <w:pPr>
        <w:pStyle w:val="SingleTxtG"/>
      </w:pPr>
      <w:r>
        <w:t>30.</w:t>
      </w:r>
      <w:r>
        <w:tab/>
        <w:t xml:space="preserve">Эксперт от БРГ представил концепцию по улучшению положений, касающихся несрабатывания, в поправках серии 01 к Правилам № 149 ООН, включая фары </w:t>
      </w:r>
      <w:r w:rsidR="00134465">
        <w:t>«</w:t>
      </w:r>
      <w:r>
        <w:t>высокого разрешения</w:t>
      </w:r>
      <w:r w:rsidR="00134465">
        <w:t>»</w:t>
      </w:r>
      <w:r>
        <w:t xml:space="preserve"> (GRE-88-10). Эксперты от Германии и Великобритании высказали предварительные замечания по данному предложению и указали на необходимость его дальнейшего изучения. Председатель предложил экспертам от GRE направить свои материалы в БРГ.   </w:t>
      </w:r>
    </w:p>
    <w:p w14:paraId="0F874CF2" w14:textId="77777777" w:rsidR="00C82A3D" w:rsidRPr="00A56802" w:rsidRDefault="00C82A3D" w:rsidP="00C82A3D">
      <w:pPr>
        <w:pStyle w:val="SingleTxtG"/>
      </w:pPr>
      <w:r>
        <w:t>31.</w:t>
      </w:r>
      <w:r>
        <w:tab/>
        <w:t xml:space="preserve">Эксперт от Германии предложил указывать в карточке сообщения, приведенной в приложении 1 к Правилам № 149 ООН, способны ли фары осуществлять проекцию в помощь водителю в соответствии с Правилами № 48 ООН (GRE-88-09). GRE приняла это предложение и поручила секретариату представить его для рассмотрения и голосования на сессиях WP.29 и AC.1 в ноябре 2023 года в качестве части проекта дополнения 2 к поправкам серии 01 к Правилам № 149 ООН. </w:t>
      </w:r>
    </w:p>
    <w:p w14:paraId="549F8E25" w14:textId="77777777" w:rsidR="00C82A3D" w:rsidRPr="00A56802" w:rsidRDefault="00C82A3D" w:rsidP="00C82A3D">
      <w:pPr>
        <w:pStyle w:val="HChG"/>
      </w:pPr>
      <w:r>
        <w:rPr>
          <w:bCs/>
        </w:rPr>
        <w:tab/>
        <w:t>IX.</w:t>
      </w:r>
      <w:r>
        <w:tab/>
      </w:r>
      <w:r>
        <w:rPr>
          <w:bCs/>
        </w:rPr>
        <w:t>Правила № 10 ООН (электромагнитная совместимость) (пункт 8 повестки дня)</w:t>
      </w:r>
      <w:r>
        <w:t xml:space="preserve"> </w:t>
      </w:r>
    </w:p>
    <w:p w14:paraId="081CFE0E" w14:textId="3713E0FF" w:rsidR="00C82A3D" w:rsidRPr="00A56802" w:rsidRDefault="00C82A3D" w:rsidP="00C82A3D">
      <w:pPr>
        <w:pStyle w:val="SingleTxtG"/>
        <w:ind w:left="2835" w:hanging="1701"/>
      </w:pPr>
      <w:r>
        <w:rPr>
          <w:i/>
          <w:iCs/>
        </w:rPr>
        <w:t>Документация:</w:t>
      </w:r>
      <w:r>
        <w:t xml:space="preserve"> </w:t>
      </w:r>
      <w:r>
        <w:tab/>
      </w:r>
      <w:r w:rsidR="001A258D">
        <w:t>н</w:t>
      </w:r>
      <w:r>
        <w:t>еофициальные документы GRE-88-20 и GRE-88-21</w:t>
      </w:r>
    </w:p>
    <w:p w14:paraId="5B4B260B" w14:textId="4EED04AD" w:rsidR="00C82A3D" w:rsidRPr="00A56802" w:rsidRDefault="00C82A3D" w:rsidP="00C82A3D">
      <w:pPr>
        <w:spacing w:after="120"/>
        <w:ind w:left="1134" w:right="1134"/>
        <w:jc w:val="both"/>
        <w:rPr>
          <w:color w:val="000000"/>
        </w:rPr>
      </w:pPr>
      <w:r>
        <w:t>32.</w:t>
      </w:r>
      <w:r>
        <w:tab/>
        <w:t xml:space="preserve">Эксперт НРГ по ЭМС представил отчет о состоянии дел и нерешенные вопросы (GRE-88-20). GRE приняла к сведению текущий рабочий проект поправок серии 07 </w:t>
      </w:r>
      <w:r w:rsidR="00B66368">
        <w:br/>
      </w:r>
      <w:r>
        <w:t xml:space="preserve">к Правилам № 10 ООН (GRE-88-21) и отметила, что окончательный проект будет представлен в качестве рабочего документа на следующей сессии GRE. Кроме того, GRE решила, что первый шаг к решению вопроса об </w:t>
      </w:r>
      <w:r w:rsidR="00134465">
        <w:t>«</w:t>
      </w:r>
      <w:r>
        <w:t>обычных условиях использования</w:t>
      </w:r>
      <w:r w:rsidR="00134465">
        <w:t>»</w:t>
      </w:r>
      <w:r>
        <w:t xml:space="preserve"> должен быть сделан уже в поправках серии 07 к Правилам № 10 ООН.</w:t>
      </w:r>
    </w:p>
    <w:p w14:paraId="6CFF4E5B" w14:textId="77777777" w:rsidR="00C82A3D" w:rsidRPr="00A56802" w:rsidRDefault="00C82A3D" w:rsidP="00C82A3D">
      <w:pPr>
        <w:pStyle w:val="HChG"/>
      </w:pPr>
      <w:r>
        <w:rPr>
          <w:bCs/>
        </w:rPr>
        <w:tab/>
        <w:t>X.</w:t>
      </w:r>
      <w:r>
        <w:tab/>
      </w:r>
      <w:r>
        <w:rPr>
          <w:bCs/>
        </w:rPr>
        <w:t>Другие правила ООН (пункт 9 повестки дня)</w:t>
      </w:r>
      <w:r>
        <w:t xml:space="preserve"> </w:t>
      </w:r>
    </w:p>
    <w:p w14:paraId="196DFB83" w14:textId="77777777" w:rsidR="00C82A3D" w:rsidRPr="00A56802" w:rsidRDefault="00C82A3D" w:rsidP="00C82A3D">
      <w:pPr>
        <w:pStyle w:val="SingleTxtG"/>
      </w:pPr>
      <w:r>
        <w:t>33.</w:t>
      </w:r>
      <w:r>
        <w:tab/>
        <w:t xml:space="preserve">Никаких вопросов по данному пункту повестки дня не рассматривалось. </w:t>
      </w:r>
    </w:p>
    <w:p w14:paraId="2B568D35" w14:textId="77777777" w:rsidR="00C82A3D" w:rsidRPr="00A56802" w:rsidRDefault="00C82A3D" w:rsidP="00C82A3D">
      <w:pPr>
        <w:pStyle w:val="HChG"/>
      </w:pPr>
      <w:r>
        <w:rPr>
          <w:bCs/>
        </w:rPr>
        <w:tab/>
        <w:t>XI.</w:t>
      </w:r>
      <w:r>
        <w:tab/>
      </w:r>
      <w:r>
        <w:rPr>
          <w:bCs/>
        </w:rPr>
        <w:t>Прочие вопросы (пункт 10 повестки дня)</w:t>
      </w:r>
      <w:r>
        <w:t xml:space="preserve"> </w:t>
      </w:r>
    </w:p>
    <w:p w14:paraId="32740212" w14:textId="77777777" w:rsidR="00C82A3D" w:rsidRPr="00A56802" w:rsidRDefault="00C82A3D" w:rsidP="00C82A3D">
      <w:pPr>
        <w:pStyle w:val="H1G"/>
        <w:keepNext w:val="0"/>
        <w:keepLines w:val="0"/>
      </w:pPr>
      <w:r>
        <w:rPr>
          <w:bCs/>
        </w:rPr>
        <w:tab/>
        <w:t>A.</w:t>
      </w:r>
      <w:r>
        <w:tab/>
        <w:t>Разработка международной системы официального утверждения типа комплектного транспортного средства</w:t>
      </w:r>
      <w:bookmarkStart w:id="14" w:name="_Hlk8908511"/>
      <w:bookmarkEnd w:id="14"/>
    </w:p>
    <w:p w14:paraId="278041E2" w14:textId="77777777" w:rsidR="00C82A3D" w:rsidRPr="00A56802" w:rsidRDefault="00C82A3D" w:rsidP="00C82A3D">
      <w:pPr>
        <w:pStyle w:val="SingleTxtG"/>
      </w:pPr>
      <w:r>
        <w:t>34.</w:t>
      </w:r>
      <w:r>
        <w:tab/>
        <w:t>GRE напомнила о своем предыдущем обсуждении, касающемся сводных документов и использования ДЕТА в контексте уникального идентификатора (УИ) (см. пункты 12–14 выше).</w:t>
      </w:r>
      <w:r>
        <w:tab/>
      </w:r>
    </w:p>
    <w:p w14:paraId="7E6C50AB" w14:textId="77777777" w:rsidR="00C82A3D" w:rsidRPr="00A56802" w:rsidRDefault="00C82A3D" w:rsidP="00C82A3D">
      <w:pPr>
        <w:pStyle w:val="H1G"/>
        <w:keepNext w:val="0"/>
        <w:keepLines w:val="0"/>
      </w:pPr>
      <w:r>
        <w:rPr>
          <w:bCs/>
        </w:rPr>
        <w:tab/>
        <w:t>B.</w:t>
      </w:r>
      <w:r>
        <w:tab/>
      </w:r>
      <w:r>
        <w:rPr>
          <w:bCs/>
        </w:rPr>
        <w:t>Поправки к Конвенции о дорожном движении (Вена, 1968 год)</w:t>
      </w:r>
    </w:p>
    <w:p w14:paraId="1C5F9A99" w14:textId="77777777" w:rsidR="00C82A3D" w:rsidRPr="00C82A3D" w:rsidRDefault="00C82A3D" w:rsidP="00C82A3D">
      <w:pPr>
        <w:pStyle w:val="SingleTxtG"/>
        <w:rPr>
          <w:lang w:val="en-US"/>
        </w:rPr>
      </w:pPr>
      <w:r>
        <w:rPr>
          <w:i/>
          <w:iCs/>
        </w:rPr>
        <w:t>Документация</w:t>
      </w:r>
      <w:r w:rsidRPr="00A56802">
        <w:rPr>
          <w:i/>
          <w:iCs/>
          <w:lang w:val="en-US"/>
        </w:rPr>
        <w:t>:</w:t>
      </w:r>
      <w:r w:rsidRPr="00A56802">
        <w:rPr>
          <w:lang w:val="en-US"/>
        </w:rPr>
        <w:tab/>
        <w:t>ECE/TRANS/WP.1/2017/1/Rev.3, ECE/TRANS/WP.1/183</w:t>
      </w:r>
    </w:p>
    <w:p w14:paraId="1ABA9768" w14:textId="75D951FD" w:rsidR="00C82A3D" w:rsidRPr="00A56802" w:rsidRDefault="00C82A3D" w:rsidP="00C82A3D">
      <w:pPr>
        <w:pStyle w:val="SingleTxtG"/>
      </w:pPr>
      <w:r>
        <w:t>35.</w:t>
      </w:r>
      <w:r>
        <w:tab/>
        <w:t>GRE отметила, что Глобальный форум по безопасности дорожного движения (WP.1) на своей последней сессии в марте 2023 года принял документ ECE/</w:t>
      </w:r>
      <w:r w:rsidR="00B66368">
        <w:br/>
      </w:r>
      <w:r>
        <w:t>TRANS/WP.1/2017/1/Rev.3, в котором содержится ряд предложений по поправкам к Конвенции о дорожном движении 1968 года, включая приложение 5 к ней, касающееся устройств освещения и световой сигнализации (ECE/TRANS/WP.1/183, пункт 12). GRE была проинформирована о правовом процессе и сроках внесения поправок в соответствии со статьей 49 Конвенции.</w:t>
      </w:r>
    </w:p>
    <w:p w14:paraId="034F30A0" w14:textId="77777777" w:rsidR="00C82A3D" w:rsidRPr="00A56802" w:rsidRDefault="00C82A3D" w:rsidP="00C82A3D">
      <w:pPr>
        <w:pStyle w:val="SingleTxtG"/>
      </w:pPr>
      <w:r>
        <w:lastRenderedPageBreak/>
        <w:t>36.</w:t>
      </w:r>
      <w:r>
        <w:tab/>
        <w:t>GRE отметила, что в связи с вопросом об оптических и/или звуковых сигналах на транспортных средствах, оснащенных АСВ, WP.1 рассмотрел неофициальный документ, представленный Нидерландами и касающийся признаваемости АСВ с точки зрения правоприменения. После содержательного обсуждения WP.1 решил, что на его следующей сессии следует организовать специальную группу для более детального рассмотрения всех соответствующих вопросов (документ ECE/TRANS/WP.1/183, пункт 23). Кроме того, WP.1 получил от Председателя GRVA доклад о работе этой группы (документ ECE/TRANS/WP.1/183, пункт 39).</w:t>
      </w:r>
    </w:p>
    <w:p w14:paraId="10091450" w14:textId="77777777" w:rsidR="00C82A3D" w:rsidRPr="00A56802" w:rsidRDefault="00C82A3D" w:rsidP="00F6474B">
      <w:pPr>
        <w:pStyle w:val="H1G"/>
      </w:pPr>
      <w:r>
        <w:tab/>
        <w:t>C.</w:t>
      </w:r>
      <w:r>
        <w:tab/>
        <w:t xml:space="preserve">Разное  </w:t>
      </w:r>
    </w:p>
    <w:p w14:paraId="475CFEA8" w14:textId="1BF2AAE6" w:rsidR="00C82A3D" w:rsidRPr="00A56802" w:rsidRDefault="00C82A3D" w:rsidP="00C82A3D">
      <w:pPr>
        <w:pStyle w:val="SingleTxtG"/>
        <w:ind w:left="2835" w:hanging="1701"/>
      </w:pPr>
      <w:r>
        <w:rPr>
          <w:i/>
          <w:iCs/>
        </w:rPr>
        <w:t>Документация:</w:t>
      </w:r>
      <w:r>
        <w:t xml:space="preserve"> </w:t>
      </w:r>
      <w:r>
        <w:tab/>
      </w:r>
      <w:r w:rsidR="001A258D">
        <w:t>н</w:t>
      </w:r>
      <w:r>
        <w:t>еофициальные документы GRE-88-08-Rev.1, GRE-88-11</w:t>
      </w:r>
    </w:p>
    <w:p w14:paraId="55A24959" w14:textId="77777777" w:rsidR="00C82A3D" w:rsidRPr="00A56802" w:rsidRDefault="00C82A3D" w:rsidP="00C82A3D">
      <w:pPr>
        <w:pStyle w:val="SingleTxtG"/>
      </w:pPr>
      <w:r>
        <w:t>37.</w:t>
      </w:r>
      <w:r>
        <w:tab/>
        <w:t xml:space="preserve">Эксперт от Франции предложил GRE представить свои соображения по двум вопросам (GRE-88-08-Rev.1):  </w:t>
      </w:r>
    </w:p>
    <w:p w14:paraId="4DE4BEC3" w14:textId="77777777" w:rsidR="00C82A3D" w:rsidRPr="00A56802" w:rsidRDefault="00C82A3D" w:rsidP="00C602A6">
      <w:pPr>
        <w:pStyle w:val="SingleTxtG"/>
        <w:ind w:firstLine="567"/>
      </w:pPr>
      <w:r>
        <w:t>a)</w:t>
      </w:r>
      <w:r>
        <w:tab/>
        <w:t xml:space="preserve">синий свет в приборах переднего освещения; </w:t>
      </w:r>
    </w:p>
    <w:p w14:paraId="5B771A1A" w14:textId="7B23DFD2" w:rsidR="00C82A3D" w:rsidRPr="00A56802" w:rsidRDefault="00C82A3D" w:rsidP="00C602A6">
      <w:pPr>
        <w:pStyle w:val="SingleTxtG"/>
        <w:ind w:firstLine="567"/>
      </w:pPr>
      <w:r>
        <w:t>b)</w:t>
      </w:r>
      <w:r>
        <w:tab/>
        <w:t>рабочее освещение (например</w:t>
      </w:r>
      <w:r w:rsidR="00C602A6">
        <w:t>,</w:t>
      </w:r>
      <w:r>
        <w:t xml:space="preserve"> для ночных работ дорожной техники), которое может создавать блики для других участников дорожного движения. </w:t>
      </w:r>
    </w:p>
    <w:p w14:paraId="03313A6E" w14:textId="221F44D8" w:rsidR="00C82A3D" w:rsidRPr="00A56802" w:rsidRDefault="00C82A3D" w:rsidP="00C82A3D">
      <w:pPr>
        <w:pStyle w:val="SingleTxtG"/>
      </w:pPr>
      <w:r>
        <w:t>38.</w:t>
      </w:r>
      <w:r>
        <w:tab/>
        <w:t xml:space="preserve">Ряд экспертов напомнили, что, как правило, в направлении вперед от транспортного средства должен быть видимым только белый свет, а использование синего света во многих национальных законодательствах предусмотрено только для транспортных средств специального назначения. Несколько экспертов отметили, что иногда, в редких ситуациях, белый свет может восприниматься человеческим глазом как </w:t>
      </w:r>
      <w:r w:rsidR="00134465">
        <w:t>«</w:t>
      </w:r>
      <w:r>
        <w:t>голубоватый</w:t>
      </w:r>
      <w:r w:rsidR="00134465">
        <w:t>»</w:t>
      </w:r>
      <w:r>
        <w:t xml:space="preserve">. Однако для измерения этого феномена не разработано никакой испытательной методики. </w:t>
      </w:r>
    </w:p>
    <w:p w14:paraId="129B3F6B" w14:textId="4E13BD96" w:rsidR="00C82A3D" w:rsidRPr="00A56802" w:rsidRDefault="00C82A3D" w:rsidP="00C82A3D">
      <w:pPr>
        <w:pStyle w:val="SingleTxtG"/>
      </w:pPr>
      <w:r>
        <w:t>39.</w:t>
      </w:r>
      <w:r>
        <w:tab/>
        <w:t>Некоторые эксперты заявили, что рабочие огни по смыслу пункта 37 b) регулируются национальным законодательством. Однако консенсуса относительно того, следует ли включить конкретные положения на этот счет в правила ООН № 48 или 86, достигнуто не было.</w:t>
      </w:r>
    </w:p>
    <w:p w14:paraId="68DC9ADA" w14:textId="665CF0AB" w:rsidR="00C82A3D" w:rsidRPr="00A56802" w:rsidRDefault="00C82A3D" w:rsidP="00C82A3D">
      <w:pPr>
        <w:pStyle w:val="SingleTxtG"/>
      </w:pPr>
      <w:r>
        <w:t>40.</w:t>
      </w:r>
      <w:r>
        <w:tab/>
        <w:t xml:space="preserve">GRE приветствовала динамические и статические демонстрации работы </w:t>
      </w:r>
      <w:r w:rsidR="00134465">
        <w:t>«</w:t>
      </w:r>
      <w:r>
        <w:t>сигнального дорожного проектора</w:t>
      </w:r>
      <w:r w:rsidR="00134465">
        <w:t>»</w:t>
      </w:r>
      <w:r>
        <w:t xml:space="preserve"> (СДП), которые были организованы БРГ на полях сессии GRE, и рассмотрела основные аспекты предложения, касающегося СДП </w:t>
      </w:r>
      <w:r w:rsidR="00C602A6">
        <w:br/>
      </w:r>
      <w:r>
        <w:t xml:space="preserve">(GRE-88-11). Несколько экспертов представили технические замечания и просили предоставить дополнительные подтверждения в плане того, какие преимущества эта технология дает с точки зрения безопасности дорожного движения. Эксперт от Японии сообщил, что в Японии было проведено исследование по вопросу об отвлечении внимания других участников дорожного движения, вызванном СДП, и что результаты этого исследования будут представлены GRE, как только будет готов перевод на английский язык. GRE приветствовала скорейшее получение материалов этого и других исследований по данному вопросу и решила вернуться к этой теме на следующей сессии. БРГ было предложено представить соответствующий документ с предложениями по внесению поправок. </w:t>
      </w:r>
    </w:p>
    <w:p w14:paraId="722D89C3" w14:textId="52C629FC" w:rsidR="00C82A3D" w:rsidRPr="00A56802" w:rsidRDefault="00C82A3D" w:rsidP="00C82A3D">
      <w:pPr>
        <w:pStyle w:val="HChG"/>
      </w:pPr>
      <w:r>
        <w:rPr>
          <w:bCs/>
        </w:rPr>
        <w:tab/>
        <w:t>XII.</w:t>
      </w:r>
      <w:r>
        <w:tab/>
      </w:r>
      <w:r>
        <w:rPr>
          <w:bCs/>
        </w:rPr>
        <w:t xml:space="preserve">Направления будущей работы GRE </w:t>
      </w:r>
      <w:r>
        <w:rPr>
          <w:bCs/>
        </w:rPr>
        <w:br/>
        <w:t>(пункт 11 повестки дня)</w:t>
      </w:r>
    </w:p>
    <w:p w14:paraId="580B059C" w14:textId="6EDD8C90" w:rsidR="00C82A3D" w:rsidRPr="00A56802" w:rsidRDefault="00C82A3D" w:rsidP="00C82A3D">
      <w:pPr>
        <w:pStyle w:val="SingleTxtG"/>
        <w:ind w:left="2835" w:hanging="1701"/>
      </w:pPr>
      <w:r>
        <w:rPr>
          <w:i/>
          <w:iCs/>
        </w:rPr>
        <w:t>Документация:</w:t>
      </w:r>
      <w:r>
        <w:t xml:space="preserve"> </w:t>
      </w:r>
      <w:r>
        <w:tab/>
      </w:r>
      <w:r w:rsidR="001A258D">
        <w:t>н</w:t>
      </w:r>
      <w:r>
        <w:t>еофициальный документ GRE-88-05</w:t>
      </w:r>
    </w:p>
    <w:p w14:paraId="39E3109B" w14:textId="3C1F4066" w:rsidR="00C82A3D" w:rsidRPr="00A56802" w:rsidRDefault="00C82A3D" w:rsidP="00C82A3D">
      <w:pPr>
        <w:spacing w:after="120"/>
        <w:ind w:left="1134" w:right="1134"/>
        <w:jc w:val="both"/>
      </w:pPr>
      <w:r>
        <w:t>41.</w:t>
      </w:r>
      <w:r>
        <w:tab/>
        <w:t xml:space="preserve">Эксперты от ЦГ по ТСАТС проинформировали о работе этой группы </w:t>
      </w:r>
      <w:r w:rsidR="00C602A6">
        <w:br/>
      </w:r>
      <w:r>
        <w:t>(GRE-88-05). GRE отметила различные позиции договаривающихся сторон по вопросу об указателях состояния автоматизированной системы вождения (АСВ). ЦГ по ТСАТС сочла, что такой указатель должен быть факультативным, что даст возможность каждой договаривающейся стороне запретить его использование на своих дорогах, например через обязательную деактивацию. Вместе с тем ЦГ по ТСАТС подчеркнула, что в тех случаях, когда указатель состояния АСВ установлен, его работа должна регулироваться единообразными положения</w:t>
      </w:r>
      <w:r w:rsidR="00C602A6">
        <w:t>ми</w:t>
      </w:r>
      <w:r>
        <w:t xml:space="preserve">. В этой связи ЦГ по ТСАТС выступила </w:t>
      </w:r>
      <w:r>
        <w:lastRenderedPageBreak/>
        <w:t xml:space="preserve">за создание новых гибридных правил ООН, которые </w:t>
      </w:r>
      <w:r w:rsidR="00322BE4">
        <w:t>—</w:t>
      </w:r>
      <w:r>
        <w:t xml:space="preserve"> по аналогии с Правилам № 65 ООН (специальные предупреждающие огни) </w:t>
      </w:r>
      <w:r w:rsidR="00322BE4">
        <w:t>—</w:t>
      </w:r>
      <w:r>
        <w:t xml:space="preserve"> охватили бы как функциональные спецификации, так и требования к установке нового сигнала. ЦГ по ТСАТС также поинтересовалась, согласится ли GRE повысить ее статус до неофициальной рабочей группы (НРГ).   </w:t>
      </w:r>
    </w:p>
    <w:p w14:paraId="5700E977" w14:textId="18AA3FEA" w:rsidR="00C82A3D" w:rsidRPr="00A56802" w:rsidRDefault="00C82A3D" w:rsidP="00C82A3D">
      <w:pPr>
        <w:spacing w:after="120"/>
        <w:ind w:left="1134" w:right="1134"/>
        <w:jc w:val="both"/>
      </w:pPr>
      <w:r>
        <w:t>42.</w:t>
      </w:r>
      <w:r>
        <w:tab/>
        <w:t>Эксперты в целом поддержали разработку новых правил ООН, касающихся указателя состояния АСВ. Некоторые эксперты отметили, что следует также изучить возможность разработки новых ГТП ООН. Председатель предложил ЦГ по ТСАТС подготовить проект круга ведения для возможной новой НРГ по ТСАТС к следующей сессии GRE. GRE отметила, что в июне 2023 года Председатель проинформирует о результатах обсуждения Административный комит</w:t>
      </w:r>
      <w:r w:rsidR="00FF52BE">
        <w:t>ет</w:t>
      </w:r>
      <w:r>
        <w:t xml:space="preserve"> по координации работы (AC.2) и/или WP.29 и попросит их дать соответствующие указания. </w:t>
      </w:r>
    </w:p>
    <w:p w14:paraId="59096E4B" w14:textId="77777777" w:rsidR="00C82A3D" w:rsidRPr="00A56802" w:rsidRDefault="00C82A3D" w:rsidP="00C82A3D">
      <w:pPr>
        <w:pStyle w:val="HChG"/>
      </w:pPr>
      <w:r>
        <w:rPr>
          <w:bCs/>
        </w:rPr>
        <w:tab/>
        <w:t>XIII.</w:t>
      </w:r>
      <w:r>
        <w:tab/>
      </w:r>
      <w:r>
        <w:rPr>
          <w:bCs/>
        </w:rPr>
        <w:t>Предварительная повестка дня следующей сессии (пункт 12 повестки дня)</w:t>
      </w:r>
    </w:p>
    <w:p w14:paraId="59D91AF2" w14:textId="2D427E40" w:rsidR="00C82A3D" w:rsidRPr="00A56802" w:rsidRDefault="00C82A3D" w:rsidP="00C82A3D">
      <w:pPr>
        <w:pStyle w:val="SingleTxtG"/>
      </w:pPr>
      <w:r>
        <w:t>43.</w:t>
      </w:r>
      <w:r>
        <w:tab/>
        <w:t xml:space="preserve">GRE приняла к сведению, что следующую сессию планируется провести </w:t>
      </w:r>
      <w:r w:rsidR="006518FF">
        <w:br/>
      </w:r>
      <w:r>
        <w:t>24–27 октября 2023 года и что крайний срок для представления рабочих документов — 31 июля 2023 года. GRE решила, что предварительную повестку дня следующей сессии следует организовать по основным блокам нижеследующим образом.</w:t>
      </w:r>
    </w:p>
    <w:p w14:paraId="78EB9EBC" w14:textId="77777777" w:rsidR="00C82A3D" w:rsidRPr="00A56802" w:rsidRDefault="00C82A3D" w:rsidP="00C82A3D">
      <w:pPr>
        <w:pStyle w:val="SingleTxtG"/>
        <w:ind w:left="1701"/>
      </w:pPr>
      <w:r>
        <w:t>1.</w:t>
      </w:r>
      <w:r>
        <w:tab/>
        <w:t>Утверждение повестки дня.</w:t>
      </w:r>
    </w:p>
    <w:p w14:paraId="023596ED" w14:textId="6988BB67" w:rsidR="00C82A3D" w:rsidRPr="00A56802" w:rsidRDefault="00C82A3D" w:rsidP="00C82A3D">
      <w:pPr>
        <w:pStyle w:val="SingleTxtG"/>
        <w:ind w:left="2265" w:hanging="564"/>
      </w:pPr>
      <w:r>
        <w:t>2.</w:t>
      </w:r>
      <w:r>
        <w:tab/>
        <w:t>Соглашение 1998</w:t>
      </w:r>
      <w:r w:rsidR="006518FF">
        <w:t> </w:t>
      </w:r>
      <w:r>
        <w:t>года — глобальные технические правила ООН: разработка.</w:t>
      </w:r>
    </w:p>
    <w:p w14:paraId="5CEBA2B1" w14:textId="77777777" w:rsidR="00C82A3D" w:rsidRPr="00A56802" w:rsidRDefault="00C82A3D" w:rsidP="00C82A3D">
      <w:pPr>
        <w:pStyle w:val="SingleTxtG"/>
        <w:ind w:left="1701"/>
      </w:pPr>
      <w:r>
        <w:t>3.</w:t>
      </w:r>
      <w:r>
        <w:tab/>
        <w:t>Соглашение 1997 года — предписания: разработка.</w:t>
      </w:r>
    </w:p>
    <w:p w14:paraId="56CD3AAA" w14:textId="77777777" w:rsidR="00C82A3D" w:rsidRPr="00A56802" w:rsidRDefault="00C82A3D" w:rsidP="00C82A3D">
      <w:pPr>
        <w:pStyle w:val="SingleTxtG"/>
        <w:ind w:left="2265" w:hanging="564"/>
      </w:pPr>
      <w:r>
        <w:t>4.</w:t>
      </w:r>
      <w:r>
        <w:tab/>
        <w:t>Упрощение правил ООН, касающихся освещения и световой сигнализации.</w:t>
      </w:r>
      <w:r>
        <w:tab/>
      </w:r>
    </w:p>
    <w:p w14:paraId="1A507EDA" w14:textId="10C1EB97" w:rsidR="00C82A3D" w:rsidRPr="00A56802" w:rsidRDefault="00C82A3D" w:rsidP="00C82A3D">
      <w:pPr>
        <w:pStyle w:val="SingleTxtG"/>
        <w:ind w:left="2265" w:hanging="564"/>
      </w:pPr>
      <w:r>
        <w:t>5.</w:t>
      </w:r>
      <w:r>
        <w:tab/>
        <w:t>Правила ООН, касающиеся источников света, и Сводная резолюция по общей спецификации для категорий источников света.</w:t>
      </w:r>
    </w:p>
    <w:p w14:paraId="1D1F24AC" w14:textId="77777777" w:rsidR="00C82A3D" w:rsidRPr="00A56802" w:rsidRDefault="00C82A3D" w:rsidP="00C82A3D">
      <w:pPr>
        <w:pStyle w:val="SingleTxtG"/>
        <w:ind w:left="1701"/>
      </w:pPr>
      <w:r>
        <w:t>6.</w:t>
      </w:r>
      <w:r>
        <w:tab/>
        <w:t>Правила ООН, касающиеся установки.</w:t>
      </w:r>
    </w:p>
    <w:p w14:paraId="4ECEAC28" w14:textId="77777777" w:rsidR="00C82A3D" w:rsidRPr="00A56802" w:rsidRDefault="00C82A3D" w:rsidP="00C82A3D">
      <w:pPr>
        <w:pStyle w:val="SingleTxtG"/>
        <w:ind w:left="1701"/>
      </w:pPr>
      <w:r>
        <w:t xml:space="preserve">7. </w:t>
      </w:r>
      <w:r>
        <w:tab/>
        <w:t>Правила ООН, касающиеся устройств.</w:t>
      </w:r>
    </w:p>
    <w:p w14:paraId="69AF53EB" w14:textId="77777777" w:rsidR="00C82A3D" w:rsidRPr="00A56802" w:rsidRDefault="00C82A3D" w:rsidP="00C82A3D">
      <w:pPr>
        <w:pStyle w:val="SingleTxtG"/>
        <w:ind w:left="1701"/>
      </w:pPr>
      <w:r>
        <w:t xml:space="preserve">8. </w:t>
      </w:r>
      <w:r>
        <w:tab/>
        <w:t xml:space="preserve">Правила № 10 ООН (электромагнитная совместимость).  </w:t>
      </w:r>
    </w:p>
    <w:p w14:paraId="063352F7" w14:textId="77777777" w:rsidR="00C82A3D" w:rsidRPr="00A56802" w:rsidRDefault="00C82A3D" w:rsidP="00C82A3D">
      <w:pPr>
        <w:pStyle w:val="SingleTxtG"/>
        <w:ind w:left="1701"/>
      </w:pPr>
      <w:r>
        <w:t>9.</w:t>
      </w:r>
      <w:r>
        <w:tab/>
        <w:t>Другие правила ООН.</w:t>
      </w:r>
    </w:p>
    <w:p w14:paraId="7A02731E" w14:textId="77777777" w:rsidR="00C82A3D" w:rsidRPr="00A56802" w:rsidRDefault="00C82A3D" w:rsidP="00C82A3D">
      <w:pPr>
        <w:pStyle w:val="SingleTxtG"/>
        <w:ind w:left="1701"/>
      </w:pPr>
      <w:r>
        <w:t xml:space="preserve">10. </w:t>
      </w:r>
      <w:r>
        <w:tab/>
        <w:t>Предложения по поправкам, по которым еще не приняты решения.</w:t>
      </w:r>
    </w:p>
    <w:p w14:paraId="4B07383D" w14:textId="38FAC8FD" w:rsidR="00C82A3D" w:rsidRPr="00A56802" w:rsidRDefault="00C82A3D" w:rsidP="00C82A3D">
      <w:pPr>
        <w:pStyle w:val="SingleTxtG"/>
        <w:ind w:left="1701"/>
      </w:pPr>
      <w:r>
        <w:t>11.</w:t>
      </w:r>
      <w:r>
        <w:tab/>
        <w:t xml:space="preserve">Прочие вопросы. </w:t>
      </w:r>
    </w:p>
    <w:p w14:paraId="6F055D31" w14:textId="77777777" w:rsidR="00C82A3D" w:rsidRPr="00A56802" w:rsidRDefault="00C82A3D" w:rsidP="00C82A3D">
      <w:pPr>
        <w:pStyle w:val="SingleTxtG"/>
        <w:ind w:left="1701"/>
      </w:pPr>
      <w:r>
        <w:t>12.</w:t>
      </w:r>
      <w:r>
        <w:tab/>
        <w:t>Направление будущей работы.</w:t>
      </w:r>
    </w:p>
    <w:p w14:paraId="3BD50342" w14:textId="06B2DEF4" w:rsidR="00C82A3D" w:rsidRPr="00A56802" w:rsidRDefault="00C82A3D" w:rsidP="00C82A3D">
      <w:pPr>
        <w:pStyle w:val="SingleTxtG"/>
        <w:ind w:left="1701"/>
      </w:pPr>
      <w:r>
        <w:t>13.</w:t>
      </w:r>
      <w:r>
        <w:tab/>
        <w:t>Предварительная повестка дня следующей сессии.</w:t>
      </w:r>
    </w:p>
    <w:p w14:paraId="75EAC886" w14:textId="77777777" w:rsidR="00C82A3D" w:rsidRPr="00A56802" w:rsidRDefault="00C82A3D" w:rsidP="00C82A3D">
      <w:pPr>
        <w:pStyle w:val="SingleTxtG"/>
        <w:ind w:left="1701"/>
      </w:pPr>
      <w:r>
        <w:t>14.</w:t>
      </w:r>
      <w:r>
        <w:tab/>
        <w:t>Выборы должностных лиц.</w:t>
      </w:r>
    </w:p>
    <w:p w14:paraId="5830513E" w14:textId="77777777" w:rsidR="00C82A3D" w:rsidRPr="00A56802" w:rsidRDefault="00C82A3D" w:rsidP="00C82A3D">
      <w:pPr>
        <w:ind w:left="1134" w:right="1134"/>
        <w:jc w:val="both"/>
      </w:pPr>
      <w:bookmarkStart w:id="15" w:name="_Toc360526929"/>
      <w:bookmarkStart w:id="16" w:name="_Toc369772239"/>
      <w:r w:rsidRPr="00A56802">
        <w:br w:type="page"/>
      </w:r>
    </w:p>
    <w:p w14:paraId="50A9AE5C" w14:textId="77777777" w:rsidR="00C82A3D" w:rsidRPr="00A56802" w:rsidRDefault="00C82A3D" w:rsidP="00C82A3D">
      <w:pPr>
        <w:pStyle w:val="HChG"/>
        <w:spacing w:before="320" w:after="200"/>
      </w:pPr>
      <w:r>
        <w:rPr>
          <w:bCs/>
        </w:rPr>
        <w:lastRenderedPageBreak/>
        <w:t>Приложение I</w:t>
      </w:r>
      <w:bookmarkEnd w:id="15"/>
      <w:bookmarkEnd w:id="16"/>
    </w:p>
    <w:p w14:paraId="1892DC69" w14:textId="77777777" w:rsidR="00C82A3D" w:rsidRPr="00A56802" w:rsidRDefault="00C82A3D" w:rsidP="00C82A3D">
      <w:pPr>
        <w:pStyle w:val="HChG"/>
      </w:pPr>
      <w:r>
        <w:tab/>
      </w:r>
      <w:r>
        <w:tab/>
      </w:r>
      <w:r>
        <w:rPr>
          <w:bCs/>
        </w:rPr>
        <w:t>Перечень неофициальных документов, распространенных в связи с сессией</w:t>
      </w:r>
      <w:bookmarkStart w:id="17" w:name="_Toc369772240"/>
      <w:bookmarkEnd w:id="17"/>
    </w:p>
    <w:p w14:paraId="551E6B94" w14:textId="77777777" w:rsidR="00C82A3D" w:rsidRPr="0039573A" w:rsidRDefault="00C82A3D" w:rsidP="00C82A3D">
      <w:pPr>
        <w:pStyle w:val="SingleTxtG"/>
      </w:pPr>
      <w:r>
        <w:t>Неофициальные документы GRE-88-…</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506"/>
        <w:gridCol w:w="1134"/>
      </w:tblGrid>
      <w:tr w:rsidR="00C82A3D" w:rsidRPr="009A4716" w14:paraId="042D461B" w14:textId="77777777" w:rsidTr="006518FF">
        <w:trPr>
          <w:tblHeader/>
        </w:trPr>
        <w:tc>
          <w:tcPr>
            <w:tcW w:w="865" w:type="dxa"/>
            <w:tcBorders>
              <w:top w:val="single" w:sz="4" w:space="0" w:color="auto"/>
              <w:bottom w:val="single" w:sz="12" w:space="0" w:color="auto"/>
            </w:tcBorders>
            <w:vAlign w:val="center"/>
          </w:tcPr>
          <w:p w14:paraId="0B11F8E4" w14:textId="77777777" w:rsidR="00C82A3D" w:rsidRPr="006518FF" w:rsidRDefault="00C82A3D" w:rsidP="006518FF">
            <w:pPr>
              <w:pStyle w:val="ad"/>
              <w:keepNext/>
              <w:keepLines/>
              <w:spacing w:before="80" w:after="80" w:line="200" w:lineRule="exact"/>
              <w:ind w:left="0" w:right="0" w:firstLine="0"/>
              <w:jc w:val="center"/>
              <w:rPr>
                <w:i/>
                <w:sz w:val="16"/>
                <w:szCs w:val="16"/>
              </w:rPr>
            </w:pPr>
            <w:r w:rsidRPr="006518FF">
              <w:rPr>
                <w:i/>
                <w:iCs/>
                <w:sz w:val="16"/>
                <w:szCs w:val="16"/>
              </w:rPr>
              <w:t>№</w:t>
            </w:r>
          </w:p>
        </w:tc>
        <w:tc>
          <w:tcPr>
            <w:tcW w:w="6506" w:type="dxa"/>
            <w:tcBorders>
              <w:top w:val="single" w:sz="4" w:space="0" w:color="auto"/>
              <w:bottom w:val="single" w:sz="12" w:space="0" w:color="auto"/>
            </w:tcBorders>
            <w:vAlign w:val="center"/>
          </w:tcPr>
          <w:p w14:paraId="4B85FA6D" w14:textId="77777777" w:rsidR="00C82A3D" w:rsidRPr="006518FF" w:rsidRDefault="00C82A3D" w:rsidP="006518FF">
            <w:pPr>
              <w:pStyle w:val="ad"/>
              <w:keepNext/>
              <w:keepLines/>
              <w:spacing w:before="80" w:after="80" w:line="200" w:lineRule="exact"/>
              <w:ind w:left="0" w:right="0" w:firstLine="0"/>
              <w:rPr>
                <w:rFonts w:asciiTheme="majorBidi" w:hAnsiTheme="majorBidi" w:cstheme="majorBidi"/>
                <w:i/>
                <w:sz w:val="16"/>
                <w:szCs w:val="16"/>
              </w:rPr>
            </w:pPr>
            <w:r w:rsidRPr="006518FF">
              <w:rPr>
                <w:i/>
                <w:iCs/>
                <w:sz w:val="16"/>
                <w:szCs w:val="16"/>
              </w:rPr>
              <w:t>(Автор) Название</w:t>
            </w:r>
          </w:p>
        </w:tc>
        <w:tc>
          <w:tcPr>
            <w:tcW w:w="1134" w:type="dxa"/>
            <w:tcBorders>
              <w:top w:val="single" w:sz="4" w:space="0" w:color="auto"/>
              <w:bottom w:val="single" w:sz="12" w:space="0" w:color="auto"/>
            </w:tcBorders>
            <w:vAlign w:val="center"/>
          </w:tcPr>
          <w:p w14:paraId="6DE4F8E4" w14:textId="77777777" w:rsidR="00C82A3D" w:rsidRPr="006518FF" w:rsidRDefault="00C82A3D" w:rsidP="00135DE7">
            <w:pPr>
              <w:pStyle w:val="ad"/>
              <w:keepNext/>
              <w:keepLines/>
              <w:spacing w:before="80" w:after="80" w:line="200" w:lineRule="exact"/>
              <w:ind w:left="0" w:right="0" w:hanging="113"/>
              <w:jc w:val="center"/>
              <w:rPr>
                <w:i/>
                <w:sz w:val="16"/>
                <w:szCs w:val="16"/>
              </w:rPr>
            </w:pPr>
            <w:r w:rsidRPr="006518FF">
              <w:rPr>
                <w:i/>
                <w:iCs/>
                <w:sz w:val="16"/>
                <w:szCs w:val="16"/>
              </w:rPr>
              <w:t>Последующие действия</w:t>
            </w:r>
          </w:p>
        </w:tc>
      </w:tr>
      <w:tr w:rsidR="00C82A3D" w:rsidRPr="0039573A" w14:paraId="7402BE5B" w14:textId="77777777" w:rsidTr="006518FF">
        <w:tc>
          <w:tcPr>
            <w:tcW w:w="865" w:type="dxa"/>
            <w:tcBorders>
              <w:top w:val="single" w:sz="12" w:space="0" w:color="auto"/>
            </w:tcBorders>
            <w:vAlign w:val="center"/>
          </w:tcPr>
          <w:p w14:paraId="57E73646" w14:textId="77777777" w:rsidR="00C82A3D" w:rsidRPr="00390600" w:rsidRDefault="00C82A3D" w:rsidP="00135DE7">
            <w:pPr>
              <w:widowControl w:val="0"/>
              <w:spacing w:before="40" w:after="120"/>
              <w:jc w:val="center"/>
            </w:pPr>
            <w:r>
              <w:t>1</w:t>
            </w:r>
          </w:p>
        </w:tc>
        <w:tc>
          <w:tcPr>
            <w:tcW w:w="6506" w:type="dxa"/>
            <w:tcBorders>
              <w:top w:val="single" w:sz="12" w:space="0" w:color="auto"/>
            </w:tcBorders>
            <w:vAlign w:val="center"/>
          </w:tcPr>
          <w:p w14:paraId="5C1A0BAC" w14:textId="77777777" w:rsidR="00C82A3D" w:rsidRPr="00A56802" w:rsidRDefault="00C82A3D" w:rsidP="00135DE7">
            <w:pPr>
              <w:spacing w:before="40" w:after="120"/>
            </w:pPr>
            <w:r>
              <w:t xml:space="preserve">(секретариат) Обновленная предварительная повестка дня </w:t>
            </w:r>
          </w:p>
        </w:tc>
        <w:tc>
          <w:tcPr>
            <w:tcW w:w="1134" w:type="dxa"/>
            <w:tcBorders>
              <w:top w:val="single" w:sz="12" w:space="0" w:color="auto"/>
            </w:tcBorders>
          </w:tcPr>
          <w:p w14:paraId="6E3EA311" w14:textId="77777777" w:rsidR="00C82A3D" w:rsidRPr="00390600" w:rsidRDefault="00C82A3D" w:rsidP="00135DE7">
            <w:pPr>
              <w:widowControl w:val="0"/>
              <w:spacing w:before="40" w:after="120"/>
              <w:jc w:val="center"/>
            </w:pPr>
            <w:r>
              <w:t>b</w:t>
            </w:r>
          </w:p>
        </w:tc>
      </w:tr>
      <w:tr w:rsidR="00C82A3D" w:rsidRPr="0039573A" w14:paraId="59FFE40E" w14:textId="77777777" w:rsidTr="006518FF">
        <w:tc>
          <w:tcPr>
            <w:tcW w:w="865" w:type="dxa"/>
            <w:vAlign w:val="center"/>
          </w:tcPr>
          <w:p w14:paraId="284D9A94" w14:textId="77777777" w:rsidR="00C82A3D" w:rsidRPr="00390600" w:rsidRDefault="00C82A3D" w:rsidP="00135DE7">
            <w:pPr>
              <w:widowControl w:val="0"/>
              <w:spacing w:before="40" w:after="120"/>
              <w:jc w:val="center"/>
            </w:pPr>
            <w:r>
              <w:t>2-Rev.1</w:t>
            </w:r>
          </w:p>
        </w:tc>
        <w:tc>
          <w:tcPr>
            <w:tcW w:w="6506" w:type="dxa"/>
            <w:vAlign w:val="center"/>
          </w:tcPr>
          <w:p w14:paraId="442FDA6F" w14:textId="0F278198" w:rsidR="00C82A3D" w:rsidRPr="00A56802" w:rsidRDefault="00C82A3D" w:rsidP="00135DE7">
            <w:pPr>
              <w:spacing w:before="40" w:after="120"/>
            </w:pPr>
            <w:r>
              <w:t xml:space="preserve">(НРГ по ДЕТА) Соглашение 1958 года </w:t>
            </w:r>
            <w:r w:rsidR="006518FF">
              <w:t>—</w:t>
            </w:r>
            <w:r>
              <w:t xml:space="preserve"> Уникальный идентификатор: предлагаемые мероприятия для НРГ по ДЕТА, рабочих групп (РГ) и WP.29</w:t>
            </w:r>
          </w:p>
        </w:tc>
        <w:tc>
          <w:tcPr>
            <w:tcW w:w="1134" w:type="dxa"/>
          </w:tcPr>
          <w:p w14:paraId="7ADBB6C7" w14:textId="77777777" w:rsidR="00C82A3D" w:rsidRPr="00B71AD7" w:rsidRDefault="00C82A3D" w:rsidP="00135DE7">
            <w:pPr>
              <w:widowControl w:val="0"/>
              <w:spacing w:before="40" w:after="120"/>
              <w:jc w:val="center"/>
            </w:pPr>
            <w:r>
              <w:t>d</w:t>
            </w:r>
          </w:p>
        </w:tc>
      </w:tr>
      <w:tr w:rsidR="00C82A3D" w:rsidRPr="0039573A" w14:paraId="026B6856" w14:textId="77777777" w:rsidTr="006518FF">
        <w:tc>
          <w:tcPr>
            <w:tcW w:w="865" w:type="dxa"/>
            <w:vAlign w:val="center"/>
          </w:tcPr>
          <w:p w14:paraId="48DCDF5A" w14:textId="77777777" w:rsidR="00C82A3D" w:rsidRPr="00390600" w:rsidRDefault="00C82A3D" w:rsidP="00135DE7">
            <w:pPr>
              <w:widowControl w:val="0"/>
              <w:spacing w:before="40" w:after="120"/>
              <w:jc w:val="center"/>
            </w:pPr>
            <w:r>
              <w:t>3-Rev.1</w:t>
            </w:r>
          </w:p>
        </w:tc>
        <w:tc>
          <w:tcPr>
            <w:tcW w:w="6506" w:type="dxa"/>
            <w:vAlign w:val="center"/>
          </w:tcPr>
          <w:p w14:paraId="5C71599C" w14:textId="77777777" w:rsidR="00C82A3D" w:rsidRPr="00A56802" w:rsidRDefault="00C82A3D" w:rsidP="00135DE7">
            <w:pPr>
              <w:spacing w:before="40" w:after="120"/>
            </w:pPr>
            <w:r>
              <w:t>(НРГ по ДЕТА) Просьба НРГ по ДЕТА к рабочим группам (РГ) представить уточнение в отношении правил ООН, для которых может применяться маркировка с УИ</w:t>
            </w:r>
          </w:p>
        </w:tc>
        <w:tc>
          <w:tcPr>
            <w:tcW w:w="1134" w:type="dxa"/>
          </w:tcPr>
          <w:p w14:paraId="03878E51" w14:textId="77777777" w:rsidR="00C82A3D" w:rsidRPr="00E724A6" w:rsidRDefault="00C82A3D" w:rsidP="00135DE7">
            <w:pPr>
              <w:widowControl w:val="0"/>
              <w:spacing w:before="40" w:after="120"/>
              <w:jc w:val="center"/>
            </w:pPr>
            <w:r>
              <w:t>d</w:t>
            </w:r>
          </w:p>
        </w:tc>
      </w:tr>
      <w:tr w:rsidR="00C82A3D" w:rsidRPr="0039573A" w14:paraId="7A5B2EF1" w14:textId="77777777" w:rsidTr="006518FF">
        <w:tc>
          <w:tcPr>
            <w:tcW w:w="865" w:type="dxa"/>
            <w:vAlign w:val="center"/>
          </w:tcPr>
          <w:p w14:paraId="6D8E537A" w14:textId="77777777" w:rsidR="00C82A3D" w:rsidRPr="00390600" w:rsidRDefault="00C82A3D" w:rsidP="00135DE7">
            <w:pPr>
              <w:widowControl w:val="0"/>
              <w:spacing w:before="40" w:after="120"/>
              <w:jc w:val="center"/>
            </w:pPr>
            <w:r>
              <w:t>4</w:t>
            </w:r>
          </w:p>
        </w:tc>
        <w:tc>
          <w:tcPr>
            <w:tcW w:w="6506" w:type="dxa"/>
            <w:vAlign w:val="center"/>
          </w:tcPr>
          <w:p w14:paraId="08255DEC" w14:textId="77777777" w:rsidR="00C82A3D" w:rsidRPr="00A56802" w:rsidRDefault="00D43933" w:rsidP="00135DE7">
            <w:pPr>
              <w:spacing w:before="40" w:after="120"/>
            </w:pPr>
            <w:hyperlink r:id="rId8" w:history="1">
              <w:r w:rsidR="00C82A3D" w:rsidRPr="00A56802">
                <w:t>(СЕМА) Предложение по проекту поправки к Правилам № 86 ООН</w:t>
              </w:r>
            </w:hyperlink>
          </w:p>
        </w:tc>
        <w:tc>
          <w:tcPr>
            <w:tcW w:w="1134" w:type="dxa"/>
          </w:tcPr>
          <w:p w14:paraId="1C90CED3" w14:textId="77777777" w:rsidR="00C82A3D" w:rsidRPr="00390600" w:rsidRDefault="00C82A3D" w:rsidP="00135DE7">
            <w:pPr>
              <w:widowControl w:val="0"/>
              <w:spacing w:before="40" w:after="120"/>
              <w:jc w:val="center"/>
            </w:pPr>
            <w:r>
              <w:t>c</w:t>
            </w:r>
          </w:p>
        </w:tc>
      </w:tr>
      <w:tr w:rsidR="00C82A3D" w:rsidRPr="0039573A" w14:paraId="27F8511C" w14:textId="77777777" w:rsidTr="006518FF">
        <w:tc>
          <w:tcPr>
            <w:tcW w:w="865" w:type="dxa"/>
            <w:vAlign w:val="center"/>
          </w:tcPr>
          <w:p w14:paraId="1724DFE5" w14:textId="77777777" w:rsidR="00C82A3D" w:rsidRPr="00390600" w:rsidRDefault="00C82A3D" w:rsidP="00135DE7">
            <w:pPr>
              <w:widowControl w:val="0"/>
              <w:spacing w:before="40" w:after="120"/>
              <w:jc w:val="center"/>
            </w:pPr>
            <w:r>
              <w:t>5</w:t>
            </w:r>
          </w:p>
        </w:tc>
        <w:tc>
          <w:tcPr>
            <w:tcW w:w="6506" w:type="dxa"/>
            <w:vAlign w:val="center"/>
          </w:tcPr>
          <w:p w14:paraId="7CAE0FE8" w14:textId="77777777" w:rsidR="00C82A3D" w:rsidRPr="00A56802" w:rsidRDefault="00C82A3D" w:rsidP="00135DE7">
            <w:pPr>
              <w:spacing w:before="40" w:after="120"/>
            </w:pPr>
            <w:r>
              <w:t>(ЦГ по ТСАТС) Доклад о ходе работы</w:t>
            </w:r>
          </w:p>
        </w:tc>
        <w:tc>
          <w:tcPr>
            <w:tcW w:w="1134" w:type="dxa"/>
          </w:tcPr>
          <w:p w14:paraId="3CA52E91" w14:textId="77777777" w:rsidR="00C82A3D" w:rsidRPr="00390600" w:rsidRDefault="00C82A3D" w:rsidP="00135DE7">
            <w:pPr>
              <w:widowControl w:val="0"/>
              <w:spacing w:before="40" w:after="120"/>
              <w:jc w:val="center"/>
            </w:pPr>
            <w:r>
              <w:t>f</w:t>
            </w:r>
          </w:p>
        </w:tc>
      </w:tr>
      <w:tr w:rsidR="00C82A3D" w:rsidRPr="0039573A" w14:paraId="61D128CE" w14:textId="77777777" w:rsidTr="006518FF">
        <w:tc>
          <w:tcPr>
            <w:tcW w:w="865" w:type="dxa"/>
            <w:vAlign w:val="center"/>
          </w:tcPr>
          <w:p w14:paraId="7C4C703E" w14:textId="77777777" w:rsidR="00C82A3D" w:rsidRPr="00390600" w:rsidRDefault="00C82A3D" w:rsidP="00135DE7">
            <w:pPr>
              <w:widowControl w:val="0"/>
              <w:spacing w:before="40" w:after="120"/>
              <w:jc w:val="center"/>
            </w:pPr>
            <w:r>
              <w:t>6</w:t>
            </w:r>
          </w:p>
        </w:tc>
        <w:tc>
          <w:tcPr>
            <w:tcW w:w="6506" w:type="dxa"/>
            <w:vAlign w:val="center"/>
          </w:tcPr>
          <w:p w14:paraId="1B7AE8E5" w14:textId="77777777" w:rsidR="00C82A3D" w:rsidRPr="00390600" w:rsidRDefault="00C82A3D" w:rsidP="00135DE7">
            <w:pPr>
              <w:spacing w:before="40" w:after="120"/>
            </w:pPr>
            <w:r>
              <w:t>(Председатель) Порядок рассмотрения пунктов</w:t>
            </w:r>
          </w:p>
        </w:tc>
        <w:tc>
          <w:tcPr>
            <w:tcW w:w="1134" w:type="dxa"/>
          </w:tcPr>
          <w:p w14:paraId="55456218" w14:textId="77777777" w:rsidR="00C82A3D" w:rsidRPr="00390600" w:rsidRDefault="00C82A3D" w:rsidP="00135DE7">
            <w:pPr>
              <w:widowControl w:val="0"/>
              <w:spacing w:before="40" w:after="120"/>
              <w:jc w:val="center"/>
            </w:pPr>
            <w:r>
              <w:t>b</w:t>
            </w:r>
          </w:p>
        </w:tc>
      </w:tr>
      <w:tr w:rsidR="00C82A3D" w:rsidRPr="0039573A" w14:paraId="1C4A428F" w14:textId="77777777" w:rsidTr="006518FF">
        <w:tc>
          <w:tcPr>
            <w:tcW w:w="865" w:type="dxa"/>
            <w:vAlign w:val="center"/>
          </w:tcPr>
          <w:p w14:paraId="30174ADE" w14:textId="77777777" w:rsidR="00C82A3D" w:rsidRDefault="00C82A3D" w:rsidP="00135DE7">
            <w:pPr>
              <w:widowControl w:val="0"/>
              <w:spacing w:before="40" w:after="120"/>
              <w:jc w:val="center"/>
            </w:pPr>
            <w:r>
              <w:t>7</w:t>
            </w:r>
          </w:p>
        </w:tc>
        <w:tc>
          <w:tcPr>
            <w:tcW w:w="6506" w:type="dxa"/>
            <w:vAlign w:val="center"/>
          </w:tcPr>
          <w:p w14:paraId="089FECEF" w14:textId="77777777" w:rsidR="00C82A3D" w:rsidRPr="00A56802" w:rsidRDefault="00C82A3D" w:rsidP="00135DE7">
            <w:pPr>
              <w:spacing w:before="40" w:after="120"/>
            </w:pPr>
            <w:r>
              <w:t>(НРГ по УПОС) Доклад о ходе работы</w:t>
            </w:r>
          </w:p>
        </w:tc>
        <w:tc>
          <w:tcPr>
            <w:tcW w:w="1134" w:type="dxa"/>
          </w:tcPr>
          <w:p w14:paraId="7A514ED5" w14:textId="77777777" w:rsidR="00C82A3D" w:rsidRPr="00390600" w:rsidRDefault="00C82A3D" w:rsidP="00135DE7">
            <w:pPr>
              <w:widowControl w:val="0"/>
              <w:spacing w:before="40" w:after="120"/>
              <w:jc w:val="center"/>
            </w:pPr>
            <w:r>
              <w:t>f</w:t>
            </w:r>
          </w:p>
        </w:tc>
      </w:tr>
      <w:tr w:rsidR="00C82A3D" w:rsidRPr="0039573A" w14:paraId="64A1BC23" w14:textId="77777777" w:rsidTr="006518FF">
        <w:tc>
          <w:tcPr>
            <w:tcW w:w="865" w:type="dxa"/>
            <w:vAlign w:val="center"/>
          </w:tcPr>
          <w:p w14:paraId="67E8211E" w14:textId="77777777" w:rsidR="00C82A3D" w:rsidRDefault="00C82A3D" w:rsidP="00135DE7">
            <w:pPr>
              <w:widowControl w:val="0"/>
              <w:spacing w:before="40" w:after="120"/>
              <w:jc w:val="center"/>
            </w:pPr>
            <w:r>
              <w:t>8-Rev.1</w:t>
            </w:r>
          </w:p>
        </w:tc>
        <w:tc>
          <w:tcPr>
            <w:tcW w:w="6506" w:type="dxa"/>
            <w:vAlign w:val="center"/>
          </w:tcPr>
          <w:p w14:paraId="4F4B6C71" w14:textId="77777777" w:rsidR="00C82A3D" w:rsidRDefault="00C82A3D" w:rsidP="00135DE7">
            <w:pPr>
              <w:spacing w:before="40" w:after="120"/>
            </w:pPr>
            <w:r>
              <w:t>(Франция) Цвет излучаемого света</w:t>
            </w:r>
          </w:p>
        </w:tc>
        <w:tc>
          <w:tcPr>
            <w:tcW w:w="1134" w:type="dxa"/>
          </w:tcPr>
          <w:p w14:paraId="1B8BFE26" w14:textId="77777777" w:rsidR="00C82A3D" w:rsidRPr="00390600" w:rsidRDefault="00C82A3D" w:rsidP="00135DE7">
            <w:pPr>
              <w:widowControl w:val="0"/>
              <w:spacing w:before="40" w:after="120"/>
              <w:jc w:val="center"/>
            </w:pPr>
            <w:r>
              <w:t>d</w:t>
            </w:r>
          </w:p>
        </w:tc>
      </w:tr>
      <w:tr w:rsidR="00C82A3D" w:rsidRPr="0039573A" w14:paraId="74986680" w14:textId="77777777" w:rsidTr="006518FF">
        <w:tc>
          <w:tcPr>
            <w:tcW w:w="865" w:type="dxa"/>
            <w:vAlign w:val="center"/>
          </w:tcPr>
          <w:p w14:paraId="2BBB7DBB" w14:textId="77777777" w:rsidR="00C82A3D" w:rsidRPr="00390600" w:rsidRDefault="00C82A3D" w:rsidP="00135DE7">
            <w:pPr>
              <w:widowControl w:val="0"/>
              <w:spacing w:before="40" w:after="120"/>
              <w:jc w:val="center"/>
            </w:pPr>
            <w:r>
              <w:t>9</w:t>
            </w:r>
          </w:p>
        </w:tc>
        <w:tc>
          <w:tcPr>
            <w:tcW w:w="6506" w:type="dxa"/>
            <w:vAlign w:val="center"/>
          </w:tcPr>
          <w:p w14:paraId="52D341CE" w14:textId="79A3512C" w:rsidR="00C82A3D" w:rsidRPr="00A56802" w:rsidRDefault="00C82A3D" w:rsidP="00135DE7">
            <w:pPr>
              <w:spacing w:before="40" w:after="120"/>
            </w:pPr>
            <w:r>
              <w:t xml:space="preserve">(Германия) Предложение по дополнению к поправкам серии 01 </w:t>
            </w:r>
            <w:r w:rsidR="006518FF">
              <w:br/>
            </w:r>
            <w:r>
              <w:t>к Правилам № 149 ООН</w:t>
            </w:r>
          </w:p>
        </w:tc>
        <w:tc>
          <w:tcPr>
            <w:tcW w:w="1134" w:type="dxa"/>
          </w:tcPr>
          <w:p w14:paraId="0D9051A2" w14:textId="77777777" w:rsidR="00C82A3D" w:rsidRPr="00390600" w:rsidRDefault="00C82A3D" w:rsidP="00135DE7">
            <w:pPr>
              <w:widowControl w:val="0"/>
              <w:spacing w:before="40" w:after="120"/>
              <w:jc w:val="center"/>
            </w:pPr>
            <w:r>
              <w:t>a</w:t>
            </w:r>
          </w:p>
        </w:tc>
      </w:tr>
      <w:tr w:rsidR="00C82A3D" w:rsidRPr="0039573A" w14:paraId="3C309F1C" w14:textId="77777777" w:rsidTr="006518FF">
        <w:tc>
          <w:tcPr>
            <w:tcW w:w="865" w:type="dxa"/>
            <w:vAlign w:val="center"/>
          </w:tcPr>
          <w:p w14:paraId="15A1349D" w14:textId="77777777" w:rsidR="00C82A3D" w:rsidRPr="00390600" w:rsidRDefault="00C82A3D" w:rsidP="00135DE7">
            <w:pPr>
              <w:widowControl w:val="0"/>
              <w:spacing w:before="40" w:after="120"/>
              <w:jc w:val="center"/>
            </w:pPr>
            <w:r>
              <w:t>10</w:t>
            </w:r>
          </w:p>
        </w:tc>
        <w:tc>
          <w:tcPr>
            <w:tcW w:w="6506" w:type="dxa"/>
            <w:vAlign w:val="center"/>
          </w:tcPr>
          <w:p w14:paraId="646C251A" w14:textId="096E0497" w:rsidR="00C82A3D" w:rsidRPr="00A56802" w:rsidRDefault="00C82A3D" w:rsidP="00135DE7">
            <w:pPr>
              <w:spacing w:before="40" w:after="120"/>
            </w:pPr>
            <w:r>
              <w:t xml:space="preserve">(БРГ) Усовершенствованные положения для поправок серии 01 </w:t>
            </w:r>
            <w:r w:rsidR="006518FF">
              <w:br/>
            </w:r>
            <w:r>
              <w:t xml:space="preserve">к Правилам № 149 ООН, касающиеся несрабатывания, а также включающие фары </w:t>
            </w:r>
            <w:r w:rsidR="00134465">
              <w:t>«</w:t>
            </w:r>
            <w:r>
              <w:t>высокого разрешения</w:t>
            </w:r>
            <w:r w:rsidR="00134465">
              <w:t>»</w:t>
            </w:r>
          </w:p>
        </w:tc>
        <w:tc>
          <w:tcPr>
            <w:tcW w:w="1134" w:type="dxa"/>
          </w:tcPr>
          <w:p w14:paraId="23D84DE2" w14:textId="77777777" w:rsidR="00C82A3D" w:rsidRPr="00390600" w:rsidRDefault="00C82A3D" w:rsidP="00135DE7">
            <w:pPr>
              <w:widowControl w:val="0"/>
              <w:spacing w:before="40" w:after="120"/>
              <w:jc w:val="center"/>
            </w:pPr>
            <w:r>
              <w:t>d</w:t>
            </w:r>
          </w:p>
        </w:tc>
      </w:tr>
      <w:tr w:rsidR="00C82A3D" w:rsidRPr="0039573A" w14:paraId="605D80A1" w14:textId="77777777" w:rsidTr="006518FF">
        <w:tc>
          <w:tcPr>
            <w:tcW w:w="865" w:type="dxa"/>
            <w:vAlign w:val="center"/>
          </w:tcPr>
          <w:p w14:paraId="3054BE01" w14:textId="77777777" w:rsidR="00C82A3D" w:rsidRPr="00390600" w:rsidRDefault="00C82A3D" w:rsidP="00135DE7">
            <w:pPr>
              <w:widowControl w:val="0"/>
              <w:spacing w:before="40" w:after="120"/>
              <w:jc w:val="center"/>
            </w:pPr>
            <w:r>
              <w:t>11</w:t>
            </w:r>
          </w:p>
        </w:tc>
        <w:tc>
          <w:tcPr>
            <w:tcW w:w="6506" w:type="dxa"/>
            <w:vAlign w:val="center"/>
          </w:tcPr>
          <w:p w14:paraId="3E09F51E" w14:textId="4E12EF93" w:rsidR="00C82A3D" w:rsidRPr="00A56802" w:rsidRDefault="00C82A3D" w:rsidP="00135DE7">
            <w:pPr>
              <w:spacing w:before="40" w:after="120"/>
            </w:pPr>
            <w:r>
              <w:t xml:space="preserve">(БРГ) </w:t>
            </w:r>
            <w:r w:rsidR="00134465">
              <w:t>«</w:t>
            </w:r>
            <w:r>
              <w:t>Сигнальный дорожный проектор</w:t>
            </w:r>
            <w:r w:rsidR="00134465">
              <w:t>»</w:t>
            </w:r>
            <w:r>
              <w:t xml:space="preserve"> (СДП)</w:t>
            </w:r>
          </w:p>
        </w:tc>
        <w:tc>
          <w:tcPr>
            <w:tcW w:w="1134" w:type="dxa"/>
          </w:tcPr>
          <w:p w14:paraId="1F0D680D" w14:textId="77777777" w:rsidR="00C82A3D" w:rsidRPr="00390600" w:rsidRDefault="00C82A3D" w:rsidP="00135DE7">
            <w:pPr>
              <w:widowControl w:val="0"/>
              <w:spacing w:before="40" w:after="120"/>
              <w:jc w:val="center"/>
            </w:pPr>
            <w:r>
              <w:t>c</w:t>
            </w:r>
          </w:p>
        </w:tc>
      </w:tr>
      <w:tr w:rsidR="00C82A3D" w:rsidRPr="0039573A" w14:paraId="6A639FFA" w14:textId="77777777" w:rsidTr="006518FF">
        <w:tc>
          <w:tcPr>
            <w:tcW w:w="865" w:type="dxa"/>
            <w:vAlign w:val="center"/>
          </w:tcPr>
          <w:p w14:paraId="7E1C8C62" w14:textId="77777777" w:rsidR="00C82A3D" w:rsidRPr="00390600" w:rsidRDefault="00C82A3D" w:rsidP="00135DE7">
            <w:pPr>
              <w:widowControl w:val="0"/>
              <w:spacing w:before="40" w:after="120"/>
              <w:jc w:val="center"/>
            </w:pPr>
            <w:r>
              <w:t>12-Rev.1</w:t>
            </w:r>
          </w:p>
        </w:tc>
        <w:tc>
          <w:tcPr>
            <w:tcW w:w="6506" w:type="dxa"/>
            <w:vAlign w:val="center"/>
          </w:tcPr>
          <w:p w14:paraId="28427B06" w14:textId="77777777" w:rsidR="00C82A3D" w:rsidRPr="00A56802" w:rsidRDefault="00C82A3D" w:rsidP="00135DE7">
            <w:pPr>
              <w:spacing w:before="40" w:after="120"/>
            </w:pPr>
            <w:r>
              <w:t>(секретариат) Общая информация и основные вопросы, рассмотренные в рамках WP.29</w:t>
            </w:r>
          </w:p>
        </w:tc>
        <w:tc>
          <w:tcPr>
            <w:tcW w:w="1134" w:type="dxa"/>
          </w:tcPr>
          <w:p w14:paraId="19764C8E" w14:textId="77777777" w:rsidR="00C82A3D" w:rsidRPr="00390600" w:rsidRDefault="00C82A3D" w:rsidP="00135DE7">
            <w:pPr>
              <w:widowControl w:val="0"/>
              <w:spacing w:before="40" w:after="120"/>
              <w:jc w:val="center"/>
            </w:pPr>
            <w:r>
              <w:t>f</w:t>
            </w:r>
          </w:p>
        </w:tc>
      </w:tr>
      <w:tr w:rsidR="00C82A3D" w:rsidRPr="0039573A" w14:paraId="0C2E2FAD" w14:textId="77777777" w:rsidTr="006518FF">
        <w:tc>
          <w:tcPr>
            <w:tcW w:w="865" w:type="dxa"/>
            <w:vAlign w:val="center"/>
          </w:tcPr>
          <w:p w14:paraId="0AFD2319" w14:textId="77777777" w:rsidR="00C82A3D" w:rsidRPr="00390600" w:rsidRDefault="00C82A3D" w:rsidP="00135DE7">
            <w:pPr>
              <w:widowControl w:val="0"/>
              <w:spacing w:before="40" w:after="120"/>
              <w:jc w:val="center"/>
            </w:pPr>
            <w:r>
              <w:t>13</w:t>
            </w:r>
          </w:p>
        </w:tc>
        <w:tc>
          <w:tcPr>
            <w:tcW w:w="6506" w:type="dxa"/>
            <w:vAlign w:val="center"/>
          </w:tcPr>
          <w:p w14:paraId="2C38316D" w14:textId="77777777" w:rsidR="00C82A3D" w:rsidRPr="00A56802" w:rsidRDefault="00C82A3D" w:rsidP="00135DE7">
            <w:pPr>
              <w:spacing w:before="40" w:after="120"/>
            </w:pPr>
            <w:r>
              <w:t>(ЦГ по АМ) Доклад о ходе работы</w:t>
            </w:r>
          </w:p>
        </w:tc>
        <w:tc>
          <w:tcPr>
            <w:tcW w:w="1134" w:type="dxa"/>
          </w:tcPr>
          <w:p w14:paraId="02CCF70C" w14:textId="77777777" w:rsidR="00C82A3D" w:rsidRPr="00390600" w:rsidRDefault="00C82A3D" w:rsidP="00135DE7">
            <w:pPr>
              <w:widowControl w:val="0"/>
              <w:spacing w:before="40" w:after="120"/>
              <w:jc w:val="center"/>
            </w:pPr>
            <w:r>
              <w:t>f</w:t>
            </w:r>
          </w:p>
        </w:tc>
      </w:tr>
      <w:tr w:rsidR="00C82A3D" w:rsidRPr="0039573A" w14:paraId="568832D3" w14:textId="77777777" w:rsidTr="006518FF">
        <w:trPr>
          <w:trHeight w:val="359"/>
        </w:trPr>
        <w:tc>
          <w:tcPr>
            <w:tcW w:w="865" w:type="dxa"/>
            <w:shd w:val="clear" w:color="auto" w:fill="FFFFFF" w:themeFill="background1"/>
            <w:vAlign w:val="center"/>
          </w:tcPr>
          <w:p w14:paraId="62E7A8AF" w14:textId="77777777" w:rsidR="00C82A3D" w:rsidRPr="00390600" w:rsidRDefault="00C82A3D" w:rsidP="00135DE7">
            <w:pPr>
              <w:widowControl w:val="0"/>
              <w:spacing w:before="40" w:after="120"/>
              <w:jc w:val="center"/>
            </w:pPr>
            <w:r>
              <w:t>14</w:t>
            </w:r>
          </w:p>
        </w:tc>
        <w:tc>
          <w:tcPr>
            <w:tcW w:w="6506" w:type="dxa"/>
            <w:shd w:val="clear" w:color="auto" w:fill="FFFFFF" w:themeFill="background1"/>
            <w:vAlign w:val="center"/>
          </w:tcPr>
          <w:p w14:paraId="6C3F322E" w14:textId="77777777" w:rsidR="00C82A3D" w:rsidRPr="00A56802" w:rsidRDefault="00C82A3D" w:rsidP="00135DE7">
            <w:pPr>
              <w:spacing w:before="40" w:after="120"/>
            </w:pPr>
            <w:r>
              <w:t>(Австралия) Вопросы, касающиеся толкования Правил № 48 ООН</w:t>
            </w:r>
          </w:p>
        </w:tc>
        <w:tc>
          <w:tcPr>
            <w:tcW w:w="1134" w:type="dxa"/>
          </w:tcPr>
          <w:p w14:paraId="4F74FFDA" w14:textId="77777777" w:rsidR="00C82A3D" w:rsidRPr="00390600" w:rsidRDefault="00C82A3D" w:rsidP="00135DE7">
            <w:pPr>
              <w:widowControl w:val="0"/>
              <w:spacing w:before="40" w:after="120"/>
              <w:jc w:val="center"/>
            </w:pPr>
            <w:r>
              <w:t>d</w:t>
            </w:r>
          </w:p>
        </w:tc>
      </w:tr>
      <w:tr w:rsidR="00C82A3D" w:rsidRPr="0039573A" w14:paraId="25B1C22F" w14:textId="77777777" w:rsidTr="006518FF">
        <w:tc>
          <w:tcPr>
            <w:tcW w:w="865" w:type="dxa"/>
            <w:vAlign w:val="center"/>
          </w:tcPr>
          <w:p w14:paraId="4212A052" w14:textId="77777777" w:rsidR="00C82A3D" w:rsidRPr="00390600" w:rsidRDefault="00C82A3D" w:rsidP="00135DE7">
            <w:pPr>
              <w:widowControl w:val="0"/>
              <w:spacing w:before="40" w:after="120"/>
              <w:jc w:val="center"/>
            </w:pPr>
            <w:r>
              <w:t>15-Rev.1</w:t>
            </w:r>
          </w:p>
        </w:tc>
        <w:tc>
          <w:tcPr>
            <w:tcW w:w="6506" w:type="dxa"/>
            <w:vAlign w:val="center"/>
          </w:tcPr>
          <w:p w14:paraId="5F9D3132" w14:textId="77777777" w:rsidR="00C82A3D" w:rsidRPr="00A56802" w:rsidRDefault="00C82A3D" w:rsidP="00135DE7">
            <w:pPr>
              <w:spacing w:before="40" w:after="120"/>
            </w:pPr>
            <w:r>
              <w:t>(ГЗЭ) Доклад о ходе работы</w:t>
            </w:r>
          </w:p>
        </w:tc>
        <w:tc>
          <w:tcPr>
            <w:tcW w:w="1134" w:type="dxa"/>
          </w:tcPr>
          <w:p w14:paraId="2C7528FA" w14:textId="77777777" w:rsidR="00C82A3D" w:rsidRPr="00390600" w:rsidRDefault="00C82A3D" w:rsidP="00135DE7">
            <w:pPr>
              <w:widowControl w:val="0"/>
              <w:spacing w:before="40" w:after="120"/>
              <w:jc w:val="center"/>
            </w:pPr>
            <w:r>
              <w:t>f</w:t>
            </w:r>
          </w:p>
        </w:tc>
      </w:tr>
      <w:tr w:rsidR="00C82A3D" w:rsidRPr="0039573A" w14:paraId="71D5CCF8" w14:textId="77777777" w:rsidTr="006518FF">
        <w:tc>
          <w:tcPr>
            <w:tcW w:w="865" w:type="dxa"/>
            <w:vAlign w:val="center"/>
          </w:tcPr>
          <w:p w14:paraId="2F7343DE" w14:textId="77777777" w:rsidR="00C82A3D" w:rsidRPr="00390600" w:rsidRDefault="00C82A3D" w:rsidP="00135DE7">
            <w:pPr>
              <w:widowControl w:val="0"/>
              <w:spacing w:before="40" w:after="120"/>
              <w:jc w:val="center"/>
            </w:pPr>
            <w:r>
              <w:t>16-Rev.3</w:t>
            </w:r>
          </w:p>
        </w:tc>
        <w:tc>
          <w:tcPr>
            <w:tcW w:w="6506" w:type="dxa"/>
            <w:vAlign w:val="center"/>
          </w:tcPr>
          <w:p w14:paraId="73FF575D" w14:textId="77777777" w:rsidR="00C82A3D" w:rsidRPr="00A56802" w:rsidRDefault="00C82A3D" w:rsidP="00135DE7">
            <w:pPr>
              <w:spacing w:before="40" w:after="120"/>
            </w:pPr>
            <w:r>
              <w:t xml:space="preserve">(ГЗЭ) Предложение по новой серии поправок к Правилам № 48 ООН, заменяющее документ ECE/TRANS/WP.29/GRE/2023/2 </w:t>
            </w:r>
          </w:p>
        </w:tc>
        <w:tc>
          <w:tcPr>
            <w:tcW w:w="1134" w:type="dxa"/>
          </w:tcPr>
          <w:p w14:paraId="25C78213" w14:textId="77777777" w:rsidR="00C82A3D" w:rsidRPr="00390600" w:rsidRDefault="00C82A3D" w:rsidP="00135DE7">
            <w:pPr>
              <w:widowControl w:val="0"/>
              <w:spacing w:before="40" w:after="120"/>
              <w:jc w:val="center"/>
            </w:pPr>
            <w:r>
              <w:t>a</w:t>
            </w:r>
          </w:p>
        </w:tc>
      </w:tr>
      <w:tr w:rsidR="00C82A3D" w:rsidRPr="0039573A" w14:paraId="4B232724" w14:textId="77777777" w:rsidTr="006518FF">
        <w:tc>
          <w:tcPr>
            <w:tcW w:w="865" w:type="dxa"/>
            <w:vAlign w:val="center"/>
          </w:tcPr>
          <w:p w14:paraId="32253D88" w14:textId="77777777" w:rsidR="00C82A3D" w:rsidRPr="00390600" w:rsidRDefault="00C82A3D" w:rsidP="00135DE7">
            <w:pPr>
              <w:widowControl w:val="0"/>
              <w:spacing w:before="40" w:after="120"/>
              <w:jc w:val="center"/>
            </w:pPr>
            <w:r>
              <w:t>17</w:t>
            </w:r>
          </w:p>
        </w:tc>
        <w:tc>
          <w:tcPr>
            <w:tcW w:w="6506" w:type="dxa"/>
            <w:vAlign w:val="center"/>
          </w:tcPr>
          <w:p w14:paraId="59B65290" w14:textId="519D6748" w:rsidR="00C82A3D" w:rsidRPr="00A56802" w:rsidRDefault="00C82A3D" w:rsidP="00135DE7">
            <w:pPr>
              <w:spacing w:before="40" w:after="120"/>
            </w:pPr>
            <w:r>
              <w:t>(МОПАП) Предложение по дополнениям к поправкам серий 03</w:t>
            </w:r>
            <w:r w:rsidR="007A64F1">
              <w:t>–</w:t>
            </w:r>
            <w:r>
              <w:t>08 к Правилам № 48 ООН</w:t>
            </w:r>
          </w:p>
        </w:tc>
        <w:tc>
          <w:tcPr>
            <w:tcW w:w="1134" w:type="dxa"/>
          </w:tcPr>
          <w:p w14:paraId="428A3514" w14:textId="77777777" w:rsidR="00C82A3D" w:rsidRPr="00390600" w:rsidRDefault="00C82A3D" w:rsidP="00135DE7">
            <w:pPr>
              <w:widowControl w:val="0"/>
              <w:spacing w:before="40" w:after="120"/>
              <w:jc w:val="center"/>
            </w:pPr>
            <w:r>
              <w:t>a</w:t>
            </w:r>
          </w:p>
        </w:tc>
      </w:tr>
      <w:tr w:rsidR="00C82A3D" w:rsidRPr="0039573A" w14:paraId="71AFDDF1" w14:textId="77777777" w:rsidTr="006518FF">
        <w:tc>
          <w:tcPr>
            <w:tcW w:w="865" w:type="dxa"/>
            <w:vAlign w:val="center"/>
          </w:tcPr>
          <w:p w14:paraId="1EA178FB" w14:textId="77777777" w:rsidR="00C82A3D" w:rsidRPr="00390600" w:rsidRDefault="00C82A3D" w:rsidP="00135DE7">
            <w:pPr>
              <w:widowControl w:val="0"/>
              <w:spacing w:before="40" w:after="120"/>
              <w:jc w:val="center"/>
            </w:pPr>
            <w:r>
              <w:t>18</w:t>
            </w:r>
          </w:p>
        </w:tc>
        <w:tc>
          <w:tcPr>
            <w:tcW w:w="6506" w:type="dxa"/>
            <w:vAlign w:val="center"/>
          </w:tcPr>
          <w:p w14:paraId="33AAF40D" w14:textId="77777777" w:rsidR="00C82A3D" w:rsidRPr="00A56802" w:rsidRDefault="00C82A3D" w:rsidP="00135DE7">
            <w:pPr>
              <w:spacing w:before="40" w:after="120"/>
            </w:pPr>
            <w:r>
              <w:t>(МОПАП) Предложение по дополнению к поправкам серии 09 к Правилам № 48 ООН</w:t>
            </w:r>
          </w:p>
        </w:tc>
        <w:tc>
          <w:tcPr>
            <w:tcW w:w="1134" w:type="dxa"/>
          </w:tcPr>
          <w:p w14:paraId="40615969" w14:textId="77777777" w:rsidR="00C82A3D" w:rsidRPr="00390600" w:rsidRDefault="00C82A3D" w:rsidP="00135DE7">
            <w:pPr>
              <w:widowControl w:val="0"/>
              <w:spacing w:before="40" w:after="120"/>
              <w:jc w:val="center"/>
            </w:pPr>
            <w:r>
              <w:t>a</w:t>
            </w:r>
          </w:p>
        </w:tc>
      </w:tr>
      <w:tr w:rsidR="00C82A3D" w:rsidRPr="0039573A" w14:paraId="34AC3F3B" w14:textId="77777777" w:rsidTr="006518FF">
        <w:tc>
          <w:tcPr>
            <w:tcW w:w="865" w:type="dxa"/>
            <w:vAlign w:val="center"/>
          </w:tcPr>
          <w:p w14:paraId="02E26DBA" w14:textId="77777777" w:rsidR="00C82A3D" w:rsidRPr="00390600" w:rsidRDefault="00C82A3D" w:rsidP="00135DE7">
            <w:pPr>
              <w:widowControl w:val="0"/>
              <w:spacing w:before="40" w:after="120"/>
              <w:jc w:val="center"/>
            </w:pPr>
            <w:r>
              <w:t>19</w:t>
            </w:r>
          </w:p>
        </w:tc>
        <w:tc>
          <w:tcPr>
            <w:tcW w:w="6506" w:type="dxa"/>
            <w:vAlign w:val="center"/>
          </w:tcPr>
          <w:p w14:paraId="43981FC2" w14:textId="77777777" w:rsidR="00C82A3D" w:rsidRPr="00A56802" w:rsidRDefault="00C82A3D" w:rsidP="00135DE7">
            <w:pPr>
              <w:spacing w:before="40" w:after="120"/>
            </w:pPr>
            <w:r>
              <w:t>(СЕМА) Поправки к Правилам № 86 ООН</w:t>
            </w:r>
          </w:p>
        </w:tc>
        <w:tc>
          <w:tcPr>
            <w:tcW w:w="1134" w:type="dxa"/>
          </w:tcPr>
          <w:p w14:paraId="3E072F3E" w14:textId="77777777" w:rsidR="00C82A3D" w:rsidRDefault="00C82A3D" w:rsidP="00135DE7">
            <w:pPr>
              <w:widowControl w:val="0"/>
              <w:spacing w:before="40" w:after="120"/>
              <w:jc w:val="center"/>
            </w:pPr>
            <w:r>
              <w:t>c</w:t>
            </w:r>
          </w:p>
        </w:tc>
      </w:tr>
      <w:tr w:rsidR="00C82A3D" w:rsidRPr="0039573A" w14:paraId="754C425D" w14:textId="77777777" w:rsidTr="006518FF">
        <w:tc>
          <w:tcPr>
            <w:tcW w:w="865" w:type="dxa"/>
            <w:vAlign w:val="center"/>
          </w:tcPr>
          <w:p w14:paraId="4F028EE1" w14:textId="77777777" w:rsidR="00C82A3D" w:rsidRPr="00390600" w:rsidRDefault="00C82A3D" w:rsidP="00135DE7">
            <w:pPr>
              <w:widowControl w:val="0"/>
              <w:spacing w:before="40" w:after="120"/>
              <w:jc w:val="center"/>
            </w:pPr>
            <w:r>
              <w:t>20</w:t>
            </w:r>
          </w:p>
        </w:tc>
        <w:tc>
          <w:tcPr>
            <w:tcW w:w="6506" w:type="dxa"/>
            <w:vAlign w:val="center"/>
          </w:tcPr>
          <w:p w14:paraId="30301C6A" w14:textId="77777777" w:rsidR="00C82A3D" w:rsidRPr="00A56802" w:rsidRDefault="00C82A3D" w:rsidP="00135DE7">
            <w:pPr>
              <w:spacing w:before="40" w:after="120"/>
            </w:pPr>
            <w:r>
              <w:t>(НРГ по ЭМС) Доклад о ходе работы</w:t>
            </w:r>
          </w:p>
        </w:tc>
        <w:tc>
          <w:tcPr>
            <w:tcW w:w="1134" w:type="dxa"/>
          </w:tcPr>
          <w:p w14:paraId="40BEDDB5" w14:textId="77777777" w:rsidR="00C82A3D" w:rsidRDefault="00C82A3D" w:rsidP="00135DE7">
            <w:pPr>
              <w:widowControl w:val="0"/>
              <w:spacing w:before="40" w:after="120"/>
              <w:jc w:val="center"/>
            </w:pPr>
            <w:r>
              <w:t>f</w:t>
            </w:r>
          </w:p>
        </w:tc>
      </w:tr>
      <w:tr w:rsidR="00C82A3D" w:rsidRPr="0039573A" w14:paraId="4BC5B893" w14:textId="77777777" w:rsidTr="006518FF">
        <w:tc>
          <w:tcPr>
            <w:tcW w:w="865" w:type="dxa"/>
            <w:vAlign w:val="center"/>
          </w:tcPr>
          <w:p w14:paraId="099AF348" w14:textId="77777777" w:rsidR="00C82A3D" w:rsidRPr="00390600" w:rsidRDefault="00C82A3D" w:rsidP="00135DE7">
            <w:pPr>
              <w:widowControl w:val="0"/>
              <w:spacing w:before="40" w:after="120"/>
              <w:jc w:val="center"/>
            </w:pPr>
            <w:r>
              <w:t>21</w:t>
            </w:r>
          </w:p>
        </w:tc>
        <w:tc>
          <w:tcPr>
            <w:tcW w:w="6506" w:type="dxa"/>
            <w:vAlign w:val="center"/>
          </w:tcPr>
          <w:p w14:paraId="1873D0A0" w14:textId="77777777" w:rsidR="00C82A3D" w:rsidRPr="00A56802" w:rsidRDefault="00C82A3D" w:rsidP="00135DE7">
            <w:pPr>
              <w:spacing w:before="40" w:after="120"/>
            </w:pPr>
            <w:r>
              <w:t>(НРГ по ЭMC) Рабочий проект поправок новой серии 07 к Правилам № 10 ООН</w:t>
            </w:r>
          </w:p>
        </w:tc>
        <w:tc>
          <w:tcPr>
            <w:tcW w:w="1134" w:type="dxa"/>
          </w:tcPr>
          <w:p w14:paraId="2E1737D5" w14:textId="77777777" w:rsidR="00C82A3D" w:rsidRDefault="00C82A3D" w:rsidP="00135DE7">
            <w:pPr>
              <w:widowControl w:val="0"/>
              <w:spacing w:before="40" w:after="120"/>
              <w:jc w:val="center"/>
            </w:pPr>
            <w:r>
              <w:t>c</w:t>
            </w:r>
          </w:p>
        </w:tc>
      </w:tr>
      <w:tr w:rsidR="00C82A3D" w:rsidRPr="0039573A" w14:paraId="4C09D4A6" w14:textId="77777777" w:rsidTr="006518FF">
        <w:tc>
          <w:tcPr>
            <w:tcW w:w="865" w:type="dxa"/>
            <w:vAlign w:val="center"/>
          </w:tcPr>
          <w:p w14:paraId="7B46C334" w14:textId="77777777" w:rsidR="00C82A3D" w:rsidRPr="00390600" w:rsidRDefault="00C82A3D" w:rsidP="00135DE7">
            <w:pPr>
              <w:widowControl w:val="0"/>
              <w:spacing w:before="40" w:after="120"/>
              <w:jc w:val="center"/>
            </w:pPr>
            <w:r>
              <w:t>22-Rev.3</w:t>
            </w:r>
          </w:p>
        </w:tc>
        <w:tc>
          <w:tcPr>
            <w:tcW w:w="6506" w:type="dxa"/>
            <w:vAlign w:val="center"/>
          </w:tcPr>
          <w:p w14:paraId="64BB9FFE" w14:textId="19316C14" w:rsidR="00C82A3D" w:rsidRPr="00A56802" w:rsidRDefault="00C82A3D" w:rsidP="00135DE7">
            <w:pPr>
              <w:spacing w:before="40" w:after="120"/>
            </w:pPr>
            <w:r>
              <w:t>(МОПАП) Предложение по переходным положениям для поправок серии</w:t>
            </w:r>
            <w:r w:rsidR="007A64F1">
              <w:t> </w:t>
            </w:r>
            <w:r>
              <w:t>[09] к Правилам № 48 ООН</w:t>
            </w:r>
          </w:p>
        </w:tc>
        <w:tc>
          <w:tcPr>
            <w:tcW w:w="1134" w:type="dxa"/>
          </w:tcPr>
          <w:p w14:paraId="0CF5C817" w14:textId="77777777" w:rsidR="00C82A3D" w:rsidRDefault="00C82A3D" w:rsidP="00135DE7">
            <w:pPr>
              <w:widowControl w:val="0"/>
              <w:spacing w:before="40" w:after="120"/>
              <w:jc w:val="center"/>
            </w:pPr>
            <w:r>
              <w:t>b</w:t>
            </w:r>
          </w:p>
        </w:tc>
      </w:tr>
      <w:tr w:rsidR="00C82A3D" w:rsidRPr="0039573A" w14:paraId="1E729B2C" w14:textId="77777777" w:rsidTr="006518FF">
        <w:tc>
          <w:tcPr>
            <w:tcW w:w="865" w:type="dxa"/>
            <w:vAlign w:val="center"/>
          </w:tcPr>
          <w:p w14:paraId="302FCA49" w14:textId="77777777" w:rsidR="00C82A3D" w:rsidRPr="00390600" w:rsidRDefault="00C82A3D" w:rsidP="00135DE7">
            <w:pPr>
              <w:widowControl w:val="0"/>
              <w:spacing w:before="40" w:after="120"/>
              <w:jc w:val="center"/>
            </w:pPr>
            <w:r>
              <w:lastRenderedPageBreak/>
              <w:t>23-Rev.2</w:t>
            </w:r>
          </w:p>
        </w:tc>
        <w:tc>
          <w:tcPr>
            <w:tcW w:w="6506" w:type="dxa"/>
            <w:vAlign w:val="center"/>
          </w:tcPr>
          <w:p w14:paraId="34700E2A" w14:textId="77777777" w:rsidR="00C82A3D" w:rsidRPr="00390600" w:rsidRDefault="00C82A3D" w:rsidP="00135DE7">
            <w:pPr>
              <w:spacing w:before="40" w:after="120"/>
            </w:pPr>
            <w:r>
              <w:t>(МОПАП) Обзор переходных положений</w:t>
            </w:r>
          </w:p>
        </w:tc>
        <w:tc>
          <w:tcPr>
            <w:tcW w:w="1134" w:type="dxa"/>
          </w:tcPr>
          <w:p w14:paraId="49DC2B36" w14:textId="77777777" w:rsidR="00C82A3D" w:rsidRDefault="00C82A3D" w:rsidP="00135DE7">
            <w:pPr>
              <w:widowControl w:val="0"/>
              <w:spacing w:before="40" w:after="120"/>
              <w:jc w:val="center"/>
            </w:pPr>
            <w:r>
              <w:t>b</w:t>
            </w:r>
          </w:p>
        </w:tc>
      </w:tr>
      <w:tr w:rsidR="00C82A3D" w:rsidRPr="0039573A" w14:paraId="08F39F10" w14:textId="77777777" w:rsidTr="006518FF">
        <w:tc>
          <w:tcPr>
            <w:tcW w:w="865" w:type="dxa"/>
            <w:vAlign w:val="center"/>
          </w:tcPr>
          <w:p w14:paraId="2DB7B7AF" w14:textId="77777777" w:rsidR="00C82A3D" w:rsidRPr="00390600" w:rsidRDefault="00C82A3D" w:rsidP="00135DE7">
            <w:pPr>
              <w:widowControl w:val="0"/>
              <w:spacing w:before="40" w:after="120"/>
              <w:jc w:val="center"/>
            </w:pPr>
            <w:r>
              <w:t>24</w:t>
            </w:r>
          </w:p>
        </w:tc>
        <w:tc>
          <w:tcPr>
            <w:tcW w:w="6506" w:type="dxa"/>
            <w:vAlign w:val="center"/>
          </w:tcPr>
          <w:p w14:paraId="7C0E8019" w14:textId="77777777" w:rsidR="00C82A3D" w:rsidRPr="00A56802" w:rsidRDefault="00C82A3D" w:rsidP="00135DE7">
            <w:pPr>
              <w:spacing w:before="40" w:after="120"/>
            </w:pPr>
            <w:r>
              <w:t>(МАИАКП) Пересмотренное предложение по новой серии поправок к Правилам № 48 ООН</w:t>
            </w:r>
          </w:p>
        </w:tc>
        <w:tc>
          <w:tcPr>
            <w:tcW w:w="1134" w:type="dxa"/>
          </w:tcPr>
          <w:p w14:paraId="535542E1" w14:textId="77777777" w:rsidR="00C82A3D" w:rsidRDefault="00C82A3D" w:rsidP="00135DE7">
            <w:pPr>
              <w:widowControl w:val="0"/>
              <w:spacing w:before="40" w:after="120"/>
              <w:jc w:val="center"/>
            </w:pPr>
            <w:r>
              <w:t>b</w:t>
            </w:r>
          </w:p>
        </w:tc>
      </w:tr>
      <w:tr w:rsidR="00C82A3D" w:rsidRPr="0039573A" w14:paraId="442C8A77" w14:textId="77777777" w:rsidTr="006518FF">
        <w:tc>
          <w:tcPr>
            <w:tcW w:w="865" w:type="dxa"/>
            <w:vAlign w:val="center"/>
          </w:tcPr>
          <w:p w14:paraId="0529DCD1" w14:textId="77777777" w:rsidR="00C82A3D" w:rsidRPr="00390600" w:rsidRDefault="00C82A3D" w:rsidP="00135DE7">
            <w:pPr>
              <w:widowControl w:val="0"/>
              <w:spacing w:before="40" w:after="120"/>
              <w:jc w:val="center"/>
            </w:pPr>
            <w:r>
              <w:t>25-Rev.1</w:t>
            </w:r>
          </w:p>
        </w:tc>
        <w:tc>
          <w:tcPr>
            <w:tcW w:w="6506" w:type="dxa"/>
            <w:vAlign w:val="center"/>
          </w:tcPr>
          <w:p w14:paraId="3208F3A7" w14:textId="77777777" w:rsidR="00C82A3D" w:rsidRPr="00A56802" w:rsidRDefault="00C82A3D" w:rsidP="00135DE7">
            <w:pPr>
              <w:spacing w:before="40" w:after="120"/>
            </w:pPr>
            <w:r>
              <w:t>(БРГ) Предложение по замене документа ECE/TRANS/WP.29/GRE/2023/8</w:t>
            </w:r>
          </w:p>
        </w:tc>
        <w:tc>
          <w:tcPr>
            <w:tcW w:w="1134" w:type="dxa"/>
          </w:tcPr>
          <w:p w14:paraId="1C780A36" w14:textId="77777777" w:rsidR="00C82A3D" w:rsidRDefault="00C82A3D" w:rsidP="00135DE7">
            <w:pPr>
              <w:widowControl w:val="0"/>
              <w:spacing w:before="40" w:after="120"/>
              <w:jc w:val="center"/>
            </w:pPr>
            <w:r>
              <w:t>a</w:t>
            </w:r>
          </w:p>
        </w:tc>
      </w:tr>
      <w:tr w:rsidR="00C82A3D" w:rsidRPr="0039573A" w14:paraId="3DCAAFCF" w14:textId="77777777" w:rsidTr="006518FF">
        <w:tc>
          <w:tcPr>
            <w:tcW w:w="865" w:type="dxa"/>
            <w:vAlign w:val="center"/>
          </w:tcPr>
          <w:p w14:paraId="7BC8D0B1" w14:textId="77777777" w:rsidR="00C82A3D" w:rsidRPr="00390600" w:rsidRDefault="00C82A3D" w:rsidP="00135DE7">
            <w:pPr>
              <w:widowControl w:val="0"/>
              <w:spacing w:before="40" w:after="120"/>
              <w:jc w:val="center"/>
            </w:pPr>
            <w:r>
              <w:t>26</w:t>
            </w:r>
          </w:p>
        </w:tc>
        <w:tc>
          <w:tcPr>
            <w:tcW w:w="6506" w:type="dxa"/>
            <w:vAlign w:val="center"/>
          </w:tcPr>
          <w:p w14:paraId="61FB11DB" w14:textId="77777777" w:rsidR="00C82A3D" w:rsidRPr="00390600" w:rsidRDefault="00C82A3D" w:rsidP="00135DE7">
            <w:pPr>
              <w:spacing w:before="40" w:after="120"/>
            </w:pPr>
            <w:r>
              <w:t>(секретариат) Обзор правил ООН, относящихся к ведению GRE</w:t>
            </w:r>
          </w:p>
        </w:tc>
        <w:tc>
          <w:tcPr>
            <w:tcW w:w="1134" w:type="dxa"/>
          </w:tcPr>
          <w:p w14:paraId="77E8ECA0" w14:textId="77777777" w:rsidR="00C82A3D" w:rsidRDefault="00C82A3D" w:rsidP="00135DE7">
            <w:pPr>
              <w:widowControl w:val="0"/>
              <w:spacing w:before="40" w:after="120"/>
              <w:jc w:val="center"/>
            </w:pPr>
            <w:r>
              <w:t>d</w:t>
            </w:r>
          </w:p>
        </w:tc>
      </w:tr>
      <w:tr w:rsidR="00C82A3D" w:rsidRPr="0039573A" w14:paraId="3605C42D" w14:textId="77777777" w:rsidTr="006518FF">
        <w:tc>
          <w:tcPr>
            <w:tcW w:w="865" w:type="dxa"/>
            <w:tcBorders>
              <w:bottom w:val="single" w:sz="12" w:space="0" w:color="auto"/>
            </w:tcBorders>
            <w:vAlign w:val="center"/>
          </w:tcPr>
          <w:p w14:paraId="23C77171" w14:textId="77777777" w:rsidR="00C82A3D" w:rsidRPr="00390600" w:rsidRDefault="00C82A3D" w:rsidP="00135DE7">
            <w:pPr>
              <w:widowControl w:val="0"/>
              <w:spacing w:before="40" w:after="120"/>
              <w:jc w:val="center"/>
            </w:pPr>
            <w:r>
              <w:t>27</w:t>
            </w:r>
          </w:p>
        </w:tc>
        <w:tc>
          <w:tcPr>
            <w:tcW w:w="6506" w:type="dxa"/>
            <w:tcBorders>
              <w:bottom w:val="single" w:sz="12" w:space="0" w:color="auto"/>
            </w:tcBorders>
            <w:vAlign w:val="center"/>
          </w:tcPr>
          <w:p w14:paraId="3557BC57" w14:textId="77777777" w:rsidR="00C82A3D" w:rsidRPr="00A56802" w:rsidRDefault="00C82A3D" w:rsidP="00135DE7">
            <w:pPr>
              <w:spacing w:before="40" w:after="120"/>
            </w:pPr>
            <w:r>
              <w:t>(НРГ по УПОС) Предложение по поправкам к документу ECE/TRANS/WP.29/GRE/2023/3</w:t>
            </w:r>
          </w:p>
        </w:tc>
        <w:tc>
          <w:tcPr>
            <w:tcW w:w="1134" w:type="dxa"/>
            <w:tcBorders>
              <w:bottom w:val="single" w:sz="12" w:space="0" w:color="auto"/>
            </w:tcBorders>
          </w:tcPr>
          <w:p w14:paraId="01E1299B" w14:textId="77777777" w:rsidR="00C82A3D" w:rsidRPr="00390600" w:rsidRDefault="00C82A3D" w:rsidP="00135DE7">
            <w:pPr>
              <w:widowControl w:val="0"/>
              <w:spacing w:before="40" w:after="120"/>
              <w:jc w:val="center"/>
            </w:pPr>
            <w:r>
              <w:t>a</w:t>
            </w:r>
          </w:p>
        </w:tc>
      </w:tr>
    </w:tbl>
    <w:p w14:paraId="1643B3EA" w14:textId="31E15436" w:rsidR="00C82A3D" w:rsidRPr="00C82A3D" w:rsidRDefault="00C82A3D" w:rsidP="00C82A3D">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C82A3D">
        <w:rPr>
          <w:i/>
          <w:iCs/>
          <w:sz w:val="18"/>
          <w:szCs w:val="18"/>
        </w:rPr>
        <w:t>Примечания:</w:t>
      </w:r>
    </w:p>
    <w:p w14:paraId="3E59E004" w14:textId="2431605C" w:rsidR="00C82A3D" w:rsidRPr="00C82A3D" w:rsidRDefault="00C82A3D" w:rsidP="00C82A3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firstLine="170"/>
        <w:rPr>
          <w:sz w:val="18"/>
          <w:szCs w:val="18"/>
        </w:rPr>
      </w:pPr>
      <w:r w:rsidRPr="00C82A3D">
        <w:rPr>
          <w:sz w:val="18"/>
          <w:szCs w:val="18"/>
        </w:rPr>
        <w:t>a</w:t>
      </w:r>
      <w:r w:rsidRPr="00C82A3D">
        <w:rPr>
          <w:sz w:val="18"/>
          <w:szCs w:val="18"/>
        </w:rPr>
        <w:tab/>
        <w:t>Утвержден или принят без изменений.</w:t>
      </w:r>
    </w:p>
    <w:p w14:paraId="18F3C249" w14:textId="63A954E5" w:rsidR="00C82A3D" w:rsidRPr="00C82A3D" w:rsidRDefault="00C82A3D" w:rsidP="00C82A3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firstLine="170"/>
        <w:rPr>
          <w:sz w:val="18"/>
          <w:szCs w:val="18"/>
        </w:rPr>
      </w:pPr>
      <w:r w:rsidRPr="00C82A3D">
        <w:rPr>
          <w:sz w:val="18"/>
          <w:szCs w:val="18"/>
        </w:rPr>
        <w:t>b</w:t>
      </w:r>
      <w:r w:rsidRPr="00C82A3D">
        <w:rPr>
          <w:sz w:val="18"/>
          <w:szCs w:val="18"/>
        </w:rPr>
        <w:tab/>
        <w:t>Утвержден или принят с изменениями.</w:t>
      </w:r>
    </w:p>
    <w:p w14:paraId="5A713346" w14:textId="6B4D0EC8" w:rsidR="00C82A3D" w:rsidRPr="00C82A3D" w:rsidRDefault="00C82A3D" w:rsidP="00C82A3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firstLine="170"/>
        <w:rPr>
          <w:sz w:val="18"/>
          <w:szCs w:val="18"/>
        </w:rPr>
      </w:pPr>
      <w:r w:rsidRPr="00C82A3D">
        <w:rPr>
          <w:sz w:val="18"/>
          <w:szCs w:val="18"/>
        </w:rPr>
        <w:t>c</w:t>
      </w:r>
      <w:r w:rsidRPr="00C82A3D">
        <w:rPr>
          <w:sz w:val="18"/>
          <w:szCs w:val="18"/>
        </w:rPr>
        <w:tab/>
        <w:t>Рассмотрение будет возобновлено на основе документа под официальным условным обозначением.</w:t>
      </w:r>
    </w:p>
    <w:p w14:paraId="43C8EC95" w14:textId="6DA3F45C" w:rsidR="00C82A3D" w:rsidRPr="00C82A3D" w:rsidRDefault="00C82A3D" w:rsidP="00C82A3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firstLine="170"/>
        <w:rPr>
          <w:sz w:val="18"/>
          <w:szCs w:val="18"/>
        </w:rPr>
      </w:pPr>
      <w:r w:rsidRPr="00C82A3D">
        <w:rPr>
          <w:sz w:val="18"/>
          <w:szCs w:val="18"/>
        </w:rPr>
        <w:t>d</w:t>
      </w:r>
      <w:r w:rsidRPr="00C82A3D">
        <w:rPr>
          <w:sz w:val="18"/>
          <w:szCs w:val="18"/>
        </w:rPr>
        <w:tab/>
        <w:t>Сохранен в качестве справочного документа/рассмотрение будет продолжено.</w:t>
      </w:r>
    </w:p>
    <w:p w14:paraId="0E28D60A" w14:textId="16E2AF7F" w:rsidR="00C82A3D" w:rsidRPr="00C82A3D" w:rsidRDefault="00C82A3D" w:rsidP="00C82A3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firstLine="170"/>
        <w:rPr>
          <w:sz w:val="18"/>
          <w:szCs w:val="18"/>
        </w:rPr>
      </w:pPr>
      <w:r w:rsidRPr="00C82A3D">
        <w:rPr>
          <w:sz w:val="18"/>
          <w:szCs w:val="18"/>
        </w:rPr>
        <w:t>e</w:t>
      </w:r>
      <w:r w:rsidRPr="00C82A3D">
        <w:rPr>
          <w:sz w:val="18"/>
          <w:szCs w:val="18"/>
        </w:rPr>
        <w:tab/>
        <w:t>Пересмотренное предложение для следующей сессии.</w:t>
      </w:r>
    </w:p>
    <w:p w14:paraId="4FA8032A" w14:textId="139820CD" w:rsidR="00C82A3D" w:rsidRPr="00C82A3D" w:rsidRDefault="00C82A3D" w:rsidP="00C82A3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firstLine="170"/>
        <w:rPr>
          <w:sz w:val="18"/>
          <w:szCs w:val="18"/>
        </w:rPr>
      </w:pPr>
      <w:r w:rsidRPr="00C82A3D">
        <w:rPr>
          <w:sz w:val="18"/>
          <w:szCs w:val="18"/>
        </w:rPr>
        <w:t>f</w:t>
      </w:r>
      <w:r w:rsidRPr="00C82A3D">
        <w:rPr>
          <w:sz w:val="18"/>
          <w:szCs w:val="18"/>
        </w:rPr>
        <w:tab/>
        <w:t>Рассмотрение завершено либо документ подлежит замене.</w:t>
      </w:r>
    </w:p>
    <w:p w14:paraId="7B8E51AC" w14:textId="7D12A4A5" w:rsidR="00C82A3D" w:rsidRPr="00C82A3D" w:rsidRDefault="00C82A3D" w:rsidP="00C82A3D">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line="220" w:lineRule="exact"/>
        <w:ind w:left="1134" w:firstLine="170"/>
        <w:rPr>
          <w:sz w:val="18"/>
          <w:szCs w:val="18"/>
        </w:rPr>
      </w:pPr>
      <w:r w:rsidRPr="00C82A3D">
        <w:rPr>
          <w:sz w:val="18"/>
          <w:szCs w:val="18"/>
        </w:rPr>
        <w:t>g</w:t>
      </w:r>
      <w:r w:rsidRPr="00C82A3D">
        <w:rPr>
          <w:sz w:val="18"/>
          <w:szCs w:val="18"/>
        </w:rPr>
        <w:tab/>
        <w:t>Снят с обсуждения.</w:t>
      </w:r>
    </w:p>
    <w:p w14:paraId="1DE03783" w14:textId="77777777" w:rsidR="00C82A3D" w:rsidRPr="00A56802" w:rsidRDefault="00C82A3D" w:rsidP="00C82A3D">
      <w:pPr>
        <w:pStyle w:val="HChG"/>
        <w:spacing w:before="320" w:after="200"/>
        <w:rPr>
          <w:b w:val="0"/>
        </w:rPr>
      </w:pPr>
      <w:r w:rsidRPr="00A56802">
        <w:rPr>
          <w:u w:val="single"/>
        </w:rPr>
        <w:br w:type="page"/>
      </w:r>
      <w:bookmarkStart w:id="18" w:name="_Toc360526931"/>
      <w:bookmarkStart w:id="19" w:name="_Toc369772241"/>
    </w:p>
    <w:p w14:paraId="3DBE522A" w14:textId="77777777" w:rsidR="00C82A3D" w:rsidRPr="00A56802" w:rsidRDefault="00C82A3D" w:rsidP="00C82A3D">
      <w:pPr>
        <w:pStyle w:val="HChG"/>
        <w:spacing w:before="320" w:after="200"/>
      </w:pPr>
      <w:r>
        <w:rPr>
          <w:bCs/>
        </w:rPr>
        <w:lastRenderedPageBreak/>
        <w:t>Приложение II</w:t>
      </w:r>
    </w:p>
    <w:p w14:paraId="4962EA3A" w14:textId="1BE9EB2C" w:rsidR="00C82A3D" w:rsidRPr="00A56802" w:rsidRDefault="00C82A3D" w:rsidP="00C82A3D">
      <w:pPr>
        <w:pStyle w:val="HChG"/>
        <w:ind w:right="992"/>
      </w:pPr>
      <w:r>
        <w:tab/>
      </w:r>
      <w:r>
        <w:tab/>
      </w:r>
      <w:r>
        <w:rPr>
          <w:bCs/>
        </w:rPr>
        <w:t>Переходные положения для поправок серии 09 к</w:t>
      </w:r>
      <w:r w:rsidR="007A64F1">
        <w:rPr>
          <w:bCs/>
        </w:rPr>
        <w:t> </w:t>
      </w:r>
      <w:r>
        <w:rPr>
          <w:bCs/>
        </w:rPr>
        <w:t>Правилам № 48 ООН</w:t>
      </w:r>
    </w:p>
    <w:p w14:paraId="72C08C28" w14:textId="77777777" w:rsidR="00C82A3D" w:rsidRPr="00A56802" w:rsidRDefault="00C82A3D" w:rsidP="00C82A3D">
      <w:pPr>
        <w:pStyle w:val="SingleTxtG"/>
        <w:tabs>
          <w:tab w:val="left" w:pos="8505"/>
        </w:tabs>
        <w:spacing w:before="120"/>
        <w:rPr>
          <w:rFonts w:eastAsia="MS Mincho"/>
        </w:rPr>
      </w:pPr>
      <w:r>
        <w:rPr>
          <w:i/>
          <w:iCs/>
        </w:rPr>
        <w:t>Включить новый пункт 12.8 и относящиеся к нему подпункты</w:t>
      </w:r>
      <w:r>
        <w:t xml:space="preserve"> следующего содержания:</w:t>
      </w:r>
    </w:p>
    <w:p w14:paraId="5FCDD99C" w14:textId="7E873759" w:rsidR="00C82A3D" w:rsidRPr="00A56802" w:rsidRDefault="007A64F1" w:rsidP="007A64F1">
      <w:pPr>
        <w:pStyle w:val="SingleTxtG"/>
        <w:tabs>
          <w:tab w:val="clear" w:pos="1701"/>
          <w:tab w:val="left" w:pos="8505"/>
        </w:tabs>
        <w:ind w:left="2268" w:hanging="1134"/>
        <w:outlineLvl w:val="0"/>
        <w:rPr>
          <w:rFonts w:eastAsia="MS Mincho"/>
          <w:bCs/>
        </w:rPr>
      </w:pPr>
      <w:r>
        <w:t>«</w:t>
      </w:r>
      <w:r w:rsidR="00C82A3D">
        <w:t>12.8</w:t>
      </w:r>
      <w:r w:rsidR="00C82A3D">
        <w:tab/>
        <w:t>Переходные положения, применимые к поправкам серии 09</w:t>
      </w:r>
    </w:p>
    <w:p w14:paraId="772211E8" w14:textId="77777777" w:rsidR="00C82A3D" w:rsidRPr="00A56802" w:rsidRDefault="00C82A3D" w:rsidP="007A64F1">
      <w:pPr>
        <w:pStyle w:val="SingleTxtG"/>
        <w:tabs>
          <w:tab w:val="clear" w:pos="1701"/>
          <w:tab w:val="left" w:pos="8505"/>
        </w:tabs>
        <w:spacing w:line="240" w:lineRule="auto"/>
        <w:ind w:left="2268" w:hanging="1134"/>
        <w:rPr>
          <w:rFonts w:eastAsia="MS Mincho"/>
          <w:bCs/>
        </w:rPr>
      </w:pPr>
      <w:r>
        <w:t>12.8.1</w:t>
      </w:r>
      <w:r>
        <w:tab/>
        <w:t>Начиная с официальной даты вступления в силу поправок серии 09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09.</w:t>
      </w:r>
    </w:p>
    <w:p w14:paraId="7115E21F" w14:textId="77777777" w:rsidR="00C82A3D" w:rsidRPr="00A56802" w:rsidRDefault="00C82A3D" w:rsidP="007A64F1">
      <w:pPr>
        <w:pStyle w:val="SingleTxtG"/>
        <w:tabs>
          <w:tab w:val="clear" w:pos="1701"/>
          <w:tab w:val="left" w:pos="8505"/>
        </w:tabs>
        <w:spacing w:line="240" w:lineRule="auto"/>
        <w:ind w:left="2268" w:hanging="1134"/>
        <w:rPr>
          <w:rFonts w:eastAsia="MS Mincho"/>
          <w:bCs/>
        </w:rPr>
      </w:pPr>
      <w:r>
        <w:t>12.8.2</w:t>
      </w:r>
      <w:r>
        <w:tab/>
        <w:t>В случае транспортных средств категорий M, N</w:t>
      </w:r>
      <w:r>
        <w:rPr>
          <w:vertAlign w:val="subscript"/>
        </w:rPr>
        <w:t>1</w:t>
      </w:r>
      <w:r>
        <w:t>, O</w:t>
      </w:r>
      <w:r>
        <w:rPr>
          <w:vertAlign w:val="subscript"/>
        </w:rPr>
        <w:t>1</w:t>
      </w:r>
      <w:r>
        <w:t xml:space="preserve"> и O</w:t>
      </w:r>
      <w:r>
        <w:rPr>
          <w:vertAlign w:val="subscript"/>
        </w:rPr>
        <w:t>2</w:t>
      </w:r>
      <w:r>
        <w:t>:</w:t>
      </w:r>
      <w:bookmarkStart w:id="20" w:name="_Hlk133417572"/>
      <w:bookmarkEnd w:id="20"/>
    </w:p>
    <w:p w14:paraId="6F90AE61" w14:textId="05165226" w:rsidR="00C82A3D" w:rsidRPr="00A56802" w:rsidRDefault="00C82A3D" w:rsidP="007A64F1">
      <w:pPr>
        <w:pStyle w:val="SingleTxtG"/>
        <w:tabs>
          <w:tab w:val="clear" w:pos="1701"/>
          <w:tab w:val="left" w:pos="8505"/>
        </w:tabs>
        <w:spacing w:line="240" w:lineRule="auto"/>
        <w:ind w:left="2268" w:hanging="1134"/>
        <w:rPr>
          <w:rFonts w:eastAsia="MS Mincho"/>
          <w:bCs/>
        </w:rPr>
      </w:pPr>
      <w:r>
        <w:t>12.8.2.1</w:t>
      </w:r>
      <w:r>
        <w:tab/>
        <w:t>Начиная с 1</w:t>
      </w:r>
      <w:r w:rsidR="007A64F1">
        <w:t> </w:t>
      </w:r>
      <w:r>
        <w:t>сентября 2027</w:t>
      </w:r>
      <w:r w:rsidR="007A64F1">
        <w:t> </w:t>
      </w:r>
      <w:r>
        <w:t>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2027 года.</w:t>
      </w:r>
      <w:bookmarkStart w:id="21" w:name="_Hlk132268311"/>
      <w:bookmarkEnd w:id="21"/>
    </w:p>
    <w:p w14:paraId="1C7EA777" w14:textId="77777777" w:rsidR="00C82A3D" w:rsidRPr="00A56802" w:rsidRDefault="00C82A3D" w:rsidP="007A64F1">
      <w:pPr>
        <w:tabs>
          <w:tab w:val="left" w:pos="8505"/>
        </w:tabs>
        <w:autoSpaceDE w:val="0"/>
        <w:autoSpaceDN w:val="0"/>
        <w:adjustRightInd w:val="0"/>
        <w:spacing w:after="120" w:line="240" w:lineRule="auto"/>
        <w:ind w:left="2268" w:right="1134" w:hanging="1134"/>
        <w:jc w:val="both"/>
        <w:rPr>
          <w:rFonts w:eastAsia="MS Mincho"/>
          <w:bCs/>
        </w:rPr>
      </w:pPr>
      <w:r>
        <w:t>12.8.2.2</w:t>
      </w:r>
      <w:r>
        <w:tab/>
        <w:t>До 1 сентября 2030 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предыдущих серий до 1 сентября 2027 года.</w:t>
      </w:r>
    </w:p>
    <w:p w14:paraId="41EB4D2F" w14:textId="77777777" w:rsidR="00C82A3D" w:rsidRPr="00A56802" w:rsidRDefault="00C82A3D" w:rsidP="007A64F1">
      <w:pPr>
        <w:tabs>
          <w:tab w:val="left" w:pos="8505"/>
        </w:tabs>
        <w:autoSpaceDE w:val="0"/>
        <w:autoSpaceDN w:val="0"/>
        <w:adjustRightInd w:val="0"/>
        <w:spacing w:after="120" w:line="240" w:lineRule="auto"/>
        <w:ind w:left="2268" w:right="1134" w:hanging="1134"/>
        <w:jc w:val="both"/>
        <w:rPr>
          <w:rFonts w:eastAsia="MS Mincho"/>
          <w:bCs/>
        </w:rPr>
      </w:pPr>
      <w:r>
        <w:t>12.8.2.3</w:t>
      </w:r>
      <w:r>
        <w:tab/>
        <w:t>Начиная с 1 сентября 2030 года Договаривающиеся стороны, применяющие настоящие Правила, не обязаны признавать официальные утверждения типа и их распространения, предоставленные на основании предшествующих серий поправок к настоящим Правилам.</w:t>
      </w:r>
    </w:p>
    <w:p w14:paraId="7AFCCC74" w14:textId="77777777" w:rsidR="00C82A3D" w:rsidRPr="00A56802" w:rsidRDefault="00C82A3D" w:rsidP="007A64F1">
      <w:pPr>
        <w:tabs>
          <w:tab w:val="left" w:pos="8505"/>
        </w:tabs>
        <w:autoSpaceDE w:val="0"/>
        <w:autoSpaceDN w:val="0"/>
        <w:adjustRightInd w:val="0"/>
        <w:spacing w:after="120" w:line="240" w:lineRule="auto"/>
        <w:ind w:left="2268" w:right="1134" w:hanging="1134"/>
        <w:jc w:val="both"/>
        <w:rPr>
          <w:rFonts w:eastAsia="MS Mincho"/>
          <w:bCs/>
        </w:rPr>
      </w:pPr>
      <w:r>
        <w:t>12.8.3</w:t>
      </w:r>
      <w:r>
        <w:tab/>
        <w:t>В случае транспортных средств категорий N</w:t>
      </w:r>
      <w:r>
        <w:rPr>
          <w:vertAlign w:val="subscript"/>
        </w:rPr>
        <w:t>2</w:t>
      </w:r>
      <w:r>
        <w:t>, N</w:t>
      </w:r>
      <w:r>
        <w:rPr>
          <w:vertAlign w:val="subscript"/>
        </w:rPr>
        <w:t>3</w:t>
      </w:r>
      <w:r>
        <w:t>, O</w:t>
      </w:r>
      <w:r>
        <w:rPr>
          <w:vertAlign w:val="subscript"/>
        </w:rPr>
        <w:t>3</w:t>
      </w:r>
      <w:r>
        <w:t xml:space="preserve"> и O</w:t>
      </w:r>
      <w:r>
        <w:rPr>
          <w:vertAlign w:val="subscript"/>
        </w:rPr>
        <w:t>4</w:t>
      </w:r>
      <w:r>
        <w:t>:</w:t>
      </w:r>
    </w:p>
    <w:p w14:paraId="4F3C69D0" w14:textId="70BF1FE0" w:rsidR="00C82A3D" w:rsidRPr="00A56802" w:rsidRDefault="00C82A3D" w:rsidP="007A64F1">
      <w:pPr>
        <w:pStyle w:val="SingleTxtG"/>
        <w:tabs>
          <w:tab w:val="clear" w:pos="1701"/>
          <w:tab w:val="left" w:pos="8505"/>
        </w:tabs>
        <w:spacing w:line="240" w:lineRule="auto"/>
        <w:ind w:left="2268" w:hanging="1134"/>
        <w:rPr>
          <w:rFonts w:eastAsia="MS Mincho"/>
          <w:bCs/>
        </w:rPr>
      </w:pPr>
      <w:r>
        <w:t>12.8.3.1</w:t>
      </w:r>
      <w:r>
        <w:tab/>
        <w:t>Начиная с 1</w:t>
      </w:r>
      <w:r w:rsidR="007A64F1">
        <w:t> </w:t>
      </w:r>
      <w:r>
        <w:t>сентября 2028</w:t>
      </w:r>
      <w:r w:rsidR="007A64F1">
        <w:t> </w:t>
      </w:r>
      <w:r>
        <w:t>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2028 года.</w:t>
      </w:r>
    </w:p>
    <w:p w14:paraId="5BB42B26" w14:textId="77777777" w:rsidR="00C82A3D" w:rsidRPr="00A56802" w:rsidRDefault="00C82A3D" w:rsidP="007A64F1">
      <w:pPr>
        <w:tabs>
          <w:tab w:val="left" w:pos="8505"/>
        </w:tabs>
        <w:autoSpaceDE w:val="0"/>
        <w:autoSpaceDN w:val="0"/>
        <w:adjustRightInd w:val="0"/>
        <w:spacing w:after="120" w:line="240" w:lineRule="auto"/>
        <w:ind w:left="2268" w:right="1134" w:hanging="1134"/>
        <w:jc w:val="both"/>
        <w:rPr>
          <w:rFonts w:eastAsia="MS Mincho"/>
          <w:bCs/>
        </w:rPr>
      </w:pPr>
      <w:r>
        <w:t>12.8.3.2</w:t>
      </w:r>
      <w:r>
        <w:tab/>
        <w:t>До 1 сентября 2031 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предыдущих серий до 1 сентября 2028 года.</w:t>
      </w:r>
    </w:p>
    <w:p w14:paraId="29E841CC" w14:textId="6802777E" w:rsidR="00C82A3D" w:rsidRPr="00A56802" w:rsidRDefault="00C82A3D" w:rsidP="007A64F1">
      <w:pPr>
        <w:tabs>
          <w:tab w:val="left" w:pos="8505"/>
        </w:tabs>
        <w:autoSpaceDE w:val="0"/>
        <w:autoSpaceDN w:val="0"/>
        <w:adjustRightInd w:val="0"/>
        <w:spacing w:after="120" w:line="240" w:lineRule="auto"/>
        <w:ind w:left="2268" w:right="1134" w:hanging="1134"/>
        <w:jc w:val="both"/>
        <w:rPr>
          <w:rFonts w:eastAsia="MS Mincho"/>
          <w:bCs/>
        </w:rPr>
      </w:pPr>
      <w:r>
        <w:t>12.8.3.3</w:t>
      </w:r>
      <w:r>
        <w:tab/>
        <w:t>Начиная с 1</w:t>
      </w:r>
      <w:r w:rsidR="007A64F1">
        <w:t> </w:t>
      </w:r>
      <w:r>
        <w:t>сентября 2031</w:t>
      </w:r>
      <w:r w:rsidR="007A64F1">
        <w:t> </w:t>
      </w:r>
      <w:r>
        <w:t>года Договаривающиеся стороны, применяющие настоящие Правила, не обязаны признавать официальные утверждения типа и их распространения, предоставленные на основании предшествующих серий поправок к настоящим Правилам.</w:t>
      </w:r>
    </w:p>
    <w:p w14:paraId="4E3105A7" w14:textId="77777777" w:rsidR="00C82A3D" w:rsidRPr="00A56802" w:rsidRDefault="00C82A3D" w:rsidP="007A64F1">
      <w:pPr>
        <w:pStyle w:val="SingleTxtG"/>
        <w:tabs>
          <w:tab w:val="clear" w:pos="1701"/>
          <w:tab w:val="left" w:pos="8505"/>
        </w:tabs>
        <w:spacing w:before="120"/>
        <w:ind w:left="2268" w:hanging="1134"/>
        <w:rPr>
          <w:rFonts w:eastAsia="MS Mincho"/>
          <w:bCs/>
          <w:iCs/>
        </w:rPr>
      </w:pPr>
      <w:r>
        <w:t>12.8.4</w:t>
      </w:r>
      <w:r>
        <w:tab/>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предшествующих серий поправок к настоящим Правилам ООН.</w:t>
      </w:r>
    </w:p>
    <w:p w14:paraId="49B2A9A4" w14:textId="45BA5963" w:rsidR="00C82A3D" w:rsidRPr="00A56802" w:rsidRDefault="00C82A3D" w:rsidP="007A64F1">
      <w:pPr>
        <w:pStyle w:val="SingleTxtG"/>
        <w:tabs>
          <w:tab w:val="clear" w:pos="1701"/>
          <w:tab w:val="left" w:pos="8505"/>
        </w:tabs>
        <w:spacing w:before="120"/>
        <w:ind w:left="2268" w:hanging="1134"/>
        <w:rPr>
          <w:rFonts w:eastAsia="MS Mincho"/>
          <w:bCs/>
        </w:rPr>
      </w:pPr>
      <w:r>
        <w:t>12.8.5</w:t>
      </w:r>
      <w:r>
        <w:tab/>
        <w:t>Независимо от предписаний пунктов 12.8.2.3 и 12.8.3.3 Договаривающиеся стороны, применяющие настоящие Правила, продолжают признавать официальные утверждения типа, предоставленные на основании предшествующих серий поправок к настоящим Правилам в отношении типов транспортных средств, которые не затронуты изменениями, внесенными на основании поправок серии</w:t>
      </w:r>
      <w:r w:rsidR="00B77E9E">
        <w:t> </w:t>
      </w:r>
      <w:r>
        <w:t>09.</w:t>
      </w:r>
    </w:p>
    <w:p w14:paraId="6622C77A" w14:textId="77777777" w:rsidR="00C82A3D" w:rsidRPr="00A56802" w:rsidRDefault="00C82A3D" w:rsidP="007A64F1">
      <w:pPr>
        <w:pStyle w:val="SingleTxtG"/>
        <w:tabs>
          <w:tab w:val="clear" w:pos="1701"/>
          <w:tab w:val="left" w:pos="8505"/>
        </w:tabs>
        <w:spacing w:before="120"/>
        <w:ind w:left="2268" w:hanging="1134"/>
        <w:rPr>
          <w:rFonts w:eastAsia="MS Mincho"/>
          <w:bCs/>
          <w:strike/>
        </w:rPr>
      </w:pPr>
      <w:r>
        <w:lastRenderedPageBreak/>
        <w:t>12.8.6</w:t>
      </w:r>
      <w:r>
        <w:tab/>
        <w:t>Договаривающиеся стороны, применяющие настоящие Правила, могут предоставлять официальные утверждения типа на основании любой предшествующей серии поправок к настоящим Правилам.</w:t>
      </w:r>
    </w:p>
    <w:p w14:paraId="09E276D2" w14:textId="3DCBB0EF" w:rsidR="00C82A3D" w:rsidRPr="00A56802" w:rsidRDefault="00C82A3D" w:rsidP="007A64F1">
      <w:pPr>
        <w:spacing w:after="120"/>
        <w:ind w:left="2268" w:right="1134" w:hanging="1134"/>
        <w:jc w:val="both"/>
      </w:pPr>
      <w:r>
        <w:t>12.8.7</w:t>
      </w:r>
      <w: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предшествующей серии поправок к настоящим Правилам</w:t>
      </w:r>
      <w:r w:rsidR="00134465">
        <w:t>»</w:t>
      </w:r>
      <w:r>
        <w:t>.</w:t>
      </w:r>
    </w:p>
    <w:p w14:paraId="4FF501F9" w14:textId="77777777" w:rsidR="00C82A3D" w:rsidRPr="00A56802" w:rsidRDefault="00C82A3D" w:rsidP="00C82A3D">
      <w:pPr>
        <w:suppressAutoHyphens w:val="0"/>
        <w:spacing w:line="240" w:lineRule="auto"/>
      </w:pPr>
      <w:r w:rsidRPr="00A56802">
        <w:br w:type="page"/>
      </w:r>
    </w:p>
    <w:bookmarkEnd w:id="18"/>
    <w:bookmarkEnd w:id="19"/>
    <w:p w14:paraId="05598354" w14:textId="77777777" w:rsidR="00C82A3D" w:rsidRPr="0039573A" w:rsidRDefault="00C82A3D" w:rsidP="00C82A3D">
      <w:pPr>
        <w:pStyle w:val="HChG"/>
      </w:pPr>
      <w:r>
        <w:rPr>
          <w:bCs/>
        </w:rPr>
        <w:lastRenderedPageBreak/>
        <w:t>Приложение III</w:t>
      </w:r>
    </w:p>
    <w:p w14:paraId="560FE722" w14:textId="77777777" w:rsidR="00C82A3D" w:rsidRPr="0039573A" w:rsidRDefault="00C82A3D" w:rsidP="00124282">
      <w:pPr>
        <w:pStyle w:val="HChG"/>
      </w:pPr>
      <w:r>
        <w:tab/>
      </w:r>
      <w:r>
        <w:tab/>
      </w:r>
      <w:r w:rsidRPr="00124282">
        <w:t>Неофициальные</w:t>
      </w:r>
      <w:r>
        <w:rPr>
          <w:bCs/>
        </w:rPr>
        <w:t xml:space="preserve"> группы GRE</w:t>
      </w:r>
    </w:p>
    <w:tbl>
      <w:tblPr>
        <w:tblW w:w="8505" w:type="dxa"/>
        <w:tblInd w:w="1134" w:type="dxa"/>
        <w:tblLayout w:type="fixed"/>
        <w:tblCellMar>
          <w:left w:w="0" w:type="dxa"/>
          <w:right w:w="0" w:type="dxa"/>
        </w:tblCellMar>
        <w:tblLook w:val="01E0" w:firstRow="1" w:lastRow="1" w:firstColumn="1" w:lastColumn="1" w:noHBand="0" w:noVBand="0"/>
      </w:tblPr>
      <w:tblGrid>
        <w:gridCol w:w="1985"/>
        <w:gridCol w:w="3432"/>
        <w:gridCol w:w="3088"/>
      </w:tblGrid>
      <w:tr w:rsidR="00C82A3D" w:rsidRPr="00A11DA7" w14:paraId="55162C52" w14:textId="77777777" w:rsidTr="006D3C4C">
        <w:tc>
          <w:tcPr>
            <w:tcW w:w="1985" w:type="dxa"/>
            <w:tcBorders>
              <w:top w:val="single" w:sz="4" w:space="0" w:color="auto"/>
              <w:bottom w:val="single" w:sz="12" w:space="0" w:color="auto"/>
            </w:tcBorders>
            <w:tcMar>
              <w:left w:w="113" w:type="dxa"/>
            </w:tcMar>
            <w:vAlign w:val="bottom"/>
          </w:tcPr>
          <w:p w14:paraId="3B22F757" w14:textId="77777777" w:rsidR="00C82A3D" w:rsidRPr="00B77E9E" w:rsidRDefault="00C82A3D" w:rsidP="00135DE7">
            <w:pPr>
              <w:tabs>
                <w:tab w:val="left" w:pos="5103"/>
              </w:tabs>
              <w:spacing w:before="80" w:after="80" w:line="200" w:lineRule="atLeast"/>
              <w:ind w:right="113"/>
              <w:rPr>
                <w:i/>
                <w:sz w:val="16"/>
                <w:szCs w:val="16"/>
              </w:rPr>
            </w:pPr>
            <w:r w:rsidRPr="00B77E9E">
              <w:rPr>
                <w:i/>
                <w:iCs/>
                <w:sz w:val="16"/>
                <w:szCs w:val="16"/>
              </w:rPr>
              <w:t>Неофициальные группы</w:t>
            </w:r>
          </w:p>
        </w:tc>
        <w:tc>
          <w:tcPr>
            <w:tcW w:w="3432" w:type="dxa"/>
            <w:tcBorders>
              <w:top w:val="single" w:sz="4" w:space="0" w:color="auto"/>
              <w:bottom w:val="single" w:sz="12" w:space="0" w:color="auto"/>
            </w:tcBorders>
            <w:tcMar>
              <w:left w:w="113" w:type="dxa"/>
            </w:tcMar>
            <w:vAlign w:val="bottom"/>
          </w:tcPr>
          <w:p w14:paraId="4777A556" w14:textId="77777777" w:rsidR="00C82A3D" w:rsidRPr="00B77E9E" w:rsidRDefault="00C82A3D" w:rsidP="00135DE7">
            <w:pPr>
              <w:tabs>
                <w:tab w:val="left" w:pos="5103"/>
              </w:tabs>
              <w:spacing w:before="80" w:after="80" w:line="200" w:lineRule="atLeast"/>
              <w:ind w:right="113"/>
              <w:rPr>
                <w:i/>
                <w:sz w:val="16"/>
                <w:szCs w:val="16"/>
              </w:rPr>
            </w:pPr>
            <w:r w:rsidRPr="00B77E9E">
              <w:rPr>
                <w:i/>
                <w:iCs/>
                <w:sz w:val="16"/>
                <w:szCs w:val="16"/>
              </w:rPr>
              <w:t>Председатель(и) и сопредседатель(и)</w:t>
            </w:r>
          </w:p>
        </w:tc>
        <w:tc>
          <w:tcPr>
            <w:tcW w:w="3088" w:type="dxa"/>
            <w:tcBorders>
              <w:top w:val="single" w:sz="4" w:space="0" w:color="auto"/>
              <w:bottom w:val="single" w:sz="12" w:space="0" w:color="auto"/>
            </w:tcBorders>
            <w:tcMar>
              <w:left w:w="113" w:type="dxa"/>
            </w:tcMar>
            <w:vAlign w:val="bottom"/>
          </w:tcPr>
          <w:p w14:paraId="540EC130" w14:textId="77777777" w:rsidR="00C82A3D" w:rsidRPr="00B77E9E" w:rsidRDefault="00C82A3D" w:rsidP="00135DE7">
            <w:pPr>
              <w:tabs>
                <w:tab w:val="left" w:pos="5103"/>
              </w:tabs>
              <w:spacing w:before="80" w:after="80" w:line="200" w:lineRule="atLeast"/>
              <w:ind w:right="113"/>
              <w:rPr>
                <w:i/>
                <w:sz w:val="16"/>
                <w:szCs w:val="16"/>
              </w:rPr>
            </w:pPr>
            <w:r w:rsidRPr="00B77E9E">
              <w:rPr>
                <w:i/>
                <w:iCs/>
                <w:sz w:val="16"/>
                <w:szCs w:val="16"/>
              </w:rPr>
              <w:t>Секретарь</w:t>
            </w:r>
          </w:p>
        </w:tc>
      </w:tr>
      <w:tr w:rsidR="00C82A3D" w:rsidRPr="00A56802" w14:paraId="39EFE963" w14:textId="77777777" w:rsidTr="006D3C4C">
        <w:trPr>
          <w:trHeight w:val="1151"/>
        </w:trPr>
        <w:tc>
          <w:tcPr>
            <w:tcW w:w="1985" w:type="dxa"/>
            <w:tcBorders>
              <w:top w:val="single" w:sz="12" w:space="0" w:color="auto"/>
              <w:bottom w:val="single" w:sz="4" w:space="0" w:color="auto"/>
            </w:tcBorders>
            <w:tcMar>
              <w:left w:w="113" w:type="dxa"/>
            </w:tcMar>
          </w:tcPr>
          <w:p w14:paraId="4EAF367B" w14:textId="180A19D2" w:rsidR="00C82A3D" w:rsidRPr="00A56802" w:rsidRDefault="00C82A3D" w:rsidP="00135DE7">
            <w:pPr>
              <w:tabs>
                <w:tab w:val="left" w:pos="5103"/>
              </w:tabs>
              <w:spacing w:before="40" w:line="240" w:lineRule="exact"/>
            </w:pPr>
            <w:r>
              <w:t>Упрощение правил ООН, касающихся освещения и</w:t>
            </w:r>
            <w:r w:rsidR="00B77E9E">
              <w:t> </w:t>
            </w:r>
            <w:r>
              <w:t>световой сигнализации (УПОC)</w:t>
            </w:r>
          </w:p>
        </w:tc>
        <w:tc>
          <w:tcPr>
            <w:tcW w:w="3432" w:type="dxa"/>
            <w:tcBorders>
              <w:top w:val="single" w:sz="12" w:space="0" w:color="auto"/>
              <w:bottom w:val="single" w:sz="4" w:space="0" w:color="auto"/>
            </w:tcBorders>
            <w:tcMar>
              <w:top w:w="113" w:type="dxa"/>
              <w:left w:w="113" w:type="dxa"/>
              <w:bottom w:w="113" w:type="dxa"/>
            </w:tcMar>
          </w:tcPr>
          <w:p w14:paraId="32C9EDB8" w14:textId="77777777" w:rsidR="00C82A3D" w:rsidRPr="00A56802" w:rsidRDefault="00C82A3D" w:rsidP="006D3C4C">
            <w:pPr>
              <w:tabs>
                <w:tab w:val="left" w:pos="5103"/>
              </w:tabs>
              <w:spacing w:before="40" w:after="120" w:line="240" w:lineRule="exact"/>
            </w:pPr>
            <w:r>
              <w:t>Г-н Дервин Роверс (Нидерланды)</w:t>
            </w:r>
          </w:p>
          <w:p w14:paraId="603D7A4F" w14:textId="7E950022" w:rsidR="00C82A3D" w:rsidRPr="00A56802" w:rsidRDefault="00C82A3D" w:rsidP="00C56ED8">
            <w:pPr>
              <w:tabs>
                <w:tab w:val="left" w:pos="5103"/>
              </w:tabs>
              <w:spacing w:before="40" w:line="240" w:lineRule="exact"/>
            </w:pPr>
            <w:r>
              <w:t>Г-н Александер Лазаревич (EК)</w:t>
            </w:r>
          </w:p>
        </w:tc>
        <w:tc>
          <w:tcPr>
            <w:tcW w:w="3088" w:type="dxa"/>
            <w:tcBorders>
              <w:top w:val="single" w:sz="12" w:space="0" w:color="auto"/>
              <w:bottom w:val="single" w:sz="4" w:space="0" w:color="auto"/>
            </w:tcBorders>
            <w:tcMar>
              <w:top w:w="0" w:type="dxa"/>
              <w:left w:w="113" w:type="dxa"/>
              <w:bottom w:w="0" w:type="dxa"/>
            </w:tcMar>
          </w:tcPr>
          <w:p w14:paraId="7FC8158E" w14:textId="1578C8AF" w:rsidR="00C82A3D" w:rsidRPr="00A56802" w:rsidRDefault="00C82A3D" w:rsidP="00C56ED8">
            <w:pPr>
              <w:tabs>
                <w:tab w:val="left" w:pos="5103"/>
              </w:tabs>
              <w:spacing w:before="40" w:line="240" w:lineRule="exact"/>
            </w:pPr>
            <w:r>
              <w:t>Г-н Давиде Пульизи (БРГ)</w:t>
            </w:r>
          </w:p>
        </w:tc>
      </w:tr>
      <w:tr w:rsidR="00C82A3D" w:rsidRPr="00A56802" w14:paraId="10710CB2" w14:textId="77777777" w:rsidTr="006D3C4C">
        <w:trPr>
          <w:trHeight w:val="765"/>
        </w:trPr>
        <w:tc>
          <w:tcPr>
            <w:tcW w:w="1985" w:type="dxa"/>
            <w:tcBorders>
              <w:top w:val="single" w:sz="4" w:space="0" w:color="auto"/>
              <w:bottom w:val="single" w:sz="12" w:space="0" w:color="auto"/>
            </w:tcBorders>
            <w:tcMar>
              <w:left w:w="113" w:type="dxa"/>
            </w:tcMar>
          </w:tcPr>
          <w:p w14:paraId="43D95E18" w14:textId="1F4199BA" w:rsidR="006D3C4C" w:rsidRPr="0039573A" w:rsidRDefault="00C82A3D" w:rsidP="006D3C4C">
            <w:pPr>
              <w:tabs>
                <w:tab w:val="left" w:pos="5103"/>
              </w:tabs>
              <w:spacing w:before="40" w:line="240" w:lineRule="exact"/>
            </w:pPr>
            <w:r>
              <w:t>Электромагнитная совместимость (ЭMC)</w:t>
            </w:r>
          </w:p>
        </w:tc>
        <w:tc>
          <w:tcPr>
            <w:tcW w:w="3432" w:type="dxa"/>
            <w:tcBorders>
              <w:top w:val="single" w:sz="4" w:space="0" w:color="auto"/>
              <w:bottom w:val="single" w:sz="12" w:space="0" w:color="auto"/>
            </w:tcBorders>
            <w:tcMar>
              <w:top w:w="113" w:type="dxa"/>
              <w:left w:w="113" w:type="dxa"/>
              <w:bottom w:w="113" w:type="dxa"/>
            </w:tcMar>
          </w:tcPr>
          <w:p w14:paraId="1A6DACC5" w14:textId="05AC010B" w:rsidR="00C82A3D" w:rsidRPr="00A56802" w:rsidRDefault="00C82A3D" w:rsidP="006D3C4C">
            <w:pPr>
              <w:tabs>
                <w:tab w:val="left" w:pos="5103"/>
              </w:tabs>
              <w:spacing w:before="40" w:line="240" w:lineRule="exact"/>
            </w:pPr>
            <w:r>
              <w:t>Г-н Зисис Цакиридис (Германия)</w:t>
            </w:r>
          </w:p>
        </w:tc>
        <w:tc>
          <w:tcPr>
            <w:tcW w:w="3088" w:type="dxa"/>
            <w:tcBorders>
              <w:top w:val="single" w:sz="4" w:space="0" w:color="auto"/>
              <w:bottom w:val="single" w:sz="12" w:space="0" w:color="auto"/>
            </w:tcBorders>
            <w:tcMar>
              <w:top w:w="0" w:type="dxa"/>
              <w:left w:w="113" w:type="dxa"/>
              <w:bottom w:w="0" w:type="dxa"/>
            </w:tcMar>
          </w:tcPr>
          <w:p w14:paraId="3C8D3683" w14:textId="32B0A876" w:rsidR="00C82A3D" w:rsidRPr="00A56802" w:rsidRDefault="00C82A3D" w:rsidP="006D3C4C">
            <w:pPr>
              <w:tabs>
                <w:tab w:val="left" w:pos="5103"/>
              </w:tabs>
              <w:spacing w:before="40" w:line="240" w:lineRule="exact"/>
            </w:pPr>
            <w:r>
              <w:t>Г-н Жан-Марк Прижан (МОПАП)</w:t>
            </w:r>
          </w:p>
        </w:tc>
      </w:tr>
    </w:tbl>
    <w:p w14:paraId="3D0108EB" w14:textId="0834D481" w:rsidR="00E12C5F" w:rsidRPr="008D53B6" w:rsidRDefault="00C82A3D" w:rsidP="00C82A3D">
      <w:pPr>
        <w:pStyle w:val="SingleTxtG"/>
        <w:spacing w:before="240" w:after="0"/>
        <w:jc w:val="center"/>
      </w:pPr>
      <w:r w:rsidRPr="00A56802">
        <w:rPr>
          <w:u w:val="single"/>
        </w:rPr>
        <w:tab/>
      </w:r>
      <w:r w:rsidRPr="00A56802">
        <w:rPr>
          <w:u w:val="single"/>
        </w:rPr>
        <w:tab/>
      </w:r>
      <w:r w:rsidRPr="00A56802">
        <w:rPr>
          <w:u w:val="single"/>
        </w:rPr>
        <w:tab/>
      </w:r>
      <w:r w:rsidRPr="00A56802">
        <w:rPr>
          <w:u w:val="single"/>
        </w:rPr>
        <w:tab/>
      </w:r>
    </w:p>
    <w:sectPr w:rsidR="00E12C5F" w:rsidRPr="008D53B6" w:rsidSect="00C82A3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DCD4" w14:textId="77777777" w:rsidR="005C2A6B" w:rsidRPr="00A312BC" w:rsidRDefault="005C2A6B" w:rsidP="00A312BC"/>
  </w:endnote>
  <w:endnote w:type="continuationSeparator" w:id="0">
    <w:p w14:paraId="41A1EABB" w14:textId="77777777" w:rsidR="005C2A6B" w:rsidRPr="00A312BC" w:rsidRDefault="005C2A6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B31F" w14:textId="35FEA2FC" w:rsidR="00C82A3D" w:rsidRPr="00C82A3D" w:rsidRDefault="00C82A3D">
    <w:pPr>
      <w:pStyle w:val="a8"/>
    </w:pPr>
    <w:r w:rsidRPr="00C82A3D">
      <w:rPr>
        <w:b/>
        <w:sz w:val="18"/>
      </w:rPr>
      <w:fldChar w:fldCharType="begin"/>
    </w:r>
    <w:r w:rsidRPr="00C82A3D">
      <w:rPr>
        <w:b/>
        <w:sz w:val="18"/>
      </w:rPr>
      <w:instrText xml:space="preserve"> PAGE  \* MERGEFORMAT </w:instrText>
    </w:r>
    <w:r w:rsidRPr="00C82A3D">
      <w:rPr>
        <w:b/>
        <w:sz w:val="18"/>
      </w:rPr>
      <w:fldChar w:fldCharType="separate"/>
    </w:r>
    <w:r w:rsidRPr="00C82A3D">
      <w:rPr>
        <w:b/>
        <w:noProof/>
        <w:sz w:val="18"/>
      </w:rPr>
      <w:t>2</w:t>
    </w:r>
    <w:r w:rsidRPr="00C82A3D">
      <w:rPr>
        <w:b/>
        <w:sz w:val="18"/>
      </w:rPr>
      <w:fldChar w:fldCharType="end"/>
    </w:r>
    <w:r>
      <w:rPr>
        <w:b/>
        <w:sz w:val="18"/>
      </w:rPr>
      <w:tab/>
    </w:r>
    <w:r>
      <w:t>GE.23-09965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4A8" w14:textId="5E09C6B6" w:rsidR="00C82A3D" w:rsidRPr="00C82A3D" w:rsidRDefault="00C82A3D" w:rsidP="00C82A3D">
    <w:pPr>
      <w:pStyle w:val="a8"/>
      <w:tabs>
        <w:tab w:val="clear" w:pos="9639"/>
        <w:tab w:val="right" w:pos="9638"/>
      </w:tabs>
      <w:rPr>
        <w:b/>
        <w:sz w:val="18"/>
      </w:rPr>
    </w:pPr>
    <w:r>
      <w:t>GE.23-09965</w:t>
    </w:r>
    <w:r>
      <w:tab/>
    </w:r>
    <w:r w:rsidRPr="00C82A3D">
      <w:rPr>
        <w:b/>
        <w:sz w:val="18"/>
      </w:rPr>
      <w:fldChar w:fldCharType="begin"/>
    </w:r>
    <w:r w:rsidRPr="00C82A3D">
      <w:rPr>
        <w:b/>
        <w:sz w:val="18"/>
      </w:rPr>
      <w:instrText xml:space="preserve"> PAGE  \* MERGEFORMAT </w:instrText>
    </w:r>
    <w:r w:rsidRPr="00C82A3D">
      <w:rPr>
        <w:b/>
        <w:sz w:val="18"/>
      </w:rPr>
      <w:fldChar w:fldCharType="separate"/>
    </w:r>
    <w:r w:rsidRPr="00C82A3D">
      <w:rPr>
        <w:b/>
        <w:noProof/>
        <w:sz w:val="18"/>
      </w:rPr>
      <w:t>3</w:t>
    </w:r>
    <w:r w:rsidRPr="00C82A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D0D9" w14:textId="721DE025" w:rsidR="00042B72" w:rsidRPr="00C82A3D" w:rsidRDefault="00C82A3D" w:rsidP="00C82A3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49B56BA9" wp14:editId="7176D2D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23-09965  (R)</w:t>
    </w:r>
    <w:r>
      <w:rPr>
        <w:noProof/>
      </w:rPr>
      <w:drawing>
        <wp:anchor distT="0" distB="0" distL="114300" distR="114300" simplePos="0" relativeHeight="251659264" behindDoc="0" locked="0" layoutInCell="1" allowOverlap="1" wp14:anchorId="2E53AF84" wp14:editId="076A71F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957">
      <w:t xml:space="preserve">  120623  140623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69C" w14:textId="77777777" w:rsidR="005C2A6B" w:rsidRPr="001075E9" w:rsidRDefault="005C2A6B" w:rsidP="001075E9">
      <w:pPr>
        <w:tabs>
          <w:tab w:val="right" w:pos="2155"/>
        </w:tabs>
        <w:spacing w:after="80" w:line="240" w:lineRule="auto"/>
        <w:ind w:left="680"/>
        <w:rPr>
          <w:u w:val="single"/>
        </w:rPr>
      </w:pPr>
      <w:r>
        <w:rPr>
          <w:u w:val="single"/>
        </w:rPr>
        <w:tab/>
      </w:r>
    </w:p>
  </w:footnote>
  <w:footnote w:type="continuationSeparator" w:id="0">
    <w:p w14:paraId="77F15B50" w14:textId="77777777" w:rsidR="005C2A6B" w:rsidRDefault="005C2A6B"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5A3A" w14:textId="7C5818EA" w:rsidR="00C82A3D" w:rsidRPr="00C82A3D" w:rsidRDefault="00D43933">
    <w:pPr>
      <w:pStyle w:val="a5"/>
    </w:pPr>
    <w:r>
      <w:fldChar w:fldCharType="begin"/>
    </w:r>
    <w:r>
      <w:instrText xml:space="preserve"> TITLE  \* MERGEFORMAT </w:instrText>
    </w:r>
    <w:r>
      <w:fldChar w:fldCharType="separate"/>
    </w:r>
    <w:r w:rsidR="00C45947">
      <w:t>ECE/TRANS/WP.29/GRE/88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2C84" w14:textId="315889EA" w:rsidR="00C82A3D" w:rsidRPr="00C82A3D" w:rsidRDefault="00D43933" w:rsidP="00C82A3D">
    <w:pPr>
      <w:pStyle w:val="a5"/>
      <w:jc w:val="right"/>
    </w:pPr>
    <w:r>
      <w:fldChar w:fldCharType="begin"/>
    </w:r>
    <w:r>
      <w:instrText xml:space="preserve"> TITLE  \* MERGEFORMAT </w:instrText>
    </w:r>
    <w:r>
      <w:fldChar w:fldCharType="separate"/>
    </w:r>
    <w:r w:rsidR="00C45947">
      <w:t>ECE/TRANS/WP.29/GRE/88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5560" w14:textId="77777777" w:rsidR="00530957" w:rsidRDefault="00530957" w:rsidP="0053095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0753447"/>
    <w:multiLevelType w:val="hybridMultilevel"/>
    <w:tmpl w:val="B13619C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121F2"/>
    <w:multiLevelType w:val="hybridMultilevel"/>
    <w:tmpl w:val="E3C6D91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292E42"/>
    <w:multiLevelType w:val="hybridMultilevel"/>
    <w:tmpl w:val="89EEDD86"/>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7414488">
    <w:abstractNumId w:val="19"/>
  </w:num>
  <w:num w:numId="2" w16cid:durableId="210307778">
    <w:abstractNumId w:val="12"/>
  </w:num>
  <w:num w:numId="3" w16cid:durableId="244346405">
    <w:abstractNumId w:val="10"/>
  </w:num>
  <w:num w:numId="4" w16cid:durableId="1996713743">
    <w:abstractNumId w:val="20"/>
  </w:num>
  <w:num w:numId="5" w16cid:durableId="847334486">
    <w:abstractNumId w:val="15"/>
  </w:num>
  <w:num w:numId="6" w16cid:durableId="331951734">
    <w:abstractNumId w:val="8"/>
  </w:num>
  <w:num w:numId="7" w16cid:durableId="179783081">
    <w:abstractNumId w:val="3"/>
  </w:num>
  <w:num w:numId="8" w16cid:durableId="80222735">
    <w:abstractNumId w:val="2"/>
  </w:num>
  <w:num w:numId="9" w16cid:durableId="1758940975">
    <w:abstractNumId w:val="1"/>
  </w:num>
  <w:num w:numId="10" w16cid:durableId="803347394">
    <w:abstractNumId w:val="0"/>
  </w:num>
  <w:num w:numId="11" w16cid:durableId="903103496">
    <w:abstractNumId w:val="9"/>
  </w:num>
  <w:num w:numId="12" w16cid:durableId="2131127033">
    <w:abstractNumId w:val="7"/>
  </w:num>
  <w:num w:numId="13" w16cid:durableId="440420031">
    <w:abstractNumId w:val="6"/>
  </w:num>
  <w:num w:numId="14" w16cid:durableId="796873872">
    <w:abstractNumId w:val="5"/>
  </w:num>
  <w:num w:numId="15" w16cid:durableId="929002986">
    <w:abstractNumId w:val="4"/>
  </w:num>
  <w:num w:numId="16" w16cid:durableId="792872536">
    <w:abstractNumId w:val="18"/>
  </w:num>
  <w:num w:numId="17" w16cid:durableId="789520076">
    <w:abstractNumId w:val="14"/>
  </w:num>
  <w:num w:numId="18" w16cid:durableId="559511830">
    <w:abstractNumId w:val="16"/>
  </w:num>
  <w:num w:numId="19" w16cid:durableId="62333266">
    <w:abstractNumId w:val="18"/>
  </w:num>
  <w:num w:numId="20" w16cid:durableId="836312742">
    <w:abstractNumId w:val="14"/>
  </w:num>
  <w:num w:numId="21" w16cid:durableId="955060589">
    <w:abstractNumId w:val="16"/>
  </w:num>
  <w:num w:numId="22" w16cid:durableId="1388455191">
    <w:abstractNumId w:val="11"/>
  </w:num>
  <w:num w:numId="23" w16cid:durableId="209533669">
    <w:abstractNumId w:val="17"/>
  </w:num>
  <w:num w:numId="24" w16cid:durableId="54664598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6B"/>
    <w:rsid w:val="00033EE1"/>
    <w:rsid w:val="00042B72"/>
    <w:rsid w:val="000558BD"/>
    <w:rsid w:val="000B57E7"/>
    <w:rsid w:val="000B6373"/>
    <w:rsid w:val="000E4E5B"/>
    <w:rsid w:val="000F09DF"/>
    <w:rsid w:val="000F61B2"/>
    <w:rsid w:val="001075E9"/>
    <w:rsid w:val="00124282"/>
    <w:rsid w:val="0013420B"/>
    <w:rsid w:val="00134465"/>
    <w:rsid w:val="0014152F"/>
    <w:rsid w:val="00180183"/>
    <w:rsid w:val="0018024D"/>
    <w:rsid w:val="0018649F"/>
    <w:rsid w:val="00196389"/>
    <w:rsid w:val="001A258D"/>
    <w:rsid w:val="001B3EF6"/>
    <w:rsid w:val="001C7A89"/>
    <w:rsid w:val="00227F51"/>
    <w:rsid w:val="00255343"/>
    <w:rsid w:val="0027151D"/>
    <w:rsid w:val="002A2EFC"/>
    <w:rsid w:val="002B0106"/>
    <w:rsid w:val="002B74B1"/>
    <w:rsid w:val="002C0E18"/>
    <w:rsid w:val="002D5AAC"/>
    <w:rsid w:val="002E5067"/>
    <w:rsid w:val="002F2931"/>
    <w:rsid w:val="002F405F"/>
    <w:rsid w:val="002F7EEC"/>
    <w:rsid w:val="00301299"/>
    <w:rsid w:val="00305C08"/>
    <w:rsid w:val="00307FB6"/>
    <w:rsid w:val="00317339"/>
    <w:rsid w:val="00322004"/>
    <w:rsid w:val="00322BE4"/>
    <w:rsid w:val="003402C2"/>
    <w:rsid w:val="00344C70"/>
    <w:rsid w:val="00377563"/>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30957"/>
    <w:rsid w:val="005461E7"/>
    <w:rsid w:val="005639C1"/>
    <w:rsid w:val="005709E0"/>
    <w:rsid w:val="00572E19"/>
    <w:rsid w:val="005961C8"/>
    <w:rsid w:val="005966F1"/>
    <w:rsid w:val="005B3D10"/>
    <w:rsid w:val="005C2A6B"/>
    <w:rsid w:val="005D7914"/>
    <w:rsid w:val="005E2B41"/>
    <w:rsid w:val="005F0B42"/>
    <w:rsid w:val="0060726B"/>
    <w:rsid w:val="00617A43"/>
    <w:rsid w:val="006345DB"/>
    <w:rsid w:val="00640F49"/>
    <w:rsid w:val="006518FF"/>
    <w:rsid w:val="00680D03"/>
    <w:rsid w:val="00681A10"/>
    <w:rsid w:val="006A1ED8"/>
    <w:rsid w:val="006C2031"/>
    <w:rsid w:val="006D3C4C"/>
    <w:rsid w:val="006D461A"/>
    <w:rsid w:val="006F35EE"/>
    <w:rsid w:val="007021FF"/>
    <w:rsid w:val="00712895"/>
    <w:rsid w:val="00734ACB"/>
    <w:rsid w:val="00757357"/>
    <w:rsid w:val="00792497"/>
    <w:rsid w:val="007A64F1"/>
    <w:rsid w:val="00806737"/>
    <w:rsid w:val="00825F8D"/>
    <w:rsid w:val="00834B71"/>
    <w:rsid w:val="008617B2"/>
    <w:rsid w:val="0086445C"/>
    <w:rsid w:val="00892024"/>
    <w:rsid w:val="00894693"/>
    <w:rsid w:val="008A073B"/>
    <w:rsid w:val="008A08D7"/>
    <w:rsid w:val="008A37C8"/>
    <w:rsid w:val="008B02CC"/>
    <w:rsid w:val="008B6909"/>
    <w:rsid w:val="008D53B6"/>
    <w:rsid w:val="008F7609"/>
    <w:rsid w:val="00906890"/>
    <w:rsid w:val="00911BE4"/>
    <w:rsid w:val="00951972"/>
    <w:rsid w:val="009608F3"/>
    <w:rsid w:val="009A24AC"/>
    <w:rsid w:val="009C59D7"/>
    <w:rsid w:val="009C6FE6"/>
    <w:rsid w:val="009D579B"/>
    <w:rsid w:val="009D7E7D"/>
    <w:rsid w:val="009E3DE9"/>
    <w:rsid w:val="00A14DA8"/>
    <w:rsid w:val="00A312BC"/>
    <w:rsid w:val="00A67690"/>
    <w:rsid w:val="00A84021"/>
    <w:rsid w:val="00A84D35"/>
    <w:rsid w:val="00A917B3"/>
    <w:rsid w:val="00AB4B51"/>
    <w:rsid w:val="00B10CC7"/>
    <w:rsid w:val="00B36DF7"/>
    <w:rsid w:val="00B5015A"/>
    <w:rsid w:val="00B539E7"/>
    <w:rsid w:val="00B62458"/>
    <w:rsid w:val="00B66368"/>
    <w:rsid w:val="00B77E9E"/>
    <w:rsid w:val="00BC18B2"/>
    <w:rsid w:val="00BD33EE"/>
    <w:rsid w:val="00BE1CC7"/>
    <w:rsid w:val="00C106D6"/>
    <w:rsid w:val="00C119AE"/>
    <w:rsid w:val="00C45947"/>
    <w:rsid w:val="00C56ED8"/>
    <w:rsid w:val="00C602A6"/>
    <w:rsid w:val="00C60F0C"/>
    <w:rsid w:val="00C71E84"/>
    <w:rsid w:val="00C805C9"/>
    <w:rsid w:val="00C82A3D"/>
    <w:rsid w:val="00C852AF"/>
    <w:rsid w:val="00C92939"/>
    <w:rsid w:val="00CA1679"/>
    <w:rsid w:val="00CB151C"/>
    <w:rsid w:val="00CE30CE"/>
    <w:rsid w:val="00CE5A1A"/>
    <w:rsid w:val="00CF32EF"/>
    <w:rsid w:val="00CF55F6"/>
    <w:rsid w:val="00D33D63"/>
    <w:rsid w:val="00D43933"/>
    <w:rsid w:val="00D5253A"/>
    <w:rsid w:val="00D66941"/>
    <w:rsid w:val="00D80329"/>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0389A"/>
    <w:rsid w:val="00F2523A"/>
    <w:rsid w:val="00F333A6"/>
    <w:rsid w:val="00F43903"/>
    <w:rsid w:val="00F6474B"/>
    <w:rsid w:val="00F94155"/>
    <w:rsid w:val="00F9783F"/>
    <w:rsid w:val="00FD2EF7"/>
    <w:rsid w:val="00FE447E"/>
    <w:rsid w:val="00FF52B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123B0"/>
  <w15:docId w15:val="{AB7C4CED-0192-4972-A04E-7DFFDCD7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rsid w:val="00C82A3D"/>
    <w:rPr>
      <w:rFonts w:eastAsiaTheme="minorHAnsi" w:cs="Arial"/>
      <w:bCs/>
      <w:iCs/>
      <w:szCs w:val="28"/>
      <w:lang w:val="ru-RU" w:eastAsia="en-US"/>
    </w:rPr>
  </w:style>
  <w:style w:type="character" w:customStyle="1" w:styleId="SingleTxtGChar">
    <w:name w:val="_ Single Txt_G Char"/>
    <w:link w:val="SingleTxtG"/>
    <w:qFormat/>
    <w:rsid w:val="00C82A3D"/>
    <w:rPr>
      <w:lang w:val="ru-RU" w:eastAsia="en-US"/>
    </w:rPr>
  </w:style>
  <w:style w:type="character" w:customStyle="1" w:styleId="HChGChar">
    <w:name w:val="_ H _Ch_G Char"/>
    <w:link w:val="HChG"/>
    <w:rsid w:val="00C82A3D"/>
    <w:rPr>
      <w:b/>
      <w:sz w:val="28"/>
      <w:lang w:val="ru-RU" w:eastAsia="ru-RU"/>
    </w:rPr>
  </w:style>
  <w:style w:type="character" w:customStyle="1" w:styleId="H1GChar">
    <w:name w:val="_ H_1_G Char"/>
    <w:link w:val="H1G"/>
    <w:rsid w:val="00C82A3D"/>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transport/documents/2023/04/informal-documents/cema-proposal-draft-amendment-un-regulation-no-8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15</Pages>
  <Words>4207</Words>
  <Characters>27325</Characters>
  <Application>Microsoft Office Word</Application>
  <DocSecurity>0</DocSecurity>
  <Lines>618</Lines>
  <Paragraphs>269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ECE/TRANS/WP.29/GRE/88</vt:lpstr>
      <vt:lpstr>A/</vt:lpstr>
      <vt:lpstr>A/</vt:lpstr>
    </vt:vector>
  </TitlesOfParts>
  <Company>DCM</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ECE/TRANS/WP.29/GRE/88</dc:title>
  <dc:subject/>
  <dc:creator>Olga OVTCHINNIKOVA</dc:creator>
  <cp:keywords/>
  <cp:lastModifiedBy>Anna Blagodatskikh</cp:lastModifiedBy>
  <cp:revision>3</cp:revision>
  <cp:lastPrinted>2023-06-14T09:42:00Z</cp:lastPrinted>
  <dcterms:created xsi:type="dcterms:W3CDTF">2023-06-14T09:42:00Z</dcterms:created>
  <dcterms:modified xsi:type="dcterms:W3CDTF">2023-06-14T09:43:00Z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