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0A2304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80160EA" w14:textId="77777777" w:rsidR="00F35BAF" w:rsidRPr="00DB58B5" w:rsidRDefault="00F35BAF" w:rsidP="00F916A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7EF9D97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E7D869D" w14:textId="19322E9C" w:rsidR="00F35BAF" w:rsidRPr="00DB58B5" w:rsidRDefault="00F916AE" w:rsidP="00F916AE">
            <w:pPr>
              <w:jc w:val="right"/>
            </w:pPr>
            <w:r w:rsidRPr="00F916AE">
              <w:rPr>
                <w:sz w:val="40"/>
              </w:rPr>
              <w:t>ECE</w:t>
            </w:r>
            <w:r>
              <w:t>/TRANS/WP.15/AC.1/2024/14</w:t>
            </w:r>
          </w:p>
        </w:tc>
      </w:tr>
      <w:tr w:rsidR="00F35BAF" w:rsidRPr="00DB58B5" w14:paraId="64221A5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9237F71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94B260E" wp14:editId="62FFB9E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DCF5DB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506386E" w14:textId="77777777" w:rsidR="00F35BAF" w:rsidRDefault="00F916AE" w:rsidP="00C97039">
            <w:pPr>
              <w:spacing w:before="240"/>
            </w:pPr>
            <w:r>
              <w:t>Distr. générale</w:t>
            </w:r>
          </w:p>
          <w:p w14:paraId="05570DEF" w14:textId="1A62AF7F" w:rsidR="00F916AE" w:rsidRDefault="00507F92" w:rsidP="00F916AE">
            <w:pPr>
              <w:spacing w:line="240" w:lineRule="exact"/>
            </w:pPr>
            <w:r>
              <w:t>21</w:t>
            </w:r>
            <w:r w:rsidR="00F916AE">
              <w:t xml:space="preserve"> </w:t>
            </w:r>
            <w:r>
              <w:t>décembre 2023</w:t>
            </w:r>
          </w:p>
          <w:p w14:paraId="654F3CFC" w14:textId="77777777" w:rsidR="00F916AE" w:rsidRDefault="00F916AE" w:rsidP="00F916AE">
            <w:pPr>
              <w:spacing w:line="240" w:lineRule="exact"/>
            </w:pPr>
            <w:r>
              <w:t>Français</w:t>
            </w:r>
          </w:p>
          <w:p w14:paraId="54D0AA4C" w14:textId="4E4BECC4" w:rsidR="00F916AE" w:rsidRPr="00DB58B5" w:rsidRDefault="00F916AE" w:rsidP="00F916AE">
            <w:pPr>
              <w:spacing w:line="240" w:lineRule="exact"/>
            </w:pPr>
            <w:r>
              <w:t>Original : anglais</w:t>
            </w:r>
          </w:p>
        </w:tc>
      </w:tr>
    </w:tbl>
    <w:p w14:paraId="0B59A206" w14:textId="6AEF80DB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887EB6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08A983EB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F841248" w14:textId="77777777" w:rsidR="00F916AE" w:rsidRPr="009E01B8" w:rsidRDefault="00F916AE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48BE2335" w14:textId="0B0DC975" w:rsidR="00F916AE" w:rsidRPr="00926E87" w:rsidRDefault="00F916AE" w:rsidP="00AF0CB5">
      <w:pPr>
        <w:spacing w:before="120"/>
        <w:rPr>
          <w:b/>
        </w:rPr>
      </w:pPr>
      <w:r w:rsidRPr="00926E87">
        <w:rPr>
          <w:b/>
        </w:rPr>
        <w:t>Réunion commune de la Commission d</w:t>
      </w:r>
      <w:r w:rsidR="00887EB6">
        <w:rPr>
          <w:b/>
        </w:rPr>
        <w:t>’</w:t>
      </w:r>
      <w:r w:rsidRPr="00926E87">
        <w:rPr>
          <w:b/>
        </w:rPr>
        <w:t>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14:paraId="0E280A57" w14:textId="77777777" w:rsidR="00F916AE" w:rsidRPr="00683D5B" w:rsidRDefault="00F916AE" w:rsidP="00F916AE">
      <w:pPr>
        <w:rPr>
          <w:lang w:val="fr-FR"/>
        </w:rPr>
      </w:pPr>
      <w:r w:rsidRPr="00683D5B">
        <w:rPr>
          <w:lang w:val="fr-FR"/>
        </w:rPr>
        <w:t>Berne, 25-28 mars 2024</w:t>
      </w:r>
    </w:p>
    <w:p w14:paraId="1FC15CD6" w14:textId="427B6DA0" w:rsidR="00F916AE" w:rsidRDefault="00F916AE" w:rsidP="00F916AE">
      <w:r w:rsidRPr="00683D5B">
        <w:rPr>
          <w:lang w:val="fr-FR"/>
        </w:rPr>
        <w:t>Point 5 b) de l</w:t>
      </w:r>
      <w:r w:rsidR="00887EB6">
        <w:rPr>
          <w:lang w:val="fr-FR"/>
        </w:rPr>
        <w:t>’</w:t>
      </w:r>
      <w:r w:rsidRPr="00683D5B">
        <w:rPr>
          <w:lang w:val="fr-FR"/>
        </w:rPr>
        <w:t>ordre du jour provisoire</w:t>
      </w:r>
    </w:p>
    <w:p w14:paraId="09F5E29B" w14:textId="56F35CFF" w:rsidR="00F916AE" w:rsidRPr="00F916AE" w:rsidRDefault="00F916AE" w:rsidP="00F916AE">
      <w:pPr>
        <w:rPr>
          <w:b/>
          <w:bCs/>
          <w:lang w:val="fr-FR"/>
        </w:rPr>
      </w:pPr>
      <w:r w:rsidRPr="00F916AE">
        <w:rPr>
          <w:b/>
          <w:bCs/>
          <w:lang w:val="fr-FR"/>
        </w:rPr>
        <w:t>Propositions d</w:t>
      </w:r>
      <w:r w:rsidR="00887EB6">
        <w:rPr>
          <w:b/>
          <w:bCs/>
          <w:lang w:val="fr-FR"/>
        </w:rPr>
        <w:t>’</w:t>
      </w:r>
      <w:r w:rsidRPr="00F916AE">
        <w:rPr>
          <w:b/>
          <w:bCs/>
          <w:lang w:val="fr-FR"/>
        </w:rPr>
        <w:t>amendements au RID, à l</w:t>
      </w:r>
      <w:r w:rsidR="00887EB6">
        <w:rPr>
          <w:b/>
          <w:bCs/>
          <w:lang w:val="fr-FR"/>
        </w:rPr>
        <w:t>’</w:t>
      </w:r>
      <w:r w:rsidRPr="00F916AE">
        <w:rPr>
          <w:b/>
          <w:bCs/>
          <w:lang w:val="fr-FR"/>
        </w:rPr>
        <w:t>ADR et à l</w:t>
      </w:r>
      <w:r w:rsidR="00887EB6">
        <w:rPr>
          <w:b/>
          <w:bCs/>
          <w:lang w:val="fr-FR"/>
        </w:rPr>
        <w:t>’</w:t>
      </w:r>
      <w:r w:rsidRPr="00F916AE">
        <w:rPr>
          <w:b/>
          <w:bCs/>
          <w:lang w:val="fr-FR"/>
        </w:rPr>
        <w:t>ADN</w:t>
      </w:r>
      <w:r>
        <w:rPr>
          <w:b/>
          <w:bCs/>
          <w:lang w:val="fr-FR"/>
        </w:rPr>
        <w:t> </w:t>
      </w:r>
      <w:r w:rsidRPr="00F916AE">
        <w:rPr>
          <w:b/>
          <w:bCs/>
          <w:lang w:val="fr-FR"/>
        </w:rPr>
        <w:t>:</w:t>
      </w:r>
    </w:p>
    <w:p w14:paraId="390300F5" w14:textId="77777777" w:rsidR="00F916AE" w:rsidRPr="00683D5B" w:rsidRDefault="00F916AE" w:rsidP="00F916AE">
      <w:pPr>
        <w:rPr>
          <w:lang w:val="fr-FR"/>
        </w:rPr>
      </w:pPr>
      <w:r w:rsidRPr="00F916AE">
        <w:rPr>
          <w:b/>
          <w:bCs/>
          <w:lang w:val="fr-FR"/>
        </w:rPr>
        <w:t>Nouvelles propositions</w:t>
      </w:r>
    </w:p>
    <w:p w14:paraId="43488B7A" w14:textId="28D99A27" w:rsidR="00F916AE" w:rsidRPr="00683D5B" w:rsidRDefault="00F916AE" w:rsidP="00F916AE">
      <w:pPr>
        <w:pStyle w:val="HChG"/>
        <w:rPr>
          <w:rFonts w:eastAsia="Arial Unicode MS"/>
          <w:lang w:val="fr-FR"/>
        </w:rPr>
      </w:pPr>
      <w:r w:rsidRPr="00683D5B">
        <w:rPr>
          <w:lang w:val="fr-FR"/>
        </w:rPr>
        <w:tab/>
      </w:r>
      <w:r w:rsidRPr="00683D5B">
        <w:rPr>
          <w:lang w:val="fr-FR"/>
        </w:rPr>
        <w:tab/>
        <w:t>Définition de «</w:t>
      </w:r>
      <w:r w:rsidR="00507F92">
        <w:rPr>
          <w:lang w:val="fr-FR"/>
        </w:rPr>
        <w:t> </w:t>
      </w:r>
      <w:r w:rsidRPr="00683D5B">
        <w:rPr>
          <w:lang w:val="fr-FR"/>
        </w:rPr>
        <w:t>véhicule couvert » au 1.2.1 de l</w:t>
      </w:r>
      <w:r w:rsidR="00887EB6">
        <w:rPr>
          <w:lang w:val="fr-FR"/>
        </w:rPr>
        <w:t>’</w:t>
      </w:r>
      <w:r w:rsidRPr="00683D5B">
        <w:rPr>
          <w:lang w:val="fr-FR"/>
        </w:rPr>
        <w:t>ADR</w:t>
      </w:r>
    </w:p>
    <w:p w14:paraId="620A4F3E" w14:textId="509B1EDA" w:rsidR="00F9573C" w:rsidRDefault="00F916AE" w:rsidP="00F916AE">
      <w:pPr>
        <w:pStyle w:val="H1G"/>
        <w:rPr>
          <w:lang w:val="fr-FR"/>
        </w:rPr>
      </w:pPr>
      <w:r w:rsidRPr="00683D5B">
        <w:rPr>
          <w:lang w:val="fr-FR"/>
        </w:rPr>
        <w:tab/>
      </w:r>
      <w:r w:rsidRPr="00683D5B">
        <w:rPr>
          <w:lang w:val="fr-FR"/>
        </w:rPr>
        <w:tab/>
        <w:t>Communication du Gouvernement néerlandais</w:t>
      </w:r>
      <w:r w:rsidRPr="00F916AE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F916AE">
        <w:rPr>
          <w:b w:val="0"/>
          <w:bCs/>
          <w:sz w:val="20"/>
          <w:vertAlign w:val="superscript"/>
          <w:lang w:val="fr-FR"/>
        </w:rPr>
        <w:t>,</w:t>
      </w:r>
      <w:r w:rsidRPr="00F916AE">
        <w:rPr>
          <w:b w:val="0"/>
          <w:bCs/>
          <w:sz w:val="20"/>
          <w:lang w:val="fr-FR"/>
        </w:rPr>
        <w:t xml:space="preserve"> </w:t>
      </w:r>
      <w:r w:rsidRPr="00F916AE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F916AE" w14:paraId="66A5843D" w14:textId="77777777" w:rsidTr="00F916AE">
        <w:trPr>
          <w:jc w:val="center"/>
        </w:trPr>
        <w:tc>
          <w:tcPr>
            <w:tcW w:w="9628" w:type="dxa"/>
            <w:shd w:val="clear" w:color="auto" w:fill="auto"/>
          </w:tcPr>
          <w:p w14:paraId="4994A5B2" w14:textId="77777777" w:rsidR="00F916AE" w:rsidRDefault="00F916AE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F916AE" w14:paraId="7FFAEF91" w14:textId="77777777" w:rsidTr="00F916AE">
        <w:trPr>
          <w:jc w:val="center"/>
        </w:trPr>
        <w:tc>
          <w:tcPr>
            <w:tcW w:w="9628" w:type="dxa"/>
            <w:shd w:val="clear" w:color="auto" w:fill="auto"/>
          </w:tcPr>
          <w:p w14:paraId="76CF0B8C" w14:textId="4489CA91" w:rsidR="00F916AE" w:rsidRDefault="00F916AE" w:rsidP="00F916AE">
            <w:pPr>
              <w:pStyle w:val="SingleTxtG"/>
              <w:ind w:left="3119" w:hanging="1985"/>
            </w:pPr>
            <w:r w:rsidRPr="00F916AE">
              <w:rPr>
                <w:b/>
                <w:bCs/>
                <w:lang w:val="fr-FR"/>
              </w:rPr>
              <w:t>Résumé analytique</w:t>
            </w:r>
            <w:r>
              <w:rPr>
                <w:b/>
                <w:bCs/>
                <w:lang w:val="fr-FR"/>
              </w:rPr>
              <w:t> </w:t>
            </w:r>
            <w:r w:rsidRPr="00F916AE">
              <w:rPr>
                <w:b/>
                <w:bCs/>
                <w:lang w:val="fr-FR"/>
              </w:rPr>
              <w:t>:</w:t>
            </w:r>
            <w:r w:rsidRPr="00683D5B">
              <w:rPr>
                <w:lang w:val="fr-FR"/>
              </w:rPr>
              <w:tab/>
              <w:t>La définition de « véhicule couvert » doit être modifiée de manière à préciser que la carrosserie des véhicules couverts doit être composée uniquement de parois rigides.</w:t>
            </w:r>
          </w:p>
        </w:tc>
      </w:tr>
      <w:tr w:rsidR="00F916AE" w14:paraId="60924C83" w14:textId="77777777" w:rsidTr="00F916AE">
        <w:trPr>
          <w:jc w:val="center"/>
        </w:trPr>
        <w:tc>
          <w:tcPr>
            <w:tcW w:w="9628" w:type="dxa"/>
            <w:shd w:val="clear" w:color="auto" w:fill="auto"/>
          </w:tcPr>
          <w:p w14:paraId="5BDDA1BA" w14:textId="1C96633C" w:rsidR="00F916AE" w:rsidRDefault="00F916AE" w:rsidP="00F916AE">
            <w:pPr>
              <w:pStyle w:val="SingleTxtG"/>
              <w:ind w:left="3119" w:hanging="1985"/>
            </w:pPr>
            <w:r w:rsidRPr="00F916AE">
              <w:rPr>
                <w:b/>
                <w:bCs/>
                <w:lang w:val="fr-FR"/>
              </w:rPr>
              <w:t>Mesures à prendre</w:t>
            </w:r>
            <w:r>
              <w:rPr>
                <w:b/>
                <w:bCs/>
                <w:lang w:val="fr-FR"/>
              </w:rPr>
              <w:t> </w:t>
            </w:r>
            <w:r w:rsidRPr="00F916AE">
              <w:rPr>
                <w:b/>
                <w:bCs/>
                <w:lang w:val="fr-FR"/>
              </w:rPr>
              <w:t>:</w:t>
            </w:r>
            <w:r w:rsidRPr="00683D5B">
              <w:rPr>
                <w:lang w:val="fr-FR"/>
              </w:rPr>
              <w:tab/>
              <w:t>Modifier la définition de «</w:t>
            </w:r>
            <w:r w:rsidR="00507F92">
              <w:rPr>
                <w:lang w:val="fr-FR"/>
              </w:rPr>
              <w:t> </w:t>
            </w:r>
            <w:r w:rsidRPr="00683D5B">
              <w:rPr>
                <w:lang w:val="fr-FR"/>
              </w:rPr>
              <w:t>véhicule couvert</w:t>
            </w:r>
            <w:r w:rsidR="00507F92">
              <w:rPr>
                <w:lang w:val="fr-FR"/>
              </w:rPr>
              <w:t> </w:t>
            </w:r>
            <w:r w:rsidRPr="00683D5B">
              <w:rPr>
                <w:lang w:val="fr-FR"/>
              </w:rPr>
              <w:t>».</w:t>
            </w:r>
          </w:p>
        </w:tc>
      </w:tr>
      <w:tr w:rsidR="00F916AE" w14:paraId="2CA67CE1" w14:textId="77777777" w:rsidTr="00F916AE">
        <w:trPr>
          <w:jc w:val="center"/>
        </w:trPr>
        <w:tc>
          <w:tcPr>
            <w:tcW w:w="9628" w:type="dxa"/>
            <w:shd w:val="clear" w:color="auto" w:fill="auto"/>
          </w:tcPr>
          <w:p w14:paraId="22DA52C8" w14:textId="36F06C2F" w:rsidR="00F916AE" w:rsidRDefault="00F916AE" w:rsidP="00F916AE">
            <w:pPr>
              <w:pStyle w:val="SingleTxtG"/>
              <w:ind w:left="3119" w:hanging="1985"/>
            </w:pPr>
            <w:r w:rsidRPr="00F916AE">
              <w:rPr>
                <w:b/>
                <w:bCs/>
                <w:lang w:val="fr-FR"/>
              </w:rPr>
              <w:t>Documents connexes</w:t>
            </w:r>
            <w:r>
              <w:rPr>
                <w:b/>
                <w:bCs/>
                <w:lang w:val="fr-FR"/>
              </w:rPr>
              <w:t> </w:t>
            </w:r>
            <w:r w:rsidRPr="00F916AE">
              <w:rPr>
                <w:b/>
                <w:bCs/>
                <w:lang w:val="fr-FR"/>
              </w:rPr>
              <w:t>:</w:t>
            </w:r>
            <w:r w:rsidRPr="00683D5B">
              <w:rPr>
                <w:lang w:val="fr-FR"/>
              </w:rPr>
              <w:tab/>
              <w:t>Document informel INF.8 de la 114</w:t>
            </w:r>
            <w:r w:rsidRPr="00683D5B">
              <w:rPr>
                <w:vertAlign w:val="superscript"/>
                <w:lang w:val="fr-FR"/>
              </w:rPr>
              <w:t>e</w:t>
            </w:r>
            <w:r w:rsidRPr="00683D5B">
              <w:rPr>
                <w:lang w:val="fr-FR"/>
              </w:rPr>
              <w:t xml:space="preserve"> session du WP.15 (novembre</w:t>
            </w:r>
            <w:r w:rsidR="00507F92">
              <w:rPr>
                <w:lang w:val="fr-FR"/>
              </w:rPr>
              <w:t> </w:t>
            </w:r>
            <w:r w:rsidRPr="00683D5B">
              <w:rPr>
                <w:lang w:val="fr-FR"/>
              </w:rPr>
              <w:t>2023) et rapport publié sous la cote ECE/TRANS/</w:t>
            </w:r>
            <w:r w:rsidR="00507F92">
              <w:rPr>
                <w:lang w:val="fr-FR"/>
              </w:rPr>
              <w:br/>
            </w:r>
            <w:r w:rsidRPr="00683D5B">
              <w:rPr>
                <w:lang w:val="fr-FR"/>
              </w:rPr>
              <w:t>WP.15/264 (par.</w:t>
            </w:r>
            <w:r w:rsidR="00507F92">
              <w:rPr>
                <w:lang w:val="fr-FR"/>
              </w:rPr>
              <w:t> </w:t>
            </w:r>
            <w:r w:rsidRPr="00683D5B">
              <w:rPr>
                <w:lang w:val="fr-FR"/>
              </w:rPr>
              <w:t>52 et 53).</w:t>
            </w:r>
          </w:p>
        </w:tc>
      </w:tr>
      <w:tr w:rsidR="00F916AE" w14:paraId="2FF1AAB1" w14:textId="77777777" w:rsidTr="00F916AE">
        <w:trPr>
          <w:jc w:val="center"/>
        </w:trPr>
        <w:tc>
          <w:tcPr>
            <w:tcW w:w="9628" w:type="dxa"/>
            <w:shd w:val="clear" w:color="auto" w:fill="auto"/>
          </w:tcPr>
          <w:p w14:paraId="58C59BAA" w14:textId="77777777" w:rsidR="00F916AE" w:rsidRDefault="00F916AE"/>
        </w:tc>
      </w:tr>
    </w:tbl>
    <w:p w14:paraId="04BF8CF8" w14:textId="77777777" w:rsidR="00F916AE" w:rsidRPr="00683D5B" w:rsidRDefault="00F916AE" w:rsidP="00F916AE">
      <w:pPr>
        <w:pStyle w:val="HChG"/>
        <w:rPr>
          <w:snapToGrid w:val="0"/>
          <w:lang w:val="fr-FR"/>
        </w:rPr>
      </w:pPr>
      <w:r w:rsidRPr="00683D5B">
        <w:rPr>
          <w:lang w:val="fr-FR"/>
        </w:rPr>
        <w:tab/>
        <w:t>I.</w:t>
      </w:r>
      <w:r w:rsidRPr="00683D5B">
        <w:rPr>
          <w:lang w:val="fr-FR"/>
        </w:rPr>
        <w:tab/>
        <w:t>Introduction</w:t>
      </w:r>
    </w:p>
    <w:p w14:paraId="438FB1ED" w14:textId="0D2BEE92" w:rsidR="00F916AE" w:rsidRPr="00683D5B" w:rsidRDefault="00F916AE" w:rsidP="00F916AE">
      <w:pPr>
        <w:pStyle w:val="SingleTxtG"/>
        <w:rPr>
          <w:lang w:val="fr-FR"/>
        </w:rPr>
      </w:pPr>
      <w:r w:rsidRPr="00683D5B">
        <w:rPr>
          <w:lang w:val="fr-FR"/>
        </w:rPr>
        <w:t>1.</w:t>
      </w:r>
      <w:r w:rsidRPr="00683D5B">
        <w:rPr>
          <w:lang w:val="fr-FR"/>
        </w:rPr>
        <w:tab/>
        <w:t>À la 114</w:t>
      </w:r>
      <w:r w:rsidRPr="00683D5B">
        <w:rPr>
          <w:vertAlign w:val="superscript"/>
          <w:lang w:val="fr-FR"/>
        </w:rPr>
        <w:t>e</w:t>
      </w:r>
      <w:r w:rsidRPr="00683D5B">
        <w:rPr>
          <w:lang w:val="fr-FR"/>
        </w:rPr>
        <w:t xml:space="preserve"> session du </w:t>
      </w:r>
      <w:r w:rsidRPr="00776292">
        <w:rPr>
          <w:lang w:val="fr-FR"/>
        </w:rPr>
        <w:t>Groupe de travail des transports de marchandises dangereuses</w:t>
      </w:r>
      <w:r>
        <w:rPr>
          <w:lang w:val="fr-FR"/>
        </w:rPr>
        <w:t xml:space="preserve"> (WP.15)</w:t>
      </w:r>
      <w:r w:rsidRPr="00683D5B">
        <w:rPr>
          <w:lang w:val="fr-FR"/>
        </w:rPr>
        <w:t>, les Pays-Bas ont soumis le document informel INF.8</w:t>
      </w:r>
      <w:r>
        <w:rPr>
          <w:lang w:val="fr-FR"/>
        </w:rPr>
        <w:t>, visant à modifier</w:t>
      </w:r>
      <w:r w:rsidRPr="00683D5B">
        <w:rPr>
          <w:lang w:val="fr-FR"/>
        </w:rPr>
        <w:t xml:space="preserve"> la définition de «</w:t>
      </w:r>
      <w:r w:rsidR="00507F92">
        <w:rPr>
          <w:lang w:val="fr-FR"/>
        </w:rPr>
        <w:t> </w:t>
      </w:r>
      <w:r w:rsidRPr="00683D5B">
        <w:rPr>
          <w:lang w:val="fr-FR"/>
        </w:rPr>
        <w:t>véhicule couvert</w:t>
      </w:r>
      <w:r w:rsidR="00507F92">
        <w:rPr>
          <w:lang w:val="fr-FR"/>
        </w:rPr>
        <w:t> </w:t>
      </w:r>
      <w:r w:rsidRPr="00683D5B">
        <w:rPr>
          <w:lang w:val="fr-FR"/>
        </w:rPr>
        <w:t>» dans l</w:t>
      </w:r>
      <w:r w:rsidR="00887EB6">
        <w:rPr>
          <w:lang w:val="fr-FR"/>
        </w:rPr>
        <w:t>’</w:t>
      </w:r>
      <w:r w:rsidRPr="00683D5B">
        <w:rPr>
          <w:lang w:val="fr-FR"/>
        </w:rPr>
        <w:t xml:space="preserve">ADR. </w:t>
      </w:r>
      <w:r>
        <w:rPr>
          <w:lang w:val="fr-FR"/>
        </w:rPr>
        <w:t>Au cours de l</w:t>
      </w:r>
      <w:r w:rsidR="00887EB6">
        <w:rPr>
          <w:lang w:val="fr-FR"/>
        </w:rPr>
        <w:t>’</w:t>
      </w:r>
      <w:r>
        <w:rPr>
          <w:lang w:val="fr-FR"/>
        </w:rPr>
        <w:t xml:space="preserve">examen dudit document, le WP.15 a confirmé </w:t>
      </w:r>
      <w:r w:rsidRPr="00683D5B">
        <w:rPr>
          <w:lang w:val="fr-FR"/>
        </w:rPr>
        <w:t xml:space="preserve">que cette définition pouvait être améliorée mais </w:t>
      </w:r>
      <w:r>
        <w:rPr>
          <w:lang w:val="fr-FR"/>
        </w:rPr>
        <w:t xml:space="preserve">a fait savoir </w:t>
      </w:r>
      <w:r w:rsidRPr="00683D5B">
        <w:rPr>
          <w:lang w:val="fr-FR"/>
        </w:rPr>
        <w:t xml:space="preserve">que la Réunion commune </w:t>
      </w:r>
      <w:r>
        <w:rPr>
          <w:lang w:val="fr-FR"/>
        </w:rPr>
        <w:t xml:space="preserve">devrait réfléchir à la question </w:t>
      </w:r>
      <w:r w:rsidRPr="00683D5B">
        <w:rPr>
          <w:lang w:val="fr-FR"/>
        </w:rPr>
        <w:t xml:space="preserve">afin </w:t>
      </w:r>
      <w:r>
        <w:rPr>
          <w:lang w:val="fr-FR"/>
        </w:rPr>
        <w:t xml:space="preserve">que </w:t>
      </w:r>
      <w:r w:rsidRPr="00683D5B">
        <w:rPr>
          <w:lang w:val="fr-FR"/>
        </w:rPr>
        <w:t>les wagons couverts</w:t>
      </w:r>
      <w:r>
        <w:rPr>
          <w:lang w:val="fr-FR"/>
        </w:rPr>
        <w:t xml:space="preserve"> soient aussi pris en compte</w:t>
      </w:r>
      <w:r w:rsidRPr="00683D5B">
        <w:rPr>
          <w:lang w:val="fr-FR"/>
        </w:rPr>
        <w:t>.</w:t>
      </w:r>
    </w:p>
    <w:p w14:paraId="7AA9B4E6" w14:textId="53F52AE3" w:rsidR="00F916AE" w:rsidRPr="00683D5B" w:rsidRDefault="00F916AE" w:rsidP="00F916AE">
      <w:pPr>
        <w:pStyle w:val="SingleTxtG"/>
        <w:rPr>
          <w:lang w:val="fr-FR"/>
        </w:rPr>
      </w:pPr>
      <w:r w:rsidRPr="00683D5B">
        <w:rPr>
          <w:lang w:val="fr-FR"/>
        </w:rPr>
        <w:t>2.</w:t>
      </w:r>
      <w:r w:rsidRPr="00683D5B">
        <w:rPr>
          <w:lang w:val="fr-FR"/>
        </w:rPr>
        <w:tab/>
        <w:t>L</w:t>
      </w:r>
      <w:r>
        <w:rPr>
          <w:lang w:val="fr-FR"/>
        </w:rPr>
        <w:t>ors d</w:t>
      </w:r>
      <w:r w:rsidRPr="00683D5B">
        <w:rPr>
          <w:lang w:val="fr-FR"/>
        </w:rPr>
        <w:t>es débats</w:t>
      </w:r>
      <w:r>
        <w:rPr>
          <w:lang w:val="fr-FR"/>
        </w:rPr>
        <w:t xml:space="preserve">, les participants </w:t>
      </w:r>
      <w:r w:rsidRPr="00683D5B">
        <w:rPr>
          <w:lang w:val="fr-FR"/>
        </w:rPr>
        <w:t xml:space="preserve">ont notamment </w:t>
      </w:r>
      <w:r>
        <w:rPr>
          <w:lang w:val="fr-FR"/>
        </w:rPr>
        <w:t>cherché à déterminer</w:t>
      </w:r>
      <w:r w:rsidRPr="00683D5B">
        <w:rPr>
          <w:lang w:val="fr-FR"/>
        </w:rPr>
        <w:t xml:space="preserve"> si les véhicules dont la carrosserie est constituée de parois rigides à l</w:t>
      </w:r>
      <w:r w:rsidR="00887EB6">
        <w:rPr>
          <w:lang w:val="fr-FR"/>
        </w:rPr>
        <w:t>’</w:t>
      </w:r>
      <w:r w:rsidRPr="00683D5B">
        <w:rPr>
          <w:lang w:val="fr-FR"/>
        </w:rPr>
        <w:t>avant, au niveau du toit, au niveau du plancher et à l</w:t>
      </w:r>
      <w:r w:rsidR="00887EB6">
        <w:rPr>
          <w:lang w:val="fr-FR"/>
        </w:rPr>
        <w:t>’</w:t>
      </w:r>
      <w:r w:rsidRPr="00683D5B">
        <w:rPr>
          <w:lang w:val="fr-FR"/>
        </w:rPr>
        <w:t>arrière, mais dont les côtés</w:t>
      </w:r>
      <w:r>
        <w:rPr>
          <w:lang w:val="fr-FR"/>
        </w:rPr>
        <w:t xml:space="preserve"> </w:t>
      </w:r>
      <w:r w:rsidRPr="007D5629">
        <w:rPr>
          <w:lang w:val="fr-FR"/>
        </w:rPr>
        <w:t xml:space="preserve">sont </w:t>
      </w:r>
      <w:r>
        <w:rPr>
          <w:lang w:val="fr-FR"/>
        </w:rPr>
        <w:t>bâchés</w:t>
      </w:r>
      <w:r w:rsidRPr="00683D5B">
        <w:rPr>
          <w:lang w:val="fr-FR"/>
        </w:rPr>
        <w:t xml:space="preserve">, aussi appelés </w:t>
      </w:r>
      <w:r>
        <w:rPr>
          <w:lang w:val="fr-FR"/>
        </w:rPr>
        <w:t xml:space="preserve">véhicules à </w:t>
      </w:r>
      <w:r w:rsidRPr="00683D5B">
        <w:rPr>
          <w:lang w:val="fr-FR"/>
        </w:rPr>
        <w:t xml:space="preserve">rideaux </w:t>
      </w:r>
      <w:r w:rsidRPr="00683D5B">
        <w:rPr>
          <w:lang w:val="fr-FR"/>
        </w:rPr>
        <w:lastRenderedPageBreak/>
        <w:t xml:space="preserve">latéraux ou </w:t>
      </w:r>
      <w:r>
        <w:rPr>
          <w:lang w:val="fr-FR"/>
        </w:rPr>
        <w:t>« </w:t>
      </w:r>
      <w:r w:rsidRPr="00683D5B">
        <w:rPr>
          <w:lang w:val="fr-FR"/>
        </w:rPr>
        <w:t>tautliners</w:t>
      </w:r>
      <w:r>
        <w:rPr>
          <w:lang w:val="fr-FR"/>
        </w:rPr>
        <w:t> »</w:t>
      </w:r>
      <w:r w:rsidRPr="00683D5B">
        <w:rPr>
          <w:lang w:val="fr-FR"/>
        </w:rPr>
        <w:t xml:space="preserve"> (</w:t>
      </w:r>
      <w:r>
        <w:rPr>
          <w:lang w:val="fr-FR"/>
        </w:rPr>
        <w:t xml:space="preserve">véhicules à </w:t>
      </w:r>
      <w:r w:rsidRPr="00683D5B">
        <w:rPr>
          <w:lang w:val="fr-FR"/>
        </w:rPr>
        <w:t xml:space="preserve">bâches coulissantes), ou dont le toit est </w:t>
      </w:r>
      <w:r>
        <w:rPr>
          <w:lang w:val="fr-FR"/>
        </w:rPr>
        <w:t>bâché</w:t>
      </w:r>
      <w:r w:rsidRPr="00683D5B">
        <w:rPr>
          <w:lang w:val="fr-FR"/>
        </w:rPr>
        <w:t>, doivent être considérés comme des véhicules couverts ou des véhicules bâchés.</w:t>
      </w:r>
    </w:p>
    <w:p w14:paraId="5B8DD9A8" w14:textId="557C494C" w:rsidR="00F916AE" w:rsidRPr="00683D5B" w:rsidRDefault="00F916AE" w:rsidP="00F916AE">
      <w:pPr>
        <w:pStyle w:val="SingleTxtG"/>
        <w:rPr>
          <w:lang w:val="fr-FR"/>
        </w:rPr>
      </w:pPr>
      <w:r w:rsidRPr="00683D5B">
        <w:rPr>
          <w:lang w:val="fr-FR"/>
        </w:rPr>
        <w:t>3.</w:t>
      </w:r>
      <w:r w:rsidRPr="00683D5B">
        <w:rPr>
          <w:lang w:val="fr-FR"/>
        </w:rPr>
        <w:tab/>
        <w:t xml:space="preserve">Le 1.2.1 du </w:t>
      </w:r>
      <w:r w:rsidRPr="00B63E3E">
        <w:rPr>
          <w:i/>
          <w:iCs/>
          <w:lang w:val="fr-FR"/>
        </w:rPr>
        <w:t>Règlement type de l</w:t>
      </w:r>
      <w:r w:rsidR="00887EB6">
        <w:rPr>
          <w:i/>
          <w:iCs/>
          <w:lang w:val="fr-FR"/>
        </w:rPr>
        <w:t>’</w:t>
      </w:r>
      <w:r w:rsidRPr="00B63E3E">
        <w:rPr>
          <w:i/>
          <w:iCs/>
          <w:lang w:val="fr-FR"/>
        </w:rPr>
        <w:t>ONU</w:t>
      </w:r>
      <w:r w:rsidRPr="00683D5B">
        <w:rPr>
          <w:lang w:val="fr-FR"/>
        </w:rPr>
        <w:t xml:space="preserve"> contient une définition de l</w:t>
      </w:r>
      <w:r w:rsidR="00887EB6">
        <w:rPr>
          <w:lang w:val="fr-FR"/>
        </w:rPr>
        <w:t>’</w:t>
      </w:r>
      <w:r w:rsidRPr="00683D5B">
        <w:rPr>
          <w:lang w:val="fr-FR"/>
        </w:rPr>
        <w:t xml:space="preserve">expression </w:t>
      </w:r>
      <w:r>
        <w:rPr>
          <w:lang w:val="fr-FR"/>
        </w:rPr>
        <w:t>« </w:t>
      </w:r>
      <w:r w:rsidRPr="00683D5B">
        <w:rPr>
          <w:lang w:val="fr-FR"/>
        </w:rPr>
        <w:t>engin de transport fermé</w:t>
      </w:r>
      <w:r>
        <w:rPr>
          <w:lang w:val="fr-FR"/>
        </w:rPr>
        <w:t> »</w:t>
      </w:r>
      <w:r w:rsidRPr="00683D5B">
        <w:rPr>
          <w:lang w:val="fr-FR"/>
        </w:rPr>
        <w:t xml:space="preserve">, qui exclut les engins de transport dont les côtés ou le dessus sont </w:t>
      </w:r>
      <w:r>
        <w:rPr>
          <w:lang w:val="fr-FR"/>
        </w:rPr>
        <w:t>bâchés</w:t>
      </w:r>
      <w:r w:rsidRPr="00683D5B">
        <w:rPr>
          <w:lang w:val="fr-FR"/>
        </w:rPr>
        <w:t>. L</w:t>
      </w:r>
      <w:r w:rsidR="00887EB6">
        <w:rPr>
          <w:lang w:val="fr-FR"/>
        </w:rPr>
        <w:t>’</w:t>
      </w:r>
      <w:r w:rsidRPr="00683D5B">
        <w:rPr>
          <w:lang w:val="fr-FR"/>
        </w:rPr>
        <w:t>amendement proposé tient compte de cette définition.</w:t>
      </w:r>
    </w:p>
    <w:p w14:paraId="6BE3F6D8" w14:textId="6AE30C24" w:rsidR="00F916AE" w:rsidRPr="00683D5B" w:rsidRDefault="00F916AE" w:rsidP="00F916AE">
      <w:pPr>
        <w:pStyle w:val="SingleTxtG"/>
        <w:rPr>
          <w:lang w:val="fr-FR"/>
        </w:rPr>
      </w:pPr>
      <w:r w:rsidRPr="00683D5B">
        <w:rPr>
          <w:lang w:val="fr-FR"/>
        </w:rPr>
        <w:t>4.</w:t>
      </w:r>
      <w:r w:rsidRPr="00683D5B">
        <w:rPr>
          <w:lang w:val="fr-FR"/>
        </w:rPr>
        <w:tab/>
        <w:t>On trouvera au paragraphe 6 ci-après une comparaison des définitions figurant dans le RID et dans l</w:t>
      </w:r>
      <w:r w:rsidR="00887EB6">
        <w:rPr>
          <w:lang w:val="fr-FR"/>
        </w:rPr>
        <w:t>’</w:t>
      </w:r>
      <w:r w:rsidRPr="00683D5B">
        <w:rPr>
          <w:lang w:val="fr-FR"/>
        </w:rPr>
        <w:t xml:space="preserve">ADR. La Réunion commune devrait </w:t>
      </w:r>
      <w:r>
        <w:rPr>
          <w:lang w:val="fr-FR"/>
        </w:rPr>
        <w:t>se demander</w:t>
      </w:r>
      <w:r w:rsidRPr="00683D5B">
        <w:rPr>
          <w:lang w:val="fr-FR"/>
        </w:rPr>
        <w:t xml:space="preserve"> s</w:t>
      </w:r>
      <w:r w:rsidR="00887EB6">
        <w:rPr>
          <w:lang w:val="fr-FR"/>
        </w:rPr>
        <w:t>’</w:t>
      </w:r>
      <w:r w:rsidRPr="00683D5B">
        <w:rPr>
          <w:lang w:val="fr-FR"/>
        </w:rPr>
        <w:t>il est utile de modifier la définition de «</w:t>
      </w:r>
      <w:r w:rsidR="00507F92">
        <w:rPr>
          <w:lang w:val="fr-FR"/>
        </w:rPr>
        <w:t> </w:t>
      </w:r>
      <w:r w:rsidRPr="00683D5B">
        <w:rPr>
          <w:lang w:val="fr-FR"/>
        </w:rPr>
        <w:t>wagon couvert</w:t>
      </w:r>
      <w:r w:rsidR="00507F92">
        <w:rPr>
          <w:lang w:val="fr-FR"/>
        </w:rPr>
        <w:t> </w:t>
      </w:r>
      <w:r w:rsidRPr="00683D5B">
        <w:rPr>
          <w:lang w:val="fr-FR"/>
        </w:rPr>
        <w:t xml:space="preserve">» dans le RID </w:t>
      </w:r>
      <w:r>
        <w:rPr>
          <w:lang w:val="fr-FR"/>
        </w:rPr>
        <w:t>sur le modèle de</w:t>
      </w:r>
      <w:r w:rsidRPr="00683D5B">
        <w:rPr>
          <w:lang w:val="fr-FR"/>
        </w:rPr>
        <w:t xml:space="preserve"> </w:t>
      </w:r>
      <w:r>
        <w:rPr>
          <w:lang w:val="fr-FR"/>
        </w:rPr>
        <w:t xml:space="preserve">la nouvelle définition proposée pour </w:t>
      </w:r>
      <w:r w:rsidRPr="00683D5B">
        <w:rPr>
          <w:lang w:val="fr-FR"/>
        </w:rPr>
        <w:t>l</w:t>
      </w:r>
      <w:r w:rsidR="00887EB6">
        <w:rPr>
          <w:lang w:val="fr-FR"/>
        </w:rPr>
        <w:t>’</w:t>
      </w:r>
      <w:r w:rsidRPr="00683D5B">
        <w:rPr>
          <w:lang w:val="fr-FR"/>
        </w:rPr>
        <w:t>ADR.</w:t>
      </w:r>
    </w:p>
    <w:p w14:paraId="23819D21" w14:textId="77777777" w:rsidR="00F916AE" w:rsidRPr="00683D5B" w:rsidRDefault="00F916AE" w:rsidP="00F916AE">
      <w:pPr>
        <w:pStyle w:val="HChG"/>
        <w:rPr>
          <w:lang w:val="fr-FR"/>
        </w:rPr>
      </w:pPr>
      <w:r>
        <w:rPr>
          <w:lang w:val="fr-FR"/>
        </w:rPr>
        <w:tab/>
      </w:r>
      <w:r w:rsidRPr="00683D5B">
        <w:rPr>
          <w:lang w:val="fr-FR"/>
        </w:rPr>
        <w:t>II.</w:t>
      </w:r>
      <w:r w:rsidRPr="00683D5B">
        <w:rPr>
          <w:lang w:val="fr-FR"/>
        </w:rPr>
        <w:tab/>
        <w:t>Proposition</w:t>
      </w:r>
    </w:p>
    <w:p w14:paraId="3E75BAC1" w14:textId="27640CD7" w:rsidR="00F916AE" w:rsidRPr="00683D5B" w:rsidRDefault="00F916AE" w:rsidP="00F916AE">
      <w:pPr>
        <w:pStyle w:val="SingleTxtG"/>
        <w:rPr>
          <w:lang w:val="fr-FR"/>
        </w:rPr>
      </w:pPr>
      <w:r w:rsidRPr="00683D5B">
        <w:rPr>
          <w:lang w:val="fr-FR"/>
        </w:rPr>
        <w:t>5.</w:t>
      </w:r>
      <w:r w:rsidRPr="00683D5B">
        <w:rPr>
          <w:lang w:val="fr-FR"/>
        </w:rPr>
        <w:tab/>
        <w:t>Au 1.2.1 de l</w:t>
      </w:r>
      <w:r w:rsidR="00887EB6">
        <w:rPr>
          <w:lang w:val="fr-FR"/>
        </w:rPr>
        <w:t>’</w:t>
      </w:r>
      <w:r w:rsidRPr="00683D5B">
        <w:rPr>
          <w:lang w:val="fr-FR"/>
        </w:rPr>
        <w:t>ADR, modifier la définition de «</w:t>
      </w:r>
      <w:r w:rsidR="00507F92">
        <w:rPr>
          <w:lang w:val="fr-FR"/>
        </w:rPr>
        <w:t> </w:t>
      </w:r>
      <w:r w:rsidRPr="00683D5B">
        <w:rPr>
          <w:lang w:val="fr-FR"/>
        </w:rPr>
        <w:t>véhicule couvert</w:t>
      </w:r>
      <w:r w:rsidR="00887EB6">
        <w:rPr>
          <w:lang w:val="fr-FR"/>
        </w:rPr>
        <w:t> </w:t>
      </w:r>
      <w:r w:rsidRPr="00683D5B">
        <w:rPr>
          <w:lang w:val="fr-FR"/>
        </w:rPr>
        <w:t>» comme suit (</w:t>
      </w:r>
      <w:r w:rsidRPr="004E425C">
        <w:rPr>
          <w:lang w:val="fr-FR"/>
        </w:rPr>
        <w:t xml:space="preserve">caractères </w:t>
      </w:r>
      <w:r>
        <w:rPr>
          <w:lang w:val="fr-FR"/>
        </w:rPr>
        <w:t>soulignés</w:t>
      </w:r>
      <w:r w:rsidRPr="004E425C">
        <w:rPr>
          <w:lang w:val="fr-FR"/>
        </w:rPr>
        <w:t xml:space="preserve"> pour les ajouts et biffés pour les suppressions</w:t>
      </w:r>
      <w:r w:rsidRPr="00683D5B">
        <w:rPr>
          <w:lang w:val="fr-FR"/>
        </w:rPr>
        <w:t>)</w:t>
      </w:r>
      <w:r w:rsidR="00887EB6">
        <w:rPr>
          <w:lang w:val="fr-FR"/>
        </w:rPr>
        <w:t> </w:t>
      </w:r>
      <w:r w:rsidRPr="00683D5B">
        <w:rPr>
          <w:lang w:val="fr-FR"/>
        </w:rPr>
        <w:t>:</w:t>
      </w:r>
    </w:p>
    <w:p w14:paraId="458A47B1" w14:textId="61EDD970" w:rsidR="00F916AE" w:rsidRPr="00683D5B" w:rsidRDefault="00F916AE" w:rsidP="00F916AE">
      <w:pPr>
        <w:pStyle w:val="SingleTxtG"/>
        <w:rPr>
          <w:i/>
          <w:iCs/>
          <w:lang w:val="fr-FR"/>
        </w:rPr>
      </w:pPr>
      <w:r>
        <w:rPr>
          <w:lang w:val="fr-FR"/>
        </w:rPr>
        <w:t>« </w:t>
      </w:r>
      <w:r>
        <w:rPr>
          <w:lang w:val="fr-FR"/>
        </w:rPr>
        <w:t>“</w:t>
      </w:r>
      <w:r w:rsidRPr="00507F92">
        <w:rPr>
          <w:b/>
          <w:bCs/>
          <w:lang w:val="fr-FR"/>
        </w:rPr>
        <w:t>Véhicule couvert</w:t>
      </w:r>
      <w:r>
        <w:rPr>
          <w:lang w:val="fr-FR"/>
        </w:rPr>
        <w:t>”</w:t>
      </w:r>
      <w:r w:rsidRPr="00683D5B">
        <w:rPr>
          <w:lang w:val="fr-FR"/>
        </w:rPr>
        <w:t xml:space="preserve">, un véhicule </w:t>
      </w:r>
      <w:r w:rsidRPr="00344B04">
        <w:rPr>
          <w:u w:val="single"/>
          <w:lang w:val="fr-FR"/>
        </w:rPr>
        <w:t>dont la carrosserie est telle que</w:t>
      </w:r>
      <w:r w:rsidRPr="00683D5B">
        <w:rPr>
          <w:u w:val="single"/>
          <w:lang w:val="fr-FR"/>
        </w:rPr>
        <w:t xml:space="preserve"> le contenu est complètement enfermé à l</w:t>
      </w:r>
      <w:r w:rsidR="00887EB6">
        <w:rPr>
          <w:u w:val="single"/>
          <w:lang w:val="fr-FR"/>
        </w:rPr>
        <w:t>’</w:t>
      </w:r>
      <w:r w:rsidRPr="00683D5B">
        <w:rPr>
          <w:u w:val="single"/>
          <w:lang w:val="fr-FR"/>
        </w:rPr>
        <w:t>intérieur d</w:t>
      </w:r>
      <w:r w:rsidR="00887EB6">
        <w:rPr>
          <w:u w:val="single"/>
          <w:lang w:val="fr-FR"/>
        </w:rPr>
        <w:t>’</w:t>
      </w:r>
      <w:r w:rsidRPr="00683D5B">
        <w:rPr>
          <w:u w:val="single"/>
          <w:lang w:val="fr-FR"/>
        </w:rPr>
        <w:t>une structure permanente constituée de surfaces ininterrompues et rigides</w:t>
      </w:r>
      <w:r w:rsidRPr="00507F92">
        <w:rPr>
          <w:u w:val="single"/>
          <w:lang w:val="fr-FR"/>
        </w:rPr>
        <w:t xml:space="preserve">. </w:t>
      </w:r>
      <w:r w:rsidRPr="00344B04">
        <w:rPr>
          <w:u w:val="single"/>
          <w:lang w:val="fr-FR"/>
        </w:rPr>
        <w:t xml:space="preserve">Ne sont pas considérés comme </w:t>
      </w:r>
      <w:r>
        <w:rPr>
          <w:u w:val="single"/>
          <w:lang w:val="fr-FR"/>
        </w:rPr>
        <w:t>véhicules</w:t>
      </w:r>
      <w:r w:rsidRPr="00344B04">
        <w:rPr>
          <w:u w:val="single"/>
          <w:lang w:val="fr-FR"/>
        </w:rPr>
        <w:t xml:space="preserve"> </w:t>
      </w:r>
      <w:r>
        <w:rPr>
          <w:u w:val="single"/>
          <w:lang w:val="fr-FR"/>
        </w:rPr>
        <w:t>couverts</w:t>
      </w:r>
      <w:r w:rsidRPr="00344B04">
        <w:rPr>
          <w:u w:val="single"/>
          <w:lang w:val="fr-FR"/>
        </w:rPr>
        <w:t xml:space="preserve"> les </w:t>
      </w:r>
      <w:r>
        <w:rPr>
          <w:u w:val="single"/>
          <w:lang w:val="fr-FR"/>
        </w:rPr>
        <w:t>véhicules</w:t>
      </w:r>
      <w:r w:rsidRPr="00344B04">
        <w:rPr>
          <w:u w:val="single"/>
          <w:lang w:val="fr-FR"/>
        </w:rPr>
        <w:t xml:space="preserve"> dont les côtés ou le dessus sont bâchés</w:t>
      </w:r>
      <w:r>
        <w:rPr>
          <w:u w:val="single"/>
          <w:lang w:val="fr-FR"/>
        </w:rPr>
        <w:t> </w:t>
      </w:r>
      <w:r w:rsidRPr="00344B04">
        <w:rPr>
          <w:u w:val="single"/>
          <w:lang w:val="fr-FR"/>
        </w:rPr>
        <w:t>;</w:t>
      </w:r>
      <w:r w:rsidRPr="00344B04" w:rsidDel="00344B04">
        <w:rPr>
          <w:u w:val="single"/>
          <w:lang w:val="fr-FR"/>
        </w:rPr>
        <w:t xml:space="preserve"> </w:t>
      </w:r>
      <w:r w:rsidRPr="00683D5B">
        <w:rPr>
          <w:strike/>
          <w:lang w:val="fr-FR"/>
        </w:rPr>
        <w:t>dont la carrosserie est constituée par une caisse qui peut être fermée</w:t>
      </w:r>
      <w:r w:rsidRPr="00683D5B">
        <w:rPr>
          <w:lang w:val="fr-FR"/>
        </w:rPr>
        <w:t>.</w:t>
      </w:r>
      <w:r>
        <w:rPr>
          <w:lang w:val="fr-FR"/>
        </w:rPr>
        <w:t> »</w:t>
      </w:r>
    </w:p>
    <w:p w14:paraId="64ED3960" w14:textId="77777777" w:rsidR="00F916AE" w:rsidRPr="00683D5B" w:rsidRDefault="00F916AE" w:rsidP="00F916AE">
      <w:pPr>
        <w:pStyle w:val="HChG"/>
        <w:rPr>
          <w:lang w:val="fr-FR"/>
        </w:rPr>
      </w:pPr>
      <w:r>
        <w:rPr>
          <w:lang w:val="fr-FR"/>
        </w:rPr>
        <w:tab/>
      </w:r>
      <w:r w:rsidRPr="00683D5B">
        <w:rPr>
          <w:lang w:val="fr-FR"/>
        </w:rPr>
        <w:t>III.</w:t>
      </w:r>
      <w:r w:rsidRPr="00683D5B">
        <w:rPr>
          <w:lang w:val="fr-FR"/>
        </w:rPr>
        <w:tab/>
        <w:t>Justification</w:t>
      </w:r>
    </w:p>
    <w:p w14:paraId="7BBEFD2D" w14:textId="4253703E" w:rsidR="00F916AE" w:rsidRPr="00683D5B" w:rsidRDefault="00F916AE" w:rsidP="00F916AE">
      <w:pPr>
        <w:pStyle w:val="H1G"/>
        <w:rPr>
          <w:lang w:val="fr-FR"/>
        </w:rPr>
      </w:pPr>
      <w:r w:rsidRPr="00683D5B">
        <w:rPr>
          <w:lang w:val="fr-FR"/>
        </w:rPr>
        <w:tab/>
      </w:r>
      <w:r w:rsidRPr="00683D5B">
        <w:rPr>
          <w:lang w:val="fr-FR"/>
        </w:rPr>
        <w:tab/>
        <w:t>Comparaison des définitions du RID et de l</w:t>
      </w:r>
      <w:r w:rsidR="00887EB6">
        <w:rPr>
          <w:lang w:val="fr-FR"/>
        </w:rPr>
        <w:t>’</w:t>
      </w:r>
      <w:r w:rsidRPr="00683D5B">
        <w:rPr>
          <w:lang w:val="fr-FR"/>
        </w:rPr>
        <w:t>ADR</w:t>
      </w:r>
    </w:p>
    <w:p w14:paraId="6903975D" w14:textId="6D064220" w:rsidR="00F916AE" w:rsidRDefault="00F916AE" w:rsidP="00F916AE">
      <w:pPr>
        <w:pStyle w:val="SingleTxtG"/>
        <w:rPr>
          <w:lang w:val="fr-FR"/>
        </w:rPr>
      </w:pPr>
      <w:r w:rsidRPr="00683D5B">
        <w:rPr>
          <w:lang w:val="fr-FR"/>
        </w:rPr>
        <w:t>6.</w:t>
      </w:r>
      <w:r w:rsidRPr="00683D5B">
        <w:rPr>
          <w:lang w:val="fr-FR"/>
        </w:rPr>
        <w:tab/>
        <w:t>Le tableau ci-dessous donne un aperçu des définitions des superstructures des wagons et des véhicules :</w:t>
      </w:r>
    </w:p>
    <w:tbl>
      <w:tblPr>
        <w:tblStyle w:val="Grilledutableau"/>
        <w:tblW w:w="8222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F916AE" w:rsidRPr="00683D5B" w14:paraId="430C838A" w14:textId="77777777" w:rsidTr="004E05AA">
        <w:tc>
          <w:tcPr>
            <w:tcW w:w="3969" w:type="dxa"/>
          </w:tcPr>
          <w:p w14:paraId="09631E01" w14:textId="77777777" w:rsidR="00F916AE" w:rsidRPr="00683D5B" w:rsidRDefault="00F916AE" w:rsidP="00507F92">
            <w:pPr>
              <w:tabs>
                <w:tab w:val="left" w:pos="-666"/>
                <w:tab w:val="left" w:pos="-324"/>
                <w:tab w:val="left" w:pos="1985"/>
                <w:tab w:val="left" w:pos="2431"/>
                <w:tab w:val="left" w:pos="2552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00"/>
              <w:ind w:left="57" w:right="57"/>
              <w:jc w:val="center"/>
              <w:rPr>
                <w:b/>
                <w:bCs/>
                <w:lang w:val="fr-FR"/>
              </w:rPr>
            </w:pPr>
            <w:r w:rsidRPr="00683D5B">
              <w:rPr>
                <w:b/>
                <w:bCs/>
                <w:lang w:val="fr-FR"/>
              </w:rPr>
              <w:t>RID 2023</w:t>
            </w:r>
          </w:p>
        </w:tc>
        <w:tc>
          <w:tcPr>
            <w:tcW w:w="4253" w:type="dxa"/>
          </w:tcPr>
          <w:p w14:paraId="3A82B2A7" w14:textId="77777777" w:rsidR="00F916AE" w:rsidRPr="00683D5B" w:rsidRDefault="00F916AE" w:rsidP="00507F92">
            <w:pPr>
              <w:tabs>
                <w:tab w:val="left" w:pos="-666"/>
                <w:tab w:val="left" w:pos="-324"/>
                <w:tab w:val="left" w:pos="1985"/>
                <w:tab w:val="left" w:pos="2431"/>
                <w:tab w:val="left" w:pos="2552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00"/>
              <w:ind w:left="57" w:right="57"/>
              <w:jc w:val="center"/>
              <w:rPr>
                <w:b/>
                <w:bCs/>
                <w:lang w:val="fr-FR"/>
              </w:rPr>
            </w:pPr>
            <w:r w:rsidRPr="00683D5B">
              <w:rPr>
                <w:b/>
                <w:bCs/>
                <w:lang w:val="fr-FR"/>
              </w:rPr>
              <w:t>ADR 2023</w:t>
            </w:r>
          </w:p>
        </w:tc>
      </w:tr>
      <w:tr w:rsidR="00F916AE" w:rsidRPr="00B7682D" w14:paraId="421D7384" w14:textId="77777777" w:rsidTr="004E05AA">
        <w:tc>
          <w:tcPr>
            <w:tcW w:w="3969" w:type="dxa"/>
          </w:tcPr>
          <w:p w14:paraId="521F1AED" w14:textId="355A39C3" w:rsidR="00F916AE" w:rsidRPr="00683D5B" w:rsidRDefault="001447B0" w:rsidP="00507F92">
            <w:pPr>
              <w:ind w:left="57" w:right="57"/>
              <w:rPr>
                <w:lang w:val="fr-FR"/>
              </w:rPr>
            </w:pPr>
            <w:r w:rsidRPr="00683D5B">
              <w:rPr>
                <w:lang w:val="fr-FR"/>
              </w:rPr>
              <w:t>«</w:t>
            </w:r>
            <w:r>
              <w:rPr>
                <w:lang w:val="fr-FR"/>
              </w:rPr>
              <w:t> </w:t>
            </w:r>
            <w:r w:rsidR="00507F92" w:rsidRPr="001447B0">
              <w:rPr>
                <w:b/>
                <w:bCs/>
                <w:i/>
                <w:iCs/>
                <w:lang w:val="fr-FR"/>
              </w:rPr>
              <w:t xml:space="preserve">Wagon </w:t>
            </w:r>
            <w:r w:rsidR="00F916AE" w:rsidRPr="001447B0">
              <w:rPr>
                <w:b/>
                <w:bCs/>
                <w:i/>
                <w:iCs/>
                <w:lang w:val="fr-FR"/>
              </w:rPr>
              <w:t>découvert</w:t>
            </w:r>
            <w:r>
              <w:rPr>
                <w:lang w:val="fr-FR"/>
              </w:rPr>
              <w:t> </w:t>
            </w:r>
            <w:r w:rsidRPr="00683D5B">
              <w:rPr>
                <w:lang w:val="fr-FR"/>
              </w:rPr>
              <w:t>»</w:t>
            </w:r>
            <w:r w:rsidR="00F916AE" w:rsidRPr="00683D5B">
              <w:rPr>
                <w:lang w:val="fr-FR"/>
              </w:rPr>
              <w:t xml:space="preserve">, un </w:t>
            </w:r>
            <w:r w:rsidR="00F916AE" w:rsidRPr="00B7682D">
              <w:rPr>
                <w:i/>
                <w:iCs/>
                <w:lang w:val="fr-FR"/>
              </w:rPr>
              <w:t>wagon</w:t>
            </w:r>
            <w:r w:rsidR="00F916AE" w:rsidRPr="00683D5B">
              <w:rPr>
                <w:lang w:val="fr-FR"/>
              </w:rPr>
              <w:t xml:space="preserve"> avec ou sans parois frontales ou latérales dont la surface de chargement est ouverte</w:t>
            </w:r>
            <w:r w:rsidR="00887EB6">
              <w:rPr>
                <w:lang w:val="fr-FR"/>
              </w:rPr>
              <w:t> </w:t>
            </w:r>
            <w:r w:rsidR="00F916AE" w:rsidRPr="00683D5B">
              <w:rPr>
                <w:lang w:val="fr-FR"/>
              </w:rPr>
              <w:t>;</w:t>
            </w:r>
          </w:p>
          <w:p w14:paraId="0E58CF1E" w14:textId="77777777" w:rsidR="00F916AE" w:rsidRPr="00683D5B" w:rsidRDefault="00F916AE" w:rsidP="00507F92">
            <w:pPr>
              <w:ind w:left="57" w:right="57"/>
              <w:rPr>
                <w:lang w:val="fr-FR"/>
              </w:rPr>
            </w:pPr>
          </w:p>
        </w:tc>
        <w:tc>
          <w:tcPr>
            <w:tcW w:w="4253" w:type="dxa"/>
          </w:tcPr>
          <w:p w14:paraId="000E5D49" w14:textId="24E47AC7" w:rsidR="00F916AE" w:rsidRPr="00683D5B" w:rsidRDefault="00F916AE" w:rsidP="00507F92">
            <w:pPr>
              <w:ind w:left="57" w:right="57"/>
              <w:rPr>
                <w:lang w:val="fr-FR"/>
              </w:rPr>
            </w:pPr>
            <w:r w:rsidRPr="00683D5B">
              <w:rPr>
                <w:lang w:val="fr-FR"/>
              </w:rPr>
              <w:t>«</w:t>
            </w:r>
            <w:r w:rsidR="001447B0">
              <w:rPr>
                <w:lang w:val="fr-FR"/>
              </w:rPr>
              <w:t> </w:t>
            </w:r>
            <w:r w:rsidRPr="00507F92">
              <w:rPr>
                <w:b/>
                <w:bCs/>
                <w:i/>
                <w:iCs/>
                <w:lang w:val="fr-FR"/>
              </w:rPr>
              <w:t>Véhicule découvert</w:t>
            </w:r>
            <w:r w:rsidR="001447B0">
              <w:rPr>
                <w:lang w:val="fr-FR"/>
              </w:rPr>
              <w:t> </w:t>
            </w:r>
            <w:r w:rsidRPr="00683D5B">
              <w:rPr>
                <w:lang w:val="fr-FR"/>
              </w:rPr>
              <w:t xml:space="preserve">», un </w:t>
            </w:r>
            <w:r w:rsidRPr="001447B0">
              <w:rPr>
                <w:i/>
                <w:iCs/>
                <w:lang w:val="fr-FR"/>
              </w:rPr>
              <w:t>véhicule</w:t>
            </w:r>
            <w:r w:rsidRPr="00683D5B">
              <w:rPr>
                <w:lang w:val="fr-FR"/>
              </w:rPr>
              <w:t xml:space="preserve"> dont la plate-forme est nue ou munie seulement de ridelles et d</w:t>
            </w:r>
            <w:r w:rsidR="00887EB6">
              <w:rPr>
                <w:lang w:val="fr-FR"/>
              </w:rPr>
              <w:t>’</w:t>
            </w:r>
            <w:r w:rsidRPr="00683D5B">
              <w:rPr>
                <w:lang w:val="fr-FR"/>
              </w:rPr>
              <w:t>un hayon</w:t>
            </w:r>
            <w:r w:rsidR="00887EB6">
              <w:rPr>
                <w:lang w:val="fr-FR"/>
              </w:rPr>
              <w:t> </w:t>
            </w:r>
            <w:r w:rsidRPr="00683D5B">
              <w:rPr>
                <w:lang w:val="fr-FR"/>
              </w:rPr>
              <w:t>;</w:t>
            </w:r>
          </w:p>
        </w:tc>
      </w:tr>
      <w:tr w:rsidR="00F916AE" w:rsidRPr="00B7682D" w14:paraId="1F531CD4" w14:textId="77777777" w:rsidTr="004E05AA">
        <w:tc>
          <w:tcPr>
            <w:tcW w:w="3969" w:type="dxa"/>
          </w:tcPr>
          <w:p w14:paraId="7EE5590E" w14:textId="6166B35F" w:rsidR="00F916AE" w:rsidRPr="00683D5B" w:rsidRDefault="001447B0" w:rsidP="00507F92">
            <w:pPr>
              <w:ind w:left="57" w:right="57"/>
              <w:rPr>
                <w:lang w:val="fr-FR"/>
              </w:rPr>
            </w:pPr>
            <w:r w:rsidRPr="00683D5B">
              <w:rPr>
                <w:lang w:val="fr-FR"/>
              </w:rPr>
              <w:t>«</w:t>
            </w:r>
            <w:r>
              <w:rPr>
                <w:lang w:val="fr-FR"/>
              </w:rPr>
              <w:t> </w:t>
            </w:r>
            <w:r w:rsidR="00507F92" w:rsidRPr="001447B0">
              <w:rPr>
                <w:b/>
                <w:bCs/>
                <w:i/>
                <w:iCs/>
                <w:lang w:val="fr-FR"/>
              </w:rPr>
              <w:t xml:space="preserve">Wagon </w:t>
            </w:r>
            <w:r w:rsidR="00F916AE" w:rsidRPr="001447B0">
              <w:rPr>
                <w:b/>
                <w:bCs/>
                <w:i/>
                <w:iCs/>
                <w:lang w:val="fr-FR"/>
              </w:rPr>
              <w:t>bâché</w:t>
            </w:r>
            <w:r>
              <w:rPr>
                <w:lang w:val="fr-FR"/>
              </w:rPr>
              <w:t> </w:t>
            </w:r>
            <w:r w:rsidRPr="00683D5B">
              <w:rPr>
                <w:lang w:val="fr-FR"/>
              </w:rPr>
              <w:t>»</w:t>
            </w:r>
            <w:r w:rsidR="00F916AE" w:rsidRPr="00683D5B">
              <w:rPr>
                <w:lang w:val="fr-FR"/>
              </w:rPr>
              <w:t xml:space="preserve">, un </w:t>
            </w:r>
            <w:r w:rsidR="00F916AE" w:rsidRPr="00B7682D">
              <w:rPr>
                <w:i/>
                <w:iCs/>
                <w:lang w:val="fr-FR"/>
              </w:rPr>
              <w:t>wagon</w:t>
            </w:r>
            <w:r w:rsidR="00F916AE" w:rsidRPr="00683D5B">
              <w:rPr>
                <w:lang w:val="fr-FR"/>
              </w:rPr>
              <w:t xml:space="preserve"> découvert muni d</w:t>
            </w:r>
            <w:r w:rsidR="00887EB6">
              <w:rPr>
                <w:lang w:val="fr-FR"/>
              </w:rPr>
              <w:t>’</w:t>
            </w:r>
            <w:r w:rsidR="00F916AE" w:rsidRPr="00683D5B">
              <w:rPr>
                <w:lang w:val="fr-FR"/>
              </w:rPr>
              <w:t>une bâche pour protéger la marchandise chargée</w:t>
            </w:r>
            <w:r w:rsidR="00887EB6">
              <w:rPr>
                <w:lang w:val="fr-FR"/>
              </w:rPr>
              <w:t> </w:t>
            </w:r>
            <w:r w:rsidR="00F916AE" w:rsidRPr="00683D5B">
              <w:rPr>
                <w:lang w:val="fr-FR"/>
              </w:rPr>
              <w:t>;</w:t>
            </w:r>
          </w:p>
          <w:p w14:paraId="3F966E37" w14:textId="77777777" w:rsidR="00F916AE" w:rsidRPr="00683D5B" w:rsidRDefault="00F916AE" w:rsidP="00507F92">
            <w:pPr>
              <w:ind w:left="57" w:right="57"/>
              <w:rPr>
                <w:lang w:val="fr-FR"/>
              </w:rPr>
            </w:pPr>
          </w:p>
        </w:tc>
        <w:tc>
          <w:tcPr>
            <w:tcW w:w="4253" w:type="dxa"/>
          </w:tcPr>
          <w:p w14:paraId="090EFED6" w14:textId="35B7B421" w:rsidR="00F916AE" w:rsidRPr="00683D5B" w:rsidRDefault="00F916AE" w:rsidP="00507F92">
            <w:pPr>
              <w:ind w:left="57" w:right="57"/>
              <w:rPr>
                <w:lang w:val="fr-FR"/>
              </w:rPr>
            </w:pPr>
            <w:r w:rsidRPr="00683D5B">
              <w:rPr>
                <w:lang w:val="fr-FR"/>
              </w:rPr>
              <w:t>«</w:t>
            </w:r>
            <w:r w:rsidR="001447B0">
              <w:rPr>
                <w:lang w:val="fr-FR"/>
              </w:rPr>
              <w:t> </w:t>
            </w:r>
            <w:r w:rsidRPr="00507F92">
              <w:rPr>
                <w:b/>
                <w:bCs/>
                <w:i/>
                <w:iCs/>
                <w:lang w:val="fr-FR"/>
              </w:rPr>
              <w:t>Véhicule bâché</w:t>
            </w:r>
            <w:r w:rsidR="001447B0">
              <w:rPr>
                <w:lang w:val="fr-FR"/>
              </w:rPr>
              <w:t> </w:t>
            </w:r>
            <w:r w:rsidRPr="00683D5B">
              <w:rPr>
                <w:lang w:val="fr-FR"/>
              </w:rPr>
              <w:t xml:space="preserve">», un </w:t>
            </w:r>
            <w:r w:rsidRPr="001447B0">
              <w:rPr>
                <w:i/>
                <w:iCs/>
                <w:lang w:val="fr-FR"/>
              </w:rPr>
              <w:t>véhicule</w:t>
            </w:r>
            <w:r w:rsidRPr="00683D5B">
              <w:rPr>
                <w:lang w:val="fr-FR"/>
              </w:rPr>
              <w:t xml:space="preserve"> découvert muni d</w:t>
            </w:r>
            <w:r w:rsidR="00887EB6">
              <w:rPr>
                <w:lang w:val="fr-FR"/>
              </w:rPr>
              <w:t>’</w:t>
            </w:r>
            <w:r w:rsidRPr="00683D5B">
              <w:rPr>
                <w:lang w:val="fr-FR"/>
              </w:rPr>
              <w:t>une bâche pour protéger la marchandise chargée</w:t>
            </w:r>
            <w:r>
              <w:rPr>
                <w:lang w:val="fr-FR"/>
              </w:rPr>
              <w:t> </w:t>
            </w:r>
            <w:r w:rsidRPr="00683D5B">
              <w:rPr>
                <w:lang w:val="fr-FR"/>
              </w:rPr>
              <w:t>;</w:t>
            </w:r>
          </w:p>
        </w:tc>
      </w:tr>
      <w:tr w:rsidR="00F916AE" w:rsidRPr="00B7682D" w14:paraId="7549B334" w14:textId="77777777" w:rsidTr="004E05AA">
        <w:tc>
          <w:tcPr>
            <w:tcW w:w="3969" w:type="dxa"/>
          </w:tcPr>
          <w:p w14:paraId="5285B6A0" w14:textId="3BFC32EE" w:rsidR="00F916AE" w:rsidRPr="00683D5B" w:rsidRDefault="001447B0" w:rsidP="00507F92">
            <w:pPr>
              <w:ind w:left="57" w:right="57"/>
              <w:rPr>
                <w:lang w:val="fr-FR"/>
              </w:rPr>
            </w:pPr>
            <w:r w:rsidRPr="00683D5B">
              <w:rPr>
                <w:lang w:val="fr-FR"/>
              </w:rPr>
              <w:t>«</w:t>
            </w:r>
            <w:r>
              <w:rPr>
                <w:lang w:val="fr-FR"/>
              </w:rPr>
              <w:t> </w:t>
            </w:r>
            <w:r w:rsidR="00507F92" w:rsidRPr="001447B0">
              <w:rPr>
                <w:b/>
                <w:bCs/>
                <w:i/>
                <w:iCs/>
                <w:lang w:val="fr-FR"/>
              </w:rPr>
              <w:t xml:space="preserve">Wagon </w:t>
            </w:r>
            <w:r w:rsidR="00F916AE" w:rsidRPr="001447B0">
              <w:rPr>
                <w:b/>
                <w:bCs/>
                <w:i/>
                <w:iCs/>
                <w:lang w:val="fr-FR"/>
              </w:rPr>
              <w:t>couvert</w:t>
            </w:r>
            <w:r>
              <w:rPr>
                <w:lang w:val="fr-FR"/>
              </w:rPr>
              <w:t> </w:t>
            </w:r>
            <w:r w:rsidRPr="00683D5B">
              <w:rPr>
                <w:lang w:val="fr-FR"/>
              </w:rPr>
              <w:t>»</w:t>
            </w:r>
            <w:r w:rsidR="00F916AE" w:rsidRPr="00683D5B">
              <w:rPr>
                <w:lang w:val="fr-FR"/>
              </w:rPr>
              <w:t xml:space="preserve">, un </w:t>
            </w:r>
            <w:r w:rsidR="00F916AE" w:rsidRPr="00B7682D">
              <w:rPr>
                <w:i/>
                <w:iCs/>
                <w:lang w:val="fr-FR"/>
              </w:rPr>
              <w:t>wagon</w:t>
            </w:r>
            <w:r w:rsidR="00F916AE" w:rsidRPr="00683D5B">
              <w:rPr>
                <w:lang w:val="fr-FR"/>
              </w:rPr>
              <w:t xml:space="preserve"> à parois et toit fixes ou amovibles</w:t>
            </w:r>
            <w:r w:rsidR="00887EB6">
              <w:rPr>
                <w:lang w:val="fr-FR"/>
              </w:rPr>
              <w:t> </w:t>
            </w:r>
            <w:r w:rsidR="00F916AE" w:rsidRPr="00683D5B">
              <w:rPr>
                <w:lang w:val="fr-FR"/>
              </w:rPr>
              <w:t>;</w:t>
            </w:r>
          </w:p>
          <w:p w14:paraId="6EBBE825" w14:textId="77777777" w:rsidR="00F916AE" w:rsidRPr="00683D5B" w:rsidRDefault="00F916AE" w:rsidP="00507F92">
            <w:pPr>
              <w:ind w:left="57" w:right="57"/>
              <w:rPr>
                <w:lang w:val="fr-FR"/>
              </w:rPr>
            </w:pPr>
          </w:p>
        </w:tc>
        <w:tc>
          <w:tcPr>
            <w:tcW w:w="4253" w:type="dxa"/>
          </w:tcPr>
          <w:p w14:paraId="39C5D358" w14:textId="408A8538" w:rsidR="00F916AE" w:rsidRPr="00683D5B" w:rsidRDefault="00F916AE" w:rsidP="00507F92">
            <w:pPr>
              <w:ind w:left="57" w:right="57"/>
              <w:rPr>
                <w:lang w:val="fr-FR"/>
              </w:rPr>
            </w:pPr>
            <w:r w:rsidRPr="00683D5B">
              <w:rPr>
                <w:lang w:val="fr-FR"/>
              </w:rPr>
              <w:t>«</w:t>
            </w:r>
            <w:r w:rsidR="001447B0">
              <w:rPr>
                <w:lang w:val="fr-FR"/>
              </w:rPr>
              <w:t> </w:t>
            </w:r>
            <w:r w:rsidRPr="00507F92">
              <w:rPr>
                <w:b/>
                <w:bCs/>
                <w:i/>
                <w:iCs/>
                <w:lang w:val="fr-FR"/>
              </w:rPr>
              <w:t>Véhicule couvert</w:t>
            </w:r>
            <w:r w:rsidR="001447B0">
              <w:rPr>
                <w:lang w:val="fr-FR"/>
              </w:rPr>
              <w:t> </w:t>
            </w:r>
            <w:r w:rsidRPr="00683D5B">
              <w:rPr>
                <w:lang w:val="fr-FR"/>
              </w:rPr>
              <w:t xml:space="preserve">», un </w:t>
            </w:r>
            <w:r w:rsidRPr="001447B0">
              <w:rPr>
                <w:i/>
                <w:iCs/>
                <w:lang w:val="fr-FR"/>
              </w:rPr>
              <w:t>véhicule</w:t>
            </w:r>
            <w:r w:rsidRPr="00683D5B">
              <w:rPr>
                <w:lang w:val="fr-FR"/>
              </w:rPr>
              <w:t xml:space="preserve"> dont la carrosserie est constituée par une caisse qui peut être fermée</w:t>
            </w:r>
            <w:r w:rsidR="00887EB6">
              <w:rPr>
                <w:lang w:val="fr-FR"/>
              </w:rPr>
              <w:t> </w:t>
            </w:r>
            <w:r w:rsidRPr="00683D5B">
              <w:rPr>
                <w:lang w:val="fr-FR"/>
              </w:rPr>
              <w:t>;</w:t>
            </w:r>
          </w:p>
        </w:tc>
      </w:tr>
      <w:tr w:rsidR="00F916AE" w:rsidRPr="00B7682D" w14:paraId="0AEC2DE0" w14:textId="77777777" w:rsidTr="004E05AA">
        <w:tc>
          <w:tcPr>
            <w:tcW w:w="3969" w:type="dxa"/>
          </w:tcPr>
          <w:p w14:paraId="276CC2BC" w14:textId="553AB21F" w:rsidR="00F916AE" w:rsidRPr="00683D5B" w:rsidRDefault="001447B0" w:rsidP="00507F92">
            <w:pPr>
              <w:ind w:left="57" w:right="57"/>
              <w:rPr>
                <w:lang w:val="fr-FR"/>
              </w:rPr>
            </w:pPr>
            <w:r w:rsidRPr="00683D5B">
              <w:rPr>
                <w:lang w:val="fr-FR"/>
              </w:rPr>
              <w:t>«</w:t>
            </w:r>
            <w:r>
              <w:rPr>
                <w:lang w:val="fr-FR"/>
              </w:rPr>
              <w:t> </w:t>
            </w:r>
            <w:r w:rsidR="00507F92" w:rsidRPr="001447B0">
              <w:rPr>
                <w:b/>
                <w:bCs/>
                <w:i/>
                <w:iCs/>
                <w:lang w:val="fr-FR"/>
              </w:rPr>
              <w:t xml:space="preserve">Conteneur </w:t>
            </w:r>
            <w:r w:rsidR="00F916AE" w:rsidRPr="001447B0">
              <w:rPr>
                <w:b/>
                <w:bCs/>
                <w:i/>
                <w:iCs/>
                <w:lang w:val="fr-FR"/>
              </w:rPr>
              <w:t>ouvert</w:t>
            </w:r>
            <w:r>
              <w:rPr>
                <w:lang w:val="fr-FR"/>
              </w:rPr>
              <w:t> </w:t>
            </w:r>
            <w:r w:rsidRPr="00683D5B">
              <w:rPr>
                <w:lang w:val="fr-FR"/>
              </w:rPr>
              <w:t>»</w:t>
            </w:r>
            <w:r w:rsidR="00F916AE" w:rsidRPr="00683D5B">
              <w:rPr>
                <w:lang w:val="fr-FR"/>
              </w:rPr>
              <w:t xml:space="preserve">, un </w:t>
            </w:r>
            <w:r w:rsidR="00F916AE" w:rsidRPr="00B7682D">
              <w:rPr>
                <w:i/>
                <w:iCs/>
                <w:lang w:val="fr-FR"/>
              </w:rPr>
              <w:t>conteneur</w:t>
            </w:r>
            <w:r w:rsidR="00F916AE" w:rsidRPr="00683D5B">
              <w:rPr>
                <w:lang w:val="fr-FR"/>
              </w:rPr>
              <w:t xml:space="preserve"> à toit ouvert ou un conteneur de type plate-forme</w:t>
            </w:r>
            <w:r w:rsidR="00887EB6">
              <w:rPr>
                <w:lang w:val="fr-FR"/>
              </w:rPr>
              <w:t> </w:t>
            </w:r>
            <w:r w:rsidR="00F916AE" w:rsidRPr="00683D5B">
              <w:rPr>
                <w:lang w:val="fr-FR"/>
              </w:rPr>
              <w:t>;</w:t>
            </w:r>
          </w:p>
        </w:tc>
        <w:tc>
          <w:tcPr>
            <w:tcW w:w="4253" w:type="dxa"/>
          </w:tcPr>
          <w:p w14:paraId="12776F0E" w14:textId="2FA0D45C" w:rsidR="00F916AE" w:rsidRPr="00683D5B" w:rsidRDefault="00F916AE" w:rsidP="00507F92">
            <w:pPr>
              <w:tabs>
                <w:tab w:val="left" w:pos="-666"/>
                <w:tab w:val="left" w:pos="-324"/>
                <w:tab w:val="left" w:pos="1985"/>
                <w:tab w:val="left" w:pos="2431"/>
                <w:tab w:val="left" w:pos="2552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00"/>
              <w:ind w:left="57" w:right="57"/>
              <w:rPr>
                <w:lang w:val="fr-FR"/>
              </w:rPr>
            </w:pPr>
            <w:r w:rsidRPr="00683D5B">
              <w:rPr>
                <w:lang w:val="fr-FR"/>
              </w:rPr>
              <w:t>«</w:t>
            </w:r>
            <w:r w:rsidR="001447B0">
              <w:rPr>
                <w:lang w:val="fr-FR"/>
              </w:rPr>
              <w:t> </w:t>
            </w:r>
            <w:r w:rsidRPr="00507F92">
              <w:rPr>
                <w:b/>
                <w:bCs/>
                <w:i/>
                <w:iCs/>
                <w:lang w:val="fr-FR"/>
              </w:rPr>
              <w:t>Conteneur ouvert</w:t>
            </w:r>
            <w:r w:rsidR="001447B0">
              <w:rPr>
                <w:lang w:val="fr-FR"/>
              </w:rPr>
              <w:t> </w:t>
            </w:r>
            <w:r w:rsidRPr="00683D5B">
              <w:rPr>
                <w:lang w:val="fr-FR"/>
              </w:rPr>
              <w:t xml:space="preserve">», un </w:t>
            </w:r>
            <w:r w:rsidRPr="001447B0">
              <w:rPr>
                <w:i/>
                <w:iCs/>
                <w:lang w:val="fr-FR"/>
              </w:rPr>
              <w:t>conteneur</w:t>
            </w:r>
            <w:r w:rsidRPr="00683D5B">
              <w:rPr>
                <w:lang w:val="fr-FR"/>
              </w:rPr>
              <w:t xml:space="preserve"> à toit ouvert ou un conteneur de type plate-forme</w:t>
            </w:r>
            <w:r w:rsidR="00887EB6">
              <w:rPr>
                <w:lang w:val="fr-FR"/>
              </w:rPr>
              <w:t> </w:t>
            </w:r>
            <w:r w:rsidRPr="00683D5B">
              <w:rPr>
                <w:lang w:val="fr-FR"/>
              </w:rPr>
              <w:t>;</w:t>
            </w:r>
          </w:p>
        </w:tc>
      </w:tr>
      <w:tr w:rsidR="00F916AE" w:rsidRPr="00B7682D" w14:paraId="3F123024" w14:textId="77777777" w:rsidTr="004E05AA">
        <w:tc>
          <w:tcPr>
            <w:tcW w:w="3969" w:type="dxa"/>
          </w:tcPr>
          <w:p w14:paraId="21A8B049" w14:textId="47D02B0C" w:rsidR="00F916AE" w:rsidRPr="00683D5B" w:rsidRDefault="001447B0" w:rsidP="00507F92">
            <w:pPr>
              <w:ind w:left="57" w:right="57"/>
              <w:rPr>
                <w:lang w:val="fr-FR"/>
              </w:rPr>
            </w:pPr>
            <w:r w:rsidRPr="00683D5B">
              <w:rPr>
                <w:lang w:val="fr-FR"/>
              </w:rPr>
              <w:t>«</w:t>
            </w:r>
            <w:r>
              <w:rPr>
                <w:lang w:val="fr-FR"/>
              </w:rPr>
              <w:t> </w:t>
            </w:r>
            <w:r w:rsidR="00507F92" w:rsidRPr="001447B0">
              <w:rPr>
                <w:b/>
                <w:bCs/>
                <w:i/>
                <w:iCs/>
                <w:lang w:val="fr-FR"/>
              </w:rPr>
              <w:t xml:space="preserve">Conteneur </w:t>
            </w:r>
            <w:r w:rsidR="00F916AE" w:rsidRPr="001447B0">
              <w:rPr>
                <w:b/>
                <w:bCs/>
                <w:i/>
                <w:iCs/>
                <w:lang w:val="fr-FR"/>
              </w:rPr>
              <w:t>bâché</w:t>
            </w:r>
            <w:r>
              <w:rPr>
                <w:lang w:val="fr-FR"/>
              </w:rPr>
              <w:t> </w:t>
            </w:r>
            <w:r w:rsidRPr="00683D5B">
              <w:rPr>
                <w:lang w:val="fr-FR"/>
              </w:rPr>
              <w:t>»</w:t>
            </w:r>
            <w:r w:rsidR="00F916AE" w:rsidRPr="00683D5B">
              <w:rPr>
                <w:lang w:val="fr-FR"/>
              </w:rPr>
              <w:t xml:space="preserve">, un </w:t>
            </w:r>
            <w:r w:rsidR="00F916AE" w:rsidRPr="00B7682D">
              <w:rPr>
                <w:i/>
                <w:iCs/>
                <w:lang w:val="fr-FR"/>
              </w:rPr>
              <w:t>conteneur</w:t>
            </w:r>
            <w:r w:rsidR="00F916AE" w:rsidRPr="00683D5B">
              <w:rPr>
                <w:lang w:val="fr-FR"/>
              </w:rPr>
              <w:t xml:space="preserve"> ouvert muni d</w:t>
            </w:r>
            <w:r w:rsidR="00887EB6">
              <w:rPr>
                <w:lang w:val="fr-FR"/>
              </w:rPr>
              <w:t>’</w:t>
            </w:r>
            <w:r w:rsidR="00F916AE" w:rsidRPr="00683D5B">
              <w:rPr>
                <w:lang w:val="fr-FR"/>
              </w:rPr>
              <w:t>une bâche pour protéger la marchandise chargée</w:t>
            </w:r>
            <w:r w:rsidR="00887EB6">
              <w:rPr>
                <w:lang w:val="fr-FR"/>
              </w:rPr>
              <w:t> </w:t>
            </w:r>
            <w:r w:rsidR="00F916AE" w:rsidRPr="00683D5B">
              <w:rPr>
                <w:lang w:val="fr-FR"/>
              </w:rPr>
              <w:t>;</w:t>
            </w:r>
          </w:p>
        </w:tc>
        <w:tc>
          <w:tcPr>
            <w:tcW w:w="4253" w:type="dxa"/>
          </w:tcPr>
          <w:p w14:paraId="5F7FA60D" w14:textId="514A228A" w:rsidR="00F916AE" w:rsidRPr="00683D5B" w:rsidRDefault="00F916AE" w:rsidP="00507F92">
            <w:pPr>
              <w:tabs>
                <w:tab w:val="left" w:pos="-666"/>
                <w:tab w:val="left" w:pos="-324"/>
                <w:tab w:val="left" w:pos="1985"/>
                <w:tab w:val="left" w:pos="2431"/>
                <w:tab w:val="left" w:pos="2552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00"/>
              <w:ind w:left="57" w:right="57"/>
              <w:rPr>
                <w:lang w:val="fr-FR"/>
              </w:rPr>
            </w:pPr>
            <w:r w:rsidRPr="00683D5B">
              <w:rPr>
                <w:lang w:val="fr-FR"/>
              </w:rPr>
              <w:t>«</w:t>
            </w:r>
            <w:r w:rsidR="001447B0">
              <w:rPr>
                <w:lang w:val="fr-FR"/>
              </w:rPr>
              <w:t> </w:t>
            </w:r>
            <w:r w:rsidRPr="00507F92">
              <w:rPr>
                <w:b/>
                <w:bCs/>
                <w:i/>
                <w:iCs/>
                <w:lang w:val="fr-FR"/>
              </w:rPr>
              <w:t>Conteneur bâché</w:t>
            </w:r>
            <w:r w:rsidR="001447B0">
              <w:rPr>
                <w:lang w:val="fr-FR"/>
              </w:rPr>
              <w:t> </w:t>
            </w:r>
            <w:r w:rsidRPr="00683D5B">
              <w:rPr>
                <w:lang w:val="fr-FR"/>
              </w:rPr>
              <w:t xml:space="preserve">», un </w:t>
            </w:r>
            <w:r w:rsidRPr="001447B0">
              <w:rPr>
                <w:i/>
                <w:iCs/>
                <w:lang w:val="fr-FR"/>
              </w:rPr>
              <w:t>conteneur</w:t>
            </w:r>
            <w:r w:rsidRPr="00683D5B">
              <w:rPr>
                <w:lang w:val="fr-FR"/>
              </w:rPr>
              <w:t xml:space="preserve"> ouvert muni d</w:t>
            </w:r>
            <w:r w:rsidR="00887EB6">
              <w:rPr>
                <w:lang w:val="fr-FR"/>
              </w:rPr>
              <w:t>’</w:t>
            </w:r>
            <w:r w:rsidRPr="00683D5B">
              <w:rPr>
                <w:lang w:val="fr-FR"/>
              </w:rPr>
              <w:t>une bâche pour protéger la marchandise chargée</w:t>
            </w:r>
            <w:r>
              <w:rPr>
                <w:lang w:val="fr-FR"/>
              </w:rPr>
              <w:t> </w:t>
            </w:r>
            <w:r w:rsidRPr="00683D5B">
              <w:rPr>
                <w:lang w:val="fr-FR"/>
              </w:rPr>
              <w:t>;</w:t>
            </w:r>
          </w:p>
        </w:tc>
      </w:tr>
      <w:tr w:rsidR="00F916AE" w:rsidRPr="00B7682D" w14:paraId="10D27AD0" w14:textId="77777777" w:rsidTr="004E05AA">
        <w:tc>
          <w:tcPr>
            <w:tcW w:w="3969" w:type="dxa"/>
          </w:tcPr>
          <w:p w14:paraId="37CDB2BD" w14:textId="4B887E61" w:rsidR="00F916AE" w:rsidRPr="00683D5B" w:rsidRDefault="001447B0" w:rsidP="00507F92">
            <w:pPr>
              <w:tabs>
                <w:tab w:val="left" w:pos="-666"/>
                <w:tab w:val="left" w:pos="-324"/>
                <w:tab w:val="left" w:pos="1985"/>
                <w:tab w:val="left" w:pos="2431"/>
                <w:tab w:val="left" w:pos="2552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00"/>
              <w:ind w:left="57" w:right="57"/>
              <w:rPr>
                <w:lang w:val="fr-FR"/>
              </w:rPr>
            </w:pPr>
            <w:r w:rsidRPr="00683D5B">
              <w:rPr>
                <w:lang w:val="fr-FR"/>
              </w:rPr>
              <w:t>«</w:t>
            </w:r>
            <w:r>
              <w:rPr>
                <w:lang w:val="fr-FR"/>
              </w:rPr>
              <w:t> </w:t>
            </w:r>
            <w:r w:rsidR="00507F92" w:rsidRPr="001447B0">
              <w:rPr>
                <w:b/>
                <w:bCs/>
                <w:i/>
                <w:iCs/>
                <w:lang w:val="fr-FR"/>
              </w:rPr>
              <w:t xml:space="preserve">Conteneur </w:t>
            </w:r>
            <w:r w:rsidR="00F916AE" w:rsidRPr="001447B0">
              <w:rPr>
                <w:b/>
                <w:bCs/>
                <w:i/>
                <w:iCs/>
                <w:lang w:val="fr-FR"/>
              </w:rPr>
              <w:t>fermé</w:t>
            </w:r>
            <w:r>
              <w:rPr>
                <w:lang w:val="fr-FR"/>
              </w:rPr>
              <w:t> </w:t>
            </w:r>
            <w:r w:rsidRPr="00683D5B">
              <w:rPr>
                <w:lang w:val="fr-FR"/>
              </w:rPr>
              <w:t>»</w:t>
            </w:r>
            <w:r w:rsidR="00F916AE">
              <w:rPr>
                <w:lang w:val="fr-FR"/>
              </w:rPr>
              <w:t xml:space="preserve">, un </w:t>
            </w:r>
            <w:r w:rsidR="00F916AE" w:rsidRPr="00B7682D">
              <w:rPr>
                <w:i/>
                <w:iCs/>
                <w:lang w:val="fr-FR"/>
              </w:rPr>
              <w:t>conteneur</w:t>
            </w:r>
            <w:r w:rsidR="00F916AE">
              <w:rPr>
                <w:lang w:val="fr-FR"/>
              </w:rPr>
              <w:t xml:space="preserve"> totalement fermé, ayant un toit rigide, des parois latérales rigides, des parois d</w:t>
            </w:r>
            <w:r w:rsidR="00887EB6">
              <w:rPr>
                <w:lang w:val="fr-FR"/>
              </w:rPr>
              <w:t>’</w:t>
            </w:r>
            <w:r w:rsidR="00F916AE">
              <w:rPr>
                <w:lang w:val="fr-FR"/>
              </w:rPr>
              <w:t xml:space="preserve">extrémité rigides et un plancher. </w:t>
            </w:r>
            <w:r w:rsidR="00F916AE" w:rsidRPr="00B052E7">
              <w:rPr>
                <w:lang w:val="fr-FR"/>
              </w:rPr>
              <w:t xml:space="preserve">Le terme englobe les </w:t>
            </w:r>
            <w:r w:rsidR="00F916AE" w:rsidRPr="00B7682D">
              <w:rPr>
                <w:i/>
                <w:iCs/>
                <w:lang w:val="fr-FR"/>
              </w:rPr>
              <w:t>conteneurs</w:t>
            </w:r>
            <w:r w:rsidR="00F916AE" w:rsidRPr="00B052E7">
              <w:rPr>
                <w:lang w:val="fr-FR"/>
              </w:rPr>
              <w:t xml:space="preserve"> à toit</w:t>
            </w:r>
            <w:r>
              <w:rPr>
                <w:lang w:val="fr-FR"/>
              </w:rPr>
              <w:t> </w:t>
            </w:r>
            <w:r w:rsidR="00F916AE" w:rsidRPr="00B052E7">
              <w:rPr>
                <w:lang w:val="fr-FR"/>
              </w:rPr>
              <w:t>ouvrant pour autant que le toit soit fermé pendant le transport</w:t>
            </w:r>
            <w:r w:rsidR="00887EB6">
              <w:rPr>
                <w:lang w:val="fr-FR"/>
              </w:rPr>
              <w:t> </w:t>
            </w:r>
            <w:r w:rsidR="00F916AE" w:rsidRPr="00B052E7">
              <w:rPr>
                <w:lang w:val="fr-FR"/>
              </w:rPr>
              <w:t>;</w:t>
            </w:r>
          </w:p>
        </w:tc>
        <w:tc>
          <w:tcPr>
            <w:tcW w:w="4253" w:type="dxa"/>
          </w:tcPr>
          <w:p w14:paraId="694ED872" w14:textId="18D1C8FC" w:rsidR="00F916AE" w:rsidRPr="00683D5B" w:rsidRDefault="00F916AE" w:rsidP="00507F92">
            <w:pPr>
              <w:tabs>
                <w:tab w:val="left" w:pos="-666"/>
                <w:tab w:val="left" w:pos="-324"/>
                <w:tab w:val="left" w:pos="1985"/>
                <w:tab w:val="left" w:pos="2431"/>
                <w:tab w:val="left" w:pos="2552"/>
                <w:tab w:val="left" w:pos="311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200"/>
              <w:ind w:left="57" w:right="57"/>
              <w:rPr>
                <w:lang w:val="fr-FR"/>
              </w:rPr>
            </w:pPr>
            <w:r w:rsidRPr="00683D5B">
              <w:rPr>
                <w:lang w:val="fr-FR"/>
              </w:rPr>
              <w:t xml:space="preserve">« </w:t>
            </w:r>
            <w:r w:rsidRPr="00507F92">
              <w:rPr>
                <w:b/>
                <w:bCs/>
                <w:i/>
                <w:iCs/>
                <w:lang w:val="fr-FR"/>
              </w:rPr>
              <w:t>Conteneur fermé</w:t>
            </w:r>
            <w:r w:rsidRPr="00683D5B">
              <w:rPr>
                <w:lang w:val="fr-FR"/>
              </w:rPr>
              <w:t xml:space="preserve"> », un </w:t>
            </w:r>
            <w:r w:rsidRPr="001447B0">
              <w:rPr>
                <w:i/>
                <w:iCs/>
                <w:lang w:val="fr-FR"/>
              </w:rPr>
              <w:t>conteneur</w:t>
            </w:r>
            <w:r w:rsidRPr="00683D5B">
              <w:rPr>
                <w:lang w:val="fr-FR"/>
              </w:rPr>
              <w:t xml:space="preserve"> totalement fermé, ayant un toit rigide, des parois latérales rigides, des parois d</w:t>
            </w:r>
            <w:r w:rsidR="00887EB6">
              <w:rPr>
                <w:lang w:val="fr-FR"/>
              </w:rPr>
              <w:t>’</w:t>
            </w:r>
            <w:r w:rsidRPr="00683D5B">
              <w:rPr>
                <w:lang w:val="fr-FR"/>
              </w:rPr>
              <w:t>extrémité rigides et un plancher. Le terme englobe les conteneurs à toit ouvrant pour autant que le toit soit fermé pendant le transport</w:t>
            </w:r>
            <w:r w:rsidR="00887EB6">
              <w:rPr>
                <w:lang w:val="fr-FR"/>
              </w:rPr>
              <w:t> </w:t>
            </w:r>
            <w:r w:rsidRPr="00683D5B">
              <w:rPr>
                <w:lang w:val="fr-FR"/>
              </w:rPr>
              <w:t xml:space="preserve">; </w:t>
            </w:r>
          </w:p>
        </w:tc>
      </w:tr>
    </w:tbl>
    <w:p w14:paraId="19847CFC" w14:textId="77777777" w:rsidR="00F916AE" w:rsidRPr="00683D5B" w:rsidRDefault="00F916AE" w:rsidP="00F916AE">
      <w:pPr>
        <w:pStyle w:val="H1G"/>
        <w:rPr>
          <w:lang w:val="fr-FR"/>
        </w:rPr>
      </w:pPr>
      <w:r w:rsidRPr="00683D5B">
        <w:rPr>
          <w:lang w:val="fr-FR"/>
        </w:rPr>
        <w:lastRenderedPageBreak/>
        <w:tab/>
      </w:r>
      <w:r w:rsidRPr="00683D5B">
        <w:rPr>
          <w:lang w:val="fr-FR"/>
        </w:rPr>
        <w:tab/>
        <w:t>Désignation des types de carrosserie de</w:t>
      </w:r>
      <w:r>
        <w:rPr>
          <w:lang w:val="fr-FR"/>
        </w:rPr>
        <w:t>s</w:t>
      </w:r>
      <w:r w:rsidRPr="00683D5B">
        <w:rPr>
          <w:lang w:val="fr-FR"/>
        </w:rPr>
        <w:t xml:space="preserve"> véhicules (routiers)</w:t>
      </w:r>
    </w:p>
    <w:p w14:paraId="0ABB984E" w14:textId="7FD5E00F" w:rsidR="00F916AE" w:rsidRPr="00683D5B" w:rsidRDefault="00F916AE" w:rsidP="00F916AE">
      <w:pPr>
        <w:pStyle w:val="SingleTxtG"/>
        <w:rPr>
          <w:lang w:val="fr-FR"/>
        </w:rPr>
      </w:pPr>
      <w:r w:rsidRPr="00683D5B">
        <w:rPr>
          <w:lang w:val="fr-FR"/>
        </w:rPr>
        <w:t>7.</w:t>
      </w:r>
      <w:r w:rsidRPr="00683D5B">
        <w:rPr>
          <w:lang w:val="fr-FR"/>
        </w:rPr>
        <w:tab/>
        <w:t>Les codes correspondant aux superstructures des véhicules figurent à l</w:t>
      </w:r>
      <w:r w:rsidR="00887EB6">
        <w:rPr>
          <w:lang w:val="fr-FR"/>
        </w:rPr>
        <w:t>’</w:t>
      </w:r>
      <w:r w:rsidRPr="00683D5B">
        <w:rPr>
          <w:lang w:val="fr-FR"/>
        </w:rPr>
        <w:t>appendice 2 de l</w:t>
      </w:r>
      <w:r w:rsidR="00887EB6">
        <w:rPr>
          <w:lang w:val="fr-FR"/>
        </w:rPr>
        <w:t>’</w:t>
      </w:r>
      <w:r w:rsidRPr="00683D5B">
        <w:rPr>
          <w:lang w:val="fr-FR"/>
        </w:rPr>
        <w:t>annexe 1 du règlement (UE) 2018/858 du Parlement européen et du Conseil (</w:t>
      </w:r>
      <w:hyperlink r:id="rId8" w:history="1">
        <w:r w:rsidRPr="00845A4E">
          <w:rPr>
            <w:rStyle w:val="Lienhypertexte"/>
            <w:lang w:val="fr-FR"/>
          </w:rPr>
          <w:t>EUR-</w:t>
        </w:r>
        <w:r w:rsidRPr="00845A4E">
          <w:rPr>
            <w:rStyle w:val="Lienhypertexte"/>
            <w:lang w:val="fr-FR"/>
          </w:rPr>
          <w:t>L</w:t>
        </w:r>
        <w:r w:rsidRPr="00845A4E">
          <w:rPr>
            <w:rStyle w:val="Lienhypertexte"/>
            <w:lang w:val="fr-FR"/>
          </w:rPr>
          <w:t>ex - 32018R0858 - FR - EUR-Lex (europa.eu)</w:t>
        </w:r>
      </w:hyperlink>
      <w:r w:rsidRPr="00683D5B">
        <w:rPr>
          <w:lang w:val="fr-FR"/>
        </w:rPr>
        <w:t>).</w:t>
      </w:r>
    </w:p>
    <w:p w14:paraId="59CEAA1F" w14:textId="13FCE638" w:rsidR="00F916AE" w:rsidRPr="00683D5B" w:rsidRDefault="00F916AE" w:rsidP="00F916AE">
      <w:pPr>
        <w:pStyle w:val="SingleTxtG"/>
        <w:rPr>
          <w:lang w:val="fr-FR"/>
        </w:rPr>
      </w:pPr>
      <w:r w:rsidRPr="00683D5B">
        <w:rPr>
          <w:lang w:val="fr-FR"/>
        </w:rPr>
        <w:t>8.</w:t>
      </w:r>
      <w:r w:rsidRPr="00683D5B">
        <w:rPr>
          <w:lang w:val="fr-FR"/>
        </w:rPr>
        <w:tab/>
        <w:t>Dans cet appendice</w:t>
      </w:r>
      <w:r w:rsidR="00887EB6">
        <w:rPr>
          <w:lang w:val="fr-FR"/>
        </w:rPr>
        <w:t> </w:t>
      </w:r>
      <w:r w:rsidRPr="00683D5B">
        <w:rPr>
          <w:lang w:val="fr-FR"/>
        </w:rPr>
        <w:t>:</w:t>
      </w:r>
    </w:p>
    <w:p w14:paraId="68615388" w14:textId="641762AF" w:rsidR="00F916AE" w:rsidRPr="00683D5B" w:rsidRDefault="00F916AE" w:rsidP="00F916AE">
      <w:pPr>
        <w:pStyle w:val="SingleTxtG"/>
        <w:ind w:left="1701"/>
        <w:rPr>
          <w:lang w:val="fr-FR"/>
        </w:rPr>
      </w:pPr>
      <w:r w:rsidRPr="00683D5B">
        <w:rPr>
          <w:lang w:val="fr-FR"/>
        </w:rPr>
        <w:t xml:space="preserve">Le code </w:t>
      </w:r>
      <w:r>
        <w:rPr>
          <w:lang w:val="fr-FR"/>
        </w:rPr>
        <w:t>« </w:t>
      </w:r>
      <w:r w:rsidRPr="00683D5B">
        <w:rPr>
          <w:lang w:val="fr-FR"/>
        </w:rPr>
        <w:t>01 Plate-forme</w:t>
      </w:r>
      <w:r>
        <w:rPr>
          <w:lang w:val="fr-FR"/>
        </w:rPr>
        <w:t> »</w:t>
      </w:r>
      <w:r w:rsidRPr="00683D5B">
        <w:rPr>
          <w:lang w:val="fr-FR"/>
        </w:rPr>
        <w:t xml:space="preserve"> s</w:t>
      </w:r>
      <w:r w:rsidR="00887EB6">
        <w:rPr>
          <w:lang w:val="fr-FR"/>
        </w:rPr>
        <w:t>’</w:t>
      </w:r>
      <w:r w:rsidRPr="00683D5B">
        <w:rPr>
          <w:lang w:val="fr-FR"/>
        </w:rPr>
        <w:t>applique aux carrosseries dont l</w:t>
      </w:r>
      <w:r w:rsidR="00887EB6">
        <w:rPr>
          <w:lang w:val="fr-FR"/>
        </w:rPr>
        <w:t>’</w:t>
      </w:r>
      <w:r w:rsidRPr="00683D5B">
        <w:rPr>
          <w:lang w:val="fr-FR"/>
        </w:rPr>
        <w:t>espace de chargement est ouvert et ne comporte pas de parois</w:t>
      </w:r>
      <w:r>
        <w:rPr>
          <w:lang w:val="fr-FR"/>
        </w:rPr>
        <w:t> </w:t>
      </w:r>
      <w:r w:rsidRPr="00683D5B">
        <w:rPr>
          <w:lang w:val="fr-FR"/>
        </w:rPr>
        <w:t>;</w:t>
      </w:r>
    </w:p>
    <w:p w14:paraId="78CE744D" w14:textId="1923FCAC" w:rsidR="00F916AE" w:rsidRPr="00683D5B" w:rsidRDefault="00F916AE" w:rsidP="00F916AE">
      <w:pPr>
        <w:pStyle w:val="SingleTxtG"/>
        <w:ind w:left="1701"/>
        <w:rPr>
          <w:lang w:val="fr-FR"/>
        </w:rPr>
      </w:pPr>
      <w:r w:rsidRPr="00683D5B">
        <w:rPr>
          <w:lang w:val="fr-FR"/>
        </w:rPr>
        <w:t xml:space="preserve">Le code </w:t>
      </w:r>
      <w:r>
        <w:rPr>
          <w:lang w:val="fr-FR"/>
        </w:rPr>
        <w:t>« </w:t>
      </w:r>
      <w:r w:rsidRPr="00683D5B">
        <w:rPr>
          <w:lang w:val="fr-FR"/>
        </w:rPr>
        <w:t>02 Ridelle rabattable</w:t>
      </w:r>
      <w:r>
        <w:rPr>
          <w:lang w:val="fr-FR"/>
        </w:rPr>
        <w:t> »</w:t>
      </w:r>
      <w:r w:rsidRPr="00683D5B">
        <w:rPr>
          <w:lang w:val="fr-FR"/>
        </w:rPr>
        <w:t xml:space="preserve"> s</w:t>
      </w:r>
      <w:r w:rsidR="00887EB6">
        <w:rPr>
          <w:lang w:val="fr-FR"/>
        </w:rPr>
        <w:t>’</w:t>
      </w:r>
      <w:r w:rsidRPr="00683D5B">
        <w:rPr>
          <w:lang w:val="fr-FR"/>
        </w:rPr>
        <w:t>applique aux carrosseries dont l</w:t>
      </w:r>
      <w:r w:rsidR="00887EB6">
        <w:rPr>
          <w:lang w:val="fr-FR"/>
        </w:rPr>
        <w:t>’</w:t>
      </w:r>
      <w:r w:rsidRPr="00683D5B">
        <w:rPr>
          <w:lang w:val="fr-FR"/>
        </w:rPr>
        <w:t xml:space="preserve">espace de chargement est ouvert et comporte des </w:t>
      </w:r>
      <w:r>
        <w:rPr>
          <w:lang w:val="fr-FR"/>
        </w:rPr>
        <w:t>parois</w:t>
      </w:r>
      <w:r>
        <w:rPr>
          <w:lang w:val="fr-FR"/>
        </w:rPr>
        <w:t> </w:t>
      </w:r>
      <w:r w:rsidRPr="00683D5B">
        <w:rPr>
          <w:lang w:val="fr-FR"/>
        </w:rPr>
        <w:t>;</w:t>
      </w:r>
    </w:p>
    <w:p w14:paraId="23509D65" w14:textId="03D858BA" w:rsidR="00F916AE" w:rsidRPr="00683D5B" w:rsidRDefault="00F916AE" w:rsidP="00F916AE">
      <w:pPr>
        <w:pStyle w:val="SingleTxtG"/>
        <w:ind w:left="1701"/>
        <w:rPr>
          <w:lang w:val="fr-FR"/>
        </w:rPr>
      </w:pPr>
      <w:r w:rsidRPr="00683D5B">
        <w:rPr>
          <w:lang w:val="fr-FR"/>
        </w:rPr>
        <w:t xml:space="preserve">Le code </w:t>
      </w:r>
      <w:r>
        <w:rPr>
          <w:lang w:val="fr-FR"/>
        </w:rPr>
        <w:t>« </w:t>
      </w:r>
      <w:r w:rsidRPr="00683D5B">
        <w:rPr>
          <w:lang w:val="fr-FR"/>
        </w:rPr>
        <w:t>03 Fourgon</w:t>
      </w:r>
      <w:r>
        <w:rPr>
          <w:lang w:val="fr-FR"/>
        </w:rPr>
        <w:t> »</w:t>
      </w:r>
      <w:r w:rsidRPr="00683D5B">
        <w:rPr>
          <w:lang w:val="fr-FR"/>
        </w:rPr>
        <w:t xml:space="preserve"> s</w:t>
      </w:r>
      <w:r w:rsidR="00887EB6">
        <w:rPr>
          <w:lang w:val="fr-FR"/>
        </w:rPr>
        <w:t>’</w:t>
      </w:r>
      <w:r w:rsidRPr="00683D5B">
        <w:rPr>
          <w:lang w:val="fr-FR"/>
        </w:rPr>
        <w:t>applique aux carrosseries dont toutes les parois sont rigides ;</w:t>
      </w:r>
    </w:p>
    <w:p w14:paraId="66B2E310" w14:textId="665BC70B" w:rsidR="00F916AE" w:rsidRPr="00683D5B" w:rsidRDefault="00F916AE" w:rsidP="00F916AE">
      <w:pPr>
        <w:pStyle w:val="SingleTxtG"/>
        <w:ind w:left="1701"/>
        <w:rPr>
          <w:lang w:val="fr-FR"/>
        </w:rPr>
      </w:pPr>
      <w:r w:rsidRPr="00683D5B">
        <w:rPr>
          <w:lang w:val="fr-FR"/>
        </w:rPr>
        <w:t xml:space="preserve">Le code </w:t>
      </w:r>
      <w:r>
        <w:rPr>
          <w:lang w:val="fr-FR"/>
        </w:rPr>
        <w:t>« </w:t>
      </w:r>
      <w:r w:rsidRPr="00683D5B">
        <w:rPr>
          <w:lang w:val="fr-FR"/>
        </w:rPr>
        <w:t>06 Bâchés</w:t>
      </w:r>
      <w:r>
        <w:rPr>
          <w:lang w:val="fr-FR"/>
        </w:rPr>
        <w:t> »</w:t>
      </w:r>
      <w:r w:rsidRPr="00683D5B">
        <w:rPr>
          <w:lang w:val="fr-FR"/>
        </w:rPr>
        <w:t xml:space="preserve"> s</w:t>
      </w:r>
      <w:r w:rsidR="00887EB6">
        <w:rPr>
          <w:lang w:val="fr-FR"/>
        </w:rPr>
        <w:t>’</w:t>
      </w:r>
      <w:r w:rsidRPr="00683D5B">
        <w:rPr>
          <w:lang w:val="fr-FR"/>
        </w:rPr>
        <w:t>applique aux carrosseries bâchées</w:t>
      </w:r>
      <w:r>
        <w:rPr>
          <w:lang w:val="fr-FR"/>
        </w:rPr>
        <w:t> ;</w:t>
      </w:r>
    </w:p>
    <w:p w14:paraId="77BDBF91" w14:textId="3F99ED36" w:rsidR="00F916AE" w:rsidRPr="00683D5B" w:rsidRDefault="00F916AE" w:rsidP="00F916AE">
      <w:pPr>
        <w:pStyle w:val="SingleTxtG"/>
        <w:ind w:left="1701"/>
        <w:rPr>
          <w:lang w:val="fr-FR"/>
        </w:rPr>
      </w:pPr>
      <w:r w:rsidRPr="00683D5B">
        <w:rPr>
          <w:lang w:val="fr-FR"/>
        </w:rPr>
        <w:t>Il n</w:t>
      </w:r>
      <w:r w:rsidR="00887EB6">
        <w:rPr>
          <w:lang w:val="fr-FR"/>
        </w:rPr>
        <w:t>’</w:t>
      </w:r>
      <w:r w:rsidRPr="00683D5B">
        <w:rPr>
          <w:lang w:val="fr-FR"/>
        </w:rPr>
        <w:t>existe pas d</w:t>
      </w:r>
      <w:r w:rsidR="00887EB6">
        <w:rPr>
          <w:lang w:val="fr-FR"/>
        </w:rPr>
        <w:t>’</w:t>
      </w:r>
      <w:r w:rsidRPr="00683D5B">
        <w:rPr>
          <w:lang w:val="fr-FR"/>
        </w:rPr>
        <w:t xml:space="preserve">autres codes </w:t>
      </w:r>
      <w:r>
        <w:rPr>
          <w:lang w:val="fr-FR"/>
        </w:rPr>
        <w:t>particuliers</w:t>
      </w:r>
      <w:r w:rsidRPr="00683D5B">
        <w:rPr>
          <w:lang w:val="fr-FR"/>
        </w:rPr>
        <w:t xml:space="preserve"> pour les véhicules bâchés.</w:t>
      </w:r>
    </w:p>
    <w:p w14:paraId="456B06F3" w14:textId="4DFB226E" w:rsidR="00F916AE" w:rsidRPr="00683D5B" w:rsidRDefault="00F916AE" w:rsidP="00F916AE">
      <w:pPr>
        <w:pStyle w:val="SingleTxtG"/>
        <w:rPr>
          <w:lang w:val="fr-FR"/>
        </w:rPr>
      </w:pPr>
      <w:r w:rsidRPr="00683D5B">
        <w:rPr>
          <w:lang w:val="fr-FR"/>
        </w:rPr>
        <w:t>9.</w:t>
      </w:r>
      <w:r w:rsidRPr="00683D5B">
        <w:rPr>
          <w:lang w:val="fr-FR"/>
        </w:rPr>
        <w:tab/>
        <w:t xml:space="preserve">En conclusion, tous les véhicules dotés de </w:t>
      </w:r>
      <w:r>
        <w:rPr>
          <w:lang w:val="fr-FR"/>
        </w:rPr>
        <w:t>côtés</w:t>
      </w:r>
      <w:r w:rsidRPr="00683D5B">
        <w:rPr>
          <w:lang w:val="fr-FR"/>
        </w:rPr>
        <w:t xml:space="preserve"> (et d</w:t>
      </w:r>
      <w:r w:rsidR="00887EB6">
        <w:rPr>
          <w:lang w:val="fr-FR"/>
        </w:rPr>
        <w:t>’</w:t>
      </w:r>
      <w:r w:rsidRPr="00683D5B">
        <w:rPr>
          <w:lang w:val="fr-FR"/>
        </w:rPr>
        <w:t xml:space="preserve">autres </w:t>
      </w:r>
      <w:r>
        <w:rPr>
          <w:lang w:val="fr-FR"/>
        </w:rPr>
        <w:t>parties</w:t>
      </w:r>
      <w:r w:rsidRPr="00683D5B">
        <w:rPr>
          <w:lang w:val="fr-FR"/>
        </w:rPr>
        <w:t xml:space="preserve">) </w:t>
      </w:r>
      <w:r>
        <w:rPr>
          <w:lang w:val="fr-FR"/>
        </w:rPr>
        <w:t xml:space="preserve">bâchés </w:t>
      </w:r>
      <w:r w:rsidRPr="00683D5B">
        <w:rPr>
          <w:lang w:val="fr-FR"/>
        </w:rPr>
        <w:t>ont une carrosserie qui n</w:t>
      </w:r>
      <w:r w:rsidR="00887EB6">
        <w:rPr>
          <w:lang w:val="fr-FR"/>
        </w:rPr>
        <w:t>’</w:t>
      </w:r>
      <w:r w:rsidRPr="00683D5B">
        <w:rPr>
          <w:lang w:val="fr-FR"/>
        </w:rPr>
        <w:t xml:space="preserve">est pas de type </w:t>
      </w:r>
      <w:r>
        <w:rPr>
          <w:lang w:val="fr-FR"/>
        </w:rPr>
        <w:t>« </w:t>
      </w:r>
      <w:r w:rsidRPr="00683D5B">
        <w:rPr>
          <w:lang w:val="fr-FR"/>
        </w:rPr>
        <w:t>fourgon</w:t>
      </w:r>
      <w:r>
        <w:rPr>
          <w:lang w:val="fr-FR"/>
        </w:rPr>
        <w:t> »</w:t>
      </w:r>
      <w:r w:rsidRPr="00683D5B">
        <w:rPr>
          <w:lang w:val="fr-FR"/>
        </w:rPr>
        <w:t xml:space="preserve"> et doivent être considérés comme </w:t>
      </w:r>
      <w:r>
        <w:rPr>
          <w:lang w:val="fr-FR"/>
        </w:rPr>
        <w:t>« </w:t>
      </w:r>
      <w:r w:rsidRPr="00683D5B">
        <w:rPr>
          <w:lang w:val="fr-FR"/>
        </w:rPr>
        <w:t>bâchés</w:t>
      </w:r>
      <w:r>
        <w:rPr>
          <w:lang w:val="fr-FR"/>
        </w:rPr>
        <w:t> »</w:t>
      </w:r>
      <w:r w:rsidRPr="00683D5B">
        <w:rPr>
          <w:lang w:val="fr-FR"/>
        </w:rPr>
        <w:t>.</w:t>
      </w:r>
    </w:p>
    <w:p w14:paraId="35F67A0F" w14:textId="45FFCA73" w:rsidR="00F916AE" w:rsidRPr="00683D5B" w:rsidRDefault="00F916AE" w:rsidP="00F916AE">
      <w:pPr>
        <w:pStyle w:val="H1G"/>
        <w:rPr>
          <w:sz w:val="22"/>
          <w:szCs w:val="22"/>
          <w:lang w:val="fr-FR"/>
        </w:rPr>
      </w:pPr>
      <w:r w:rsidRPr="00683D5B">
        <w:rPr>
          <w:lang w:val="fr-FR"/>
        </w:rPr>
        <w:tab/>
      </w:r>
      <w:r w:rsidRPr="00683D5B">
        <w:rPr>
          <w:lang w:val="fr-FR"/>
        </w:rPr>
        <w:tab/>
        <w:t>Dispositions de l</w:t>
      </w:r>
      <w:r w:rsidR="00887EB6">
        <w:rPr>
          <w:lang w:val="fr-FR"/>
        </w:rPr>
        <w:t>’</w:t>
      </w:r>
      <w:r w:rsidRPr="00683D5B">
        <w:rPr>
          <w:lang w:val="fr-FR"/>
        </w:rPr>
        <w:t>ADR ayant trait à l</w:t>
      </w:r>
      <w:r w:rsidR="00887EB6">
        <w:rPr>
          <w:lang w:val="fr-FR"/>
        </w:rPr>
        <w:t>’</w:t>
      </w:r>
      <w:r w:rsidRPr="00683D5B">
        <w:rPr>
          <w:lang w:val="fr-FR"/>
        </w:rPr>
        <w:t>utilisation d</w:t>
      </w:r>
      <w:r w:rsidR="00887EB6">
        <w:rPr>
          <w:lang w:val="fr-FR"/>
        </w:rPr>
        <w:t>’</w:t>
      </w:r>
      <w:r w:rsidRPr="00683D5B">
        <w:rPr>
          <w:lang w:val="fr-FR"/>
        </w:rPr>
        <w:t>un véhicule couvert</w:t>
      </w:r>
    </w:p>
    <w:p w14:paraId="4BB56CDD" w14:textId="5CA08712" w:rsidR="00F916AE" w:rsidRPr="00683D5B" w:rsidRDefault="00F916AE" w:rsidP="00F916AE">
      <w:pPr>
        <w:pStyle w:val="SingleTxtG"/>
        <w:rPr>
          <w:lang w:val="fr-FR"/>
        </w:rPr>
      </w:pPr>
      <w:r w:rsidRPr="00683D5B">
        <w:rPr>
          <w:lang w:val="fr-FR"/>
        </w:rPr>
        <w:t>10.</w:t>
      </w:r>
      <w:r w:rsidRPr="00683D5B">
        <w:rPr>
          <w:lang w:val="fr-FR"/>
        </w:rPr>
        <w:tab/>
        <w:t>Les véhicules couverts sont mentionnés une quarantaine de fois dans l</w:t>
      </w:r>
      <w:r w:rsidR="00887EB6">
        <w:rPr>
          <w:lang w:val="fr-FR"/>
        </w:rPr>
        <w:t>’</w:t>
      </w:r>
      <w:r>
        <w:rPr>
          <w:lang w:val="fr-FR"/>
        </w:rPr>
        <w:t>édition</w:t>
      </w:r>
      <w:r w:rsidRPr="00683D5B">
        <w:rPr>
          <w:lang w:val="fr-FR"/>
        </w:rPr>
        <w:t xml:space="preserve"> 2023</w:t>
      </w:r>
      <w:r>
        <w:rPr>
          <w:lang w:val="fr-FR"/>
        </w:rPr>
        <w:t xml:space="preserve"> de l</w:t>
      </w:r>
      <w:r w:rsidR="00887EB6">
        <w:rPr>
          <w:lang w:val="fr-FR"/>
        </w:rPr>
        <w:t>’</w:t>
      </w:r>
      <w:r>
        <w:rPr>
          <w:lang w:val="fr-FR"/>
        </w:rPr>
        <w:t>ADR</w:t>
      </w:r>
      <w:r w:rsidRPr="00683D5B">
        <w:rPr>
          <w:lang w:val="fr-FR"/>
        </w:rPr>
        <w:t>. Outre les définitions figurant au 1.2.1 et les chapitres 8 et 9, ce type de véhicule est mentionné principalement dans le chapitre 4.1 (instructions d</w:t>
      </w:r>
      <w:r w:rsidR="00887EB6">
        <w:rPr>
          <w:lang w:val="fr-FR"/>
        </w:rPr>
        <w:t>’</w:t>
      </w:r>
      <w:r w:rsidRPr="00683D5B">
        <w:rPr>
          <w:lang w:val="fr-FR"/>
        </w:rPr>
        <w:t>emballage P200/P400)</w:t>
      </w:r>
      <w:r>
        <w:rPr>
          <w:lang w:val="fr-FR"/>
        </w:rPr>
        <w:t>,</w:t>
      </w:r>
      <w:r w:rsidRPr="00683D5B">
        <w:rPr>
          <w:lang w:val="fr-FR"/>
        </w:rPr>
        <w:t xml:space="preserve"> au sujet du transport de marchandises dangereuses dans des sacs, dans les prescriptions relatives au transport en </w:t>
      </w:r>
      <w:r>
        <w:rPr>
          <w:lang w:val="fr-FR"/>
        </w:rPr>
        <w:t>colis énoncées</w:t>
      </w:r>
      <w:r w:rsidRPr="00683D5B">
        <w:rPr>
          <w:lang w:val="fr-FR"/>
        </w:rPr>
        <w:t xml:space="preserve"> au chapitre 7.2</w:t>
      </w:r>
      <w:r>
        <w:rPr>
          <w:lang w:val="fr-FR"/>
        </w:rPr>
        <w:t xml:space="preserve"> et celles relatives </w:t>
      </w:r>
      <w:r w:rsidRPr="00683D5B">
        <w:rPr>
          <w:lang w:val="fr-FR"/>
        </w:rPr>
        <w:t xml:space="preserve">au transport en vrac </w:t>
      </w:r>
      <w:r>
        <w:rPr>
          <w:lang w:val="fr-FR"/>
        </w:rPr>
        <w:t xml:space="preserve">énoncées </w:t>
      </w:r>
      <w:r w:rsidRPr="00683D5B">
        <w:rPr>
          <w:lang w:val="fr-FR"/>
        </w:rPr>
        <w:t>au chapitre 7.3, et dans les dispositions relatives au chargement, au déchargement et à la manutention</w:t>
      </w:r>
      <w:r>
        <w:rPr>
          <w:lang w:val="fr-FR"/>
        </w:rPr>
        <w:t xml:space="preserve"> énoncées</w:t>
      </w:r>
      <w:r w:rsidRPr="00683D5B">
        <w:rPr>
          <w:lang w:val="fr-FR"/>
        </w:rPr>
        <w:t xml:space="preserve"> au chapitre 7.5. </w:t>
      </w:r>
      <w:r>
        <w:rPr>
          <w:lang w:val="fr-FR"/>
        </w:rPr>
        <w:t>La</w:t>
      </w:r>
      <w:r w:rsidRPr="00683D5B">
        <w:rPr>
          <w:lang w:val="fr-FR"/>
        </w:rPr>
        <w:t xml:space="preserve"> mention des véhicules couverts est </w:t>
      </w:r>
      <w:r>
        <w:rPr>
          <w:lang w:val="fr-FR"/>
        </w:rPr>
        <w:t xml:space="preserve">systématiquement </w:t>
      </w:r>
      <w:r w:rsidRPr="00683D5B">
        <w:rPr>
          <w:lang w:val="fr-FR"/>
        </w:rPr>
        <w:t>associée à celle des conteneurs</w:t>
      </w:r>
      <w:r>
        <w:rPr>
          <w:lang w:val="fr-FR"/>
        </w:rPr>
        <w:t xml:space="preserve">, et parfois </w:t>
      </w:r>
      <w:r w:rsidRPr="00683D5B">
        <w:rPr>
          <w:lang w:val="fr-FR"/>
        </w:rPr>
        <w:t xml:space="preserve">à celle des conteneurs </w:t>
      </w:r>
      <w:r>
        <w:rPr>
          <w:lang w:val="fr-FR"/>
        </w:rPr>
        <w:t>fermés</w:t>
      </w:r>
      <w:r w:rsidRPr="00683D5B">
        <w:rPr>
          <w:lang w:val="fr-FR"/>
        </w:rPr>
        <w:t>.</w:t>
      </w:r>
    </w:p>
    <w:p w14:paraId="0A1E24D8" w14:textId="7EE1C44A" w:rsidR="00F916AE" w:rsidRPr="00683D5B" w:rsidRDefault="00F916AE" w:rsidP="00F916AE">
      <w:pPr>
        <w:pStyle w:val="SingleTxtG"/>
        <w:rPr>
          <w:lang w:val="fr-FR"/>
        </w:rPr>
      </w:pPr>
      <w:r w:rsidRPr="00683D5B">
        <w:rPr>
          <w:lang w:val="fr-FR"/>
        </w:rPr>
        <w:t>11.</w:t>
      </w:r>
      <w:r w:rsidRPr="00683D5B">
        <w:rPr>
          <w:lang w:val="fr-FR"/>
        </w:rPr>
        <w:tab/>
        <w:t>Bien que l</w:t>
      </w:r>
      <w:r w:rsidR="00887EB6">
        <w:rPr>
          <w:lang w:val="fr-FR"/>
        </w:rPr>
        <w:t>’</w:t>
      </w:r>
      <w:r w:rsidRPr="00683D5B">
        <w:rPr>
          <w:lang w:val="fr-FR"/>
        </w:rPr>
        <w:t>ADR ne soit pas cohérent</w:t>
      </w:r>
      <w:r>
        <w:rPr>
          <w:lang w:val="fr-FR"/>
        </w:rPr>
        <w:t>, en anglais,</w:t>
      </w:r>
      <w:r w:rsidRPr="00683D5B">
        <w:rPr>
          <w:lang w:val="fr-FR"/>
        </w:rPr>
        <w:t xml:space="preserve"> en ce qui concerne l</w:t>
      </w:r>
      <w:r w:rsidR="00887EB6">
        <w:rPr>
          <w:lang w:val="fr-FR"/>
        </w:rPr>
        <w:t>’</w:t>
      </w:r>
      <w:r w:rsidRPr="00683D5B">
        <w:rPr>
          <w:lang w:val="fr-FR"/>
        </w:rPr>
        <w:t xml:space="preserve">utilisation des termes </w:t>
      </w:r>
      <w:r>
        <w:rPr>
          <w:lang w:val="fr-FR"/>
        </w:rPr>
        <w:t>« </w:t>
      </w:r>
      <w:r w:rsidRPr="00A04BE1">
        <w:rPr>
          <w:lang w:val="fr-FR"/>
        </w:rPr>
        <w:t>closed vehicle</w:t>
      </w:r>
      <w:r>
        <w:rPr>
          <w:lang w:val="fr-FR"/>
        </w:rPr>
        <w:t>s</w:t>
      </w:r>
      <w:r w:rsidRPr="00A04BE1">
        <w:rPr>
          <w:lang w:val="fr-FR"/>
        </w:rPr>
        <w:t xml:space="preserve"> or container</w:t>
      </w:r>
      <w:r>
        <w:rPr>
          <w:lang w:val="fr-FR"/>
        </w:rPr>
        <w:t>s »</w:t>
      </w:r>
      <w:r w:rsidRPr="00683D5B">
        <w:rPr>
          <w:lang w:val="fr-FR"/>
        </w:rPr>
        <w:t xml:space="preserve"> et </w:t>
      </w:r>
      <w:r>
        <w:rPr>
          <w:lang w:val="fr-FR"/>
        </w:rPr>
        <w:t>« </w:t>
      </w:r>
      <w:r w:rsidRPr="00A04BE1">
        <w:rPr>
          <w:lang w:val="fr-FR"/>
        </w:rPr>
        <w:t>closed vehicle</w:t>
      </w:r>
      <w:r>
        <w:rPr>
          <w:lang w:val="fr-FR"/>
        </w:rPr>
        <w:t>s</w:t>
      </w:r>
      <w:r w:rsidRPr="00A04BE1">
        <w:rPr>
          <w:lang w:val="fr-FR"/>
        </w:rPr>
        <w:t xml:space="preserve"> or closed container</w:t>
      </w:r>
      <w:r>
        <w:rPr>
          <w:lang w:val="fr-FR"/>
        </w:rPr>
        <w:t>s » (en français, « véhicules couverts ou conteneurs fermés »)</w:t>
      </w:r>
      <w:r w:rsidRPr="00683D5B">
        <w:rPr>
          <w:lang w:val="fr-FR"/>
        </w:rPr>
        <w:t>, l</w:t>
      </w:r>
      <w:r>
        <w:rPr>
          <w:lang w:val="fr-FR"/>
        </w:rPr>
        <w:t xml:space="preserve">e sens visé </w:t>
      </w:r>
      <w:r w:rsidRPr="00683D5B">
        <w:rPr>
          <w:lang w:val="fr-FR"/>
        </w:rPr>
        <w:t>semble être l</w:t>
      </w:r>
      <w:r>
        <w:rPr>
          <w:lang w:val="fr-FR"/>
        </w:rPr>
        <w:t>e</w:t>
      </w:r>
      <w:r w:rsidRPr="00683D5B">
        <w:rPr>
          <w:lang w:val="fr-FR"/>
        </w:rPr>
        <w:t xml:space="preserve"> même.</w:t>
      </w:r>
    </w:p>
    <w:p w14:paraId="41781BAE" w14:textId="5DA94721" w:rsidR="00F916AE" w:rsidRPr="00683D5B" w:rsidRDefault="00F916AE" w:rsidP="00F916AE">
      <w:pPr>
        <w:pStyle w:val="SingleTxtG"/>
        <w:rPr>
          <w:lang w:val="fr-FR"/>
        </w:rPr>
      </w:pPr>
      <w:r w:rsidRPr="00683D5B">
        <w:rPr>
          <w:lang w:val="fr-FR"/>
        </w:rPr>
        <w:t>12.</w:t>
      </w:r>
      <w:r w:rsidRPr="00683D5B">
        <w:rPr>
          <w:lang w:val="fr-FR"/>
        </w:rPr>
        <w:tab/>
        <w:t>Les parois rigides offrent une meilleure protection que le</w:t>
      </w:r>
      <w:r>
        <w:rPr>
          <w:lang w:val="fr-FR"/>
        </w:rPr>
        <w:t>s bâches</w:t>
      </w:r>
      <w:r w:rsidRPr="00683D5B">
        <w:rPr>
          <w:lang w:val="fr-FR"/>
        </w:rPr>
        <w:t xml:space="preserve"> contre l</w:t>
      </w:r>
      <w:r w:rsidR="00887EB6">
        <w:rPr>
          <w:lang w:val="fr-FR"/>
        </w:rPr>
        <w:t>’</w:t>
      </w:r>
      <w:r w:rsidRPr="00683D5B">
        <w:rPr>
          <w:lang w:val="fr-FR"/>
        </w:rPr>
        <w:t>humidité</w:t>
      </w:r>
      <w:r>
        <w:rPr>
          <w:lang w:val="fr-FR"/>
        </w:rPr>
        <w:t xml:space="preserve"> et</w:t>
      </w:r>
      <w:r w:rsidRPr="00683D5B">
        <w:rPr>
          <w:lang w:val="fr-FR"/>
        </w:rPr>
        <w:t xml:space="preserve"> les risques extérieurs </w:t>
      </w:r>
      <w:r>
        <w:rPr>
          <w:lang w:val="fr-FR"/>
        </w:rPr>
        <w:t>ainsi que du point de vue du</w:t>
      </w:r>
      <w:r w:rsidRPr="00683D5B">
        <w:rPr>
          <w:lang w:val="fr-FR"/>
        </w:rPr>
        <w:t xml:space="preserve"> maintien du chargement dans le compartiment. </w:t>
      </w:r>
      <w:r>
        <w:rPr>
          <w:lang w:val="fr-FR"/>
        </w:rPr>
        <w:t>Vu la façon dont l</w:t>
      </w:r>
      <w:r w:rsidRPr="00683D5B">
        <w:rPr>
          <w:lang w:val="fr-FR"/>
        </w:rPr>
        <w:t xml:space="preserve">es conteneurs </w:t>
      </w:r>
      <w:r>
        <w:rPr>
          <w:lang w:val="fr-FR"/>
        </w:rPr>
        <w:t>fermés sont définis</w:t>
      </w:r>
      <w:r w:rsidRPr="00683D5B">
        <w:rPr>
          <w:lang w:val="fr-FR"/>
        </w:rPr>
        <w:t xml:space="preserve">, le niveau de sécurité </w:t>
      </w:r>
      <w:r>
        <w:rPr>
          <w:lang w:val="fr-FR"/>
        </w:rPr>
        <w:t>qu</w:t>
      </w:r>
      <w:r w:rsidR="00887EB6">
        <w:rPr>
          <w:lang w:val="fr-FR"/>
        </w:rPr>
        <w:t>’</w:t>
      </w:r>
      <w:r>
        <w:rPr>
          <w:lang w:val="fr-FR"/>
        </w:rPr>
        <w:t>ils offrent</w:t>
      </w:r>
      <w:r w:rsidRPr="00683D5B">
        <w:rPr>
          <w:lang w:val="fr-FR"/>
        </w:rPr>
        <w:t xml:space="preserve"> ne peut être </w:t>
      </w:r>
      <w:r>
        <w:rPr>
          <w:lang w:val="fr-FR"/>
        </w:rPr>
        <w:t>égalé</w:t>
      </w:r>
      <w:r w:rsidRPr="00683D5B">
        <w:rPr>
          <w:lang w:val="fr-FR"/>
        </w:rPr>
        <w:t xml:space="preserve"> que par un véhicule dont la carrosserie comporte des parois latérales et frontales rigides, un plancher et un toit rigides, ainsi que des portes rigides.</w:t>
      </w:r>
    </w:p>
    <w:p w14:paraId="4222BC0A" w14:textId="29BE308B" w:rsidR="00F916AE" w:rsidRDefault="00F916AE" w:rsidP="00F916AE">
      <w:pPr>
        <w:pStyle w:val="SingleTxtG"/>
        <w:rPr>
          <w:lang w:val="fr-FR"/>
        </w:rPr>
      </w:pPr>
      <w:r w:rsidRPr="00683D5B">
        <w:rPr>
          <w:lang w:val="fr-FR"/>
        </w:rPr>
        <w:t>13.</w:t>
      </w:r>
      <w:r w:rsidRPr="00683D5B">
        <w:rPr>
          <w:lang w:val="fr-FR"/>
        </w:rPr>
        <w:tab/>
        <w:t xml:space="preserve">En </w:t>
      </w:r>
      <w:r>
        <w:rPr>
          <w:lang w:val="fr-FR"/>
        </w:rPr>
        <w:t>définissant les</w:t>
      </w:r>
      <w:r w:rsidRPr="00683D5B">
        <w:rPr>
          <w:lang w:val="fr-FR"/>
        </w:rPr>
        <w:t xml:space="preserve"> véhicules couverts </w:t>
      </w:r>
      <w:r>
        <w:rPr>
          <w:lang w:val="fr-FR"/>
        </w:rPr>
        <w:t>sans équivoque</w:t>
      </w:r>
      <w:r w:rsidRPr="00683D5B">
        <w:rPr>
          <w:lang w:val="fr-FR"/>
        </w:rPr>
        <w:t xml:space="preserve">, la Réunion commune peut </w:t>
      </w:r>
      <w:r>
        <w:rPr>
          <w:lang w:val="fr-FR"/>
        </w:rPr>
        <w:t xml:space="preserve">contribuer à </w:t>
      </w:r>
      <w:r w:rsidRPr="00683D5B">
        <w:rPr>
          <w:lang w:val="fr-FR"/>
        </w:rPr>
        <w:t xml:space="preserve">clarifier les dispositions et éviter que </w:t>
      </w:r>
      <w:r>
        <w:rPr>
          <w:lang w:val="fr-FR"/>
        </w:rPr>
        <w:t xml:space="preserve">leur interprétation varie </w:t>
      </w:r>
      <w:r w:rsidRPr="00683D5B">
        <w:rPr>
          <w:lang w:val="fr-FR"/>
        </w:rPr>
        <w:t>selon les Parties contractantes ou les États parties et les services de contrôle, ce qui est conforme à l</w:t>
      </w:r>
      <w:r w:rsidR="00887EB6">
        <w:rPr>
          <w:lang w:val="fr-FR"/>
        </w:rPr>
        <w:t>’</w:t>
      </w:r>
      <w:r w:rsidRPr="00683D5B">
        <w:rPr>
          <w:lang w:val="fr-FR"/>
        </w:rPr>
        <w:t>objectif de développement durable n</w:t>
      </w:r>
      <w:r w:rsidRPr="001447B0">
        <w:rPr>
          <w:vertAlign w:val="superscript"/>
          <w:lang w:val="fr-FR"/>
        </w:rPr>
        <w:t>o</w:t>
      </w:r>
      <w:r w:rsidR="001447B0">
        <w:rPr>
          <w:lang w:val="fr-FR"/>
        </w:rPr>
        <w:t> </w:t>
      </w:r>
      <w:r w:rsidRPr="00683D5B">
        <w:rPr>
          <w:lang w:val="fr-FR"/>
        </w:rPr>
        <w:t>16 (Paix, justice et institutions efficaces).</w:t>
      </w:r>
    </w:p>
    <w:p w14:paraId="779A897C" w14:textId="1F29F899" w:rsidR="00F916AE" w:rsidRPr="00F916AE" w:rsidRDefault="00F916AE" w:rsidP="00F916A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16AE" w:rsidRPr="00F916AE" w:rsidSect="00F916A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1AF6B" w14:textId="77777777" w:rsidR="00BC3779" w:rsidRDefault="00BC3779" w:rsidP="00F95C08">
      <w:pPr>
        <w:spacing w:line="240" w:lineRule="auto"/>
      </w:pPr>
    </w:p>
  </w:endnote>
  <w:endnote w:type="continuationSeparator" w:id="0">
    <w:p w14:paraId="0D1777AF" w14:textId="77777777" w:rsidR="00BC3779" w:rsidRPr="00AC3823" w:rsidRDefault="00BC3779" w:rsidP="00AC3823">
      <w:pPr>
        <w:pStyle w:val="Pieddepage"/>
      </w:pPr>
    </w:p>
  </w:endnote>
  <w:endnote w:type="continuationNotice" w:id="1">
    <w:p w14:paraId="2576EC11" w14:textId="77777777" w:rsidR="00BC3779" w:rsidRDefault="00BC377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D7BF" w14:textId="49F862DD" w:rsidR="00F916AE" w:rsidRPr="00F916AE" w:rsidRDefault="00F916AE" w:rsidP="00F916AE">
    <w:pPr>
      <w:pStyle w:val="Pieddepage"/>
      <w:tabs>
        <w:tab w:val="right" w:pos="9638"/>
      </w:tabs>
    </w:pPr>
    <w:r w:rsidRPr="00F916AE">
      <w:rPr>
        <w:b/>
        <w:sz w:val="18"/>
      </w:rPr>
      <w:fldChar w:fldCharType="begin"/>
    </w:r>
    <w:r w:rsidRPr="00F916AE">
      <w:rPr>
        <w:b/>
        <w:sz w:val="18"/>
      </w:rPr>
      <w:instrText xml:space="preserve"> PAGE  \* MERGEFORMAT </w:instrText>
    </w:r>
    <w:r w:rsidRPr="00F916AE">
      <w:rPr>
        <w:b/>
        <w:sz w:val="18"/>
      </w:rPr>
      <w:fldChar w:fldCharType="separate"/>
    </w:r>
    <w:r w:rsidRPr="00F916AE">
      <w:rPr>
        <w:b/>
        <w:noProof/>
        <w:sz w:val="18"/>
      </w:rPr>
      <w:t>2</w:t>
    </w:r>
    <w:r w:rsidRPr="00F916AE">
      <w:rPr>
        <w:b/>
        <w:sz w:val="18"/>
      </w:rPr>
      <w:fldChar w:fldCharType="end"/>
    </w:r>
    <w:r>
      <w:rPr>
        <w:b/>
        <w:sz w:val="18"/>
      </w:rPr>
      <w:tab/>
    </w:r>
    <w:r>
      <w:t>GE.23-25835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D825" w14:textId="10DEDCCD" w:rsidR="00F916AE" w:rsidRPr="00F916AE" w:rsidRDefault="00F916AE" w:rsidP="00F916AE">
    <w:pPr>
      <w:pStyle w:val="Pieddepage"/>
      <w:tabs>
        <w:tab w:val="right" w:pos="9638"/>
      </w:tabs>
      <w:rPr>
        <w:b/>
        <w:sz w:val="18"/>
      </w:rPr>
    </w:pPr>
    <w:r>
      <w:t>GE.23-25835</w:t>
    </w:r>
    <w:r>
      <w:tab/>
    </w:r>
    <w:r w:rsidRPr="00F916AE">
      <w:rPr>
        <w:b/>
        <w:sz w:val="18"/>
      </w:rPr>
      <w:fldChar w:fldCharType="begin"/>
    </w:r>
    <w:r w:rsidRPr="00F916AE">
      <w:rPr>
        <w:b/>
        <w:sz w:val="18"/>
      </w:rPr>
      <w:instrText xml:space="preserve"> PAGE  \* MERGEFORMAT </w:instrText>
    </w:r>
    <w:r w:rsidRPr="00F916AE">
      <w:rPr>
        <w:b/>
        <w:sz w:val="18"/>
      </w:rPr>
      <w:fldChar w:fldCharType="separate"/>
    </w:r>
    <w:r w:rsidRPr="00F916AE">
      <w:rPr>
        <w:b/>
        <w:noProof/>
        <w:sz w:val="18"/>
      </w:rPr>
      <w:t>3</w:t>
    </w:r>
    <w:r w:rsidRPr="00F916A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7E8B" w14:textId="02F9D06A" w:rsidR="007F20FA" w:rsidRPr="00F916AE" w:rsidRDefault="00F916AE" w:rsidP="00F916AE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9E807FF" wp14:editId="2ED291C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23-25835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A0DAC65" wp14:editId="27AD420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63216578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EB6">
      <w:rPr>
        <w:sz w:val="20"/>
      </w:rPr>
      <w:t xml:space="preserve">    020224    050224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1E3B" w14:textId="77777777" w:rsidR="00BC3779" w:rsidRPr="00AC3823" w:rsidRDefault="00BC377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6D116A7" w14:textId="77777777" w:rsidR="00BC3779" w:rsidRPr="00AC3823" w:rsidRDefault="00BC377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59F9485" w14:textId="77777777" w:rsidR="00BC3779" w:rsidRPr="00AC3823" w:rsidRDefault="00BC3779">
      <w:pPr>
        <w:spacing w:line="240" w:lineRule="auto"/>
        <w:rPr>
          <w:sz w:val="2"/>
          <w:szCs w:val="2"/>
        </w:rPr>
      </w:pPr>
    </w:p>
  </w:footnote>
  <w:footnote w:id="2">
    <w:p w14:paraId="4673AB98" w14:textId="17A46F96" w:rsidR="00F916AE" w:rsidRPr="00F916AE" w:rsidRDefault="00F916AE">
      <w:pPr>
        <w:pStyle w:val="Notedebasdepage"/>
      </w:pPr>
      <w:r>
        <w:rPr>
          <w:rStyle w:val="Appelnotedebasdep"/>
        </w:rPr>
        <w:tab/>
      </w:r>
      <w:r w:rsidRPr="00F916AE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A/78/6 (Sect. 20), tableau 20.5</w:t>
      </w:r>
    </w:p>
  </w:footnote>
  <w:footnote w:id="3">
    <w:p w14:paraId="69FB6629" w14:textId="58E75AB9" w:rsidR="00F916AE" w:rsidRPr="00F916AE" w:rsidRDefault="00F916AE">
      <w:pPr>
        <w:pStyle w:val="Notedebasdepage"/>
      </w:pPr>
      <w:r>
        <w:rPr>
          <w:rStyle w:val="Appelnotedebasdep"/>
        </w:rPr>
        <w:tab/>
      </w:r>
      <w:r w:rsidRPr="00F916AE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Diffusée par l</w:t>
      </w:r>
      <w:r w:rsidR="00887EB6">
        <w:rPr>
          <w:lang w:val="fr-FR"/>
        </w:rPr>
        <w:t>’</w:t>
      </w:r>
      <w:r>
        <w:rPr>
          <w:lang w:val="fr-FR"/>
        </w:rPr>
        <w:t>Organisation intergouvernementale pour les transports internationaux ferroviaires (OTIF) sous la cote OTIF/RID/RC/2024/14.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D53A" w14:textId="54B4962D" w:rsidR="00F916AE" w:rsidRPr="00F916AE" w:rsidRDefault="00F916AE">
    <w:pPr>
      <w:pStyle w:val="En-tte"/>
    </w:pPr>
    <w:fldSimple w:instr=" TITLE  \* MERGEFORMAT ">
      <w:r w:rsidR="00E324BA">
        <w:t>ECE/TRANS/WP.15/AC.1/2024/14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5BF1" w14:textId="198912C2" w:rsidR="00F916AE" w:rsidRPr="00F916AE" w:rsidRDefault="00F916AE" w:rsidP="00F916AE">
    <w:pPr>
      <w:pStyle w:val="En-tte"/>
      <w:jc w:val="right"/>
    </w:pPr>
    <w:fldSimple w:instr=" TITLE  \* MERGEFORMAT ">
      <w:r w:rsidR="00E324BA">
        <w:t>ECE/TRANS/WP.15/AC.1/2024/14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2095393957">
    <w:abstractNumId w:val="12"/>
  </w:num>
  <w:num w:numId="2" w16cid:durableId="594941731">
    <w:abstractNumId w:val="11"/>
  </w:num>
  <w:num w:numId="3" w16cid:durableId="326829513">
    <w:abstractNumId w:val="10"/>
  </w:num>
  <w:num w:numId="4" w16cid:durableId="2142650755">
    <w:abstractNumId w:val="8"/>
  </w:num>
  <w:num w:numId="5" w16cid:durableId="2059740733">
    <w:abstractNumId w:val="3"/>
  </w:num>
  <w:num w:numId="6" w16cid:durableId="336925155">
    <w:abstractNumId w:val="2"/>
  </w:num>
  <w:num w:numId="7" w16cid:durableId="2119257174">
    <w:abstractNumId w:val="1"/>
  </w:num>
  <w:num w:numId="8" w16cid:durableId="1648434345">
    <w:abstractNumId w:val="0"/>
  </w:num>
  <w:num w:numId="9" w16cid:durableId="1031347169">
    <w:abstractNumId w:val="9"/>
  </w:num>
  <w:num w:numId="10" w16cid:durableId="848525652">
    <w:abstractNumId w:val="7"/>
  </w:num>
  <w:num w:numId="11" w16cid:durableId="1692024430">
    <w:abstractNumId w:val="6"/>
  </w:num>
  <w:num w:numId="12" w16cid:durableId="68311223">
    <w:abstractNumId w:val="5"/>
  </w:num>
  <w:num w:numId="13" w16cid:durableId="467670346">
    <w:abstractNumId w:val="4"/>
  </w:num>
  <w:num w:numId="14" w16cid:durableId="147208586">
    <w:abstractNumId w:val="12"/>
  </w:num>
  <w:num w:numId="15" w16cid:durableId="1328291995">
    <w:abstractNumId w:val="11"/>
  </w:num>
  <w:num w:numId="16" w16cid:durableId="7048645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79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447B0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07F92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87EB6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C3779"/>
    <w:rsid w:val="00C02897"/>
    <w:rsid w:val="00C97039"/>
    <w:rsid w:val="00D3439C"/>
    <w:rsid w:val="00D7622E"/>
    <w:rsid w:val="00DB1831"/>
    <w:rsid w:val="00DD3BFD"/>
    <w:rsid w:val="00DF6678"/>
    <w:rsid w:val="00E0299A"/>
    <w:rsid w:val="00E324BA"/>
    <w:rsid w:val="00E85C74"/>
    <w:rsid w:val="00EA6547"/>
    <w:rsid w:val="00ED7237"/>
    <w:rsid w:val="00EF2E22"/>
    <w:rsid w:val="00F35BAF"/>
    <w:rsid w:val="00F660DF"/>
    <w:rsid w:val="00F916AE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D011E"/>
  <w15:docId w15:val="{036AE22E-798B-4787-A781-D7A265D5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F916AE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FR/TXT/?uri=CELEX%3A32018R0858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71B786-4FB2-4A23-9DF7-46E51F45B44F}"/>
</file>

<file path=customXml/itemProps2.xml><?xml version="1.0" encoding="utf-8"?>
<ds:datastoreItem xmlns:ds="http://schemas.openxmlformats.org/officeDocument/2006/customXml" ds:itemID="{BFE130E1-5859-45A9-A3AE-201011436547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8</TotalTime>
  <Pages>3</Pages>
  <Words>953</Words>
  <Characters>6673</Characters>
  <Application>Microsoft Office Word</Application>
  <DocSecurity>0</DocSecurity>
  <Lines>556</Lines>
  <Paragraphs>305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ECE/TRANS/WP.15/AC.1/2024/14</vt:lpstr>
    </vt:vector>
  </TitlesOfParts>
  <Company>DCM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ECE/TRANS/WP.15/AC.1/2024/14</dc:title>
  <dc:subject/>
  <dc:creator>Julien OKRZESIK</dc:creator>
  <cp:keywords/>
  <cp:lastModifiedBy>Julien Okrzesik</cp:lastModifiedBy>
  <cp:revision>3</cp:revision>
  <cp:lastPrinted>2024-02-05T18:10:00Z</cp:lastPrinted>
  <dcterms:created xsi:type="dcterms:W3CDTF">2024-02-05T18:10:00Z</dcterms:created>
  <dcterms:modified xsi:type="dcterms:W3CDTF">2024-02-05T18:11:00Z</dcterms:modified>
</cp:coreProperties>
</file>