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F4DFDA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B70AEB7" w14:textId="77777777" w:rsidR="00F35BAF" w:rsidRPr="00DB58B5" w:rsidRDefault="00F35BAF" w:rsidP="0065337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CEB961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4E9FAF9" w14:textId="4CC4A2B6" w:rsidR="00F35BAF" w:rsidRPr="00DB58B5" w:rsidRDefault="0065337A" w:rsidP="0065337A">
            <w:pPr>
              <w:jc w:val="right"/>
            </w:pPr>
            <w:r w:rsidRPr="0065337A">
              <w:rPr>
                <w:sz w:val="40"/>
              </w:rPr>
              <w:t>ECE</w:t>
            </w:r>
            <w:r>
              <w:t>/TRANS/WP.15/AC.1/2024/5</w:t>
            </w:r>
          </w:p>
        </w:tc>
      </w:tr>
      <w:tr w:rsidR="00F35BAF" w:rsidRPr="00DB58B5" w14:paraId="1651016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E087EF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BEAB895" wp14:editId="06B8065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FB329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E0F1C23" w14:textId="77777777" w:rsidR="00F35BAF" w:rsidRDefault="0065337A" w:rsidP="00C97039">
            <w:pPr>
              <w:spacing w:before="240"/>
            </w:pPr>
            <w:r>
              <w:t>Distr. générale</w:t>
            </w:r>
          </w:p>
          <w:p w14:paraId="0D002AE1" w14:textId="77777777" w:rsidR="0065337A" w:rsidRDefault="0065337A" w:rsidP="0065337A">
            <w:pPr>
              <w:spacing w:line="240" w:lineRule="exact"/>
            </w:pPr>
            <w:r>
              <w:t>18 décembre 2023</w:t>
            </w:r>
          </w:p>
          <w:p w14:paraId="4C3481AA" w14:textId="77777777" w:rsidR="0065337A" w:rsidRDefault="0065337A" w:rsidP="0065337A">
            <w:pPr>
              <w:spacing w:line="240" w:lineRule="exact"/>
            </w:pPr>
            <w:r>
              <w:t>Français</w:t>
            </w:r>
          </w:p>
          <w:p w14:paraId="5DD02CBC" w14:textId="0200166D" w:rsidR="0065337A" w:rsidRPr="00DB58B5" w:rsidRDefault="0065337A" w:rsidP="0065337A">
            <w:pPr>
              <w:spacing w:line="240" w:lineRule="exact"/>
            </w:pPr>
            <w:r>
              <w:t>Original : russe</w:t>
            </w:r>
          </w:p>
        </w:tc>
      </w:tr>
    </w:tbl>
    <w:p w14:paraId="3CAF0BAE" w14:textId="32996AF4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54F4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25FEE7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7E25307" w14:textId="77777777" w:rsidR="0065337A" w:rsidRPr="009E01B8" w:rsidRDefault="0065337A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5098207D" w14:textId="6648738F" w:rsidR="0065337A" w:rsidRPr="00926E87" w:rsidRDefault="0065337A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F54F4B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757BF0A5" w14:textId="77777777" w:rsidR="0065337A" w:rsidRPr="000F3CB0" w:rsidRDefault="0065337A" w:rsidP="0065337A">
      <w:pPr>
        <w:rPr>
          <w:lang w:val="fr-FR"/>
        </w:rPr>
      </w:pPr>
      <w:r>
        <w:rPr>
          <w:lang w:val="fr-FR"/>
        </w:rPr>
        <w:t>Berne, 25-28 mars 2024</w:t>
      </w:r>
    </w:p>
    <w:p w14:paraId="2ECBE01B" w14:textId="29E03FCB" w:rsidR="0065337A" w:rsidRPr="000F3CB0" w:rsidRDefault="0065337A" w:rsidP="0065337A">
      <w:pPr>
        <w:rPr>
          <w:lang w:val="fr-FR"/>
        </w:rPr>
      </w:pPr>
      <w:r>
        <w:rPr>
          <w:lang w:val="fr-FR"/>
        </w:rPr>
        <w:t>Point 5 b) de l</w:t>
      </w:r>
      <w:r w:rsidR="00F54F4B">
        <w:rPr>
          <w:lang w:val="fr-FR"/>
        </w:rPr>
        <w:t>’</w:t>
      </w:r>
      <w:r>
        <w:rPr>
          <w:lang w:val="fr-FR"/>
        </w:rPr>
        <w:t>ordre du jour provisoire</w:t>
      </w:r>
    </w:p>
    <w:p w14:paraId="5E613084" w14:textId="75EE250F" w:rsidR="0065337A" w:rsidRPr="000F3CB0" w:rsidRDefault="0065337A" w:rsidP="0065337A">
      <w:pPr>
        <w:rPr>
          <w:b/>
          <w:bCs/>
          <w:lang w:val="fr-FR"/>
        </w:rPr>
      </w:pPr>
      <w:r>
        <w:rPr>
          <w:b/>
          <w:bCs/>
          <w:lang w:val="fr-FR"/>
        </w:rPr>
        <w:t>Propositions d</w:t>
      </w:r>
      <w:r w:rsidR="00F54F4B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 RID, à l</w:t>
      </w:r>
      <w:r w:rsidR="00F54F4B">
        <w:rPr>
          <w:b/>
          <w:bCs/>
          <w:lang w:val="fr-FR"/>
        </w:rPr>
        <w:t>’</w:t>
      </w:r>
      <w:r>
        <w:rPr>
          <w:b/>
          <w:bCs/>
          <w:lang w:val="fr-FR"/>
        </w:rPr>
        <w:t>ADR et à l</w:t>
      </w:r>
      <w:r w:rsidR="00F54F4B">
        <w:rPr>
          <w:b/>
          <w:bCs/>
          <w:lang w:val="fr-FR"/>
        </w:rPr>
        <w:t>’</w:t>
      </w:r>
      <w:r>
        <w:rPr>
          <w:b/>
          <w:bCs/>
          <w:lang w:val="fr-FR"/>
        </w:rPr>
        <w:t>ADN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518F2772" w14:textId="77777777" w:rsidR="0065337A" w:rsidRPr="000F3CB0" w:rsidRDefault="0065337A" w:rsidP="0065337A">
      <w:pPr>
        <w:rPr>
          <w:b/>
          <w:bCs/>
          <w:lang w:val="fr-FR"/>
        </w:rPr>
      </w:pPr>
      <w:r>
        <w:rPr>
          <w:b/>
          <w:bCs/>
          <w:lang w:val="fr-FR"/>
        </w:rPr>
        <w:t>Nouvelles propositions</w:t>
      </w:r>
    </w:p>
    <w:p w14:paraId="7BE9250A" w14:textId="77777777" w:rsidR="0065337A" w:rsidRPr="000F3CB0" w:rsidRDefault="0065337A" w:rsidP="0065337A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modification du 6.8.2.1.27 et du 7.5.10</w:t>
      </w:r>
    </w:p>
    <w:p w14:paraId="1D59E2F1" w14:textId="517898B2" w:rsidR="0065337A" w:rsidRDefault="0065337A" w:rsidP="0065337A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Gouvernement russe</w:t>
      </w:r>
      <w:r w:rsidR="008413FF" w:rsidRPr="008413F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="008413FF" w:rsidRPr="008413FF">
        <w:rPr>
          <w:b w:val="0"/>
          <w:bCs/>
          <w:sz w:val="20"/>
          <w:vertAlign w:val="superscript"/>
        </w:rPr>
        <w:t>,</w:t>
      </w:r>
      <w:r w:rsidR="008413FF" w:rsidRPr="008413FF">
        <w:rPr>
          <w:b w:val="0"/>
          <w:bCs/>
          <w:sz w:val="20"/>
        </w:rPr>
        <w:t xml:space="preserve"> </w:t>
      </w:r>
      <w:r w:rsidR="008413FF" w:rsidRPr="008413FF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65337A" w14:paraId="4CCDEE67" w14:textId="77777777" w:rsidTr="00D3065B">
        <w:trPr>
          <w:jc w:val="center"/>
        </w:trPr>
        <w:tc>
          <w:tcPr>
            <w:tcW w:w="9628" w:type="dxa"/>
            <w:shd w:val="clear" w:color="auto" w:fill="auto"/>
          </w:tcPr>
          <w:p w14:paraId="6A65572B" w14:textId="77777777" w:rsidR="0065337A" w:rsidRDefault="0065337A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65337A" w14:paraId="0FD575F0" w14:textId="77777777" w:rsidTr="00D3065B">
        <w:trPr>
          <w:jc w:val="center"/>
        </w:trPr>
        <w:tc>
          <w:tcPr>
            <w:tcW w:w="9628" w:type="dxa"/>
            <w:shd w:val="clear" w:color="auto" w:fill="auto"/>
          </w:tcPr>
          <w:p w14:paraId="133FC0D5" w14:textId="17783D04" w:rsidR="0065337A" w:rsidRDefault="0065337A" w:rsidP="0065337A">
            <w:pPr>
              <w:pStyle w:val="SingleTxtG"/>
              <w:ind w:left="3402" w:hanging="2268"/>
            </w:pPr>
            <w:r>
              <w:rPr>
                <w:b/>
                <w:bCs/>
                <w:lang w:val="fr-FR"/>
              </w:rPr>
              <w:t>Résumé analytique</w:t>
            </w:r>
            <w:r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:</w:t>
            </w:r>
            <w:r>
              <w:rPr>
                <w:lang w:val="fr-FR"/>
              </w:rPr>
              <w:tab/>
              <w:t>Préciser la relation entre le noir de carbone d</w:t>
            </w:r>
            <w:r w:rsidR="00F54F4B">
              <w:rPr>
                <w:lang w:val="fr-FR"/>
              </w:rPr>
              <w:t>’</w:t>
            </w:r>
            <w:r>
              <w:rPr>
                <w:lang w:val="fr-FR"/>
              </w:rPr>
              <w:t>origine non végétale et le No ONU 1361</w:t>
            </w:r>
          </w:p>
        </w:tc>
      </w:tr>
      <w:tr w:rsidR="0065337A" w14:paraId="514E1709" w14:textId="77777777" w:rsidTr="00D3065B">
        <w:trPr>
          <w:jc w:val="center"/>
        </w:trPr>
        <w:tc>
          <w:tcPr>
            <w:tcW w:w="9628" w:type="dxa"/>
            <w:shd w:val="clear" w:color="auto" w:fill="auto"/>
          </w:tcPr>
          <w:p w14:paraId="0A393FB7" w14:textId="1D36E337" w:rsidR="0065337A" w:rsidRDefault="0065337A" w:rsidP="0065337A">
            <w:pPr>
              <w:pStyle w:val="SingleTxtG"/>
              <w:ind w:left="3402" w:hanging="2268"/>
            </w:pPr>
            <w:r>
              <w:rPr>
                <w:b/>
                <w:bCs/>
                <w:lang w:val="fr-FR"/>
              </w:rPr>
              <w:t>Mesures à prendre</w:t>
            </w:r>
            <w:r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:</w:t>
            </w:r>
            <w:r>
              <w:rPr>
                <w:lang w:val="fr-FR"/>
              </w:rPr>
              <w:tab/>
              <w:t>Modifier le libellé du 6.8.2.1.27 du RID et de l</w:t>
            </w:r>
            <w:r w:rsidR="00F54F4B">
              <w:rPr>
                <w:lang w:val="fr-FR"/>
              </w:rPr>
              <w:t>’</w:t>
            </w:r>
            <w:r>
              <w:rPr>
                <w:lang w:val="fr-FR"/>
              </w:rPr>
              <w:t>ADR</w:t>
            </w:r>
          </w:p>
        </w:tc>
      </w:tr>
      <w:tr w:rsidR="0065337A" w14:paraId="68B08D83" w14:textId="77777777" w:rsidTr="00D3065B">
        <w:trPr>
          <w:jc w:val="center"/>
        </w:trPr>
        <w:tc>
          <w:tcPr>
            <w:tcW w:w="9628" w:type="dxa"/>
            <w:shd w:val="clear" w:color="auto" w:fill="auto"/>
          </w:tcPr>
          <w:p w14:paraId="4C0B4DB2" w14:textId="7ECD305F" w:rsidR="0065337A" w:rsidRDefault="0065337A" w:rsidP="0065337A">
            <w:pPr>
              <w:pStyle w:val="SingleTxtG"/>
              <w:ind w:left="3402" w:hanging="2268"/>
            </w:pPr>
            <w:r>
              <w:rPr>
                <w:b/>
                <w:bCs/>
                <w:lang w:val="fr-FR"/>
              </w:rPr>
              <w:t>Documents connexes</w:t>
            </w:r>
            <w:r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:</w:t>
            </w:r>
            <w:r>
              <w:rPr>
                <w:lang w:val="fr-FR"/>
              </w:rPr>
              <w:tab/>
            </w:r>
            <w:r w:rsidR="00D3065B">
              <w:rPr>
                <w:lang w:val="fr-FR"/>
              </w:rPr>
              <w:t>−</w:t>
            </w:r>
          </w:p>
        </w:tc>
      </w:tr>
      <w:tr w:rsidR="0065337A" w14:paraId="04801C27" w14:textId="77777777" w:rsidTr="00D3065B">
        <w:trPr>
          <w:jc w:val="center"/>
        </w:trPr>
        <w:tc>
          <w:tcPr>
            <w:tcW w:w="9628" w:type="dxa"/>
            <w:shd w:val="clear" w:color="auto" w:fill="auto"/>
          </w:tcPr>
          <w:p w14:paraId="0B1A2167" w14:textId="77777777" w:rsidR="0065337A" w:rsidRDefault="0065337A"/>
        </w:tc>
      </w:tr>
    </w:tbl>
    <w:p w14:paraId="32BCA596" w14:textId="77777777" w:rsidR="00D3065B" w:rsidRDefault="00D3065B" w:rsidP="00D3065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0A29403D" w14:textId="2D60CF74" w:rsidR="00D3065B" w:rsidRPr="000F3CB0" w:rsidRDefault="00D3065B" w:rsidP="00D3065B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Au 6.8.2.1.27 du RID et de l</w:t>
      </w:r>
      <w:r w:rsidR="00F54F4B">
        <w:rPr>
          <w:lang w:val="fr-FR"/>
        </w:rPr>
        <w:t>’</w:t>
      </w:r>
      <w:r>
        <w:rPr>
          <w:lang w:val="fr-FR"/>
        </w:rPr>
        <w:t>ADR et au 7.5.10 de l</w:t>
      </w:r>
      <w:r w:rsidR="00F54F4B">
        <w:rPr>
          <w:lang w:val="fr-FR"/>
        </w:rPr>
        <w:t>’</w:t>
      </w:r>
      <w:r>
        <w:rPr>
          <w:lang w:val="fr-FR"/>
        </w:rPr>
        <w:t>ADR sont précisées les prescriptions relatives au remplissage des citernes destinées au transport du noir de carbone (No ONU 1361, groupe d</w:t>
      </w:r>
      <w:r w:rsidR="00F54F4B">
        <w:rPr>
          <w:lang w:val="fr-FR"/>
        </w:rPr>
        <w:t>’</w:t>
      </w:r>
      <w:r>
        <w:rPr>
          <w:lang w:val="fr-FR"/>
        </w:rPr>
        <w:t>emballage II).</w:t>
      </w:r>
    </w:p>
    <w:p w14:paraId="6B922858" w14:textId="593B3E32" w:rsidR="00D3065B" w:rsidRPr="000F3CB0" w:rsidRDefault="00D3065B" w:rsidP="00D3065B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La norme EN 13094 (5.3.4) établit des prescriptions relatives aux véhicules-citernes destinés au transport du charbon et du noir de carbone sous le No ONU 1361, groupe d</w:t>
      </w:r>
      <w:r w:rsidR="00F54F4B">
        <w:rPr>
          <w:lang w:val="fr-FR"/>
        </w:rPr>
        <w:t>’</w:t>
      </w:r>
      <w:r>
        <w:rPr>
          <w:lang w:val="fr-FR"/>
        </w:rPr>
        <w:t>emballage II. Conformément à la liste des marchandises dangereuses (tableau A), la</w:t>
      </w:r>
      <w:r w:rsidR="008413FF">
        <w:rPr>
          <w:lang w:val="fr-FR"/>
        </w:rPr>
        <w:t> </w:t>
      </w:r>
      <w:r>
        <w:rPr>
          <w:lang w:val="fr-FR"/>
        </w:rPr>
        <w:t>matière doit être d</w:t>
      </w:r>
      <w:r w:rsidR="00F54F4B">
        <w:rPr>
          <w:lang w:val="fr-FR"/>
        </w:rPr>
        <w:t>’</w:t>
      </w:r>
      <w:r>
        <w:rPr>
          <w:lang w:val="fr-FR"/>
        </w:rPr>
        <w:t>origine animale ou végétale pour pouvoir être classée sous le No</w:t>
      </w:r>
      <w:r w:rsidR="008413FF">
        <w:rPr>
          <w:lang w:val="fr-FR"/>
        </w:rPr>
        <w:t> </w:t>
      </w:r>
      <w:r>
        <w:rPr>
          <w:lang w:val="fr-FR"/>
        </w:rPr>
        <w:t>ONU</w:t>
      </w:r>
      <w:r w:rsidR="008413FF">
        <w:rPr>
          <w:lang w:val="fr-FR"/>
        </w:rPr>
        <w:t> </w:t>
      </w:r>
      <w:r>
        <w:rPr>
          <w:lang w:val="fr-FR"/>
        </w:rPr>
        <w:t>1361. Or le noir de carbone transporté en citernes est produit principalement à partir de gaz d</w:t>
      </w:r>
      <w:r w:rsidR="00F54F4B">
        <w:rPr>
          <w:lang w:val="fr-FR"/>
        </w:rPr>
        <w:t>’</w:t>
      </w:r>
      <w:r>
        <w:rPr>
          <w:lang w:val="fr-FR"/>
        </w:rPr>
        <w:t>hydrocarbure. Par conséquent, le noir de carbone produit à partir de gaz relève du No ONU 3190 et, lors du remplissage des citernes avec du noir de carbone appartenant au groupe d</w:t>
      </w:r>
      <w:r w:rsidR="00F54F4B">
        <w:rPr>
          <w:lang w:val="fr-FR"/>
        </w:rPr>
        <w:t>’</w:t>
      </w:r>
      <w:r>
        <w:rPr>
          <w:lang w:val="fr-FR"/>
        </w:rPr>
        <w:t>emballage II, les prescriptions en matière de protection électrostatique peuvent ne pas s</w:t>
      </w:r>
      <w:r w:rsidR="00F54F4B">
        <w:rPr>
          <w:lang w:val="fr-FR"/>
        </w:rPr>
        <w:t>’</w:t>
      </w:r>
      <w:r>
        <w:rPr>
          <w:lang w:val="fr-FR"/>
        </w:rPr>
        <w:t>appliquer.</w:t>
      </w:r>
    </w:p>
    <w:p w14:paraId="61229D0C" w14:textId="77777777" w:rsidR="00D3065B" w:rsidRPr="000F3CB0" w:rsidRDefault="00D3065B" w:rsidP="00D3065B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bCs/>
          <w:lang w:val="fr-FR"/>
        </w:rPr>
        <w:t xml:space="preserve">Proposition à </w:t>
      </w:r>
      <w:r w:rsidRPr="00D3065B">
        <w:rPr>
          <w:lang w:val="fr-FR"/>
        </w:rPr>
        <w:t>mettre</w:t>
      </w:r>
      <w:r>
        <w:rPr>
          <w:bCs/>
          <w:lang w:val="fr-FR"/>
        </w:rPr>
        <w:t xml:space="preserve"> aux voix</w:t>
      </w:r>
    </w:p>
    <w:p w14:paraId="07EFB08D" w14:textId="4D9ED575" w:rsidR="00D3065B" w:rsidRPr="000F3CB0" w:rsidRDefault="00D3065B" w:rsidP="00D3065B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La première phrase du 6.8.2.1.27 du RID et de l</w:t>
      </w:r>
      <w:r w:rsidR="00F54F4B">
        <w:rPr>
          <w:lang w:val="fr-FR"/>
        </w:rPr>
        <w:t>’</w:t>
      </w:r>
      <w:r>
        <w:rPr>
          <w:lang w:val="fr-FR"/>
        </w:rPr>
        <w:t>ADR devrait être libellée comme suit :</w:t>
      </w:r>
    </w:p>
    <w:p w14:paraId="1154C6E0" w14:textId="4C7D20B8" w:rsidR="00D3065B" w:rsidRPr="000F3CB0" w:rsidRDefault="00D3065B" w:rsidP="00D3065B">
      <w:pPr>
        <w:pStyle w:val="SingleTxtG"/>
        <w:ind w:left="1701"/>
        <w:rPr>
          <w:lang w:val="fr-FR"/>
        </w:rPr>
      </w:pPr>
      <w:r>
        <w:rPr>
          <w:lang w:val="fr-FR"/>
        </w:rPr>
        <w:t>«</w:t>
      </w:r>
      <w:r>
        <w:rPr>
          <w:lang w:val="fr-FR"/>
        </w:rPr>
        <w:t> </w:t>
      </w:r>
      <w:r>
        <w:rPr>
          <w:lang w:val="fr-FR"/>
        </w:rPr>
        <w:t>Les citernes destinées au transport de liquides dont le point d</w:t>
      </w:r>
      <w:r w:rsidR="00F54F4B">
        <w:rPr>
          <w:lang w:val="fr-FR"/>
        </w:rPr>
        <w:t>’</w:t>
      </w:r>
      <w:r>
        <w:rPr>
          <w:lang w:val="fr-FR"/>
        </w:rPr>
        <w:t>éclair ne dépasse pas 60</w:t>
      </w:r>
      <w:r w:rsidR="000812B6">
        <w:rPr>
          <w:lang w:val="fr-FR"/>
        </w:rPr>
        <w:t> </w:t>
      </w:r>
      <w:r>
        <w:rPr>
          <w:lang w:val="fr-FR"/>
        </w:rPr>
        <w:t>°C, des gaz inflammables, ainsi que du No ONU 1361, charbon, ou du No</w:t>
      </w:r>
      <w:r w:rsidR="000812B6">
        <w:rPr>
          <w:lang w:val="fr-FR"/>
        </w:rPr>
        <w:t> </w:t>
      </w:r>
      <w:r>
        <w:rPr>
          <w:lang w:val="fr-FR"/>
        </w:rPr>
        <w:t>ONU</w:t>
      </w:r>
      <w:r w:rsidR="000812B6">
        <w:rPr>
          <w:lang w:val="fr-FR"/>
        </w:rPr>
        <w:t> </w:t>
      </w:r>
      <w:r>
        <w:rPr>
          <w:lang w:val="fr-FR"/>
        </w:rPr>
        <w:t>3190, noir de carbone, groupe d</w:t>
      </w:r>
      <w:r w:rsidR="00F54F4B">
        <w:rPr>
          <w:lang w:val="fr-FR"/>
        </w:rPr>
        <w:t>’</w:t>
      </w:r>
      <w:r>
        <w:rPr>
          <w:lang w:val="fr-FR"/>
        </w:rPr>
        <w:t>emballage II, doivent être reliées au châssis du véhicule au moyen d</w:t>
      </w:r>
      <w:r w:rsidR="00F54F4B">
        <w:rPr>
          <w:lang w:val="fr-FR"/>
        </w:rPr>
        <w:t>’</w:t>
      </w:r>
      <w:r>
        <w:rPr>
          <w:lang w:val="fr-FR"/>
        </w:rPr>
        <w:t>au moins une bonne connexion électrique. ».</w:t>
      </w:r>
    </w:p>
    <w:p w14:paraId="7C5E34F2" w14:textId="32887E2B" w:rsidR="00D3065B" w:rsidRPr="000F3CB0" w:rsidRDefault="00D3065B" w:rsidP="00D3065B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La première phrase du 7.5.10 de l</w:t>
      </w:r>
      <w:r w:rsidR="00F54F4B">
        <w:rPr>
          <w:lang w:val="fr-FR"/>
        </w:rPr>
        <w:t>’</w:t>
      </w:r>
      <w:r>
        <w:rPr>
          <w:lang w:val="fr-FR"/>
        </w:rPr>
        <w:t>ADR devrait être libellée comme suit :</w:t>
      </w:r>
    </w:p>
    <w:p w14:paraId="4522233F" w14:textId="4AB51A44" w:rsidR="00D3065B" w:rsidRPr="000F3CB0" w:rsidRDefault="00D3065B" w:rsidP="00D3065B">
      <w:pPr>
        <w:pStyle w:val="SingleTxtG"/>
        <w:ind w:left="1701"/>
        <w:rPr>
          <w:lang w:val="fr-FR"/>
        </w:rPr>
      </w:pPr>
      <w:r>
        <w:rPr>
          <w:lang w:val="fr-FR"/>
        </w:rPr>
        <w:t>« Lorsqu</w:t>
      </w:r>
      <w:r w:rsidR="00F54F4B">
        <w:rPr>
          <w:lang w:val="fr-FR"/>
        </w:rPr>
        <w:t>’</w:t>
      </w:r>
      <w:r>
        <w:rPr>
          <w:lang w:val="fr-FR"/>
        </w:rPr>
        <w:t>il s</w:t>
      </w:r>
      <w:r w:rsidR="00F54F4B">
        <w:rPr>
          <w:lang w:val="fr-FR"/>
        </w:rPr>
        <w:t>’</w:t>
      </w:r>
      <w:r>
        <w:rPr>
          <w:lang w:val="fr-FR"/>
        </w:rPr>
        <w:t>agit de gaz inflammables, de liquides ayant un point d</w:t>
      </w:r>
      <w:r w:rsidR="00F54F4B">
        <w:rPr>
          <w:lang w:val="fr-FR"/>
        </w:rPr>
        <w:t>’</w:t>
      </w:r>
      <w:r>
        <w:rPr>
          <w:lang w:val="fr-FR"/>
        </w:rPr>
        <w:t>éclair égal ou inférieur à 60 °C, du No ONU 1361, charbon, ou du No 3190, noir de carbone, groupe d</w:t>
      </w:r>
      <w:r w:rsidR="00F54F4B">
        <w:rPr>
          <w:lang w:val="fr-FR"/>
        </w:rPr>
        <w:t>’</w:t>
      </w:r>
      <w:r>
        <w:rPr>
          <w:lang w:val="fr-FR"/>
        </w:rPr>
        <w:t>emballage II, une bonne connexion électrique entre le châssis du véhicule, la citerne mobile ou le conteneur-citerne et la terre doit être réalisée avant le remplissage ou la vidange des citernes. ».</w:t>
      </w:r>
    </w:p>
    <w:p w14:paraId="49AF0120" w14:textId="54E7B985" w:rsidR="00D3065B" w:rsidRPr="000F3CB0" w:rsidRDefault="00D3065B" w:rsidP="00D3065B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 xml:space="preserve">Ajouter une disposition spéciale pour le No </w:t>
      </w:r>
      <w:r w:rsidR="000812B6">
        <w:rPr>
          <w:lang w:val="fr-FR"/>
        </w:rPr>
        <w:t>ONU</w:t>
      </w:r>
      <w:r w:rsidR="000812B6">
        <w:rPr>
          <w:lang w:val="fr-FR"/>
        </w:rPr>
        <w:t xml:space="preserve"> </w:t>
      </w:r>
      <w:r>
        <w:rPr>
          <w:lang w:val="fr-FR"/>
        </w:rPr>
        <w:t>1361, libellée comme suit :</w:t>
      </w:r>
    </w:p>
    <w:p w14:paraId="59CB0F47" w14:textId="72609EAA" w:rsidR="00D3065B" w:rsidRPr="000F3CB0" w:rsidRDefault="00D3065B" w:rsidP="00D3065B">
      <w:pPr>
        <w:pStyle w:val="SingleTxtG"/>
        <w:ind w:left="1701"/>
        <w:rPr>
          <w:lang w:val="fr-FR"/>
        </w:rPr>
      </w:pPr>
      <w:r>
        <w:rPr>
          <w:lang w:val="fr-FR"/>
        </w:rPr>
        <w:t>« Le noir de carbone</w:t>
      </w:r>
      <w:r w:rsidRPr="00EA7D57">
        <w:rPr>
          <w:lang w:val="fr-FR"/>
        </w:rPr>
        <w:t xml:space="preserve"> </w:t>
      </w:r>
      <w:r>
        <w:rPr>
          <w:lang w:val="fr-FR"/>
        </w:rPr>
        <w:t>répondant aux critères de la classe 4.2, y compris celui obtenu à partir de gaz ou d</w:t>
      </w:r>
      <w:r w:rsidR="00F54F4B">
        <w:rPr>
          <w:lang w:val="fr-FR"/>
        </w:rPr>
        <w:t>’</w:t>
      </w:r>
      <w:r>
        <w:rPr>
          <w:lang w:val="fr-FR"/>
        </w:rPr>
        <w:t>autres matières premières non végétales et non animales, doit être affecté au No ONU 3190. ».</w:t>
      </w:r>
    </w:p>
    <w:p w14:paraId="5E15EAC9" w14:textId="77777777" w:rsidR="00D3065B" w:rsidRPr="000F3CB0" w:rsidRDefault="00D3065B" w:rsidP="00D3065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D3065B">
        <w:rPr>
          <w:lang w:val="fr-FR"/>
        </w:rPr>
        <w:t>Coût</w:t>
      </w:r>
    </w:p>
    <w:p w14:paraId="09DD129D" w14:textId="77777777" w:rsidR="00D3065B" w:rsidRPr="000F3CB0" w:rsidRDefault="00D3065B" w:rsidP="00D3065B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Aucun.</w:t>
      </w:r>
    </w:p>
    <w:p w14:paraId="011FD29A" w14:textId="77777777" w:rsidR="00D3065B" w:rsidRPr="000F3CB0" w:rsidRDefault="00D3065B" w:rsidP="00D3065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D3065B">
        <w:rPr>
          <w:lang w:val="fr-FR"/>
        </w:rPr>
        <w:t>Applicabilité</w:t>
      </w:r>
    </w:p>
    <w:p w14:paraId="19663592" w14:textId="2E87A173" w:rsidR="00F9573C" w:rsidRDefault="00D3065B" w:rsidP="00D3065B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L</w:t>
      </w:r>
      <w:r w:rsidR="00F54F4B">
        <w:rPr>
          <w:lang w:val="fr-FR"/>
        </w:rPr>
        <w:t>’</w:t>
      </w:r>
      <w:r>
        <w:rPr>
          <w:lang w:val="fr-FR"/>
        </w:rPr>
        <w:t>application de la proposition ci-dessus ne devrait pas poser de problèmes.</w:t>
      </w:r>
    </w:p>
    <w:p w14:paraId="22FF2650" w14:textId="640A1C00" w:rsidR="00D3065B" w:rsidRPr="00D3065B" w:rsidRDefault="00D3065B" w:rsidP="00D3065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3065B" w:rsidRPr="00D3065B" w:rsidSect="006533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19C1" w14:textId="77777777" w:rsidR="002D49B9" w:rsidRDefault="002D49B9" w:rsidP="00F95C08">
      <w:pPr>
        <w:spacing w:line="240" w:lineRule="auto"/>
      </w:pPr>
    </w:p>
  </w:endnote>
  <w:endnote w:type="continuationSeparator" w:id="0">
    <w:p w14:paraId="5E1DA2BD" w14:textId="77777777" w:rsidR="002D49B9" w:rsidRPr="00AC3823" w:rsidRDefault="002D49B9" w:rsidP="00AC3823">
      <w:pPr>
        <w:pStyle w:val="Pieddepage"/>
      </w:pPr>
    </w:p>
  </w:endnote>
  <w:endnote w:type="continuationNotice" w:id="1">
    <w:p w14:paraId="3CA8A993" w14:textId="77777777" w:rsidR="002D49B9" w:rsidRDefault="002D49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9705" w14:textId="0629E91D" w:rsidR="0065337A" w:rsidRPr="0065337A" w:rsidRDefault="0065337A" w:rsidP="0065337A">
    <w:pPr>
      <w:pStyle w:val="Pieddepage"/>
      <w:tabs>
        <w:tab w:val="right" w:pos="9638"/>
      </w:tabs>
    </w:pPr>
    <w:r w:rsidRPr="0065337A">
      <w:rPr>
        <w:b/>
        <w:sz w:val="18"/>
      </w:rPr>
      <w:fldChar w:fldCharType="begin"/>
    </w:r>
    <w:r w:rsidRPr="0065337A">
      <w:rPr>
        <w:b/>
        <w:sz w:val="18"/>
      </w:rPr>
      <w:instrText xml:space="preserve"> PAGE  \* MERGEFORMAT </w:instrText>
    </w:r>
    <w:r w:rsidRPr="0065337A">
      <w:rPr>
        <w:b/>
        <w:sz w:val="18"/>
      </w:rPr>
      <w:fldChar w:fldCharType="separate"/>
    </w:r>
    <w:r w:rsidRPr="0065337A">
      <w:rPr>
        <w:b/>
        <w:noProof/>
        <w:sz w:val="18"/>
      </w:rPr>
      <w:t>2</w:t>
    </w:r>
    <w:r w:rsidRPr="0065337A">
      <w:rPr>
        <w:b/>
        <w:sz w:val="18"/>
      </w:rPr>
      <w:fldChar w:fldCharType="end"/>
    </w:r>
    <w:r>
      <w:rPr>
        <w:b/>
        <w:sz w:val="18"/>
      </w:rPr>
      <w:tab/>
    </w:r>
    <w:r>
      <w:t>GE.23-25436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977C" w14:textId="5CD5149A" w:rsidR="0065337A" w:rsidRPr="0065337A" w:rsidRDefault="0065337A" w:rsidP="0065337A">
    <w:pPr>
      <w:pStyle w:val="Pieddepage"/>
      <w:tabs>
        <w:tab w:val="right" w:pos="9638"/>
      </w:tabs>
      <w:rPr>
        <w:b/>
        <w:sz w:val="18"/>
      </w:rPr>
    </w:pPr>
    <w:r>
      <w:t>GE.23-25436</w:t>
    </w:r>
    <w:r>
      <w:tab/>
    </w:r>
    <w:r w:rsidRPr="0065337A">
      <w:rPr>
        <w:b/>
        <w:sz w:val="18"/>
      </w:rPr>
      <w:fldChar w:fldCharType="begin"/>
    </w:r>
    <w:r w:rsidRPr="0065337A">
      <w:rPr>
        <w:b/>
        <w:sz w:val="18"/>
      </w:rPr>
      <w:instrText xml:space="preserve"> PAGE  \* MERGEFORMAT </w:instrText>
    </w:r>
    <w:r w:rsidRPr="0065337A">
      <w:rPr>
        <w:b/>
        <w:sz w:val="18"/>
      </w:rPr>
      <w:fldChar w:fldCharType="separate"/>
    </w:r>
    <w:r w:rsidRPr="0065337A">
      <w:rPr>
        <w:b/>
        <w:noProof/>
        <w:sz w:val="18"/>
      </w:rPr>
      <w:t>3</w:t>
    </w:r>
    <w:r w:rsidRPr="006533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057B" w14:textId="16EFE5C2" w:rsidR="007F20FA" w:rsidRPr="0065337A" w:rsidRDefault="0065337A" w:rsidP="0065337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2DD1675" wp14:editId="11A9793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23-25436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D2B8DDC" wp14:editId="110B563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4032807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5B">
      <w:rPr>
        <w:sz w:val="20"/>
      </w:rPr>
      <w:t xml:space="preserve">    050224    060224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660B" w14:textId="77777777" w:rsidR="002D49B9" w:rsidRPr="00AC3823" w:rsidRDefault="002D49B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1C2B16" w14:textId="77777777" w:rsidR="002D49B9" w:rsidRPr="00AC3823" w:rsidRDefault="002D49B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2B4820" w14:textId="77777777" w:rsidR="002D49B9" w:rsidRPr="00AC3823" w:rsidRDefault="002D49B9">
      <w:pPr>
        <w:spacing w:line="240" w:lineRule="auto"/>
        <w:rPr>
          <w:sz w:val="2"/>
          <w:szCs w:val="2"/>
        </w:rPr>
      </w:pPr>
    </w:p>
  </w:footnote>
  <w:footnote w:id="2">
    <w:p w14:paraId="63FC32D5" w14:textId="4EEB8BEF" w:rsidR="008413FF" w:rsidRPr="008413FF" w:rsidRDefault="008413FF">
      <w:pPr>
        <w:pStyle w:val="Notedebasdepage"/>
      </w:pPr>
      <w:r>
        <w:rPr>
          <w:rStyle w:val="Appelnotedebasdep"/>
        </w:rPr>
        <w:tab/>
      </w:r>
      <w:r w:rsidRPr="008413F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8413FF">
        <w:rPr>
          <w:szCs w:val="18"/>
        </w:rPr>
        <w:t>A/78/6 (Sect. 20), tableau 20.5.</w:t>
      </w:r>
    </w:p>
  </w:footnote>
  <w:footnote w:id="3">
    <w:p w14:paraId="1A86BF8E" w14:textId="381C2208" w:rsidR="008413FF" w:rsidRPr="008413FF" w:rsidRDefault="008413FF">
      <w:pPr>
        <w:pStyle w:val="Notedebasdepage"/>
      </w:pPr>
      <w:r>
        <w:rPr>
          <w:rStyle w:val="Appelnotedebasdep"/>
        </w:rPr>
        <w:tab/>
      </w:r>
      <w:r w:rsidRPr="008413FF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8413FF">
        <w:rPr>
          <w:szCs w:val="18"/>
        </w:rPr>
        <w:t>Diffusée par l</w:t>
      </w:r>
      <w:r>
        <w:rPr>
          <w:szCs w:val="18"/>
        </w:rPr>
        <w:t>’</w:t>
      </w:r>
      <w:r w:rsidRPr="008413FF">
        <w:rPr>
          <w:szCs w:val="18"/>
        </w:rPr>
        <w:t xml:space="preserve">Organisation </w:t>
      </w:r>
      <w:proofErr w:type="spellStart"/>
      <w:r w:rsidRPr="008413FF">
        <w:rPr>
          <w:szCs w:val="18"/>
        </w:rPr>
        <w:t>intergouvernementale</w:t>
      </w:r>
      <w:proofErr w:type="spellEnd"/>
      <w:r w:rsidRPr="008413FF">
        <w:rPr>
          <w:szCs w:val="18"/>
        </w:rPr>
        <w:t xml:space="preserve"> pour les transports internationaux ferroviaires (OTIF) sous la cote OTIF/RID/RC/2023/5.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8C5A" w14:textId="4790C596" w:rsidR="0065337A" w:rsidRPr="0065337A" w:rsidRDefault="0065337A">
    <w:pPr>
      <w:pStyle w:val="En-tte"/>
    </w:pPr>
    <w:fldSimple w:instr=" TITLE  \* MERGEFORMAT ">
      <w:r w:rsidR="008B2D73">
        <w:t>ECE/TRANS/WP.15/AC.1/2024/5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54DD" w14:textId="40D952B1" w:rsidR="0065337A" w:rsidRPr="0065337A" w:rsidRDefault="0065337A" w:rsidP="0065337A">
    <w:pPr>
      <w:pStyle w:val="En-tte"/>
      <w:jc w:val="right"/>
    </w:pPr>
    <w:fldSimple w:instr=" TITLE  \* MERGEFORMAT ">
      <w:r w:rsidR="008B2D73">
        <w:t>ECE/TRANS/WP.15/AC.1/2024/5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38809765">
    <w:abstractNumId w:val="12"/>
  </w:num>
  <w:num w:numId="2" w16cid:durableId="1673142528">
    <w:abstractNumId w:val="11"/>
  </w:num>
  <w:num w:numId="3" w16cid:durableId="1448744426">
    <w:abstractNumId w:val="10"/>
  </w:num>
  <w:num w:numId="4" w16cid:durableId="1401514966">
    <w:abstractNumId w:val="8"/>
  </w:num>
  <w:num w:numId="5" w16cid:durableId="528372170">
    <w:abstractNumId w:val="3"/>
  </w:num>
  <w:num w:numId="6" w16cid:durableId="111748681">
    <w:abstractNumId w:val="2"/>
  </w:num>
  <w:num w:numId="7" w16cid:durableId="1291474609">
    <w:abstractNumId w:val="1"/>
  </w:num>
  <w:num w:numId="8" w16cid:durableId="893203150">
    <w:abstractNumId w:val="0"/>
  </w:num>
  <w:num w:numId="9" w16cid:durableId="1952778350">
    <w:abstractNumId w:val="9"/>
  </w:num>
  <w:num w:numId="10" w16cid:durableId="1397977099">
    <w:abstractNumId w:val="7"/>
  </w:num>
  <w:num w:numId="11" w16cid:durableId="1558473007">
    <w:abstractNumId w:val="6"/>
  </w:num>
  <w:num w:numId="12" w16cid:durableId="521364927">
    <w:abstractNumId w:val="5"/>
  </w:num>
  <w:num w:numId="13" w16cid:durableId="1976985340">
    <w:abstractNumId w:val="4"/>
  </w:num>
  <w:num w:numId="14" w16cid:durableId="1522473138">
    <w:abstractNumId w:val="12"/>
  </w:num>
  <w:num w:numId="15" w16cid:durableId="899441114">
    <w:abstractNumId w:val="11"/>
  </w:num>
  <w:num w:numId="16" w16cid:durableId="16044570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B9"/>
    <w:rsid w:val="00017F94"/>
    <w:rsid w:val="00023842"/>
    <w:rsid w:val="000334F9"/>
    <w:rsid w:val="00045FEB"/>
    <w:rsid w:val="0007796D"/>
    <w:rsid w:val="000812B6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49B9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1106F"/>
    <w:rsid w:val="0065337A"/>
    <w:rsid w:val="0071601D"/>
    <w:rsid w:val="007A62E6"/>
    <w:rsid w:val="007F20FA"/>
    <w:rsid w:val="0080684C"/>
    <w:rsid w:val="008413FF"/>
    <w:rsid w:val="00871C75"/>
    <w:rsid w:val="008776DC"/>
    <w:rsid w:val="008B2D73"/>
    <w:rsid w:val="008D5EF9"/>
    <w:rsid w:val="009446C0"/>
    <w:rsid w:val="009705C8"/>
    <w:rsid w:val="009C1CF4"/>
    <w:rsid w:val="009F0C82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065B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54F4B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4F20A"/>
  <w15:docId w15:val="{0B96FF5B-075B-4622-9F17-027F23D2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5337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438D3-904E-4D82-9778-889ED1D36568}"/>
</file>

<file path=customXml/itemProps2.xml><?xml version="1.0" encoding="utf-8"?>
<ds:datastoreItem xmlns:ds="http://schemas.openxmlformats.org/officeDocument/2006/customXml" ds:itemID="{ABE4DBFA-EDB1-47E9-9DB8-CBB5DFFCBDA4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382</Words>
  <Characters>2679</Characters>
  <Application>Microsoft Office Word</Application>
  <DocSecurity>0</DocSecurity>
  <Lines>223</Lines>
  <Paragraphs>122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ECE/TRANS/WP.15/AC.1/2024/5</vt:lpstr>
    </vt:vector>
  </TitlesOfParts>
  <Company>DCM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ECE/TRANS/WP.15/AC.1/2024/5</dc:title>
  <dc:subject/>
  <dc:creator>Julien OKRZESIK</dc:creator>
  <cp:keywords/>
  <cp:lastModifiedBy>Julien Okrzesik</cp:lastModifiedBy>
  <cp:revision>3</cp:revision>
  <cp:lastPrinted>2024-02-06T15:24:00Z</cp:lastPrinted>
  <dcterms:created xsi:type="dcterms:W3CDTF">2024-02-06T15:23:00Z</dcterms:created>
  <dcterms:modified xsi:type="dcterms:W3CDTF">2024-02-06T15:25:00Z</dcterms:modified>
</cp:coreProperties>
</file>