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C5FA6" w14:paraId="100A0C06" w14:textId="77777777" w:rsidTr="00C97039">
        <w:trPr>
          <w:trHeight w:hRule="exact" w:val="851"/>
        </w:trPr>
        <w:tc>
          <w:tcPr>
            <w:tcW w:w="1276" w:type="dxa"/>
            <w:tcBorders>
              <w:bottom w:val="single" w:sz="4" w:space="0" w:color="auto"/>
            </w:tcBorders>
          </w:tcPr>
          <w:p w14:paraId="49754A5B" w14:textId="77777777" w:rsidR="00F35BAF" w:rsidRPr="00DB58B5" w:rsidRDefault="00F35BAF" w:rsidP="00961E9A"/>
        </w:tc>
        <w:tc>
          <w:tcPr>
            <w:tcW w:w="2268" w:type="dxa"/>
            <w:tcBorders>
              <w:bottom w:val="single" w:sz="4" w:space="0" w:color="auto"/>
            </w:tcBorders>
            <w:vAlign w:val="bottom"/>
          </w:tcPr>
          <w:p w14:paraId="33B25A6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42F6FC" w14:textId="20842D62" w:rsidR="00F35BAF" w:rsidRPr="00961E9A" w:rsidRDefault="00961E9A" w:rsidP="00961E9A">
            <w:pPr>
              <w:jc w:val="right"/>
              <w:rPr>
                <w:lang w:val="en-US"/>
              </w:rPr>
            </w:pPr>
            <w:r w:rsidRPr="00961E9A">
              <w:rPr>
                <w:sz w:val="40"/>
                <w:lang w:val="en-US"/>
              </w:rPr>
              <w:t>ECE</w:t>
            </w:r>
            <w:r w:rsidRPr="00961E9A">
              <w:rPr>
                <w:lang w:val="en-US"/>
              </w:rPr>
              <w:t>/TRANS/WP.15/AC.1/170/Add.1</w:t>
            </w:r>
          </w:p>
        </w:tc>
      </w:tr>
      <w:tr w:rsidR="00F35BAF" w:rsidRPr="00DB58B5" w14:paraId="61FD0362" w14:textId="77777777" w:rsidTr="00C97039">
        <w:trPr>
          <w:trHeight w:hRule="exact" w:val="2835"/>
        </w:trPr>
        <w:tc>
          <w:tcPr>
            <w:tcW w:w="1276" w:type="dxa"/>
            <w:tcBorders>
              <w:top w:val="single" w:sz="4" w:space="0" w:color="auto"/>
              <w:bottom w:val="single" w:sz="12" w:space="0" w:color="auto"/>
            </w:tcBorders>
          </w:tcPr>
          <w:p w14:paraId="6C7BF9ED" w14:textId="77777777" w:rsidR="00F35BAF" w:rsidRPr="00DB58B5" w:rsidRDefault="00F35BAF" w:rsidP="00C97039">
            <w:pPr>
              <w:spacing w:before="120"/>
              <w:jc w:val="center"/>
            </w:pPr>
            <w:r>
              <w:rPr>
                <w:noProof/>
                <w:lang w:eastAsia="fr-CH"/>
              </w:rPr>
              <w:drawing>
                <wp:inline distT="0" distB="0" distL="0" distR="0" wp14:anchorId="426EC714" wp14:editId="2ED830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2FD85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5E5915" w14:textId="77777777" w:rsidR="00F35BAF" w:rsidRDefault="00961E9A" w:rsidP="00C97039">
            <w:pPr>
              <w:spacing w:before="240"/>
            </w:pPr>
            <w:proofErr w:type="spellStart"/>
            <w:r>
              <w:t>Distr</w:t>
            </w:r>
            <w:proofErr w:type="spellEnd"/>
            <w:r>
              <w:t xml:space="preserve">. générale </w:t>
            </w:r>
          </w:p>
          <w:p w14:paraId="293F58DF" w14:textId="77777777" w:rsidR="00961E9A" w:rsidRDefault="00961E9A" w:rsidP="00961E9A">
            <w:pPr>
              <w:spacing w:line="240" w:lineRule="exact"/>
            </w:pPr>
            <w:r>
              <w:t>10 octobre 2023</w:t>
            </w:r>
          </w:p>
          <w:p w14:paraId="308959F7" w14:textId="77777777" w:rsidR="00961E9A" w:rsidRDefault="00961E9A" w:rsidP="00961E9A">
            <w:pPr>
              <w:spacing w:line="240" w:lineRule="exact"/>
            </w:pPr>
            <w:r>
              <w:t>Français</w:t>
            </w:r>
          </w:p>
          <w:p w14:paraId="258B09A0" w14:textId="2F55DEFA" w:rsidR="00961E9A" w:rsidRPr="00DB58B5" w:rsidRDefault="00961E9A" w:rsidP="00961E9A">
            <w:pPr>
              <w:spacing w:line="240" w:lineRule="exact"/>
            </w:pPr>
            <w:r>
              <w:t>Original</w:t>
            </w:r>
            <w:r w:rsidR="009D57A1">
              <w:t> :</w:t>
            </w:r>
            <w:r>
              <w:t xml:space="preserve"> anglais</w:t>
            </w:r>
          </w:p>
        </w:tc>
      </w:tr>
    </w:tbl>
    <w:p w14:paraId="4277B2A6" w14:textId="77777777" w:rsidR="007F20FA" w:rsidRPr="000312C0" w:rsidRDefault="007F20FA" w:rsidP="007F20FA">
      <w:pPr>
        <w:spacing w:before="120"/>
        <w:rPr>
          <w:b/>
          <w:sz w:val="28"/>
          <w:szCs w:val="28"/>
        </w:rPr>
      </w:pPr>
      <w:r w:rsidRPr="000312C0">
        <w:rPr>
          <w:b/>
          <w:sz w:val="28"/>
          <w:szCs w:val="28"/>
        </w:rPr>
        <w:t>Commission économique pour l’Europe</w:t>
      </w:r>
    </w:p>
    <w:p w14:paraId="050D614D" w14:textId="77777777" w:rsidR="007F20FA" w:rsidRDefault="007F20FA" w:rsidP="007F20FA">
      <w:pPr>
        <w:spacing w:before="120"/>
        <w:rPr>
          <w:sz w:val="28"/>
          <w:szCs w:val="28"/>
        </w:rPr>
      </w:pPr>
      <w:r w:rsidRPr="00685843">
        <w:rPr>
          <w:sz w:val="28"/>
          <w:szCs w:val="28"/>
        </w:rPr>
        <w:t>Comité des transports intérieurs</w:t>
      </w:r>
    </w:p>
    <w:p w14:paraId="30EB960F" w14:textId="77777777" w:rsidR="00961E9A" w:rsidRPr="00961E9A" w:rsidRDefault="00961E9A" w:rsidP="00961E9A">
      <w:pPr>
        <w:spacing w:before="120"/>
        <w:outlineLvl w:val="0"/>
        <w:rPr>
          <w:b/>
          <w:sz w:val="24"/>
          <w:szCs w:val="24"/>
        </w:rPr>
      </w:pPr>
      <w:r w:rsidRPr="00961E9A">
        <w:rPr>
          <w:b/>
          <w:bCs/>
          <w:sz w:val="24"/>
          <w:szCs w:val="24"/>
        </w:rPr>
        <w:t>Groupe de travail des transports de marchandises dangereuses</w:t>
      </w:r>
    </w:p>
    <w:p w14:paraId="58E89DBB" w14:textId="5302C62E" w:rsidR="00961E9A" w:rsidRDefault="00961E9A" w:rsidP="00961E9A">
      <w:pPr>
        <w:spacing w:before="120"/>
        <w:rPr>
          <w:b/>
        </w:rPr>
      </w:pPr>
      <w:r>
        <w:rPr>
          <w:b/>
          <w:bCs/>
        </w:rPr>
        <w:t>Réunion commune de la Commission d’experts du RID</w:t>
      </w:r>
      <w:r>
        <w:rPr>
          <w:b/>
          <w:bCs/>
        </w:rPr>
        <w:br/>
        <w:t>et du Groupe de travail des transports de marchandises dangereuses</w:t>
      </w:r>
    </w:p>
    <w:p w14:paraId="6EF7F86E" w14:textId="362F83D2" w:rsidR="00961E9A" w:rsidRDefault="00961E9A" w:rsidP="00961E9A">
      <w:pPr>
        <w:pStyle w:val="HChG"/>
      </w:pPr>
      <w:r>
        <w:tab/>
      </w:r>
      <w:r>
        <w:tab/>
      </w:r>
      <w:r w:rsidRPr="00961E9A">
        <w:rPr>
          <w:spacing w:val="3"/>
        </w:rPr>
        <w:t>Rapport de la Réunion commune de la Commission</w:t>
      </w:r>
      <w:r>
        <w:t xml:space="preserve"> </w:t>
      </w:r>
      <w:r>
        <w:br/>
      </w:r>
      <w:r w:rsidRPr="00961E9A">
        <w:rPr>
          <w:spacing w:val="-2"/>
        </w:rPr>
        <w:t xml:space="preserve">d’experts du RID et du Groupe de travail des transports </w:t>
      </w:r>
      <w:r w:rsidRPr="00961E9A">
        <w:rPr>
          <w:spacing w:val="-2"/>
        </w:rPr>
        <w:br/>
        <w:t>de marchandises dangereuses sur sa session d’automne 2023</w:t>
      </w:r>
    </w:p>
    <w:p w14:paraId="3A028A93" w14:textId="3E0FF424" w:rsidR="00961E9A" w:rsidRPr="00A57B4B" w:rsidRDefault="00961E9A" w:rsidP="00961E9A">
      <w:pPr>
        <w:spacing w:after="120"/>
        <w:outlineLvl w:val="0"/>
      </w:pPr>
      <w:r>
        <w:tab/>
      </w:r>
      <w:r>
        <w:tab/>
        <w:t>tenue à Genève du 19 au 27 septembre 2023</w:t>
      </w:r>
      <w:bookmarkStart w:id="0" w:name="_Toc147485970"/>
      <w:bookmarkStart w:id="1" w:name="_Toc147486217"/>
      <w:bookmarkEnd w:id="0"/>
      <w:bookmarkEnd w:id="1"/>
    </w:p>
    <w:p w14:paraId="0E8AF190" w14:textId="77777777" w:rsidR="00961E9A" w:rsidRPr="009F6E99" w:rsidRDefault="00961E9A" w:rsidP="00961E9A">
      <w:pPr>
        <w:pStyle w:val="H1G"/>
      </w:pPr>
      <w:r>
        <w:tab/>
      </w:r>
      <w:r>
        <w:tab/>
        <w:t>Additif</w:t>
      </w:r>
    </w:p>
    <w:p w14:paraId="0361D1B8" w14:textId="77777777" w:rsidR="00961E9A" w:rsidRPr="00DC3582" w:rsidRDefault="00961E9A" w:rsidP="00961E9A">
      <w:pPr>
        <w:pStyle w:val="HChG"/>
      </w:pPr>
      <w:r w:rsidRPr="00DC3582">
        <w:br w:type="page"/>
      </w:r>
    </w:p>
    <w:p w14:paraId="5AB7405B" w14:textId="77777777" w:rsidR="00961E9A" w:rsidRPr="009F6E99" w:rsidRDefault="00961E9A" w:rsidP="00961E9A">
      <w:pPr>
        <w:pStyle w:val="HChG"/>
      </w:pPr>
      <w:r>
        <w:lastRenderedPageBreak/>
        <w:t xml:space="preserve">Annexe </w:t>
      </w:r>
    </w:p>
    <w:p w14:paraId="432CCBF5" w14:textId="77777777" w:rsidR="00961E9A" w:rsidRPr="00F1537C" w:rsidRDefault="00961E9A" w:rsidP="00961E9A">
      <w:pPr>
        <w:pStyle w:val="HChG"/>
      </w:pPr>
      <w:r>
        <w:tab/>
      </w:r>
      <w:r>
        <w:tab/>
        <w:t>Rapport du Groupe de travail des citernes</w:t>
      </w:r>
    </w:p>
    <w:p w14:paraId="28995B3C" w14:textId="2DFD28CC" w:rsidR="00961E9A" w:rsidRPr="00F1537C" w:rsidRDefault="00961E9A" w:rsidP="00961E9A">
      <w:pPr>
        <w:pStyle w:val="SingleTxtG"/>
      </w:pPr>
      <w:r>
        <w:t>1.</w:t>
      </w:r>
      <w:r>
        <w:tab/>
        <w:t>Le Groupe de travail des citernes s’est réuni du 19 au 21</w:t>
      </w:r>
      <w:r w:rsidR="00E27001">
        <w:t> </w:t>
      </w:r>
      <w:r>
        <w:t xml:space="preserve">septembre 2023 selon des modalités hybrides, dans le cadre du mandat que lui a confié la Réunion commune RID/ADR/ADN, sous la présidence d’Arne Bale (Royaume-Uni), </w:t>
      </w:r>
      <w:proofErr w:type="spellStart"/>
      <w:r>
        <w:t>Kees</w:t>
      </w:r>
      <w:proofErr w:type="spellEnd"/>
      <w:r>
        <w:t xml:space="preserve"> de Putter (Pays-Bas) remplissant les fonctions de secrétaire. Les documents pertinents ont été soumis au Groupe de travail pour examen.</w:t>
      </w:r>
    </w:p>
    <w:p w14:paraId="1E4DCF7C" w14:textId="5B1FD006" w:rsidR="00961E9A" w:rsidRPr="00F1537C" w:rsidRDefault="00961E9A" w:rsidP="00961E9A">
      <w:pPr>
        <w:pStyle w:val="SingleTxtG"/>
      </w:pPr>
      <w:r>
        <w:t>2.</w:t>
      </w:r>
      <w:r>
        <w:tab/>
        <w:t>Vingt-huit experts représentant 10</w:t>
      </w:r>
      <w:r w:rsidR="00E27001">
        <w:t> </w:t>
      </w:r>
      <w:r>
        <w:t xml:space="preserve">pays et </w:t>
      </w:r>
      <w:r w:rsidR="00E27001">
        <w:t>7 </w:t>
      </w:r>
      <w:r>
        <w:t>organisations non gouvernementales ont participé à la session du Groupe de travail des citernes. Ils ont traité les documents officiels et informels suivants</w:t>
      </w:r>
      <w:r w:rsidR="009D57A1">
        <w:t> :</w:t>
      </w:r>
    </w:p>
    <w:p w14:paraId="28BF045B" w14:textId="5CDD495B" w:rsidR="009164F6" w:rsidRDefault="00961E9A" w:rsidP="009164F6">
      <w:pPr>
        <w:pStyle w:val="SingleTxtG"/>
        <w:tabs>
          <w:tab w:val="left" w:pos="3119"/>
        </w:tabs>
        <w:spacing w:after="0"/>
        <w:ind w:left="2268" w:right="0" w:hanging="1134"/>
        <w:jc w:val="left"/>
      </w:pPr>
      <w:r>
        <w:rPr>
          <w:i/>
          <w:iCs/>
        </w:rPr>
        <w:t>Document(s)</w:t>
      </w:r>
      <w:r w:rsidR="009D57A1">
        <w:rPr>
          <w:i/>
          <w:iCs/>
        </w:rPr>
        <w:t> </w:t>
      </w:r>
      <w:r w:rsidR="009D57A1" w:rsidRPr="009164F6">
        <w:t>:</w:t>
      </w:r>
      <w:r w:rsidR="0051000F">
        <w:tab/>
      </w:r>
      <w:r w:rsidR="007B6237">
        <w:tab/>
      </w:r>
      <w:r>
        <w:t>ECE/TRANS/WP.15/AC.1/168 (rapport),</w:t>
      </w:r>
      <w:r w:rsidR="009164F6">
        <w:t xml:space="preserve"> </w:t>
      </w:r>
    </w:p>
    <w:p w14:paraId="2A1D94DA" w14:textId="60115AA0" w:rsidR="00961E9A" w:rsidRPr="007B6237" w:rsidRDefault="007B6237" w:rsidP="007B6237">
      <w:pPr>
        <w:pStyle w:val="SingleTxtG"/>
        <w:tabs>
          <w:tab w:val="left" w:pos="3119"/>
        </w:tabs>
        <w:spacing w:after="0"/>
        <w:ind w:left="3402" w:right="0"/>
        <w:jc w:val="left"/>
        <w:rPr>
          <w:spacing w:val="-3"/>
        </w:rPr>
      </w:pPr>
      <w:r>
        <w:tab/>
      </w:r>
      <w:r w:rsidR="00961E9A" w:rsidRPr="007B6237">
        <w:rPr>
          <w:spacing w:val="-3"/>
        </w:rPr>
        <w:t xml:space="preserve">ECE/TRANS/WP.15/AC.1/2023/23 </w:t>
      </w:r>
      <w:r>
        <w:rPr>
          <w:spacing w:val="-3"/>
        </w:rPr>
        <w:br/>
      </w:r>
      <w:r w:rsidR="00961E9A" w:rsidRPr="007B6237">
        <w:rPr>
          <w:spacing w:val="-3"/>
        </w:rPr>
        <w:t xml:space="preserve">et 2023/23/Add.1 (secrétariat) </w:t>
      </w:r>
    </w:p>
    <w:p w14:paraId="4BE429A4" w14:textId="7BB38CA5" w:rsidR="00961E9A" w:rsidRPr="00DC3582" w:rsidRDefault="00961E9A" w:rsidP="007B6237">
      <w:pPr>
        <w:pStyle w:val="SingleTxtG"/>
        <w:tabs>
          <w:tab w:val="left" w:pos="3402"/>
          <w:tab w:val="left" w:pos="5812"/>
        </w:tabs>
        <w:spacing w:after="0"/>
        <w:ind w:left="3402" w:right="1276"/>
        <w:jc w:val="left"/>
        <w:rPr>
          <w:lang w:val="en-US"/>
        </w:rPr>
      </w:pPr>
      <w:r w:rsidRPr="00DC3582">
        <w:rPr>
          <w:lang w:val="en-US"/>
        </w:rPr>
        <w:t>ECE/TRANS/WP.15/AC.1/2023/26 (UIC)</w:t>
      </w:r>
    </w:p>
    <w:p w14:paraId="0B1E4622" w14:textId="08931BEF" w:rsidR="00961E9A" w:rsidRPr="00DC3582" w:rsidRDefault="00961E9A" w:rsidP="007B6237">
      <w:pPr>
        <w:pStyle w:val="SingleTxtG"/>
        <w:tabs>
          <w:tab w:val="left" w:pos="3402"/>
          <w:tab w:val="left" w:pos="5812"/>
        </w:tabs>
        <w:ind w:left="3402" w:right="1276"/>
        <w:jc w:val="left"/>
        <w:rPr>
          <w:lang w:val="en-US"/>
        </w:rPr>
      </w:pPr>
      <w:r w:rsidRPr="00DC3582">
        <w:rPr>
          <w:lang w:val="en-US"/>
        </w:rPr>
        <w:t>ECE/TRANS/WP.15/AC.1/2023/28 (Pays-Bas) ECE/TRANS/WP.15/AC.1/2023/29 (Pays-Bas) ECE/TRANS/WP.15/AC.1/2023/30 (Pays-Bas) ECE/TRANS/WP.15/AC.1/2023/33 (EIGA) ECE/TRANS/WP.15/AC.1/2023/35 (Belgique) ECE/TRANS/WP.15/AC.1/2023/37 (Belgique) ECE/TRANS/WP.15/AC.1/2023/46 (France) ECE/TRANS/WP.15/AC.1/2023/52 (France) ECE/TRANS/WP.15/AC.1/2023/53 (France) ECE/TRANS/WP.15/AC.1/2023/54 (France)</w:t>
      </w:r>
      <w:bookmarkStart w:id="2" w:name="_Hlk146196167"/>
      <w:bookmarkEnd w:id="2"/>
    </w:p>
    <w:p w14:paraId="63356BD1" w14:textId="5BAFA141" w:rsidR="00961E9A" w:rsidRDefault="00961E9A" w:rsidP="007B6237">
      <w:pPr>
        <w:pStyle w:val="SingleTxtG"/>
        <w:tabs>
          <w:tab w:val="left" w:pos="3402"/>
          <w:tab w:val="left" w:pos="5812"/>
        </w:tabs>
        <w:spacing w:after="0"/>
        <w:ind w:left="2977" w:right="1275" w:hanging="1843"/>
        <w:jc w:val="left"/>
      </w:pPr>
      <w:r>
        <w:rPr>
          <w:i/>
          <w:iCs/>
        </w:rPr>
        <w:t>Document(s) informel(s)</w:t>
      </w:r>
      <w:r w:rsidR="009D57A1">
        <w:rPr>
          <w:i/>
          <w:iCs/>
        </w:rPr>
        <w:t> </w:t>
      </w:r>
      <w:r w:rsidR="009D57A1" w:rsidRPr="009164F6">
        <w:t>:</w:t>
      </w:r>
      <w:r w:rsidR="007B6237">
        <w:tab/>
      </w:r>
      <w:r>
        <w:t>INF.4 (Allemagne)</w:t>
      </w:r>
    </w:p>
    <w:p w14:paraId="13760E70" w14:textId="2DE9C488" w:rsidR="00961E9A" w:rsidRDefault="007B6237" w:rsidP="004B6150">
      <w:pPr>
        <w:pStyle w:val="SingleTxtG"/>
        <w:tabs>
          <w:tab w:val="left" w:pos="3402"/>
          <w:tab w:val="left" w:pos="5812"/>
        </w:tabs>
        <w:spacing w:after="0"/>
        <w:ind w:left="3119" w:right="0"/>
        <w:jc w:val="left"/>
      </w:pPr>
      <w:r>
        <w:tab/>
      </w:r>
      <w:r w:rsidR="00961E9A">
        <w:t xml:space="preserve">INF.5 (UIP) </w:t>
      </w:r>
    </w:p>
    <w:p w14:paraId="3314AC8A" w14:textId="7C256786" w:rsidR="00961E9A" w:rsidRPr="00F1537C" w:rsidRDefault="007B6237" w:rsidP="007B6237">
      <w:pPr>
        <w:pStyle w:val="SingleTxtG"/>
        <w:tabs>
          <w:tab w:val="left" w:pos="2977"/>
          <w:tab w:val="left" w:pos="3119"/>
          <w:tab w:val="left" w:pos="3402"/>
          <w:tab w:val="left" w:pos="5812"/>
        </w:tabs>
        <w:spacing w:after="0"/>
        <w:ind w:left="3119" w:right="0"/>
        <w:jc w:val="left"/>
      </w:pPr>
      <w:r>
        <w:tab/>
      </w:r>
      <w:r w:rsidR="00961E9A">
        <w:t>INF.7 (Allemagne)</w:t>
      </w:r>
    </w:p>
    <w:p w14:paraId="3B2BF968" w14:textId="420182E1" w:rsidR="00961E9A" w:rsidRDefault="007B6237" w:rsidP="007B6237">
      <w:pPr>
        <w:pStyle w:val="SingleTxtG"/>
        <w:tabs>
          <w:tab w:val="left" w:pos="2977"/>
          <w:tab w:val="left" w:pos="3119"/>
          <w:tab w:val="left" w:pos="3402"/>
        </w:tabs>
        <w:spacing w:after="0"/>
        <w:ind w:left="3119" w:right="0"/>
        <w:jc w:val="left"/>
      </w:pPr>
      <w:r>
        <w:tab/>
      </w:r>
      <w:r w:rsidR="00961E9A">
        <w:t>INF.10 (Pays-Bas)</w:t>
      </w:r>
    </w:p>
    <w:p w14:paraId="210BEB5E" w14:textId="4F06CDAD" w:rsidR="00961E9A" w:rsidRDefault="007B6237" w:rsidP="007B6237">
      <w:pPr>
        <w:pStyle w:val="SingleTxtG"/>
        <w:tabs>
          <w:tab w:val="left" w:pos="2977"/>
          <w:tab w:val="left" w:pos="3119"/>
          <w:tab w:val="left" w:pos="3402"/>
        </w:tabs>
        <w:spacing w:after="0"/>
        <w:ind w:left="3119" w:right="0"/>
        <w:jc w:val="left"/>
      </w:pPr>
      <w:r>
        <w:tab/>
      </w:r>
      <w:r w:rsidR="00961E9A">
        <w:t xml:space="preserve">INF.11 (Pays-Bas) </w:t>
      </w:r>
    </w:p>
    <w:p w14:paraId="61512DCB" w14:textId="530D3AD1" w:rsidR="00961E9A" w:rsidRDefault="007B6237" w:rsidP="007B6237">
      <w:pPr>
        <w:pStyle w:val="SingleTxtG"/>
        <w:tabs>
          <w:tab w:val="left" w:pos="2977"/>
          <w:tab w:val="left" w:pos="3119"/>
          <w:tab w:val="left" w:pos="3402"/>
        </w:tabs>
        <w:spacing w:after="0"/>
        <w:ind w:left="3119" w:right="0"/>
        <w:jc w:val="left"/>
      </w:pPr>
      <w:r>
        <w:tab/>
      </w:r>
      <w:r w:rsidR="00961E9A">
        <w:t xml:space="preserve">INF.12 (ITCO) </w:t>
      </w:r>
    </w:p>
    <w:p w14:paraId="0256AAE1" w14:textId="3D963D04" w:rsidR="00961E9A" w:rsidRPr="00F1537C" w:rsidRDefault="007B6237" w:rsidP="007B6237">
      <w:pPr>
        <w:pStyle w:val="SingleTxtG"/>
        <w:tabs>
          <w:tab w:val="left" w:pos="2977"/>
          <w:tab w:val="left" w:pos="3119"/>
          <w:tab w:val="left" w:pos="3402"/>
        </w:tabs>
        <w:spacing w:after="0"/>
        <w:ind w:left="3119" w:right="0"/>
        <w:jc w:val="left"/>
      </w:pPr>
      <w:r>
        <w:tab/>
      </w:r>
      <w:r w:rsidR="00961E9A">
        <w:t>INF.19 (France)</w:t>
      </w:r>
    </w:p>
    <w:p w14:paraId="51E61CF4" w14:textId="47AF9B2B" w:rsidR="00961E9A" w:rsidRPr="00F1537C" w:rsidRDefault="007B6237" w:rsidP="007B6237">
      <w:pPr>
        <w:pStyle w:val="SingleTxtG"/>
        <w:tabs>
          <w:tab w:val="left" w:pos="2977"/>
          <w:tab w:val="left" w:pos="3119"/>
          <w:tab w:val="left" w:pos="3402"/>
        </w:tabs>
        <w:spacing w:after="0"/>
        <w:ind w:left="3119" w:right="0"/>
        <w:jc w:val="left"/>
      </w:pPr>
      <w:r>
        <w:tab/>
      </w:r>
      <w:r w:rsidR="00961E9A">
        <w:t>INF.20 (Pologne)</w:t>
      </w:r>
    </w:p>
    <w:p w14:paraId="03F1A4B9" w14:textId="36E09CDC" w:rsidR="00961E9A" w:rsidRPr="00F1537C" w:rsidRDefault="007B6237" w:rsidP="007B6237">
      <w:pPr>
        <w:pStyle w:val="SingleTxtG"/>
        <w:tabs>
          <w:tab w:val="left" w:pos="2977"/>
          <w:tab w:val="left" w:pos="3119"/>
          <w:tab w:val="left" w:pos="3402"/>
        </w:tabs>
        <w:spacing w:after="0"/>
        <w:ind w:left="3119" w:right="0"/>
        <w:jc w:val="left"/>
      </w:pPr>
      <w:r>
        <w:tab/>
      </w:r>
      <w:r w:rsidR="00961E9A">
        <w:t>INF.21 (Pologne)</w:t>
      </w:r>
    </w:p>
    <w:p w14:paraId="6848FCC9" w14:textId="61EE6E66" w:rsidR="00961E9A" w:rsidRPr="00F1537C" w:rsidRDefault="007B6237" w:rsidP="007B6237">
      <w:pPr>
        <w:pStyle w:val="SingleTxtG"/>
        <w:tabs>
          <w:tab w:val="left" w:pos="2977"/>
          <w:tab w:val="left" w:pos="3119"/>
          <w:tab w:val="left" w:pos="3402"/>
        </w:tabs>
        <w:spacing w:after="0"/>
        <w:ind w:left="3119" w:right="0"/>
        <w:jc w:val="left"/>
      </w:pPr>
      <w:r>
        <w:tab/>
      </w:r>
      <w:r w:rsidR="00961E9A">
        <w:t xml:space="preserve">INF.23 (CEN) </w:t>
      </w:r>
    </w:p>
    <w:p w14:paraId="531691F8" w14:textId="130E2E07" w:rsidR="00961E9A" w:rsidRDefault="007B6237" w:rsidP="007B6237">
      <w:pPr>
        <w:pStyle w:val="SingleTxtG"/>
        <w:tabs>
          <w:tab w:val="left" w:pos="2977"/>
          <w:tab w:val="left" w:pos="3119"/>
          <w:tab w:val="left" w:pos="3402"/>
        </w:tabs>
        <w:spacing w:after="0"/>
        <w:ind w:left="3119" w:right="0"/>
        <w:jc w:val="left"/>
      </w:pPr>
      <w:r>
        <w:tab/>
      </w:r>
      <w:r w:rsidR="009164F6">
        <w:t>I</w:t>
      </w:r>
      <w:r w:rsidR="00961E9A">
        <w:t xml:space="preserve">NF.24 (EIGA) </w:t>
      </w:r>
    </w:p>
    <w:p w14:paraId="23EAC6F7" w14:textId="22087665" w:rsidR="00961E9A" w:rsidRDefault="007B6237" w:rsidP="007B6237">
      <w:pPr>
        <w:pStyle w:val="SingleTxtG"/>
        <w:tabs>
          <w:tab w:val="left" w:pos="2977"/>
          <w:tab w:val="left" w:pos="3119"/>
          <w:tab w:val="left" w:pos="3402"/>
        </w:tabs>
        <w:spacing w:after="0"/>
        <w:ind w:left="3119" w:right="0"/>
        <w:jc w:val="left"/>
      </w:pPr>
      <w:r>
        <w:tab/>
      </w:r>
      <w:r w:rsidR="00961E9A">
        <w:t xml:space="preserve">INF.27 (Allemagne) </w:t>
      </w:r>
    </w:p>
    <w:p w14:paraId="00DFAC7A" w14:textId="39B2CED8" w:rsidR="00961E9A" w:rsidRPr="00F1537C" w:rsidRDefault="007B6237" w:rsidP="007B6237">
      <w:pPr>
        <w:pStyle w:val="SingleTxtG"/>
        <w:tabs>
          <w:tab w:val="left" w:pos="2977"/>
          <w:tab w:val="left" w:pos="3119"/>
          <w:tab w:val="left" w:pos="3402"/>
        </w:tabs>
        <w:spacing w:after="0"/>
        <w:ind w:left="3119" w:right="0"/>
        <w:jc w:val="left"/>
      </w:pPr>
      <w:r>
        <w:tab/>
      </w:r>
      <w:r w:rsidR="00961E9A">
        <w:t>INF.28 (France)</w:t>
      </w:r>
    </w:p>
    <w:p w14:paraId="1FE88762" w14:textId="1BB5F941" w:rsidR="00961E9A" w:rsidRPr="00F1537C" w:rsidRDefault="007B6237" w:rsidP="007B6237">
      <w:pPr>
        <w:pStyle w:val="SingleTxtG"/>
        <w:tabs>
          <w:tab w:val="left" w:pos="2977"/>
          <w:tab w:val="left" w:pos="3119"/>
          <w:tab w:val="left" w:pos="3402"/>
        </w:tabs>
        <w:spacing w:after="0"/>
        <w:ind w:left="3119" w:right="0"/>
        <w:jc w:val="left"/>
      </w:pPr>
      <w:r>
        <w:tab/>
      </w:r>
      <w:r w:rsidR="00961E9A">
        <w:t>INF.29 (France)</w:t>
      </w:r>
    </w:p>
    <w:p w14:paraId="369E83E2" w14:textId="2CB14989" w:rsidR="00961E9A" w:rsidRPr="00F1537C" w:rsidRDefault="009D57A1" w:rsidP="009D57A1">
      <w:pPr>
        <w:pStyle w:val="HChG"/>
      </w:pPr>
      <w:r>
        <w:tab/>
      </w:r>
      <w:r w:rsidR="00961E9A">
        <w:t>I.</w:t>
      </w:r>
      <w:r w:rsidR="00961E9A">
        <w:tab/>
        <w:t xml:space="preserve">Amendements à approuver qui seront intégrés </w:t>
      </w:r>
      <w:r w:rsidR="00E27001">
        <w:br/>
      </w:r>
      <w:r w:rsidR="00961E9A">
        <w:t>à l’édition 2025 du RID et de l’ADR</w:t>
      </w:r>
    </w:p>
    <w:p w14:paraId="7A364CCD" w14:textId="31B05F70" w:rsidR="00961E9A" w:rsidRPr="00F1537C" w:rsidRDefault="00961E9A" w:rsidP="009D57A1">
      <w:pPr>
        <w:pStyle w:val="H1G"/>
      </w:pPr>
      <w:r>
        <w:tab/>
      </w:r>
      <w:r>
        <w:tab/>
        <w:t>Point 1</w:t>
      </w:r>
      <w:r w:rsidR="009D57A1">
        <w:t> :</w:t>
      </w:r>
      <w:r>
        <w:t xml:space="preserve"> Rapport de la session </w:t>
      </w:r>
      <w:r w:rsidRPr="00BA59EB">
        <w:t>de printemps 2023 de la Réunion commune</w:t>
      </w:r>
    </w:p>
    <w:p w14:paraId="102D58F3" w14:textId="4D6F6097" w:rsidR="00961E9A" w:rsidRPr="00A57B4B" w:rsidRDefault="00961E9A" w:rsidP="007B6237">
      <w:pPr>
        <w:pStyle w:val="SingleTxtG"/>
        <w:tabs>
          <w:tab w:val="left" w:pos="3402"/>
        </w:tabs>
        <w:ind w:right="0"/>
      </w:pPr>
      <w:r>
        <w:rPr>
          <w:i/>
          <w:iCs/>
        </w:rPr>
        <w:t>Document</w:t>
      </w:r>
      <w:r w:rsidR="009D57A1">
        <w:rPr>
          <w:i/>
          <w:iCs/>
        </w:rPr>
        <w:t> </w:t>
      </w:r>
      <w:r w:rsidR="009D57A1" w:rsidRPr="009D57A1">
        <w:t>:</w:t>
      </w:r>
      <w:r w:rsidR="00E27001">
        <w:tab/>
      </w:r>
      <w:r>
        <w:t>ECE/TRANS/WP.15/AC.1/168</w:t>
      </w:r>
    </w:p>
    <w:p w14:paraId="36BA1B26" w14:textId="7CD904CA" w:rsidR="00961E9A" w:rsidRPr="00F1537C" w:rsidRDefault="00961E9A" w:rsidP="009D57A1">
      <w:pPr>
        <w:pStyle w:val="SingleTxtG"/>
      </w:pPr>
      <w:r>
        <w:t>3.</w:t>
      </w:r>
      <w:r>
        <w:tab/>
        <w:t>La proposition d’amendement au 6.8.2.2.11 sur les repères transparents figurant à l’annexe</w:t>
      </w:r>
      <w:r w:rsidR="00E27001">
        <w:t> </w:t>
      </w:r>
      <w:r>
        <w:t>2 du rapport a été réexaminée et adoptée sans être modifiée. Les crochets du 6.8.2.2.11 modifié et les mesures transitoires y relatives au titre du chapitre 1.6 de l’annexe</w:t>
      </w:r>
      <w:r w:rsidR="00E27001">
        <w:t> </w:t>
      </w:r>
      <w:r>
        <w:t>2 ont été supprimés.</w:t>
      </w:r>
    </w:p>
    <w:p w14:paraId="1CB0557A" w14:textId="4A6BF902" w:rsidR="00961E9A" w:rsidRPr="00F1537C" w:rsidRDefault="00961E9A" w:rsidP="00961E9A">
      <w:pPr>
        <w:pStyle w:val="H1G"/>
      </w:pPr>
      <w:r>
        <w:lastRenderedPageBreak/>
        <w:tab/>
      </w:r>
      <w:r>
        <w:tab/>
      </w:r>
      <w:r>
        <w:rPr>
          <w:bCs/>
        </w:rPr>
        <w:t>Point 2</w:t>
      </w:r>
      <w:r w:rsidR="009D57A1">
        <w:rPr>
          <w:bCs/>
        </w:rPr>
        <w:t> :</w:t>
      </w:r>
      <w:r>
        <w:rPr>
          <w:bCs/>
        </w:rPr>
        <w:t xml:space="preserve"> Groupe de travail de l’harmonisation</w:t>
      </w:r>
    </w:p>
    <w:p w14:paraId="33CBE68A" w14:textId="53BD3603" w:rsidR="00961E9A" w:rsidRPr="00F1537C" w:rsidRDefault="00961E9A" w:rsidP="007B6237">
      <w:pPr>
        <w:pStyle w:val="SingleTxtG"/>
        <w:keepNext/>
        <w:keepLines/>
        <w:tabs>
          <w:tab w:val="left" w:pos="3402"/>
        </w:tabs>
        <w:ind w:right="1276"/>
      </w:pPr>
      <w:r>
        <w:rPr>
          <w:i/>
          <w:iCs/>
        </w:rPr>
        <w:t>Documents</w:t>
      </w:r>
      <w:r w:rsidR="009D57A1">
        <w:rPr>
          <w:i/>
          <w:iCs/>
        </w:rPr>
        <w:t> </w:t>
      </w:r>
      <w:r w:rsidR="009D57A1" w:rsidRPr="009D57A1">
        <w:t>:</w:t>
      </w:r>
      <w:r>
        <w:tab/>
        <w:t>ECE/TRANS/WP.15/AC.1/2023/23 et Add.1</w:t>
      </w:r>
    </w:p>
    <w:p w14:paraId="3057FEF8" w14:textId="407BE83B" w:rsidR="00961E9A" w:rsidRPr="00F1537C" w:rsidRDefault="00961E9A" w:rsidP="009D57A1">
      <w:pPr>
        <w:pStyle w:val="SingleTxtG"/>
      </w:pPr>
      <w:r>
        <w:t>4.</w:t>
      </w:r>
      <w:r>
        <w:tab/>
        <w:t>Les codes-citerne et les dispositions spéciales pour les citernes du tableau</w:t>
      </w:r>
      <w:r w:rsidR="00E27001">
        <w:t> </w:t>
      </w:r>
      <w:r>
        <w:t>A du chapitre</w:t>
      </w:r>
      <w:r w:rsidR="00E27001">
        <w:t> </w:t>
      </w:r>
      <w:r>
        <w:t>3.2 ont été validés pour les numéros ONU suivants</w:t>
      </w:r>
      <w:r w:rsidR="009D57A1">
        <w:t> :</w:t>
      </w:r>
    </w:p>
    <w:p w14:paraId="3ADD4AD5" w14:textId="77777777" w:rsidR="00961E9A" w:rsidRPr="00F1537C" w:rsidRDefault="00961E9A" w:rsidP="009D57A1">
      <w:pPr>
        <w:pStyle w:val="H23G"/>
      </w:pPr>
      <w:r>
        <w:tab/>
      </w:r>
      <w:r>
        <w:tab/>
        <w:t>Proposition 1</w:t>
      </w:r>
    </w:p>
    <w:p w14:paraId="568CA5F1" w14:textId="0D3B727E" w:rsidR="00961E9A" w:rsidRPr="00F1537C" w:rsidRDefault="00BA59EB" w:rsidP="009D57A1">
      <w:pPr>
        <w:pStyle w:val="SingleTxtG"/>
      </w:pPr>
      <w:r>
        <w:t>Nos </w:t>
      </w:r>
      <w:r w:rsidR="00961E9A">
        <w:t>ONU 1391 et 3482</w:t>
      </w:r>
      <w:r w:rsidR="009D57A1">
        <w:t> :</w:t>
      </w:r>
      <w:r w:rsidR="00961E9A">
        <w:t xml:space="preserve"> supprimer le texte entre crochets (conserver le code-citerne L10BN(+)).</w:t>
      </w:r>
    </w:p>
    <w:p w14:paraId="6CC70336" w14:textId="370E2404" w:rsidR="00961E9A" w:rsidRPr="00F1537C" w:rsidRDefault="00BA59EB" w:rsidP="009D57A1">
      <w:pPr>
        <w:pStyle w:val="SingleTxtG"/>
      </w:pPr>
      <w:r>
        <w:t>No </w:t>
      </w:r>
      <w:r w:rsidR="00961E9A">
        <w:t>ONU 1835 GE II</w:t>
      </w:r>
      <w:r w:rsidR="009D57A1">
        <w:t> :</w:t>
      </w:r>
      <w:r w:rsidR="00961E9A">
        <w:t xml:space="preserve"> supprimer le texte entre crochets (conserver le code-citerne L4BN).</w:t>
      </w:r>
    </w:p>
    <w:p w14:paraId="29D327B4" w14:textId="71C71BEE" w:rsidR="00961E9A" w:rsidRPr="00F1537C" w:rsidRDefault="00BA59EB" w:rsidP="009D57A1">
      <w:pPr>
        <w:pStyle w:val="SingleTxtG"/>
      </w:pPr>
      <w:r>
        <w:t>No </w:t>
      </w:r>
      <w:r w:rsidR="00961E9A">
        <w:t>ONU 3423</w:t>
      </w:r>
      <w:r w:rsidR="009D57A1">
        <w:t> :</w:t>
      </w:r>
      <w:r w:rsidR="00961E9A">
        <w:t xml:space="preserve"> supprimer les crochets, remplacer SGAN/L4BN par le nouveau code-citerne S10AH/L10CH et ajouter les dispositions spéciales pour les citernes TU14,</w:t>
      </w:r>
      <w:r w:rsidR="00E27001">
        <w:t xml:space="preserve"> </w:t>
      </w:r>
      <w:r w:rsidR="00961E9A">
        <w:t>TU15, TE19 et TE21 dans l’ADR et TU14, TU15, TU38, TE21 et TE22 dans le RID.</w:t>
      </w:r>
    </w:p>
    <w:p w14:paraId="24A6EC40" w14:textId="29F512E4" w:rsidR="00961E9A" w:rsidRPr="00F1537C" w:rsidRDefault="00BA59EB" w:rsidP="009D57A1">
      <w:pPr>
        <w:pStyle w:val="SingleTxtG"/>
      </w:pPr>
      <w:r>
        <w:t>No </w:t>
      </w:r>
      <w:r w:rsidR="00961E9A">
        <w:t>ONU 3553</w:t>
      </w:r>
      <w:r w:rsidR="009D57A1">
        <w:t> :</w:t>
      </w:r>
      <w:r w:rsidR="00961E9A">
        <w:t xml:space="preserve"> supprimer les crochets et ajouter le nouveau code-citerne </w:t>
      </w:r>
      <w:proofErr w:type="spellStart"/>
      <w:r w:rsidR="00961E9A">
        <w:t>PxBN</w:t>
      </w:r>
      <w:proofErr w:type="spellEnd"/>
      <w:r w:rsidR="00961E9A">
        <w:t>(M) et les dispositions spéciales pour les citernes</w:t>
      </w:r>
      <w:r w:rsidR="00E27001">
        <w:t> </w:t>
      </w:r>
      <w:r w:rsidR="00961E9A">
        <w:t>TA4 et TT9 dans l’ADR et TU38, TE22, TA4, TT9 et TM6 dans le RID.</w:t>
      </w:r>
    </w:p>
    <w:p w14:paraId="32C20E25" w14:textId="3E9740B2" w:rsidR="00961E9A" w:rsidRPr="00F1537C" w:rsidRDefault="00BA59EB" w:rsidP="009D57A1">
      <w:pPr>
        <w:pStyle w:val="SingleTxtG"/>
      </w:pPr>
      <w:r>
        <w:t>No </w:t>
      </w:r>
      <w:r w:rsidR="00961E9A">
        <w:t>ONU 3560</w:t>
      </w:r>
      <w:r w:rsidR="009D57A1">
        <w:t> :</w:t>
      </w:r>
      <w:r w:rsidR="00961E9A">
        <w:t xml:space="preserve"> supprimer les crochets et ajouter le nouveau code-citerne L10CH et les dispositions spéciales pour les citernes TU14, TU15, TE19 et TE21 dans l’ADR et TU14, TU15, TU38,</w:t>
      </w:r>
      <w:r w:rsidR="00E27001">
        <w:t xml:space="preserve"> </w:t>
      </w:r>
      <w:r w:rsidR="00961E9A">
        <w:t>TE 21 et TE22 dans le RID.</w:t>
      </w:r>
    </w:p>
    <w:p w14:paraId="59A57270" w14:textId="77777777" w:rsidR="00961E9A" w:rsidRPr="00F1537C" w:rsidRDefault="00961E9A" w:rsidP="00961E9A">
      <w:pPr>
        <w:pStyle w:val="H23G"/>
        <w:rPr>
          <w:b w:val="0"/>
          <w:bCs/>
        </w:rPr>
      </w:pPr>
      <w:r>
        <w:tab/>
      </w:r>
      <w:r>
        <w:tab/>
      </w:r>
      <w:r>
        <w:rPr>
          <w:bCs/>
        </w:rPr>
        <w:t>Proposition 2</w:t>
      </w:r>
    </w:p>
    <w:p w14:paraId="3B241A17" w14:textId="77777777" w:rsidR="00961E9A" w:rsidRPr="00F1537C" w:rsidRDefault="00961E9A" w:rsidP="009D57A1">
      <w:pPr>
        <w:pStyle w:val="SingleTxtG"/>
      </w:pPr>
      <w:r>
        <w:t>Les mesures transitoires proposées aux 1.6.3.62, 1.6.3.63, 1.6.4.66 et 1.6.4.67 n’ont pas été appuyées et la formulation proposée entre crochets doit être supprimée. Il a été considéré que les mesures transitoires figurant aux 1.6.1.55 et 1.6.1.56 étaient suffisantes.</w:t>
      </w:r>
    </w:p>
    <w:p w14:paraId="7309B14E" w14:textId="77777777" w:rsidR="00961E9A" w:rsidRPr="00F1537C" w:rsidRDefault="00961E9A" w:rsidP="009D57A1">
      <w:pPr>
        <w:pStyle w:val="H23G"/>
      </w:pPr>
      <w:r>
        <w:tab/>
      </w:r>
      <w:r>
        <w:tab/>
        <w:t>Proposition 3</w:t>
      </w:r>
    </w:p>
    <w:p w14:paraId="55E3EC14" w14:textId="3964AA0E" w:rsidR="00961E9A" w:rsidRPr="00F1537C" w:rsidRDefault="00961E9A" w:rsidP="009D57A1">
      <w:pPr>
        <w:pStyle w:val="SingleTxtG"/>
      </w:pPr>
      <w:r>
        <w:t>En ce qui concerne la possibilité de disposer de deux codes-citerne différents pour la classe</w:t>
      </w:r>
      <w:r w:rsidR="00E27001">
        <w:t> </w:t>
      </w:r>
      <w:r>
        <w:t>8, GE CTI II, on a tenu compte de l’existence de deux codes différents pour la classe 8, GE</w:t>
      </w:r>
      <w:r w:rsidR="00E27001">
        <w:t> </w:t>
      </w:r>
      <w:r>
        <w:t>CTI</w:t>
      </w:r>
      <w:r w:rsidR="00E27001">
        <w:t> </w:t>
      </w:r>
      <w:r>
        <w:t>I et III.</w:t>
      </w:r>
    </w:p>
    <w:p w14:paraId="23E4A717" w14:textId="77777777" w:rsidR="00961E9A" w:rsidRPr="009D57A1" w:rsidRDefault="00961E9A" w:rsidP="009D57A1">
      <w:pPr>
        <w:pStyle w:val="SingleTxtG"/>
        <w:rPr>
          <w:spacing w:val="-2"/>
        </w:rPr>
      </w:pPr>
      <w:r w:rsidRPr="009D57A1">
        <w:rPr>
          <w:spacing w:val="-2"/>
        </w:rPr>
        <w:t>Il est suggéré de résoudre le problème en faisant figurer au tableau du 4.3.4.1.2 une case située en bas de la partie du tableau relative à ces codes-citerne et contenant les explications ci-après.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9D57A1" w:rsidRPr="009D57A1" w14:paraId="08B28C8D" w14:textId="77777777" w:rsidTr="00696F35">
        <w:trPr>
          <w:tblHeader/>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5EADF72" w14:textId="77777777" w:rsidR="00961E9A" w:rsidRPr="009D57A1" w:rsidRDefault="00961E9A" w:rsidP="00696F35">
            <w:pPr>
              <w:spacing w:before="80" w:after="80" w:line="200" w:lineRule="exact"/>
              <w:ind w:left="113" w:right="113"/>
              <w:rPr>
                <w:iCs/>
                <w:sz w:val="18"/>
                <w:szCs w:val="18"/>
              </w:rPr>
            </w:pPr>
            <w:bookmarkStart w:id="3" w:name="_Hlk146141697"/>
            <w:r w:rsidRPr="009D57A1">
              <w:rPr>
                <w:iCs/>
                <w:sz w:val="18"/>
                <w:szCs w:val="18"/>
              </w:rPr>
              <w:t>L4BN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8AD3D4" w14:textId="3D6807E7" w:rsidR="00961E9A" w:rsidRPr="009D57A1" w:rsidRDefault="00961E9A" w:rsidP="00696F35">
            <w:pPr>
              <w:spacing w:before="80" w:after="80" w:line="200" w:lineRule="exact"/>
              <w:ind w:left="113" w:right="113"/>
              <w:rPr>
                <w:iCs/>
                <w:sz w:val="18"/>
                <w:szCs w:val="18"/>
              </w:rPr>
            </w:pPr>
            <w:r w:rsidRPr="009D57A1">
              <w:rPr>
                <w:iCs/>
                <w:sz w:val="18"/>
                <w:szCs w:val="18"/>
              </w:rPr>
              <w:t>8</w:t>
            </w:r>
            <w:r w:rsidRPr="009D57A1">
              <w:rPr>
                <w:i/>
                <w:sz w:val="18"/>
                <w:szCs w:val="18"/>
                <w:vertAlign w:val="superscript"/>
              </w:rPr>
              <w:t>a</w:t>
            </w:r>
            <w:r w:rsidRPr="009D57A1">
              <w:rPr>
                <w:iCs/>
                <w:sz w:val="18"/>
                <w:szCs w:val="18"/>
                <w:vertAlign w:val="superscript"/>
              </w:rPr>
              <w:t xml:space="preserve"> </w:t>
            </w:r>
            <w:r w:rsidRPr="009D57A1">
              <w:rPr>
                <w:iCs/>
                <w:sz w:val="18"/>
                <w:szCs w:val="18"/>
              </w:rPr>
              <w:t>(pour le RID)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EED6DCA" w14:textId="46AC465A" w:rsidR="00961E9A" w:rsidRPr="009D57A1" w:rsidRDefault="00961E9A" w:rsidP="00696F35">
            <w:pPr>
              <w:spacing w:before="80" w:after="80" w:line="200" w:lineRule="exact"/>
              <w:ind w:left="113" w:right="113"/>
              <w:rPr>
                <w:iCs/>
                <w:sz w:val="18"/>
                <w:szCs w:val="18"/>
              </w:rPr>
            </w:pPr>
            <w:r w:rsidRPr="009D57A1">
              <w:rPr>
                <w:iCs/>
                <w:sz w:val="18"/>
                <w:szCs w:val="18"/>
              </w:rPr>
              <w:t>CT1</w:t>
            </w:r>
            <w:r w:rsidRPr="009D57A1">
              <w:rPr>
                <w:i/>
                <w:sz w:val="18"/>
                <w:szCs w:val="18"/>
                <w:vertAlign w:val="superscript"/>
              </w:rPr>
              <w:t>a</w:t>
            </w:r>
            <w:r w:rsidRPr="009D57A1">
              <w:rPr>
                <w:iCs/>
                <w:sz w:val="18"/>
                <w:szCs w:val="18"/>
                <w:vertAlign w:val="superscript"/>
              </w:rPr>
              <w:t xml:space="preserve"> </w:t>
            </w:r>
            <w:r w:rsidRPr="009D57A1">
              <w:rPr>
                <w:iCs/>
                <w:sz w:val="18"/>
                <w:szCs w:val="18"/>
              </w:rPr>
              <w:t>(pour l’ADR)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99CF4C" w14:textId="77777777" w:rsidR="00961E9A" w:rsidRPr="009D57A1" w:rsidRDefault="00961E9A" w:rsidP="00696F35">
            <w:pPr>
              <w:spacing w:before="80" w:after="80" w:line="200" w:lineRule="exact"/>
              <w:ind w:left="113" w:right="113"/>
              <w:rPr>
                <w:iCs/>
                <w:sz w:val="18"/>
                <w:szCs w:val="18"/>
              </w:rPr>
            </w:pPr>
            <w:r w:rsidRPr="009D57A1">
              <w:rPr>
                <w:iCs/>
                <w:sz w:val="18"/>
                <w:szCs w:val="18"/>
              </w:rPr>
              <w:t>II, III</w:t>
            </w:r>
          </w:p>
        </w:tc>
      </w:tr>
      <w:tr w:rsidR="00696F35" w:rsidRPr="009D57A1" w14:paraId="14E5DB2B" w14:textId="77777777" w:rsidTr="00696F35">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14:paraId="44C6ACF4" w14:textId="1A1EBC21" w:rsidR="00961E9A" w:rsidRPr="009D57A1" w:rsidRDefault="00961E9A" w:rsidP="00E27001">
            <w:pPr>
              <w:spacing w:before="40" w:after="120" w:line="20" w:lineRule="atLeast"/>
              <w:ind w:left="113" w:firstLine="170"/>
              <w:rPr>
                <w:sz w:val="18"/>
                <w:szCs w:val="18"/>
              </w:rPr>
            </w:pPr>
            <w:proofErr w:type="gramStart"/>
            <w:r w:rsidRPr="009D57A1">
              <w:rPr>
                <w:i/>
                <w:iCs/>
                <w:sz w:val="18"/>
                <w:szCs w:val="18"/>
                <w:vertAlign w:val="superscript"/>
              </w:rPr>
              <w:t>a</w:t>
            </w:r>
            <w:r w:rsidRPr="009D57A1">
              <w:rPr>
                <w:sz w:val="18"/>
                <w:szCs w:val="18"/>
              </w:rPr>
              <w:t xml:space="preserve"> </w:t>
            </w:r>
            <w:r w:rsidR="007B6237">
              <w:rPr>
                <w:sz w:val="18"/>
                <w:szCs w:val="18"/>
              </w:rPr>
              <w:t xml:space="preserve"> </w:t>
            </w:r>
            <w:r w:rsidRPr="009D57A1">
              <w:rPr>
                <w:sz w:val="18"/>
                <w:szCs w:val="18"/>
              </w:rPr>
              <w:t>Les</w:t>
            </w:r>
            <w:proofErr w:type="gramEnd"/>
            <w:r w:rsidRPr="009D57A1">
              <w:rPr>
                <w:sz w:val="18"/>
                <w:szCs w:val="18"/>
              </w:rPr>
              <w:t xml:space="preserve"> matières, à l’exception de l’acide fluorhydrique et des </w:t>
            </w:r>
            <w:proofErr w:type="spellStart"/>
            <w:r w:rsidRPr="009D57A1">
              <w:rPr>
                <w:sz w:val="18"/>
                <w:szCs w:val="18"/>
              </w:rPr>
              <w:t>hydrogénodifluorures</w:t>
            </w:r>
            <w:proofErr w:type="spellEnd"/>
            <w:r w:rsidRPr="009D57A1">
              <w:rPr>
                <w:sz w:val="18"/>
                <w:szCs w:val="18"/>
              </w:rPr>
              <w:t xml:space="preserve"> en solution, doivent être affectées à ce code-citerne.</w:t>
            </w:r>
          </w:p>
        </w:tc>
      </w:tr>
      <w:bookmarkEnd w:id="3"/>
    </w:tbl>
    <w:p w14:paraId="5115C1E2" w14:textId="77777777" w:rsidR="00961E9A" w:rsidRPr="00DC3582" w:rsidRDefault="00961E9A" w:rsidP="00696F35">
      <w:pPr>
        <w:ind w:left="113" w:right="1275"/>
      </w:pP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9D57A1" w:rsidRPr="009D57A1" w14:paraId="2A3422F0" w14:textId="77777777" w:rsidTr="00696F35">
        <w:trPr>
          <w:tblHeader/>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ABBDCF5" w14:textId="77777777" w:rsidR="00961E9A" w:rsidRPr="009D57A1" w:rsidRDefault="00961E9A" w:rsidP="00696F35">
            <w:pPr>
              <w:spacing w:before="80" w:after="80" w:line="200" w:lineRule="exact"/>
              <w:ind w:left="113" w:right="113"/>
              <w:rPr>
                <w:iCs/>
              </w:rPr>
            </w:pPr>
            <w:r w:rsidRPr="009D57A1">
              <w:rPr>
                <w:iCs/>
              </w:rPr>
              <w:t>L4DH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188563" w14:textId="5B040694" w:rsidR="00961E9A" w:rsidRPr="009D57A1" w:rsidRDefault="00961E9A" w:rsidP="00696F35">
            <w:pPr>
              <w:spacing w:before="80" w:after="80" w:line="200" w:lineRule="exact"/>
              <w:ind w:left="113" w:right="113"/>
              <w:rPr>
                <w:iCs/>
              </w:rPr>
            </w:pPr>
            <w:r w:rsidRPr="009D57A1">
              <w:rPr>
                <w:iCs/>
              </w:rPr>
              <w:t>8</w:t>
            </w:r>
            <w:r w:rsidRPr="009D57A1">
              <w:rPr>
                <w:i/>
                <w:vertAlign w:val="superscript"/>
              </w:rPr>
              <w:t>b</w:t>
            </w:r>
            <w:r w:rsidRPr="009D57A1">
              <w:rPr>
                <w:iCs/>
              </w:rPr>
              <w:t xml:space="preserve"> (pour le RID)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BC1ED65" w14:textId="20570D77" w:rsidR="00961E9A" w:rsidRPr="009D57A1" w:rsidRDefault="00961E9A" w:rsidP="00696F35">
            <w:pPr>
              <w:spacing w:before="80" w:after="80" w:line="200" w:lineRule="exact"/>
              <w:ind w:left="113" w:right="113"/>
              <w:rPr>
                <w:iCs/>
              </w:rPr>
            </w:pPr>
            <w:r w:rsidRPr="009D57A1">
              <w:rPr>
                <w:iCs/>
              </w:rPr>
              <w:t>CT1</w:t>
            </w:r>
            <w:r w:rsidRPr="009D57A1">
              <w:rPr>
                <w:i/>
                <w:vertAlign w:val="superscript"/>
              </w:rPr>
              <w:t>b</w:t>
            </w:r>
            <w:r w:rsidRPr="009D57A1">
              <w:rPr>
                <w:iCs/>
              </w:rPr>
              <w:t>(pour l’ADR)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BD3201" w14:textId="77777777" w:rsidR="00961E9A" w:rsidRPr="009D57A1" w:rsidRDefault="00961E9A" w:rsidP="00696F35">
            <w:pPr>
              <w:spacing w:before="80" w:after="80" w:line="200" w:lineRule="exact"/>
              <w:ind w:left="113" w:right="113"/>
              <w:rPr>
                <w:iCs/>
              </w:rPr>
            </w:pPr>
            <w:r w:rsidRPr="009D57A1">
              <w:rPr>
                <w:iCs/>
              </w:rPr>
              <w:t>II, III</w:t>
            </w:r>
          </w:p>
        </w:tc>
      </w:tr>
      <w:tr w:rsidR="00696F35" w:rsidRPr="009D57A1" w14:paraId="340FF44F" w14:textId="77777777" w:rsidTr="00696F35">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14:paraId="2D2D0B1C" w14:textId="3AA0838D" w:rsidR="00961E9A" w:rsidRPr="009D57A1" w:rsidRDefault="00961E9A" w:rsidP="00E27001">
            <w:pPr>
              <w:spacing w:before="40" w:after="120" w:line="20" w:lineRule="atLeast"/>
              <w:ind w:left="113" w:firstLine="170"/>
              <w:rPr>
                <w:sz w:val="18"/>
                <w:szCs w:val="18"/>
              </w:rPr>
            </w:pPr>
            <w:proofErr w:type="gramStart"/>
            <w:r w:rsidRPr="009D57A1">
              <w:rPr>
                <w:i/>
                <w:iCs/>
                <w:sz w:val="18"/>
                <w:szCs w:val="18"/>
                <w:vertAlign w:val="superscript"/>
              </w:rPr>
              <w:t>b</w:t>
            </w:r>
            <w:r w:rsidRPr="009D57A1">
              <w:rPr>
                <w:sz w:val="18"/>
                <w:szCs w:val="18"/>
              </w:rPr>
              <w:t xml:space="preserve"> </w:t>
            </w:r>
            <w:r w:rsidR="009D57A1">
              <w:rPr>
                <w:sz w:val="18"/>
                <w:szCs w:val="18"/>
              </w:rPr>
              <w:t xml:space="preserve"> </w:t>
            </w:r>
            <w:r w:rsidRPr="009D57A1">
              <w:rPr>
                <w:sz w:val="18"/>
                <w:szCs w:val="18"/>
              </w:rPr>
              <w:t>L’acide</w:t>
            </w:r>
            <w:proofErr w:type="gramEnd"/>
            <w:r w:rsidRPr="009D57A1">
              <w:rPr>
                <w:sz w:val="18"/>
                <w:szCs w:val="18"/>
              </w:rPr>
              <w:t xml:space="preserve"> </w:t>
            </w:r>
            <w:r w:rsidRPr="00287B7C">
              <w:rPr>
                <w:sz w:val="18"/>
                <w:szCs w:val="18"/>
              </w:rPr>
              <w:t>fluorhydrique</w:t>
            </w:r>
            <w:r w:rsidRPr="009D57A1">
              <w:rPr>
                <w:sz w:val="18"/>
                <w:szCs w:val="18"/>
              </w:rPr>
              <w:t xml:space="preserve"> et les </w:t>
            </w:r>
            <w:proofErr w:type="spellStart"/>
            <w:r w:rsidRPr="009D57A1">
              <w:rPr>
                <w:sz w:val="18"/>
                <w:szCs w:val="18"/>
              </w:rPr>
              <w:t>hydrogénodifluorures</w:t>
            </w:r>
            <w:proofErr w:type="spellEnd"/>
            <w:r w:rsidRPr="009D57A1">
              <w:rPr>
                <w:sz w:val="18"/>
                <w:szCs w:val="18"/>
              </w:rPr>
              <w:t xml:space="preserve"> en solution doivent être affectés à</w:t>
            </w:r>
            <w:r w:rsidR="00287B7C">
              <w:rPr>
                <w:sz w:val="18"/>
                <w:szCs w:val="18"/>
              </w:rPr>
              <w:t> </w:t>
            </w:r>
            <w:r w:rsidRPr="009D57A1">
              <w:rPr>
                <w:sz w:val="18"/>
                <w:szCs w:val="18"/>
              </w:rPr>
              <w:t>ce</w:t>
            </w:r>
            <w:r w:rsidR="00287B7C">
              <w:rPr>
                <w:sz w:val="18"/>
                <w:szCs w:val="18"/>
              </w:rPr>
              <w:t> </w:t>
            </w:r>
            <w:r w:rsidRPr="009D57A1">
              <w:rPr>
                <w:sz w:val="18"/>
                <w:szCs w:val="18"/>
              </w:rPr>
              <w:t>code</w:t>
            </w:r>
            <w:r w:rsidR="00287B7C">
              <w:rPr>
                <w:sz w:val="18"/>
                <w:szCs w:val="18"/>
              </w:rPr>
              <w:noBreakHyphen/>
            </w:r>
            <w:r w:rsidRPr="009D57A1">
              <w:rPr>
                <w:sz w:val="18"/>
                <w:szCs w:val="18"/>
              </w:rPr>
              <w:t>citerne.</w:t>
            </w:r>
          </w:p>
        </w:tc>
      </w:tr>
    </w:tbl>
    <w:p w14:paraId="631C4AF2" w14:textId="77777777" w:rsidR="00961E9A" w:rsidRPr="00DC3582" w:rsidRDefault="00961E9A" w:rsidP="00696F35">
      <w:pPr>
        <w:ind w:left="113" w:right="1275"/>
      </w:pP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9D57A1" w:rsidRPr="009D57A1" w14:paraId="39561CBD" w14:textId="77777777" w:rsidTr="00696F35">
        <w:trPr>
          <w:tblHeader/>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F74145C" w14:textId="77777777" w:rsidR="00961E9A" w:rsidRPr="009D57A1" w:rsidRDefault="00961E9A" w:rsidP="00696F35">
            <w:pPr>
              <w:spacing w:before="80" w:after="80" w:line="200" w:lineRule="exact"/>
              <w:ind w:left="113" w:right="113"/>
              <w:rPr>
                <w:iCs/>
              </w:rPr>
            </w:pPr>
            <w:r w:rsidRPr="009D57A1">
              <w:rPr>
                <w:iCs/>
              </w:rPr>
              <w:t>L10BH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3DDD39" w14:textId="447D378E" w:rsidR="00961E9A" w:rsidRPr="009D57A1" w:rsidRDefault="00961E9A" w:rsidP="00696F35">
            <w:pPr>
              <w:spacing w:before="80" w:after="80" w:line="200" w:lineRule="exact"/>
              <w:ind w:left="113" w:right="113"/>
              <w:rPr>
                <w:iCs/>
              </w:rPr>
            </w:pPr>
            <w:r w:rsidRPr="009D57A1">
              <w:rPr>
                <w:iCs/>
              </w:rPr>
              <w:t>8</w:t>
            </w:r>
            <w:r w:rsidRPr="009D57A1">
              <w:rPr>
                <w:i/>
                <w:vertAlign w:val="superscript"/>
              </w:rPr>
              <w:t>c</w:t>
            </w:r>
            <w:r w:rsidRPr="009D57A1">
              <w:rPr>
                <w:iCs/>
                <w:vertAlign w:val="superscript"/>
              </w:rPr>
              <w:t xml:space="preserve"> </w:t>
            </w:r>
            <w:r w:rsidRPr="009D57A1">
              <w:rPr>
                <w:iCs/>
              </w:rPr>
              <w:t>(pour le RID)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75C9857" w14:textId="20544ED6" w:rsidR="00961E9A" w:rsidRPr="009D57A1" w:rsidRDefault="00961E9A" w:rsidP="00696F35">
            <w:pPr>
              <w:spacing w:before="80" w:after="80" w:line="200" w:lineRule="exact"/>
              <w:ind w:left="113" w:right="113"/>
              <w:rPr>
                <w:iCs/>
              </w:rPr>
            </w:pPr>
            <w:r w:rsidRPr="009D57A1">
              <w:rPr>
                <w:iCs/>
              </w:rPr>
              <w:t>CT1</w:t>
            </w:r>
            <w:r w:rsidRPr="009D57A1">
              <w:rPr>
                <w:i/>
                <w:vertAlign w:val="superscript"/>
              </w:rPr>
              <w:t>c</w:t>
            </w:r>
            <w:r w:rsidRPr="009D57A1">
              <w:rPr>
                <w:iCs/>
              </w:rPr>
              <w:t>(pour l’ADR)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4D2A21" w14:textId="77777777" w:rsidR="00961E9A" w:rsidRPr="009D57A1" w:rsidRDefault="00961E9A" w:rsidP="00696F35">
            <w:pPr>
              <w:spacing w:before="80" w:after="80" w:line="200" w:lineRule="exact"/>
              <w:ind w:left="113" w:right="113"/>
              <w:rPr>
                <w:iCs/>
              </w:rPr>
            </w:pPr>
            <w:r w:rsidRPr="009D57A1">
              <w:rPr>
                <w:iCs/>
              </w:rPr>
              <w:t>I</w:t>
            </w:r>
          </w:p>
        </w:tc>
      </w:tr>
      <w:tr w:rsidR="00696F35" w:rsidRPr="009D57A1" w14:paraId="10833C92" w14:textId="77777777" w:rsidTr="00696F35">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14:paraId="379955F4" w14:textId="36386832" w:rsidR="00961E9A" w:rsidRPr="009D57A1" w:rsidRDefault="00961E9A" w:rsidP="00E27001">
            <w:pPr>
              <w:spacing w:before="40" w:after="120" w:line="20" w:lineRule="atLeast"/>
              <w:ind w:left="113" w:firstLine="170"/>
              <w:rPr>
                <w:szCs w:val="18"/>
              </w:rPr>
            </w:pPr>
            <w:proofErr w:type="gramStart"/>
            <w:r w:rsidRPr="009D57A1">
              <w:rPr>
                <w:i/>
                <w:iCs/>
                <w:sz w:val="18"/>
                <w:szCs w:val="18"/>
                <w:vertAlign w:val="superscript"/>
              </w:rPr>
              <w:t>c</w:t>
            </w:r>
            <w:r w:rsidRPr="009D57A1">
              <w:rPr>
                <w:sz w:val="18"/>
                <w:szCs w:val="18"/>
              </w:rPr>
              <w:t xml:space="preserve"> </w:t>
            </w:r>
            <w:r w:rsidR="007B6237">
              <w:rPr>
                <w:sz w:val="18"/>
                <w:szCs w:val="18"/>
              </w:rPr>
              <w:t xml:space="preserve"> </w:t>
            </w:r>
            <w:r w:rsidRPr="009D57A1">
              <w:rPr>
                <w:sz w:val="18"/>
                <w:szCs w:val="18"/>
              </w:rPr>
              <w:t>Les</w:t>
            </w:r>
            <w:proofErr w:type="gramEnd"/>
            <w:r w:rsidRPr="009D57A1">
              <w:rPr>
                <w:sz w:val="18"/>
                <w:szCs w:val="18"/>
              </w:rPr>
              <w:t xml:space="preserve"> matières, à l’exception de celles contenant de l’acide fluorhydrique, doivent être affectées à</w:t>
            </w:r>
            <w:r w:rsidR="00287B7C">
              <w:rPr>
                <w:sz w:val="18"/>
                <w:szCs w:val="18"/>
              </w:rPr>
              <w:t> </w:t>
            </w:r>
            <w:r w:rsidRPr="009D57A1">
              <w:rPr>
                <w:sz w:val="18"/>
                <w:szCs w:val="18"/>
              </w:rPr>
              <w:t>ce code-citerne.</w:t>
            </w:r>
          </w:p>
        </w:tc>
      </w:tr>
    </w:tbl>
    <w:p w14:paraId="15B77918" w14:textId="77777777" w:rsidR="00961E9A" w:rsidRPr="00DC3582" w:rsidRDefault="00961E9A" w:rsidP="00696F35">
      <w:pPr>
        <w:ind w:left="113" w:right="1275"/>
      </w:pP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9D57A1" w:rsidRPr="009D57A1" w14:paraId="03BEF899" w14:textId="77777777" w:rsidTr="00696F35">
        <w:trPr>
          <w:tblHeader/>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AAD4F35" w14:textId="77777777" w:rsidR="00961E9A" w:rsidRPr="009D57A1" w:rsidRDefault="00961E9A" w:rsidP="00696F35">
            <w:pPr>
              <w:spacing w:before="80" w:after="80" w:line="200" w:lineRule="exact"/>
              <w:ind w:left="113" w:right="113"/>
              <w:rPr>
                <w:iCs/>
              </w:rPr>
            </w:pPr>
            <w:r w:rsidRPr="009D57A1">
              <w:rPr>
                <w:iCs/>
              </w:rPr>
              <w:t>L10DH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C474A7" w14:textId="3B8A58B5" w:rsidR="00961E9A" w:rsidRPr="009D57A1" w:rsidRDefault="009D57A1" w:rsidP="00696F35">
            <w:pPr>
              <w:spacing w:before="80" w:after="80" w:line="200" w:lineRule="exact"/>
              <w:ind w:left="113" w:right="113"/>
              <w:rPr>
                <w:iCs/>
              </w:rPr>
            </w:pPr>
            <w:r w:rsidRPr="009D57A1">
              <w:rPr>
                <w:iCs/>
              </w:rPr>
              <w:t>8</w:t>
            </w:r>
            <w:r w:rsidR="00961E9A" w:rsidRPr="009D57A1">
              <w:rPr>
                <w:i/>
                <w:vertAlign w:val="superscript"/>
              </w:rPr>
              <w:t>e</w:t>
            </w:r>
            <w:r w:rsidR="00961E9A" w:rsidRPr="009D57A1">
              <w:rPr>
                <w:iCs/>
                <w:vertAlign w:val="superscript"/>
              </w:rPr>
              <w:t xml:space="preserve"> </w:t>
            </w:r>
            <w:r w:rsidR="00961E9A" w:rsidRPr="009D57A1">
              <w:rPr>
                <w:iCs/>
              </w:rPr>
              <w:t>(pour le RID)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CBC00AF" w14:textId="470184E6" w:rsidR="00961E9A" w:rsidRPr="009D57A1" w:rsidRDefault="00961E9A" w:rsidP="00696F35">
            <w:pPr>
              <w:spacing w:before="80" w:after="80" w:line="200" w:lineRule="exact"/>
              <w:ind w:left="113" w:right="113"/>
              <w:rPr>
                <w:iCs/>
              </w:rPr>
            </w:pPr>
            <w:r w:rsidRPr="009D57A1">
              <w:rPr>
                <w:iCs/>
              </w:rPr>
              <w:t>CT1</w:t>
            </w:r>
            <w:r w:rsidRPr="009D57A1">
              <w:rPr>
                <w:i/>
                <w:vertAlign w:val="superscript"/>
              </w:rPr>
              <w:t>e</w:t>
            </w:r>
            <w:r w:rsidRPr="009D57A1">
              <w:rPr>
                <w:iCs/>
              </w:rPr>
              <w:t>(pour l’ADR)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73277E" w14:textId="77777777" w:rsidR="00961E9A" w:rsidRPr="009D57A1" w:rsidRDefault="00961E9A" w:rsidP="00696F35">
            <w:pPr>
              <w:spacing w:before="80" w:after="80" w:line="200" w:lineRule="exact"/>
              <w:ind w:left="113" w:right="113"/>
              <w:rPr>
                <w:iCs/>
              </w:rPr>
            </w:pPr>
            <w:r w:rsidRPr="009D57A1">
              <w:rPr>
                <w:iCs/>
              </w:rPr>
              <w:t>I</w:t>
            </w:r>
          </w:p>
        </w:tc>
      </w:tr>
      <w:tr w:rsidR="00696F35" w:rsidRPr="009D57A1" w14:paraId="391FCCE7" w14:textId="77777777" w:rsidTr="00696F35">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14:paraId="5053C7AB" w14:textId="15F5C93A" w:rsidR="00961E9A" w:rsidRPr="009D57A1" w:rsidRDefault="009D57A1" w:rsidP="00E27001">
            <w:pPr>
              <w:spacing w:before="40" w:after="120" w:line="20" w:lineRule="atLeast"/>
              <w:ind w:left="113" w:firstLine="170"/>
              <w:rPr>
                <w:sz w:val="18"/>
                <w:szCs w:val="18"/>
              </w:rPr>
            </w:pPr>
            <w:proofErr w:type="gramStart"/>
            <w:r w:rsidRPr="009D57A1">
              <w:rPr>
                <w:i/>
                <w:iCs/>
                <w:sz w:val="18"/>
                <w:szCs w:val="18"/>
                <w:vertAlign w:val="superscript"/>
              </w:rPr>
              <w:t>e</w:t>
            </w:r>
            <w:r w:rsidR="00961E9A" w:rsidRPr="009D57A1">
              <w:rPr>
                <w:sz w:val="18"/>
                <w:szCs w:val="18"/>
              </w:rPr>
              <w:t xml:space="preserve"> </w:t>
            </w:r>
            <w:r>
              <w:rPr>
                <w:sz w:val="18"/>
                <w:szCs w:val="18"/>
              </w:rPr>
              <w:t xml:space="preserve"> </w:t>
            </w:r>
            <w:r w:rsidR="00961E9A" w:rsidRPr="009D57A1">
              <w:rPr>
                <w:sz w:val="18"/>
                <w:szCs w:val="18"/>
              </w:rPr>
              <w:t>Les</w:t>
            </w:r>
            <w:proofErr w:type="gramEnd"/>
            <w:r w:rsidR="00961E9A" w:rsidRPr="009D57A1">
              <w:rPr>
                <w:sz w:val="18"/>
                <w:szCs w:val="18"/>
              </w:rPr>
              <w:t xml:space="preserve"> matières contenant de l’acide fluorhydrique doivent être affectées à ce code-citerne.</w:t>
            </w:r>
          </w:p>
        </w:tc>
      </w:tr>
    </w:tbl>
    <w:p w14:paraId="14049555" w14:textId="443290F4" w:rsidR="00961E9A" w:rsidRPr="00F1537C" w:rsidRDefault="00961E9A" w:rsidP="00961E9A">
      <w:pPr>
        <w:pStyle w:val="SingleTxtG"/>
        <w:spacing w:before="120"/>
        <w:ind w:right="1276"/>
      </w:pPr>
      <w:r>
        <w:t xml:space="preserve">En conséquence, les notes de bas de page </w:t>
      </w:r>
      <w:r w:rsidR="00696F35">
        <w:t>« </w:t>
      </w:r>
      <w:r>
        <w:t>a</w:t>
      </w:r>
      <w:r w:rsidR="00696F35">
        <w:t> »</w:t>
      </w:r>
      <w:r>
        <w:t xml:space="preserve"> et </w:t>
      </w:r>
      <w:r w:rsidR="00696F35">
        <w:t>« </w:t>
      </w:r>
      <w:r>
        <w:t>b</w:t>
      </w:r>
      <w:r w:rsidR="00696F35">
        <w:t> »</w:t>
      </w:r>
      <w:r>
        <w:t xml:space="preserve"> du RID deviennent les notes </w:t>
      </w:r>
      <w:r w:rsidR="00696F35">
        <w:t>« </w:t>
      </w:r>
      <w:r>
        <w:t>d</w:t>
      </w:r>
      <w:r w:rsidR="00696F35">
        <w:t> »</w:t>
      </w:r>
      <w:r>
        <w:t xml:space="preserve"> et </w:t>
      </w:r>
      <w:r w:rsidR="00696F35">
        <w:t>« </w:t>
      </w:r>
      <w:r>
        <w:t>f</w:t>
      </w:r>
      <w:r w:rsidR="00696F35">
        <w:t> »</w:t>
      </w:r>
      <w:r>
        <w:t xml:space="preserve">. Dans l’ADR, l’astérisque devient les notes </w:t>
      </w:r>
      <w:r w:rsidR="00696F35">
        <w:t>« </w:t>
      </w:r>
      <w:r>
        <w:t>d</w:t>
      </w:r>
      <w:r w:rsidR="00696F35">
        <w:t> »</w:t>
      </w:r>
      <w:r>
        <w:t xml:space="preserve"> et </w:t>
      </w:r>
      <w:r w:rsidR="00696F35">
        <w:t>« </w:t>
      </w:r>
      <w:r>
        <w:t>f</w:t>
      </w:r>
      <w:r w:rsidR="00696F35">
        <w:t> »</w:t>
      </w:r>
      <w:r>
        <w:t>.</w:t>
      </w:r>
    </w:p>
    <w:p w14:paraId="0EE1A870" w14:textId="6253F878" w:rsidR="00961E9A" w:rsidRPr="00F1537C" w:rsidRDefault="00961E9A" w:rsidP="00961E9A">
      <w:pPr>
        <w:pStyle w:val="H1G"/>
      </w:pPr>
      <w:r>
        <w:lastRenderedPageBreak/>
        <w:tab/>
      </w:r>
      <w:r>
        <w:tab/>
      </w:r>
      <w:r>
        <w:rPr>
          <w:bCs/>
        </w:rPr>
        <w:t>Point 3</w:t>
      </w:r>
      <w:r w:rsidR="009D57A1">
        <w:rPr>
          <w:bCs/>
        </w:rPr>
        <w:t> :</w:t>
      </w:r>
      <w:r>
        <w:rPr>
          <w:bCs/>
        </w:rPr>
        <w:t xml:space="preserve"> Clarification des dispositions relatives au temps de retenue pour le transport des citernes contenant des gaz liquéfiés réfrigérés</w:t>
      </w:r>
    </w:p>
    <w:p w14:paraId="020779E7" w14:textId="4DA8D545" w:rsidR="00961E9A" w:rsidRPr="00A57B4B" w:rsidRDefault="00961E9A" w:rsidP="007B6237">
      <w:pPr>
        <w:pStyle w:val="SingleTxtG"/>
        <w:keepNext/>
        <w:keepLines/>
        <w:tabs>
          <w:tab w:val="left" w:pos="3402"/>
        </w:tabs>
        <w:ind w:right="1276"/>
      </w:pPr>
      <w:r>
        <w:rPr>
          <w:i/>
          <w:iCs/>
        </w:rPr>
        <w:t>Document</w:t>
      </w:r>
      <w:r w:rsidR="009D57A1">
        <w:rPr>
          <w:i/>
          <w:iCs/>
        </w:rPr>
        <w:t> </w:t>
      </w:r>
      <w:r w:rsidR="009D57A1" w:rsidRPr="00696F35">
        <w:t>:</w:t>
      </w:r>
      <w:r>
        <w:tab/>
        <w:t>ECE/TRANS/WP.15/AC.1/2023/26 (UIC)</w:t>
      </w:r>
    </w:p>
    <w:p w14:paraId="73DC42A5" w14:textId="546360B3" w:rsidR="00961E9A" w:rsidRPr="00F1537C" w:rsidRDefault="00961E9A" w:rsidP="00696F35">
      <w:pPr>
        <w:pStyle w:val="SingleTxtG"/>
      </w:pPr>
      <w:r>
        <w:t>5.</w:t>
      </w:r>
      <w:r>
        <w:tab/>
      </w:r>
      <w:r w:rsidRPr="001126B3">
        <w:t>Les participants à la Réunion commune étaient dans l</w:t>
      </w:r>
      <w:r>
        <w:t>’</w:t>
      </w:r>
      <w:r w:rsidRPr="001126B3">
        <w:t>ensemble d</w:t>
      </w:r>
      <w:r>
        <w:t>’</w:t>
      </w:r>
      <w:r w:rsidRPr="001126B3">
        <w:t>accord sur le principe</w:t>
      </w:r>
      <w:r>
        <w:t>. Il a été convenu qu’il incombait à l’expéditeur de veiller à ce que les wagon</w:t>
      </w:r>
      <w:r w:rsidR="007B6237">
        <w:t>s</w:t>
      </w:r>
      <w:r w:rsidR="007B6237">
        <w:noBreakHyphen/>
      </w:r>
      <w:r>
        <w:t>citernes et les conteneurs-citernes vides non nettoyés soient présentés au transport dans un état tel que les dispositifs de décompression ne s’activent pas pendant le transport.</w:t>
      </w:r>
    </w:p>
    <w:p w14:paraId="63F5A8D4" w14:textId="77777777" w:rsidR="00961E9A" w:rsidRPr="00F1537C" w:rsidRDefault="00961E9A" w:rsidP="00696F35">
      <w:pPr>
        <w:pStyle w:val="SingleTxtG"/>
      </w:pPr>
      <w:r>
        <w:t>6.</w:t>
      </w:r>
      <w:r>
        <w:tab/>
        <w:t>On a fait remarquer qu’un libellé similaire à celui figurant ci-après pourrait servir à modifier le chapitre 4.2.</w:t>
      </w:r>
    </w:p>
    <w:p w14:paraId="625ACBB8" w14:textId="4A8C911C" w:rsidR="00961E9A" w:rsidRPr="00F1537C" w:rsidRDefault="00961E9A" w:rsidP="00696F35">
      <w:pPr>
        <w:pStyle w:val="SingleTxtG"/>
      </w:pPr>
      <w:r>
        <w:t>7.</w:t>
      </w:r>
      <w:r>
        <w:tab/>
        <w:t>La proposition ci-après a été adoptée après que sa formulation a été modifiée, et il a été convenu qu’une formulation similaire pourrait s’appliquer aux citernes mobiles</w:t>
      </w:r>
      <w:r w:rsidR="009D57A1">
        <w:t> :</w:t>
      </w:r>
    </w:p>
    <w:p w14:paraId="5046319A" w14:textId="77777777" w:rsidR="00961E9A" w:rsidRPr="00F1537C" w:rsidRDefault="00961E9A" w:rsidP="00696F35">
      <w:pPr>
        <w:pStyle w:val="H23G"/>
      </w:pPr>
      <w:r>
        <w:tab/>
      </w:r>
      <w:r>
        <w:tab/>
        <w:t>Proposition 4</w:t>
      </w:r>
    </w:p>
    <w:p w14:paraId="2FE9C008" w14:textId="76299CFE" w:rsidR="00961E9A" w:rsidRPr="00F1537C" w:rsidRDefault="00961E9A" w:rsidP="00696F35">
      <w:pPr>
        <w:pStyle w:val="SingleTxtG"/>
      </w:pPr>
      <w:r>
        <w:t>Modifier le 4.3.3.5 en ajoutant une nouvelle phrase à la fin de celui-ci, comme suit</w:t>
      </w:r>
      <w:r w:rsidR="009D57A1">
        <w:t> :</w:t>
      </w:r>
    </w:p>
    <w:p w14:paraId="3578B9A4" w14:textId="1DD1DDA1" w:rsidR="00961E9A" w:rsidRPr="000E6012" w:rsidRDefault="00696F35" w:rsidP="00961E9A">
      <w:pPr>
        <w:pStyle w:val="SingleTxtG"/>
        <w:ind w:right="1275"/>
        <w:rPr>
          <w:i/>
          <w:iCs/>
        </w:rPr>
      </w:pPr>
      <w:r w:rsidRPr="00FE5B4A">
        <w:t>«</w:t>
      </w:r>
      <w:r>
        <w:rPr>
          <w:i/>
          <w:iCs/>
        </w:rPr>
        <w:t> </w:t>
      </w:r>
      <w:r w:rsidR="00961E9A">
        <w:rPr>
          <w:i/>
          <w:iCs/>
        </w:rPr>
        <w:t>Il n’est pas nécessaire de satisfaire aux prescriptions du 4.3.3.5 pour les citernes et</w:t>
      </w:r>
      <w:r w:rsidR="007B6237">
        <w:rPr>
          <w:i/>
          <w:iCs/>
        </w:rPr>
        <w:t> </w:t>
      </w:r>
      <w:r w:rsidR="00961E9A">
        <w:rPr>
          <w:i/>
          <w:iCs/>
        </w:rPr>
        <w:t>conteneurs-citernes vides non nettoyés.</w:t>
      </w:r>
      <w:r>
        <w:rPr>
          <w:i/>
          <w:iCs/>
        </w:rPr>
        <w:t> </w:t>
      </w:r>
      <w:r w:rsidRPr="00FE5B4A">
        <w:t>»</w:t>
      </w:r>
      <w:r w:rsidR="00961E9A">
        <w:rPr>
          <w:i/>
          <w:iCs/>
        </w:rPr>
        <w:t>.</w:t>
      </w:r>
    </w:p>
    <w:p w14:paraId="73768E09" w14:textId="77777777" w:rsidR="00961E9A" w:rsidRPr="00F1537C" w:rsidRDefault="00961E9A" w:rsidP="00696F35">
      <w:pPr>
        <w:pStyle w:val="H23G"/>
      </w:pPr>
      <w:r>
        <w:tab/>
      </w:r>
      <w:r>
        <w:tab/>
        <w:t>Proposition 5</w:t>
      </w:r>
    </w:p>
    <w:p w14:paraId="2633D7B9" w14:textId="72035B96" w:rsidR="00961E9A" w:rsidRDefault="00961E9A" w:rsidP="00696F35">
      <w:pPr>
        <w:pStyle w:val="SingleTxtG"/>
      </w:pPr>
      <w:r>
        <w:t>Modifier le 4.3.3.6 comme suit (les ajouts figurent en caractères soulignés)</w:t>
      </w:r>
      <w:r w:rsidR="009D57A1">
        <w:t> :</w:t>
      </w:r>
    </w:p>
    <w:p w14:paraId="2DE78FC7" w14:textId="2D1A8068" w:rsidR="00961E9A" w:rsidRPr="005E54E9" w:rsidRDefault="00696F35" w:rsidP="00696F35">
      <w:pPr>
        <w:pStyle w:val="SingleTxtG"/>
      </w:pPr>
      <w:r>
        <w:t>« </w:t>
      </w:r>
      <w:r w:rsidR="00961E9A">
        <w:t>4.3.3.6</w:t>
      </w:r>
      <w:r w:rsidR="007B6237">
        <w:tab/>
      </w:r>
      <w:r w:rsidR="00961E9A" w:rsidRPr="00DC3582">
        <w:t>Les conteneur</w:t>
      </w:r>
      <w:r w:rsidR="00961E9A">
        <w:t>s</w:t>
      </w:r>
      <w:r w:rsidR="00961E9A" w:rsidRPr="00DC3582">
        <w:t>-citernes ne doivent pas être présentés au transport</w:t>
      </w:r>
      <w:r w:rsidR="009D57A1">
        <w:t> :</w:t>
      </w:r>
    </w:p>
    <w:p w14:paraId="27838848" w14:textId="45DA3BF5" w:rsidR="00961E9A" w:rsidRPr="005E54E9" w:rsidRDefault="00961E9A" w:rsidP="00961E9A">
      <w:pPr>
        <w:pStyle w:val="SingleTxtG"/>
        <w:ind w:left="2268" w:right="1275" w:hanging="567"/>
      </w:pPr>
      <w:r>
        <w:t>a)</w:t>
      </w:r>
      <w:r>
        <w:tab/>
        <w:t>Si leur taux de remplissage est tel que les oscillations du contenu pourraient engendrer des forces hydrauliques excessives dans le réservoir</w:t>
      </w:r>
      <w:r w:rsidR="009D57A1">
        <w:t> ;</w:t>
      </w:r>
    </w:p>
    <w:p w14:paraId="7C0FF477" w14:textId="5483DB79" w:rsidR="00961E9A" w:rsidRPr="00DC3582" w:rsidRDefault="00961E9A" w:rsidP="00961E9A">
      <w:pPr>
        <w:pStyle w:val="SingleTxtG"/>
        <w:ind w:right="1275" w:firstLine="567"/>
      </w:pPr>
      <w:r w:rsidRPr="00DC3582">
        <w:t>b)</w:t>
      </w:r>
      <w:r w:rsidRPr="00DC3582">
        <w:tab/>
        <w:t>S</w:t>
      </w:r>
      <w:r>
        <w:t>’</w:t>
      </w:r>
      <w:r w:rsidRPr="00DC3582">
        <w:t>ils fuient</w:t>
      </w:r>
      <w:r w:rsidR="009D57A1">
        <w:t> ;</w:t>
      </w:r>
    </w:p>
    <w:p w14:paraId="0B226FEC" w14:textId="29CA4FED" w:rsidR="00961E9A" w:rsidRPr="00DC3582" w:rsidRDefault="00961E9A" w:rsidP="00961E9A">
      <w:pPr>
        <w:pStyle w:val="SingleTxtG"/>
        <w:ind w:left="2268" w:right="1275" w:hanging="567"/>
      </w:pPr>
      <w:r w:rsidRPr="00DC3582">
        <w:t>c)</w:t>
      </w:r>
      <w:r w:rsidRPr="00DC3582">
        <w:tab/>
        <w:t>S</w:t>
      </w:r>
      <w:r>
        <w:t>’</w:t>
      </w:r>
      <w:r w:rsidRPr="00DC3582">
        <w:t>ils sont endommagés à tel point que l</w:t>
      </w:r>
      <w:r>
        <w:t>’</w:t>
      </w:r>
      <w:r w:rsidRPr="00DC3582">
        <w:t>intégrité du conteneur-citerne ou de ses attaches de levage ou d</w:t>
      </w:r>
      <w:r>
        <w:t>’</w:t>
      </w:r>
      <w:r w:rsidRPr="00DC3582">
        <w:t>arrimage pourrait être compromise</w:t>
      </w:r>
      <w:r w:rsidR="009D57A1">
        <w:t> ;</w:t>
      </w:r>
    </w:p>
    <w:p w14:paraId="432C596C" w14:textId="45C743DA" w:rsidR="00961E9A" w:rsidRPr="00DC3582" w:rsidRDefault="00961E9A" w:rsidP="00961E9A">
      <w:pPr>
        <w:pStyle w:val="SingleTxtG"/>
        <w:ind w:left="2268" w:right="1275" w:hanging="567"/>
      </w:pPr>
      <w:r w:rsidRPr="00DC3582">
        <w:t>d)</w:t>
      </w:r>
      <w:r w:rsidRPr="00DC3582">
        <w:tab/>
        <w:t>Si l</w:t>
      </w:r>
      <w:r>
        <w:t>’</w:t>
      </w:r>
      <w:r w:rsidRPr="00DC3582">
        <w:t>équipement de service n</w:t>
      </w:r>
      <w:r>
        <w:t>’</w:t>
      </w:r>
      <w:r w:rsidRPr="00DC3582">
        <w:t>a pas été examiné et jugé en bon état de fonctionnement</w:t>
      </w:r>
      <w:r w:rsidR="009D57A1">
        <w:t> ;</w:t>
      </w:r>
    </w:p>
    <w:p w14:paraId="176F4FEA" w14:textId="3F4F385B" w:rsidR="00961E9A" w:rsidRPr="007005D1" w:rsidRDefault="00961E9A" w:rsidP="00961E9A">
      <w:pPr>
        <w:pStyle w:val="SingleTxtG"/>
        <w:ind w:left="1701" w:right="1275" w:firstLine="567"/>
        <w:rPr>
          <w:i/>
          <w:iCs/>
          <w:u w:val="single"/>
        </w:rPr>
      </w:pPr>
      <w:r w:rsidRPr="007005D1">
        <w:rPr>
          <w:i/>
          <w:iCs/>
          <w:u w:val="single"/>
        </w:rPr>
        <w:t>et pour les gaz liqu</w:t>
      </w:r>
      <w:r>
        <w:rPr>
          <w:i/>
          <w:iCs/>
          <w:u w:val="single"/>
        </w:rPr>
        <w:t>é</w:t>
      </w:r>
      <w:r w:rsidRPr="007005D1">
        <w:rPr>
          <w:i/>
          <w:iCs/>
          <w:u w:val="single"/>
        </w:rPr>
        <w:t>fi</w:t>
      </w:r>
      <w:r>
        <w:rPr>
          <w:i/>
          <w:iCs/>
          <w:u w:val="single"/>
        </w:rPr>
        <w:t>é</w:t>
      </w:r>
      <w:r w:rsidRPr="007005D1">
        <w:rPr>
          <w:i/>
          <w:iCs/>
          <w:u w:val="single"/>
        </w:rPr>
        <w:t>s réfrigé</w:t>
      </w:r>
      <w:r>
        <w:rPr>
          <w:i/>
          <w:iCs/>
          <w:u w:val="single"/>
        </w:rPr>
        <w:t>rés</w:t>
      </w:r>
      <w:r w:rsidR="009D57A1">
        <w:rPr>
          <w:i/>
          <w:iCs/>
          <w:u w:val="single"/>
        </w:rPr>
        <w:t> :</w:t>
      </w:r>
    </w:p>
    <w:p w14:paraId="24598905" w14:textId="1FEF6F0E" w:rsidR="00961E9A" w:rsidRPr="007005D1" w:rsidRDefault="00961E9A" w:rsidP="00961E9A">
      <w:pPr>
        <w:pStyle w:val="SingleTxtG"/>
        <w:ind w:left="2268" w:right="1275" w:hanging="567"/>
      </w:pPr>
      <w:r w:rsidRPr="007005D1">
        <w:t>e)</w:t>
      </w:r>
      <w:r w:rsidRPr="007005D1">
        <w:tab/>
        <w:t>Si le temps de retenue réel pour le gaz liquéfié réfrigéré transporté n</w:t>
      </w:r>
      <w:r>
        <w:t>’</w:t>
      </w:r>
      <w:r w:rsidRPr="007005D1">
        <w:t>a pas été déterminé</w:t>
      </w:r>
      <w:r w:rsidR="009D57A1">
        <w:t> ;</w:t>
      </w:r>
    </w:p>
    <w:p w14:paraId="19EA4376" w14:textId="4D3CAC25" w:rsidR="00961E9A" w:rsidRPr="007005D1" w:rsidRDefault="00961E9A" w:rsidP="00961E9A">
      <w:pPr>
        <w:pStyle w:val="SingleTxtG"/>
        <w:ind w:left="2268" w:right="1275" w:hanging="567"/>
      </w:pPr>
      <w:r w:rsidRPr="007005D1">
        <w:t>f)</w:t>
      </w:r>
      <w:r w:rsidRPr="007005D1">
        <w:tab/>
        <w:t>Si la durée du transport, compte tenu des retards qui pourraient se produire, dépasse le temps de retenue réel</w:t>
      </w:r>
      <w:r w:rsidR="009D57A1">
        <w:t> ;</w:t>
      </w:r>
    </w:p>
    <w:p w14:paraId="4B2AB3A6" w14:textId="0D5522C0" w:rsidR="00961E9A" w:rsidRPr="007005D1" w:rsidRDefault="00961E9A" w:rsidP="00961E9A">
      <w:pPr>
        <w:pStyle w:val="SingleTxtG"/>
        <w:ind w:left="2268" w:right="1275" w:hanging="567"/>
      </w:pPr>
      <w:r w:rsidRPr="007005D1">
        <w:t>g)</w:t>
      </w:r>
      <w:r w:rsidRPr="007005D1">
        <w:tab/>
        <w:t>Si la pression n</w:t>
      </w:r>
      <w:r>
        <w:t>’</w:t>
      </w:r>
      <w:r w:rsidRPr="007005D1">
        <w:t>est pas constante et n</w:t>
      </w:r>
      <w:r>
        <w:t>’</w:t>
      </w:r>
      <w:r w:rsidRPr="007005D1">
        <w:t>a pas été ramenée à un niveau tel que le temps de retenue réel puisse être atteint</w:t>
      </w:r>
      <w:r w:rsidR="00696F35">
        <w:rPr>
          <w:rStyle w:val="Appelnotedebasdep"/>
        </w:rPr>
        <w:footnoteReference w:id="2"/>
      </w:r>
      <w:r w:rsidR="009D57A1" w:rsidRPr="00AD6C10">
        <w:t> </w:t>
      </w:r>
      <w:r w:rsidR="009D57A1">
        <w:t>;</w:t>
      </w:r>
    </w:p>
    <w:p w14:paraId="403AC078" w14:textId="277792E3" w:rsidR="00961E9A" w:rsidRPr="003B5130" w:rsidRDefault="00961E9A" w:rsidP="00961E9A">
      <w:pPr>
        <w:pStyle w:val="SingleTxtG"/>
        <w:ind w:left="2268" w:right="1275" w:hanging="567"/>
      </w:pPr>
      <w:r>
        <w:t>h)</w:t>
      </w:r>
      <w:r>
        <w:tab/>
      </w:r>
      <w:r w:rsidRPr="007005D1">
        <w:rPr>
          <w:i/>
          <w:iCs/>
          <w:u w:val="single"/>
        </w:rPr>
        <w:t>Lorsqu</w:t>
      </w:r>
      <w:r>
        <w:rPr>
          <w:i/>
          <w:iCs/>
          <w:u w:val="single"/>
        </w:rPr>
        <w:t>’</w:t>
      </w:r>
      <w:r w:rsidRPr="007005D1">
        <w:rPr>
          <w:i/>
          <w:iCs/>
          <w:u w:val="single"/>
        </w:rPr>
        <w:t>ils sont vides, non nettoyés, à moins que la pression ne soit réduite à</w:t>
      </w:r>
      <w:r w:rsidR="00AD6C10">
        <w:rPr>
          <w:i/>
          <w:iCs/>
          <w:u w:val="single"/>
        </w:rPr>
        <w:t> </w:t>
      </w:r>
      <w:r w:rsidRPr="007005D1">
        <w:rPr>
          <w:i/>
          <w:iCs/>
          <w:u w:val="single"/>
        </w:rPr>
        <w:t>un niveau garantissant que les dispositifs de décompression ne s</w:t>
      </w:r>
      <w:r>
        <w:rPr>
          <w:i/>
          <w:iCs/>
          <w:u w:val="single"/>
        </w:rPr>
        <w:t>’</w:t>
      </w:r>
      <w:r w:rsidRPr="007005D1">
        <w:rPr>
          <w:i/>
          <w:iCs/>
          <w:u w:val="single"/>
        </w:rPr>
        <w:t>activeront pas pendant le transport</w:t>
      </w:r>
      <w:r w:rsidRPr="007005D1">
        <w:rPr>
          <w:i/>
          <w:iCs/>
          <w:u w:val="single"/>
          <w:vertAlign w:val="superscript"/>
        </w:rPr>
        <w:t>4</w:t>
      </w:r>
      <w:r w:rsidRPr="00AD6C10">
        <w:rPr>
          <w:i/>
          <w:iCs/>
          <w:u w:val="single"/>
        </w:rPr>
        <w:t>.</w:t>
      </w:r>
      <w:r w:rsidR="00696F35">
        <w:t> »</w:t>
      </w:r>
      <w:r>
        <w:t>.</w:t>
      </w:r>
    </w:p>
    <w:p w14:paraId="28F69B47" w14:textId="5C0929FE" w:rsidR="00961E9A" w:rsidRPr="00F1537C" w:rsidRDefault="00961E9A" w:rsidP="00696F35">
      <w:pPr>
        <w:pStyle w:val="H1G"/>
      </w:pPr>
      <w:r>
        <w:tab/>
      </w:r>
      <w:r>
        <w:tab/>
        <w:t>Point 4</w:t>
      </w:r>
      <w:r w:rsidR="009D57A1">
        <w:t> :</w:t>
      </w:r>
      <w:r>
        <w:t xml:space="preserve"> Exemption d’accréditation dans le cas des autorités compétentes réalisant les tâches de contrôle</w:t>
      </w:r>
    </w:p>
    <w:p w14:paraId="17AFCAE9" w14:textId="2A7FE92A" w:rsidR="00961E9A" w:rsidRPr="00F1537C" w:rsidRDefault="00961E9A" w:rsidP="00AD6C10">
      <w:pPr>
        <w:pStyle w:val="SingleTxtG"/>
        <w:tabs>
          <w:tab w:val="left" w:pos="3402"/>
        </w:tabs>
        <w:ind w:right="1276"/>
      </w:pPr>
      <w:r>
        <w:rPr>
          <w:i/>
          <w:iCs/>
        </w:rPr>
        <w:t>Document</w:t>
      </w:r>
      <w:r w:rsidR="009D57A1">
        <w:rPr>
          <w:i/>
          <w:iCs/>
        </w:rPr>
        <w:t> </w:t>
      </w:r>
      <w:r w:rsidR="009D57A1" w:rsidRPr="00696F35">
        <w:t>:</w:t>
      </w:r>
      <w:r>
        <w:tab/>
        <w:t>ECE/TRANS/WP.15/AC.1/2023/28 (Pays-Bas)</w:t>
      </w:r>
    </w:p>
    <w:p w14:paraId="4E08177F" w14:textId="77777777" w:rsidR="00961E9A" w:rsidRPr="00AD6C10" w:rsidRDefault="00961E9A" w:rsidP="00696F35">
      <w:pPr>
        <w:pStyle w:val="SingleTxtG"/>
        <w:rPr>
          <w:spacing w:val="2"/>
        </w:rPr>
      </w:pPr>
      <w:r>
        <w:t>8.</w:t>
      </w:r>
      <w:r>
        <w:tab/>
      </w:r>
      <w:r w:rsidRPr="00AD6C10">
        <w:rPr>
          <w:spacing w:val="2"/>
        </w:rPr>
        <w:t xml:space="preserve">En ce qui concerne la contradiction entre le 1.8.6.2.1 et le 1.8.6.3.1 relative aux autorités compétentes qui réalisent les tâches de contrôle, deux problèmes supplémentaires liés à la dernière phrase du 1.8.6.3.1 ont été abordés. Ils concernent les organismes de </w:t>
      </w:r>
      <w:r w:rsidRPr="00AD6C10">
        <w:rPr>
          <w:spacing w:val="2"/>
        </w:rPr>
        <w:lastRenderedPageBreak/>
        <w:t>contrôle qui entrent en activité n’ayant pas encore reçu d’accréditation (1.8.6.2.2.3) et les organismes de contrôle sous-traitant à des organismes encore non accrédités (1.8.6.3.3.1).</w:t>
      </w:r>
    </w:p>
    <w:p w14:paraId="277A4E96" w14:textId="77777777" w:rsidR="00961E9A" w:rsidRPr="00F1537C" w:rsidRDefault="00961E9A" w:rsidP="00696F35">
      <w:pPr>
        <w:pStyle w:val="SingleTxtG"/>
      </w:pPr>
      <w:r>
        <w:t>9.</w:t>
      </w:r>
      <w:r>
        <w:tab/>
        <w:t xml:space="preserve">Au terme des débats, il a été convenu de ne pas supprimer la dernière phrase du 1.8.6.3.1, mais de la modifier pour indiquer que les points y figurant seront réputés accomplis en cas de respect de la norme. D’aucuns se sont </w:t>
      </w:r>
      <w:proofErr w:type="gramStart"/>
      <w:r>
        <w:t>dits</w:t>
      </w:r>
      <w:proofErr w:type="gramEnd"/>
      <w:r>
        <w:t xml:space="preserve"> préoccupés par l’exception d’accréditation pour les autorités compétentes, qui pourrait donner lieu à des situations indésirables, en particulier si des activités sont déléguées à d’autres organismes en application de la définition d’autorité compétente figurant au 1.2.1. La plupart des experts étaient d’avis qu’un service technique au sein de l’autorité compétente devrait être accrédité s’il effectue des contrôles. </w:t>
      </w:r>
    </w:p>
    <w:p w14:paraId="1A25961A" w14:textId="2F3D7E51" w:rsidR="00961E9A" w:rsidRPr="00F1537C" w:rsidRDefault="00961E9A" w:rsidP="00696F35">
      <w:pPr>
        <w:pStyle w:val="SingleTxtG"/>
      </w:pPr>
      <w:r>
        <w:t>10.</w:t>
      </w:r>
      <w:r>
        <w:tab/>
      </w:r>
      <w:r w:rsidRPr="00CD4291">
        <w:rPr>
          <w:spacing w:val="-2"/>
        </w:rPr>
        <w:t xml:space="preserve">Il a été avancé que la délivrance des agréments de type ne figurait pas dans la liste des activités du 1.8.6.1 et que les autorités compétentes n’avaient pas besoin d’être accréditées pour cette tâche. Cependant, aux 6.2.2.12 et 6.2.3.6.1, on pourrait comprendre par </w:t>
      </w:r>
      <w:r w:rsidR="00696F35" w:rsidRPr="00CD4291">
        <w:rPr>
          <w:spacing w:val="-2"/>
        </w:rPr>
        <w:t>« </w:t>
      </w:r>
      <w:r w:rsidRPr="00CD4291">
        <w:rPr>
          <w:spacing w:val="-2"/>
        </w:rPr>
        <w:t>XA</w:t>
      </w:r>
      <w:r w:rsidR="00696F35" w:rsidRPr="00CD4291">
        <w:rPr>
          <w:spacing w:val="-2"/>
        </w:rPr>
        <w:t> »</w:t>
      </w:r>
      <w:r w:rsidRPr="00CD4291">
        <w:rPr>
          <w:spacing w:val="-2"/>
        </w:rPr>
        <w:t xml:space="preserve"> que les autorités compétentes chargées de la délivrance des agréments de type doivent être accréditées.</w:t>
      </w:r>
    </w:p>
    <w:p w14:paraId="2EFC3378" w14:textId="4288E33A" w:rsidR="00961E9A" w:rsidRPr="00F1537C" w:rsidRDefault="00961E9A" w:rsidP="00443845">
      <w:pPr>
        <w:pStyle w:val="SingleTxtG"/>
      </w:pPr>
      <w:r>
        <w:t>11.</w:t>
      </w:r>
      <w:r>
        <w:tab/>
        <w:t>Les dispositions TA4 et TT9 ont été abordées, dans le sens où l’accréditation est obligatoire, bien que ces dispositions spéciales pour les citernes puissent être considérées comme une spécification supplémentaire pour les citernes destinées au transport de gaz (et</w:t>
      </w:r>
      <w:r w:rsidR="00AD6C10">
        <w:t> </w:t>
      </w:r>
      <w:r>
        <w:t>de certains autres produits). Il a été convenu que l’exemption dont bénéficie l’autorité compétente au 1.8.6.2.1 nécessitait un examen plus approfondi. Il a été suggéré de renforcer le 1.8.6.3.1 en y ajoutant une prescription conformément à laquelle le respect des points du 1.8.6.3.1 par l’autorité compétente réalisant des tâches de contrôle serait évalué et documenté. Il a été convenu pour cette raison de laisser les modifications entre crochets pour pouvoir les clarifier davantage à la session suivante de la Réunion commune.</w:t>
      </w:r>
    </w:p>
    <w:p w14:paraId="1C4F5C23" w14:textId="77777777" w:rsidR="00961E9A" w:rsidRPr="00F1537C" w:rsidRDefault="00961E9A" w:rsidP="00696F35">
      <w:pPr>
        <w:pStyle w:val="H23G"/>
      </w:pPr>
      <w:r>
        <w:tab/>
      </w:r>
      <w:r>
        <w:tab/>
        <w:t>Proposition 6</w:t>
      </w:r>
    </w:p>
    <w:p w14:paraId="2B8E6084" w14:textId="69277E98" w:rsidR="00961E9A" w:rsidRPr="00F1537C" w:rsidRDefault="00961E9A" w:rsidP="00696F35">
      <w:pPr>
        <w:pStyle w:val="SingleTxtG"/>
      </w:pPr>
      <w:r>
        <w:t>Modifier la dernière phrase du 1.8.6.2.1 comme suit (les ajouts figurent en caractères italiques soulignés)</w:t>
      </w:r>
      <w:r w:rsidR="009D57A1">
        <w:t> :</w:t>
      </w:r>
    </w:p>
    <w:p w14:paraId="10196B77" w14:textId="2374EFC5" w:rsidR="00961E9A" w:rsidRPr="00443845" w:rsidRDefault="00961E9A" w:rsidP="00443845">
      <w:pPr>
        <w:pStyle w:val="SingleTxtG"/>
        <w:rPr>
          <w:i/>
          <w:iCs/>
          <w:spacing w:val="-3"/>
        </w:rPr>
      </w:pPr>
      <w:r w:rsidRPr="00443845">
        <w:rPr>
          <w:i/>
          <w:iCs/>
          <w:spacing w:val="-3"/>
        </w:rPr>
        <w:t>[</w:t>
      </w:r>
      <w:r w:rsidR="00696F35" w:rsidRPr="00FE5B4A">
        <w:rPr>
          <w:spacing w:val="-3"/>
        </w:rPr>
        <w:t>«</w:t>
      </w:r>
      <w:r w:rsidR="00696F35" w:rsidRPr="00443845">
        <w:rPr>
          <w:i/>
          <w:iCs/>
          <w:spacing w:val="-3"/>
        </w:rPr>
        <w:t> </w:t>
      </w:r>
      <w:r w:rsidRPr="00443845">
        <w:rPr>
          <w:i/>
          <w:iCs/>
          <w:spacing w:val="-3"/>
        </w:rPr>
        <w:t xml:space="preserve">Lorsque l’autorité compétente n’agrée, </w:t>
      </w:r>
      <w:r w:rsidRPr="00443845">
        <w:rPr>
          <w:i/>
          <w:iCs/>
          <w:spacing w:val="-3"/>
          <w:u w:val="single"/>
        </w:rPr>
        <w:t>ne reconnaît ou ne désigne</w:t>
      </w:r>
      <w:r w:rsidRPr="00443845">
        <w:rPr>
          <w:i/>
          <w:iCs/>
          <w:spacing w:val="-3"/>
        </w:rPr>
        <w:t xml:space="preserve"> pas d’organismes de contrôle, mais réalise ces tâches elle-même, elle doit satisfaire aux dispositions du 1.8.6.3.</w:t>
      </w:r>
      <w:r w:rsidR="00696F35" w:rsidRPr="00443845">
        <w:rPr>
          <w:i/>
          <w:iCs/>
          <w:color w:val="333333"/>
          <w:spacing w:val="-3"/>
          <w:sz w:val="26"/>
          <w:szCs w:val="26"/>
        </w:rPr>
        <w:t> </w:t>
      </w:r>
      <w:r w:rsidR="00696F35" w:rsidRPr="00FE5B4A">
        <w:rPr>
          <w:color w:val="333333"/>
          <w:spacing w:val="-3"/>
        </w:rPr>
        <w:t>»</w:t>
      </w:r>
      <w:r w:rsidRPr="00443845">
        <w:rPr>
          <w:i/>
          <w:iCs/>
          <w:spacing w:val="-3"/>
        </w:rPr>
        <w:t>].</w:t>
      </w:r>
    </w:p>
    <w:p w14:paraId="3A3C80F5" w14:textId="7D418159" w:rsidR="00961E9A" w:rsidRPr="00051BD1" w:rsidRDefault="00961E9A" w:rsidP="00696F35">
      <w:pPr>
        <w:pStyle w:val="SingleTxtG"/>
      </w:pPr>
      <w:r w:rsidRPr="00051BD1">
        <w:t xml:space="preserve">Modifier la dernière phrase du 1.8.6.3.1 </w:t>
      </w:r>
      <w:r>
        <w:t xml:space="preserve">de sorte qu’elle se lise </w:t>
      </w:r>
      <w:r w:rsidRPr="00051BD1">
        <w:t>comme suit</w:t>
      </w:r>
      <w:r w:rsidR="009D57A1">
        <w:t> :</w:t>
      </w:r>
    </w:p>
    <w:p w14:paraId="3E2C10D8" w14:textId="3BC460A8" w:rsidR="00961E9A" w:rsidRPr="0065413B" w:rsidRDefault="00696F35" w:rsidP="00443845">
      <w:pPr>
        <w:pStyle w:val="SingleTxtG"/>
        <w:ind w:right="1276"/>
        <w:rPr>
          <w:i/>
          <w:iCs/>
        </w:rPr>
      </w:pPr>
      <w:r>
        <w:t>« </w:t>
      </w:r>
      <w:r w:rsidR="00961E9A" w:rsidRPr="0065413B">
        <w:rPr>
          <w:i/>
          <w:iCs/>
        </w:rPr>
        <w:t>Les exigences ci-dessus sont réputées satisfaites en cas d</w:t>
      </w:r>
      <w:r w:rsidR="00961E9A">
        <w:rPr>
          <w:i/>
          <w:iCs/>
        </w:rPr>
        <w:t>’</w:t>
      </w:r>
      <w:r w:rsidR="00961E9A" w:rsidRPr="0065413B">
        <w:rPr>
          <w:i/>
          <w:iCs/>
        </w:rPr>
        <w:t>accréditation conformément à</w:t>
      </w:r>
      <w:r w:rsidR="00443845">
        <w:rPr>
          <w:i/>
          <w:iCs/>
        </w:rPr>
        <w:t> </w:t>
      </w:r>
      <w:r w:rsidR="00961E9A" w:rsidRPr="0065413B">
        <w:rPr>
          <w:i/>
          <w:iCs/>
        </w:rPr>
        <w:t xml:space="preserve">la norme EN ISO/IEC 17020:2012 (sauf </w:t>
      </w:r>
      <w:r w:rsidR="00961E9A">
        <w:rPr>
          <w:i/>
          <w:iCs/>
        </w:rPr>
        <w:t xml:space="preserve">article </w:t>
      </w:r>
      <w:r w:rsidR="00961E9A" w:rsidRPr="0065413B">
        <w:rPr>
          <w:i/>
          <w:iCs/>
        </w:rPr>
        <w:t>8.1.3).</w:t>
      </w:r>
      <w:r>
        <w:rPr>
          <w:i/>
          <w:iCs/>
          <w:color w:val="333333"/>
          <w:sz w:val="26"/>
          <w:szCs w:val="26"/>
        </w:rPr>
        <w:t> </w:t>
      </w:r>
      <w:r w:rsidRPr="00FE5B4A">
        <w:rPr>
          <w:color w:val="333333"/>
        </w:rPr>
        <w:t>»</w:t>
      </w:r>
      <w:r w:rsidR="00961E9A">
        <w:rPr>
          <w:i/>
          <w:iCs/>
          <w:color w:val="333333"/>
          <w:sz w:val="26"/>
          <w:szCs w:val="26"/>
        </w:rPr>
        <w:t>.</w:t>
      </w:r>
    </w:p>
    <w:p w14:paraId="3B8F0024" w14:textId="66C5F768" w:rsidR="00961E9A" w:rsidRPr="00F1537C" w:rsidRDefault="00961E9A" w:rsidP="00961E9A">
      <w:pPr>
        <w:pStyle w:val="H1G"/>
      </w:pPr>
      <w:r w:rsidRPr="0065413B">
        <w:tab/>
      </w:r>
      <w:r w:rsidRPr="0065413B">
        <w:tab/>
      </w:r>
      <w:r>
        <w:rPr>
          <w:bCs/>
        </w:rPr>
        <w:t>Point 5</w:t>
      </w:r>
      <w:r w:rsidR="009D57A1">
        <w:rPr>
          <w:bCs/>
        </w:rPr>
        <w:t> :</w:t>
      </w:r>
      <w:r>
        <w:rPr>
          <w:bCs/>
        </w:rPr>
        <w:t xml:space="preserve"> Clarification relative à l’application des prescriptions </w:t>
      </w:r>
      <w:r w:rsidR="00443845">
        <w:rPr>
          <w:bCs/>
        </w:rPr>
        <w:br/>
      </w:r>
      <w:r>
        <w:rPr>
          <w:bCs/>
        </w:rPr>
        <w:t>du 6.8.2.2 en plus de celles du 6.8.3.2</w:t>
      </w:r>
    </w:p>
    <w:p w14:paraId="78053E77" w14:textId="53B12EBE" w:rsidR="00961E9A" w:rsidRPr="00F1537C" w:rsidRDefault="00961E9A" w:rsidP="00443845">
      <w:pPr>
        <w:pStyle w:val="SingleTxtG"/>
        <w:tabs>
          <w:tab w:val="left" w:pos="3402"/>
        </w:tabs>
        <w:ind w:right="1275"/>
      </w:pPr>
      <w:r>
        <w:rPr>
          <w:i/>
          <w:iCs/>
        </w:rPr>
        <w:t>Document</w:t>
      </w:r>
      <w:r w:rsidR="009D57A1">
        <w:rPr>
          <w:i/>
          <w:iCs/>
        </w:rPr>
        <w:t> </w:t>
      </w:r>
      <w:r w:rsidR="009D57A1" w:rsidRPr="00443845">
        <w:t>:</w:t>
      </w:r>
      <w:r>
        <w:tab/>
        <w:t>ECE/TRANS/WP.15/AC.1/2023/29 (Pays-Bas)</w:t>
      </w:r>
    </w:p>
    <w:p w14:paraId="7C3A4FD1" w14:textId="712826B3" w:rsidR="00961E9A" w:rsidRPr="00F1537C" w:rsidRDefault="00961E9A" w:rsidP="00CD4291">
      <w:pPr>
        <w:pStyle w:val="SingleTxtG"/>
      </w:pPr>
      <w:r>
        <w:t>12.</w:t>
      </w:r>
      <w:r>
        <w:tab/>
        <w:t>Bien que la proposition</w:t>
      </w:r>
      <w:r w:rsidR="00443845">
        <w:t> </w:t>
      </w:r>
      <w:r>
        <w:t xml:space="preserve">1 relative à l’ajout d’une note clarifiant le lien entre le 6.8.2 et le 6.8.3 ait été bien reçue, il a également été ressenti que cela créerait un précédent pour l’ajout d’autres notes permettant de mieux comprendre la réglementation. Étant donné qu’il s’agissait plus d’une question de principe que d’une question technique, il a été convenu que la décision serait prise en séance plénière. </w:t>
      </w:r>
    </w:p>
    <w:p w14:paraId="6414F70A" w14:textId="74E315B7" w:rsidR="00961E9A" w:rsidRDefault="00961E9A" w:rsidP="00CD4291">
      <w:pPr>
        <w:pStyle w:val="SingleTxtG"/>
      </w:pPr>
      <w:r>
        <w:t>Après le titre du 6.8.3, ajouter un nouveau NOTA, libellé comme suit (les ajouts figurent en caractères soulignés)</w:t>
      </w:r>
      <w:r w:rsidR="009D57A1">
        <w:t> :</w:t>
      </w:r>
    </w:p>
    <w:p w14:paraId="13562D0D" w14:textId="7407A01B" w:rsidR="00961E9A" w:rsidRPr="00F1537C" w:rsidRDefault="00696F35" w:rsidP="00961E9A">
      <w:pPr>
        <w:pStyle w:val="SingleTxtG"/>
        <w:ind w:right="1275"/>
        <w:rPr>
          <w:i/>
        </w:rPr>
      </w:pPr>
      <w:r w:rsidRPr="00FE5B4A">
        <w:t>«</w:t>
      </w:r>
      <w:r>
        <w:rPr>
          <w:i/>
          <w:iCs/>
        </w:rPr>
        <w:t> </w:t>
      </w:r>
      <w:r w:rsidR="00961E9A" w:rsidRPr="00051BD1">
        <w:rPr>
          <w:b/>
          <w:bCs/>
          <w:i/>
          <w:iCs/>
          <w:u w:val="single"/>
        </w:rPr>
        <w:t>NOTA</w:t>
      </w:r>
      <w:r w:rsidR="009D57A1">
        <w:rPr>
          <w:i/>
          <w:iCs/>
          <w:u w:val="single"/>
        </w:rPr>
        <w:t> :</w:t>
      </w:r>
      <w:r w:rsidR="00961E9A" w:rsidRPr="00051BD1">
        <w:rPr>
          <w:i/>
          <w:iCs/>
          <w:u w:val="single"/>
        </w:rPr>
        <w:t xml:space="preserve"> Les prescriptions particulières de la section 6.8.3 complètent ou modifient les prescriptions de la section 6.8.2.</w:t>
      </w:r>
      <w:r>
        <w:rPr>
          <w:i/>
        </w:rPr>
        <w:t> </w:t>
      </w:r>
      <w:r w:rsidRPr="00FE5B4A">
        <w:rPr>
          <w:iCs/>
        </w:rPr>
        <w:t>»</w:t>
      </w:r>
      <w:r w:rsidR="00961E9A">
        <w:rPr>
          <w:i/>
          <w:iCs/>
        </w:rPr>
        <w:t>.</w:t>
      </w:r>
      <w:r w:rsidR="00961E9A" w:rsidRPr="00051BD1">
        <w:t xml:space="preserve"> </w:t>
      </w:r>
    </w:p>
    <w:p w14:paraId="6C0B0D35" w14:textId="340C58E1" w:rsidR="00961E9A" w:rsidRPr="00F1537C" w:rsidRDefault="00961E9A" w:rsidP="00CD4291">
      <w:pPr>
        <w:pStyle w:val="SingleTxtG"/>
        <w:widowControl w:val="0"/>
      </w:pPr>
      <w:r>
        <w:t>13</w:t>
      </w:r>
      <w:r w:rsidRPr="00CD4291">
        <w:rPr>
          <w:spacing w:val="-3"/>
        </w:rPr>
        <w:t>.</w:t>
      </w:r>
      <w:r w:rsidRPr="00CD4291">
        <w:rPr>
          <w:spacing w:val="-3"/>
        </w:rPr>
        <w:tab/>
      </w:r>
      <w:r w:rsidRPr="00CD4291">
        <w:t>En ce qui concerne la proposition</w:t>
      </w:r>
      <w:r w:rsidR="00CD4291">
        <w:t> </w:t>
      </w:r>
      <w:r w:rsidRPr="00CD4291">
        <w:t>2 relative à la modification des paragraphes auxquels s’appliquent la norme EN 12252 dans la colonne 3 du tableau du 6.8.2.6.1, le point</w:t>
      </w:r>
      <w:r w:rsidR="00443845">
        <w:t> </w:t>
      </w:r>
      <w:r w:rsidRPr="00CD4291">
        <w:t xml:space="preserve">6 du document informel INF.23 a été mentionné. Dans l’attente de la décision de la séance plénière de supprimer </w:t>
      </w:r>
      <w:proofErr w:type="spellStart"/>
      <w:r w:rsidRPr="00CD4291">
        <w:t>complètement</w:t>
      </w:r>
      <w:proofErr w:type="spellEnd"/>
      <w:r w:rsidRPr="00CD4291">
        <w:t xml:space="preserve"> la colonne</w:t>
      </w:r>
      <w:r w:rsidR="00CD4291">
        <w:t> </w:t>
      </w:r>
      <w:r w:rsidRPr="00CD4291">
        <w:t>3, il a été convenu de laisser la modification entre crochets.</w:t>
      </w:r>
    </w:p>
    <w:p w14:paraId="7F06A103" w14:textId="77777777" w:rsidR="00961E9A" w:rsidRPr="00F1537C" w:rsidRDefault="00961E9A" w:rsidP="00CD4291">
      <w:pPr>
        <w:pStyle w:val="H23G"/>
      </w:pPr>
      <w:r>
        <w:lastRenderedPageBreak/>
        <w:tab/>
      </w:r>
      <w:r>
        <w:tab/>
        <w:t>Proposition 7</w:t>
      </w:r>
    </w:p>
    <w:p w14:paraId="3C5BEC8C" w14:textId="6149F0AC" w:rsidR="00961E9A" w:rsidRPr="00F1537C" w:rsidRDefault="00961E9A" w:rsidP="00CD4291">
      <w:pPr>
        <w:pStyle w:val="SingleTxtG"/>
      </w:pPr>
      <w:r>
        <w:t>Au 6.8.2.6.1 de l’ADR, modifier les renvois dans la colonne</w:t>
      </w:r>
      <w:r w:rsidR="00443845">
        <w:t> </w:t>
      </w:r>
      <w:r>
        <w:t>3 du tableau comme suit (les</w:t>
      </w:r>
      <w:r w:rsidR="00443845">
        <w:t> </w:t>
      </w:r>
      <w:r>
        <w:t>ajouts figurent en caractères gras et soulignés)</w:t>
      </w:r>
      <w:r w:rsidR="009D57A1">
        <w:t> :</w:t>
      </w:r>
    </w:p>
    <w:p w14:paraId="2D8E8576" w14:textId="6CA2D45E" w:rsidR="00961E9A" w:rsidRPr="00051BD1" w:rsidRDefault="00961E9A" w:rsidP="00CD4291">
      <w:pPr>
        <w:pStyle w:val="SingleTxtG"/>
      </w:pPr>
      <w:r w:rsidRPr="00051BD1">
        <w:t>[-</w:t>
      </w:r>
      <w:r w:rsidRPr="00051BD1">
        <w:tab/>
        <w:t>EN 12252:2005+A12008, lire</w:t>
      </w:r>
      <w:r w:rsidR="009D57A1">
        <w:t> :</w:t>
      </w:r>
      <w:r w:rsidRPr="00051BD1">
        <w:t xml:space="preserve"> </w:t>
      </w:r>
      <w:r w:rsidR="00696F35" w:rsidRPr="00443845">
        <w:t>«</w:t>
      </w:r>
      <w:r w:rsidR="00696F35">
        <w:rPr>
          <w:i/>
          <w:iCs/>
        </w:rPr>
        <w:t> </w:t>
      </w:r>
      <w:r w:rsidRPr="00051BD1">
        <w:rPr>
          <w:b/>
          <w:u w:val="single"/>
        </w:rPr>
        <w:t>6.8.2.2,</w:t>
      </w:r>
      <w:r w:rsidRPr="00051BD1">
        <w:t xml:space="preserve"> 6.8.3.2 (sauf 6.8.3.2.3) et 6.8.3.4.9</w:t>
      </w:r>
      <w:r w:rsidR="00696F35">
        <w:t> »</w:t>
      </w:r>
    </w:p>
    <w:p w14:paraId="4FA2C819" w14:textId="4A8E92AC" w:rsidR="00961E9A" w:rsidRPr="00F1537C" w:rsidRDefault="00443845" w:rsidP="00CD4291">
      <w:pPr>
        <w:pStyle w:val="SingleTxtG"/>
      </w:pPr>
      <w:r w:rsidRPr="00051BD1">
        <w:t>-</w:t>
      </w:r>
      <w:r>
        <w:tab/>
      </w:r>
      <w:r w:rsidR="00961E9A">
        <w:t>EN 12252:2014, lire</w:t>
      </w:r>
      <w:r w:rsidR="009D57A1">
        <w:t> :</w:t>
      </w:r>
      <w:r w:rsidR="00961E9A">
        <w:t xml:space="preserve"> </w:t>
      </w:r>
      <w:r w:rsidR="00696F35" w:rsidRPr="00443845">
        <w:t>«</w:t>
      </w:r>
      <w:r w:rsidR="00696F35">
        <w:rPr>
          <w:i/>
          <w:iCs/>
        </w:rPr>
        <w:t> </w:t>
      </w:r>
      <w:r w:rsidR="00961E9A" w:rsidRPr="00051BD1">
        <w:rPr>
          <w:b/>
          <w:bCs/>
          <w:u w:val="single"/>
        </w:rPr>
        <w:t>6.8.2.2</w:t>
      </w:r>
      <w:r w:rsidR="00961E9A">
        <w:t>, 6.8.3.2 et 6.8.3.4.9</w:t>
      </w:r>
      <w:r w:rsidR="00696F35">
        <w:t> »</w:t>
      </w:r>
      <w:r w:rsidR="00961E9A">
        <w:t>].</w:t>
      </w:r>
    </w:p>
    <w:p w14:paraId="32E344D2" w14:textId="7E8C9662" w:rsidR="00961E9A" w:rsidRPr="00F1537C" w:rsidRDefault="00961E9A" w:rsidP="00443845">
      <w:pPr>
        <w:pStyle w:val="H1G"/>
      </w:pPr>
      <w:r>
        <w:tab/>
      </w:r>
      <w:r>
        <w:tab/>
        <w:t>Point 6</w:t>
      </w:r>
      <w:r w:rsidR="009D57A1">
        <w:t> :</w:t>
      </w:r>
      <w:r>
        <w:t xml:space="preserve"> Obligations des services internes d’inspection</w:t>
      </w:r>
    </w:p>
    <w:p w14:paraId="53D3E8AE" w14:textId="4A37EC9B" w:rsidR="00961E9A" w:rsidRPr="00F1537C" w:rsidRDefault="00961E9A" w:rsidP="00443845">
      <w:pPr>
        <w:pStyle w:val="SingleTxtG"/>
        <w:tabs>
          <w:tab w:val="left" w:pos="3402"/>
        </w:tabs>
        <w:ind w:right="0"/>
      </w:pPr>
      <w:r w:rsidRPr="00CD4291">
        <w:rPr>
          <w:i/>
          <w:iCs/>
        </w:rPr>
        <w:t>Document</w:t>
      </w:r>
      <w:r w:rsidR="009D57A1">
        <w:t> :</w:t>
      </w:r>
      <w:r w:rsidR="00CD4291">
        <w:tab/>
      </w:r>
      <w:r w:rsidR="00CD4291">
        <w:tab/>
      </w:r>
      <w:r>
        <w:t>ECE/TRANS/WP.15/AC.1/2023/30 (Pays-Bas)</w:t>
      </w:r>
    </w:p>
    <w:p w14:paraId="0392447D" w14:textId="77777777" w:rsidR="00961E9A" w:rsidRPr="00F1537C" w:rsidRDefault="00961E9A" w:rsidP="00CD4291">
      <w:pPr>
        <w:pStyle w:val="SingleTxtG"/>
      </w:pPr>
      <w:r>
        <w:t>14.</w:t>
      </w:r>
      <w:r>
        <w:tab/>
        <w:t xml:space="preserve">Bien que le raisonnement derrière la proposition ait été compris, la plupart des experts n’étaient pas en faveur de la modification visant à inscrire les obligations des services internes d’inspection au 1.8.6, car ils ne sont pas agréés par les autorités compétentes. Il a été convenu de modifier le 1.8.6.1 et le titre du 1.8.7.7 pour aider à clarifier la situation. </w:t>
      </w:r>
    </w:p>
    <w:p w14:paraId="1D5A2AC1" w14:textId="77777777" w:rsidR="00961E9A" w:rsidRPr="004A2BF9" w:rsidRDefault="00961E9A" w:rsidP="00CD4291">
      <w:pPr>
        <w:pStyle w:val="H23G"/>
      </w:pPr>
      <w:r>
        <w:tab/>
      </w:r>
      <w:r>
        <w:tab/>
      </w:r>
      <w:r w:rsidRPr="004A2BF9">
        <w:t>Proposition 8</w:t>
      </w:r>
    </w:p>
    <w:p w14:paraId="2727028F" w14:textId="1DE7F657" w:rsidR="00961E9A" w:rsidRPr="00112161" w:rsidRDefault="00961E9A" w:rsidP="00CD4291">
      <w:pPr>
        <w:pStyle w:val="SingleTxtG"/>
      </w:pPr>
      <w:r w:rsidRPr="00112161">
        <w:t>Au 1.8.6.1, a</w:t>
      </w:r>
      <w:r>
        <w:t xml:space="preserve">jouter </w:t>
      </w:r>
      <w:r w:rsidR="00696F35">
        <w:t>« </w:t>
      </w:r>
      <w:r>
        <w:t>a</w:t>
      </w:r>
      <w:r w:rsidRPr="00112161">
        <w:t>utorisation et</w:t>
      </w:r>
      <w:r w:rsidR="00696F35">
        <w:t> »</w:t>
      </w:r>
      <w:r>
        <w:t xml:space="preserve"> avant</w:t>
      </w:r>
      <w:r w:rsidRPr="00112161">
        <w:t xml:space="preserve"> </w:t>
      </w:r>
      <w:r w:rsidR="00696F35">
        <w:t>« </w:t>
      </w:r>
      <w:r>
        <w:t>s</w:t>
      </w:r>
      <w:r w:rsidRPr="00112161">
        <w:t>upervision</w:t>
      </w:r>
      <w:r w:rsidR="00696F35">
        <w:t> »</w:t>
      </w:r>
      <w:r w:rsidRPr="00112161">
        <w:t>.</w:t>
      </w:r>
    </w:p>
    <w:p w14:paraId="1E99F6A0" w14:textId="0ED2A9C3" w:rsidR="00961E9A" w:rsidRPr="00F1537C" w:rsidRDefault="00961E9A" w:rsidP="00CD4291">
      <w:pPr>
        <w:pStyle w:val="SingleTxtG"/>
      </w:pPr>
      <w:r>
        <w:t>Modifier le titre du 1.8.7.7 comme suit</w:t>
      </w:r>
      <w:r w:rsidR="009D57A1">
        <w:t> :</w:t>
      </w:r>
    </w:p>
    <w:p w14:paraId="13972754" w14:textId="0ADCAA50" w:rsidR="00961E9A" w:rsidRPr="00112161" w:rsidRDefault="00696F35" w:rsidP="00961E9A">
      <w:pPr>
        <w:pStyle w:val="SingleTxtG"/>
        <w:ind w:right="1275"/>
        <w:rPr>
          <w:b/>
          <w:bCs/>
          <w:i/>
          <w:iCs/>
        </w:rPr>
      </w:pPr>
      <w:r>
        <w:t>« </w:t>
      </w:r>
      <w:r w:rsidR="00961E9A" w:rsidRPr="00112161">
        <w:rPr>
          <w:b/>
          <w:bCs/>
          <w:i/>
          <w:iCs/>
          <w:u w:val="single"/>
        </w:rPr>
        <w:t>Autorisation et</w:t>
      </w:r>
      <w:r w:rsidR="00961E9A" w:rsidRPr="00112161">
        <w:rPr>
          <w:b/>
          <w:bCs/>
          <w:i/>
          <w:iCs/>
        </w:rPr>
        <w:t xml:space="preserve"> supervision du service interne d</w:t>
      </w:r>
      <w:r w:rsidR="00961E9A">
        <w:rPr>
          <w:b/>
          <w:bCs/>
          <w:i/>
          <w:iCs/>
        </w:rPr>
        <w:t>’</w:t>
      </w:r>
      <w:r w:rsidR="00961E9A" w:rsidRPr="00112161">
        <w:rPr>
          <w:b/>
          <w:bCs/>
          <w:i/>
          <w:iCs/>
        </w:rPr>
        <w:t>inspection</w:t>
      </w:r>
      <w:r>
        <w:t> »</w:t>
      </w:r>
      <w:r w:rsidR="00961E9A" w:rsidRPr="00112161">
        <w:t>.</w:t>
      </w:r>
    </w:p>
    <w:p w14:paraId="28CC74C5" w14:textId="702E4635" w:rsidR="00961E9A" w:rsidRPr="00F1537C" w:rsidRDefault="00961E9A" w:rsidP="00CD4291">
      <w:pPr>
        <w:pStyle w:val="SingleTxtG"/>
        <w:rPr>
          <w:bCs/>
          <w:szCs w:val="28"/>
        </w:rPr>
      </w:pPr>
      <w:r>
        <w:t>15.</w:t>
      </w:r>
      <w:r>
        <w:tab/>
        <w:t>Lors du débat à ce sujet, une erreur a été repérée au 1.8.8.6, où le renvoi au 1.8.7.7.1</w:t>
      </w:r>
      <w:r w:rsidR="00443845">
        <w:t> </w:t>
      </w:r>
      <w:r>
        <w:t xml:space="preserve">d) concernait un paragraphe supprimé. </w:t>
      </w:r>
    </w:p>
    <w:p w14:paraId="46A86655" w14:textId="77777777" w:rsidR="00961E9A" w:rsidRPr="00F1537C" w:rsidRDefault="00961E9A" w:rsidP="00CD4291">
      <w:pPr>
        <w:pStyle w:val="H23G"/>
      </w:pPr>
      <w:r>
        <w:tab/>
      </w:r>
      <w:r>
        <w:tab/>
        <w:t>Proposition 9</w:t>
      </w:r>
    </w:p>
    <w:p w14:paraId="456AB0A2" w14:textId="21765959" w:rsidR="00961E9A" w:rsidRPr="00F1537C" w:rsidRDefault="00961E9A" w:rsidP="00CD4291">
      <w:pPr>
        <w:pStyle w:val="SingleTxtG"/>
      </w:pPr>
      <w:r>
        <w:t xml:space="preserve">Au 1.8.8.6, remplacer </w:t>
      </w:r>
      <w:r w:rsidR="00696F35">
        <w:t>« </w:t>
      </w:r>
      <w:r>
        <w:t>1.8.7.7.1 d)</w:t>
      </w:r>
      <w:r w:rsidR="00696F35">
        <w:t> »</w:t>
      </w:r>
      <w:r>
        <w:t xml:space="preserve"> par </w:t>
      </w:r>
      <w:r w:rsidR="00696F35">
        <w:t>« </w:t>
      </w:r>
      <w:r>
        <w:t>1.8.7.7.1 b) ii)</w:t>
      </w:r>
      <w:r w:rsidR="00696F35">
        <w:t> »</w:t>
      </w:r>
      <w:r>
        <w:t>.</w:t>
      </w:r>
    </w:p>
    <w:p w14:paraId="290703F4" w14:textId="73E35DF5" w:rsidR="00961E9A" w:rsidRPr="00F1537C" w:rsidRDefault="00961E9A" w:rsidP="00CD4291">
      <w:pPr>
        <w:pStyle w:val="H1G"/>
      </w:pPr>
      <w:r>
        <w:tab/>
      </w:r>
      <w:r>
        <w:tab/>
        <w:t>Point 7</w:t>
      </w:r>
      <w:r w:rsidR="009D57A1">
        <w:t> :</w:t>
      </w:r>
      <w:r>
        <w:t xml:space="preserve"> Marquage de la pression maximale de service autorisée</w:t>
      </w:r>
    </w:p>
    <w:p w14:paraId="0D2F7DF6" w14:textId="1AA899A5" w:rsidR="00961E9A" w:rsidRPr="00A57B4B" w:rsidRDefault="00961E9A" w:rsidP="00443845">
      <w:pPr>
        <w:pStyle w:val="SingleTxtG"/>
        <w:tabs>
          <w:tab w:val="left" w:pos="3402"/>
        </w:tabs>
        <w:ind w:right="0"/>
      </w:pPr>
      <w:r>
        <w:rPr>
          <w:i/>
          <w:iCs/>
        </w:rPr>
        <w:t>Document</w:t>
      </w:r>
      <w:r w:rsidR="009D57A1">
        <w:rPr>
          <w:i/>
          <w:iCs/>
        </w:rPr>
        <w:t> </w:t>
      </w:r>
      <w:r w:rsidR="009D57A1" w:rsidRPr="00CD4291">
        <w:t>:</w:t>
      </w:r>
      <w:r w:rsidR="00443845">
        <w:tab/>
      </w:r>
      <w:r>
        <w:t>ECE/TRANS/WP.15/AC.1/2023/35 (Belgique)</w:t>
      </w:r>
    </w:p>
    <w:p w14:paraId="7200036E" w14:textId="60B95FC2" w:rsidR="00961E9A" w:rsidRPr="00F1537C" w:rsidRDefault="00961E9A" w:rsidP="00443845">
      <w:pPr>
        <w:pStyle w:val="SingleTxtG"/>
        <w:tabs>
          <w:tab w:val="left" w:pos="3402"/>
        </w:tabs>
        <w:ind w:right="1275"/>
      </w:pPr>
      <w:r>
        <w:rPr>
          <w:i/>
          <w:iCs/>
        </w:rPr>
        <w:t>Document informel</w:t>
      </w:r>
      <w:r w:rsidR="009D57A1">
        <w:rPr>
          <w:i/>
          <w:iCs/>
        </w:rPr>
        <w:t> </w:t>
      </w:r>
      <w:r w:rsidR="009D57A1" w:rsidRPr="00CD4291">
        <w:t>:</w:t>
      </w:r>
      <w:r>
        <w:tab/>
        <w:t>INF.5 (UIP)</w:t>
      </w:r>
    </w:p>
    <w:p w14:paraId="05909497" w14:textId="16CAD6EE" w:rsidR="00961E9A" w:rsidRPr="00F1537C" w:rsidRDefault="00961E9A" w:rsidP="00961E9A">
      <w:pPr>
        <w:pStyle w:val="SingleTxtG"/>
        <w:ind w:right="1275"/>
      </w:pPr>
      <w:r>
        <w:t>16.</w:t>
      </w:r>
      <w:r>
        <w:tab/>
        <w:t>Il a été convenu que le chapitre</w:t>
      </w:r>
      <w:r w:rsidR="00443845">
        <w:t> </w:t>
      </w:r>
      <w:r>
        <w:t xml:space="preserve">6.8 était cohérent à la lecture, et qu’il n’était pas nécessaire de faire figurer la pression maximale de service autorisée sur le panneau des citernes pour gaz comprimés, liquéfiés ou dissous. Plutôt que d’ajouter la note proposée dans le document informel INF.5, il a été jugé préférable de modifier la dernière phrase du 6.8.2.5.1. Il a été signalé que les chapitres 4.3 et 6.8 utilisaient le terme de </w:t>
      </w:r>
      <w:r w:rsidR="00696F35">
        <w:t>« </w:t>
      </w:r>
      <w:r>
        <w:t>pression maximale de service</w:t>
      </w:r>
      <w:r w:rsidR="00696F35">
        <w:t> »</w:t>
      </w:r>
      <w:r>
        <w:t xml:space="preserve">. Au cours de la discussion, il a été découvert que le terme </w:t>
      </w:r>
      <w:r w:rsidR="00696F35">
        <w:t>« </w:t>
      </w:r>
      <w:r>
        <w:t xml:space="preserve">pression maximale de service </w:t>
      </w:r>
      <w:r w:rsidRPr="00C77693">
        <w:t>autorisée</w:t>
      </w:r>
      <w:r w:rsidR="00696F35">
        <w:t> »</w:t>
      </w:r>
      <w:r>
        <w:t xml:space="preserve"> était utilisé de façon incorrecte au 4.3.3.2.4, ce qui ajoutait à la confusion.</w:t>
      </w:r>
    </w:p>
    <w:p w14:paraId="16A121A0" w14:textId="77777777" w:rsidR="00961E9A" w:rsidRPr="00F1537C" w:rsidRDefault="00961E9A" w:rsidP="00CD4291">
      <w:pPr>
        <w:pStyle w:val="H23G"/>
      </w:pPr>
      <w:r>
        <w:tab/>
      </w:r>
      <w:r>
        <w:tab/>
        <w:t>Proposition 10</w:t>
      </w:r>
    </w:p>
    <w:p w14:paraId="3E93B684" w14:textId="63C49D29" w:rsidR="00961E9A" w:rsidRPr="00F1537C" w:rsidRDefault="00961E9A" w:rsidP="00CD4291">
      <w:pPr>
        <w:pStyle w:val="SingleTxtG"/>
      </w:pPr>
      <w:r>
        <w:t>Modifier la dernière phrase du 6.8.2.5.1 comme suit (les ajouts figurent en caractères soulignés)</w:t>
      </w:r>
      <w:r w:rsidR="009D57A1">
        <w:t> :</w:t>
      </w:r>
    </w:p>
    <w:p w14:paraId="43CDB30E" w14:textId="7842437E" w:rsidR="00961E9A" w:rsidRPr="00DC3582" w:rsidRDefault="00696F35" w:rsidP="00961E9A">
      <w:pPr>
        <w:pStyle w:val="SingleTxtG"/>
        <w:ind w:right="1275"/>
        <w:rPr>
          <w:i/>
          <w:iCs/>
        </w:rPr>
      </w:pPr>
      <w:r>
        <w:t>« </w:t>
      </w:r>
      <w:r w:rsidR="00961E9A" w:rsidRPr="004D392C">
        <w:rPr>
          <w:i/>
          <w:iCs/>
        </w:rPr>
        <w:t xml:space="preserve">En outre, la pression maximale de service autorisée doit être inscrite sur les citernes à remplissage ou à vidange sous pression </w:t>
      </w:r>
      <w:r w:rsidR="00961E9A" w:rsidRPr="004D392C">
        <w:rPr>
          <w:i/>
          <w:iCs/>
          <w:u w:val="single"/>
        </w:rPr>
        <w:t>(</w:t>
      </w:r>
      <w:r w:rsidR="00961E9A">
        <w:rPr>
          <w:i/>
          <w:iCs/>
          <w:u w:val="single"/>
        </w:rPr>
        <w:t>voir le</w:t>
      </w:r>
      <w:r w:rsidR="00961E9A" w:rsidRPr="004D392C">
        <w:rPr>
          <w:i/>
          <w:iCs/>
          <w:u w:val="single"/>
        </w:rPr>
        <w:t xml:space="preserve"> 6.8.3.5</w:t>
      </w:r>
      <w:r w:rsidR="00961E9A">
        <w:rPr>
          <w:i/>
          <w:iCs/>
          <w:u w:val="single"/>
        </w:rPr>
        <w:t xml:space="preserve"> pour la classe 2</w:t>
      </w:r>
      <w:r w:rsidR="00961E9A" w:rsidRPr="004D392C">
        <w:rPr>
          <w:i/>
          <w:iCs/>
          <w:u w:val="single"/>
        </w:rPr>
        <w:t>).</w:t>
      </w:r>
      <w:r>
        <w:t> »</w:t>
      </w:r>
      <w:r w:rsidR="00961E9A">
        <w:t>.</w:t>
      </w:r>
    </w:p>
    <w:p w14:paraId="455AF667" w14:textId="77777777" w:rsidR="00961E9A" w:rsidRPr="00F1537C" w:rsidRDefault="00961E9A" w:rsidP="00CD4291">
      <w:pPr>
        <w:pStyle w:val="H23G"/>
      </w:pPr>
      <w:r>
        <w:tab/>
      </w:r>
      <w:r>
        <w:tab/>
        <w:t>Proposition 11</w:t>
      </w:r>
    </w:p>
    <w:p w14:paraId="4DABB0D9" w14:textId="64E8B380" w:rsidR="00961E9A" w:rsidRPr="00F1537C" w:rsidRDefault="00961E9A" w:rsidP="00CD4291">
      <w:pPr>
        <w:pStyle w:val="SingleTxtG"/>
      </w:pPr>
      <w:r>
        <w:t xml:space="preserve">Modifier le 4.3.3.2.4 comme suit (les suppressions </w:t>
      </w:r>
      <w:r w:rsidRPr="004B6150">
        <w:t>figurent en caractères biffés)</w:t>
      </w:r>
      <w:r w:rsidR="009D57A1">
        <w:t> :</w:t>
      </w:r>
    </w:p>
    <w:p w14:paraId="4EAC5018" w14:textId="41CA47D5" w:rsidR="00961E9A" w:rsidRPr="00323207" w:rsidRDefault="00696F35" w:rsidP="00FE5B4A">
      <w:pPr>
        <w:pStyle w:val="SingleTxtG"/>
        <w:widowControl w:val="0"/>
        <w:ind w:right="1276"/>
        <w:rPr>
          <w:i/>
          <w:iCs/>
        </w:rPr>
      </w:pPr>
      <w:r>
        <w:t>« </w:t>
      </w:r>
      <w:r w:rsidR="00961E9A" w:rsidRPr="00FE5B4A">
        <w:rPr>
          <w:i/>
          <w:iCs/>
          <w:spacing w:val="-3"/>
        </w:rPr>
        <w:t xml:space="preserve">La pression d’épreuve applicable aux citernes destinées au transport des gaz liquéfiés réfrigérés ne doit pas être inférieure à 1,3 fois la pression maximale de service </w:t>
      </w:r>
      <w:r w:rsidR="00961E9A" w:rsidRPr="00FE5B4A">
        <w:rPr>
          <w:i/>
          <w:iCs/>
          <w:strike/>
          <w:spacing w:val="-3"/>
        </w:rPr>
        <w:t>autorisée</w:t>
      </w:r>
      <w:r w:rsidR="00961E9A" w:rsidRPr="00FE5B4A">
        <w:rPr>
          <w:i/>
          <w:iCs/>
          <w:spacing w:val="-3"/>
        </w:rPr>
        <w:t xml:space="preserve"> indiquée sur la citerne, ni inférieure à 300</w:t>
      </w:r>
      <w:r w:rsidR="00FE5B4A" w:rsidRPr="00FE5B4A">
        <w:rPr>
          <w:i/>
          <w:iCs/>
          <w:spacing w:val="-3"/>
        </w:rPr>
        <w:t> </w:t>
      </w:r>
      <w:r w:rsidR="00961E9A" w:rsidRPr="00FE5B4A">
        <w:rPr>
          <w:i/>
          <w:iCs/>
          <w:spacing w:val="-3"/>
        </w:rPr>
        <w:t>kPa (3</w:t>
      </w:r>
      <w:r w:rsidR="00FE5B4A" w:rsidRPr="00FE5B4A">
        <w:rPr>
          <w:i/>
          <w:iCs/>
          <w:spacing w:val="-3"/>
        </w:rPr>
        <w:t> </w:t>
      </w:r>
      <w:proofErr w:type="gramStart"/>
      <w:r w:rsidR="00961E9A" w:rsidRPr="00FE5B4A">
        <w:rPr>
          <w:i/>
          <w:iCs/>
          <w:spacing w:val="-3"/>
        </w:rPr>
        <w:t>bar</w:t>
      </w:r>
      <w:proofErr w:type="gramEnd"/>
      <w:r w:rsidR="00961E9A" w:rsidRPr="00FE5B4A">
        <w:rPr>
          <w:i/>
          <w:iCs/>
          <w:spacing w:val="-3"/>
        </w:rPr>
        <w:t>) (pression manométrique)</w:t>
      </w:r>
      <w:r w:rsidR="009D57A1" w:rsidRPr="00FE5B4A">
        <w:rPr>
          <w:i/>
          <w:iCs/>
          <w:spacing w:val="-3"/>
        </w:rPr>
        <w:t> ;</w:t>
      </w:r>
      <w:r w:rsidR="00961E9A" w:rsidRPr="00FE5B4A">
        <w:rPr>
          <w:i/>
          <w:iCs/>
          <w:spacing w:val="-3"/>
        </w:rPr>
        <w:t xml:space="preserve"> pour les citernes munies d’une isolation par vide d’air, la pression d’épreuve ne doit pas être inférieure à 1,3</w:t>
      </w:r>
      <w:r w:rsidR="00FE5B4A" w:rsidRPr="00FE5B4A">
        <w:rPr>
          <w:i/>
          <w:iCs/>
          <w:spacing w:val="-3"/>
        </w:rPr>
        <w:t> </w:t>
      </w:r>
      <w:r w:rsidR="00961E9A" w:rsidRPr="00FE5B4A">
        <w:rPr>
          <w:i/>
          <w:iCs/>
          <w:spacing w:val="-3"/>
        </w:rPr>
        <w:t xml:space="preserve">fois la pression maximale de service </w:t>
      </w:r>
      <w:r w:rsidR="00961E9A" w:rsidRPr="00FE5B4A">
        <w:rPr>
          <w:i/>
          <w:iCs/>
          <w:strike/>
          <w:spacing w:val="-3"/>
        </w:rPr>
        <w:t>autorisée</w:t>
      </w:r>
      <w:r w:rsidR="00961E9A" w:rsidRPr="00FE5B4A">
        <w:rPr>
          <w:i/>
          <w:iCs/>
          <w:spacing w:val="-3"/>
        </w:rPr>
        <w:t>, augmentée de 100</w:t>
      </w:r>
      <w:r w:rsidR="00FE5B4A" w:rsidRPr="00FE5B4A">
        <w:rPr>
          <w:i/>
          <w:iCs/>
          <w:spacing w:val="-3"/>
        </w:rPr>
        <w:t> </w:t>
      </w:r>
      <w:r w:rsidR="00961E9A" w:rsidRPr="00FE5B4A">
        <w:rPr>
          <w:i/>
          <w:iCs/>
          <w:spacing w:val="-3"/>
        </w:rPr>
        <w:t>kPa (1</w:t>
      </w:r>
      <w:r w:rsidR="00FE5B4A" w:rsidRPr="00FE5B4A">
        <w:rPr>
          <w:i/>
          <w:iCs/>
          <w:spacing w:val="-3"/>
        </w:rPr>
        <w:t> </w:t>
      </w:r>
      <w:r w:rsidR="00961E9A" w:rsidRPr="00FE5B4A">
        <w:rPr>
          <w:i/>
          <w:iCs/>
          <w:spacing w:val="-3"/>
        </w:rPr>
        <w:t>bar).</w:t>
      </w:r>
      <w:r w:rsidRPr="00FE5B4A">
        <w:rPr>
          <w:i/>
          <w:iCs/>
          <w:spacing w:val="-3"/>
        </w:rPr>
        <w:t> </w:t>
      </w:r>
      <w:r w:rsidRPr="00FE5B4A">
        <w:rPr>
          <w:spacing w:val="-3"/>
        </w:rPr>
        <w:t>»</w:t>
      </w:r>
      <w:r w:rsidR="00961E9A" w:rsidRPr="00FE5B4A">
        <w:rPr>
          <w:spacing w:val="-3"/>
        </w:rPr>
        <w:t>.</w:t>
      </w:r>
    </w:p>
    <w:p w14:paraId="43898BB3" w14:textId="3111E143" w:rsidR="00961E9A" w:rsidRPr="00F1537C" w:rsidRDefault="00961E9A" w:rsidP="00CD4291">
      <w:pPr>
        <w:pStyle w:val="H1G"/>
      </w:pPr>
      <w:r w:rsidRPr="00323207">
        <w:lastRenderedPageBreak/>
        <w:tab/>
      </w:r>
      <w:r w:rsidRPr="00323207">
        <w:tab/>
      </w:r>
      <w:r>
        <w:t>Point 8</w:t>
      </w:r>
      <w:r w:rsidR="009D57A1">
        <w:t> :</w:t>
      </w:r>
      <w:r>
        <w:t xml:space="preserve"> 6.8.1.5.1 et 6.8.1.5.4</w:t>
      </w:r>
      <w:r w:rsidR="00CD4291">
        <w:t> − </w:t>
      </w:r>
      <w:r>
        <w:t>Incohérence entre l’ADR et le RID 2023</w:t>
      </w:r>
    </w:p>
    <w:p w14:paraId="0EC129D9" w14:textId="083294DE" w:rsidR="00961E9A" w:rsidRPr="00A57B4B" w:rsidRDefault="00961E9A" w:rsidP="00FE5B4A">
      <w:pPr>
        <w:pStyle w:val="SingleTxtG"/>
        <w:tabs>
          <w:tab w:val="left" w:pos="3402"/>
        </w:tabs>
        <w:ind w:right="0"/>
      </w:pPr>
      <w:r>
        <w:rPr>
          <w:i/>
          <w:iCs/>
        </w:rPr>
        <w:t>Document</w:t>
      </w:r>
      <w:r w:rsidR="009D57A1">
        <w:rPr>
          <w:i/>
          <w:iCs/>
        </w:rPr>
        <w:t> </w:t>
      </w:r>
      <w:r w:rsidR="009D57A1" w:rsidRPr="00CD4291">
        <w:t>:</w:t>
      </w:r>
      <w:r>
        <w:tab/>
        <w:t>ECE/TRANS/WP.15/AC.1/2023/37 (Belgique)</w:t>
      </w:r>
    </w:p>
    <w:p w14:paraId="236F18D0" w14:textId="77777777" w:rsidR="00961E9A" w:rsidRPr="00F1537C" w:rsidRDefault="00961E9A" w:rsidP="00CD4291">
      <w:pPr>
        <w:pStyle w:val="SingleTxtG"/>
      </w:pPr>
      <w:r>
        <w:t>17.</w:t>
      </w:r>
      <w:r>
        <w:tab/>
        <w:t>Une incohérence entre le RID et l’ADR a été signalée. Une note contenue dans l’ADR indique que les conteneurs-citernes doivent être inspectés par un organisme de contrôle agréé ou reconnu par le pays d’immatriculation, mais elle ne figure pas au 6.8.1.5.1 du RID.</w:t>
      </w:r>
    </w:p>
    <w:p w14:paraId="7817B921" w14:textId="00D6C611" w:rsidR="00961E9A" w:rsidRPr="00F1537C" w:rsidRDefault="00961E9A" w:rsidP="00CD4291">
      <w:pPr>
        <w:pStyle w:val="SingleTxtG"/>
      </w:pPr>
      <w:r>
        <w:t>18.</w:t>
      </w:r>
      <w:r>
        <w:tab/>
        <w:t>Bien qu’une majorité d’experts se soit prononcée en faveur de la suppression de la note pour les conteneurs-citernes dans l’ADR (option</w:t>
      </w:r>
      <w:r w:rsidR="00FE5B4A">
        <w:t> </w:t>
      </w:r>
      <w:r>
        <w:t xml:space="preserve">1), aucun consensus n’a pu être atteint, car d’autres experts se sont prononcés en faveur de l’ajout de la note dans le RID. </w:t>
      </w:r>
    </w:p>
    <w:p w14:paraId="41261176" w14:textId="77777777" w:rsidR="00961E9A" w:rsidRPr="00F1537C" w:rsidRDefault="00961E9A" w:rsidP="00CD4291">
      <w:pPr>
        <w:pStyle w:val="SingleTxtG"/>
      </w:pPr>
      <w:r>
        <w:t>19.</w:t>
      </w:r>
      <w:r>
        <w:tab/>
        <w:t xml:space="preserve">La suppression de la note pour les conteneurs-citernes résoudrait le problème du pays d’immatriculation et refléterait la situation actuelle, où le conteneur-citerne est inspecté là où il a vraiment servi. </w:t>
      </w:r>
    </w:p>
    <w:p w14:paraId="6C78BA0D" w14:textId="6BC6F380" w:rsidR="00961E9A" w:rsidRPr="00F1537C" w:rsidRDefault="00961E9A" w:rsidP="00CD4291">
      <w:pPr>
        <w:pStyle w:val="SingleTxtG"/>
      </w:pPr>
      <w:r>
        <w:t>20.</w:t>
      </w:r>
      <w:r>
        <w:tab/>
        <w:t>Étant donné qu’il s’agissait d’une question plus politique que technique, il a été convenu de laisser à la séance plénière le choix entre l’option</w:t>
      </w:r>
      <w:r w:rsidR="00FE5B4A">
        <w:t> </w:t>
      </w:r>
      <w:r>
        <w:t>1 ou l’option</w:t>
      </w:r>
      <w:r w:rsidR="00FE5B4A">
        <w:t> </w:t>
      </w:r>
      <w:r>
        <w:t>2 (ajout de la note sur les conteneurs-citernes dans le RID).</w:t>
      </w:r>
    </w:p>
    <w:p w14:paraId="6E866AEC" w14:textId="261D6868" w:rsidR="00961E9A" w:rsidRPr="00F1537C" w:rsidRDefault="00961E9A" w:rsidP="00CD4291">
      <w:pPr>
        <w:pStyle w:val="H1G"/>
        <w:rPr>
          <w:shd w:val="clear" w:color="000000" w:fill="FFFFFF"/>
        </w:rPr>
      </w:pPr>
      <w:r>
        <w:tab/>
      </w:r>
      <w:r>
        <w:tab/>
        <w:t>Point 9</w:t>
      </w:r>
      <w:r w:rsidR="009D57A1">
        <w:t> :</w:t>
      </w:r>
      <w:r>
        <w:t xml:space="preserve"> Terminologie utilisée au 6.8.2.5.2 du RID/ADR </w:t>
      </w:r>
      <w:r w:rsidR="00CD4291">
        <w:br/>
      </w:r>
      <w:r>
        <w:t>sur le marquage</w:t>
      </w:r>
    </w:p>
    <w:p w14:paraId="35C0D6A6" w14:textId="4A787481" w:rsidR="00961E9A" w:rsidRPr="00A57B4B" w:rsidRDefault="00961E9A" w:rsidP="00FE5B4A">
      <w:pPr>
        <w:pStyle w:val="SingleTxtG"/>
        <w:tabs>
          <w:tab w:val="left" w:pos="3402"/>
        </w:tabs>
        <w:ind w:right="0"/>
        <w:rPr>
          <w:shd w:val="clear" w:color="000000" w:fill="FFFFFF"/>
        </w:rPr>
      </w:pPr>
      <w:r>
        <w:rPr>
          <w:i/>
          <w:iCs/>
        </w:rPr>
        <w:t>Document</w:t>
      </w:r>
      <w:r w:rsidR="009D57A1">
        <w:rPr>
          <w:i/>
          <w:iCs/>
        </w:rPr>
        <w:t> </w:t>
      </w:r>
      <w:r w:rsidR="009D57A1" w:rsidRPr="00CD4291">
        <w:t>:</w:t>
      </w:r>
      <w:r>
        <w:tab/>
        <w:t>ECE/TRANS/WP.15/AC.1/2023/53 (France)</w:t>
      </w:r>
    </w:p>
    <w:p w14:paraId="41F75BF9" w14:textId="401CC3E8" w:rsidR="00961E9A" w:rsidRPr="00F1537C" w:rsidRDefault="00961E9A" w:rsidP="00CD4291">
      <w:pPr>
        <w:pStyle w:val="SingleTxtG"/>
        <w:rPr>
          <w:shd w:val="clear" w:color="000000" w:fill="FFFFFF"/>
        </w:rPr>
      </w:pPr>
      <w:r>
        <w:t>21.</w:t>
      </w:r>
      <w:r>
        <w:tab/>
        <w:t xml:space="preserve">L’objectif du document était de mettre la version anglaise du RID et de l’ADR en conformité avec les versions allemande, française et russe. Ainsi, le terme </w:t>
      </w:r>
      <w:r w:rsidR="00696F35">
        <w:t>« </w:t>
      </w:r>
      <w:r>
        <w:t>plate</w:t>
      </w:r>
      <w:r w:rsidR="00696F35">
        <w:t> »</w:t>
      </w:r>
      <w:r>
        <w:t xml:space="preserve"> utilisé au 6.8.2.5.2 de la version anglaise au sujet des indications à faire figurer sur la citerne deviendrait </w:t>
      </w:r>
      <w:r w:rsidR="00696F35">
        <w:t>« </w:t>
      </w:r>
      <w:r>
        <w:t>panel</w:t>
      </w:r>
      <w:r w:rsidR="00696F35">
        <w:t> »</w:t>
      </w:r>
      <w:r>
        <w:t xml:space="preserve">. </w:t>
      </w:r>
    </w:p>
    <w:p w14:paraId="499025BD" w14:textId="77777777" w:rsidR="00961E9A" w:rsidRPr="00F1537C" w:rsidRDefault="00961E9A" w:rsidP="00CD4291">
      <w:pPr>
        <w:pStyle w:val="SingleTxtG"/>
        <w:rPr>
          <w:shd w:val="clear" w:color="000000" w:fill="FFFFFF"/>
        </w:rPr>
      </w:pPr>
      <w:r>
        <w:t>Il n’y a pas eu d’objections à la proposition d’amendement.</w:t>
      </w:r>
    </w:p>
    <w:p w14:paraId="3A04AC09" w14:textId="77777777" w:rsidR="00961E9A" w:rsidRPr="00F1537C" w:rsidRDefault="00961E9A" w:rsidP="00CD4291">
      <w:pPr>
        <w:pStyle w:val="H23G"/>
      </w:pPr>
      <w:r>
        <w:tab/>
      </w:r>
      <w:r>
        <w:tab/>
        <w:t>Proposition 12</w:t>
      </w:r>
    </w:p>
    <w:p w14:paraId="6048B015" w14:textId="77777777" w:rsidR="00961E9A" w:rsidRDefault="00961E9A" w:rsidP="00CD4291">
      <w:pPr>
        <w:pStyle w:val="SingleTxtG"/>
      </w:pPr>
      <w:r>
        <w:t>Modification sans objet en français.</w:t>
      </w:r>
    </w:p>
    <w:p w14:paraId="5F97F529" w14:textId="2E371CD3" w:rsidR="00961E9A" w:rsidRPr="00F1537C" w:rsidRDefault="00961E9A" w:rsidP="00CD4291">
      <w:pPr>
        <w:pStyle w:val="H1G"/>
        <w:rPr>
          <w:shd w:val="clear" w:color="000000" w:fill="FFFFFF"/>
        </w:rPr>
      </w:pPr>
      <w:r>
        <w:tab/>
      </w:r>
      <w:r>
        <w:tab/>
        <w:t>Point 10</w:t>
      </w:r>
      <w:r w:rsidR="009D57A1">
        <w:t> :</w:t>
      </w:r>
      <w:r>
        <w:t xml:space="preserve"> Clarification du 4.3.4.2.1 du RID/ADR sur la température </w:t>
      </w:r>
      <w:r w:rsidR="00FE5B4A">
        <w:br/>
      </w:r>
      <w:r>
        <w:t>de la surface extérieure d’une citerne</w:t>
      </w:r>
    </w:p>
    <w:p w14:paraId="63A5166F" w14:textId="0A1A4E36" w:rsidR="00961E9A" w:rsidRPr="00A57B4B" w:rsidRDefault="00961E9A" w:rsidP="00FE5B4A">
      <w:pPr>
        <w:pStyle w:val="SingleTxtG"/>
        <w:tabs>
          <w:tab w:val="left" w:pos="3402"/>
        </w:tabs>
        <w:ind w:right="0"/>
        <w:rPr>
          <w:shd w:val="clear" w:color="000000" w:fill="FFFFFF"/>
        </w:rPr>
      </w:pPr>
      <w:r>
        <w:rPr>
          <w:i/>
          <w:iCs/>
        </w:rPr>
        <w:t>Document</w:t>
      </w:r>
      <w:r w:rsidR="009D57A1">
        <w:rPr>
          <w:i/>
          <w:iCs/>
        </w:rPr>
        <w:t> </w:t>
      </w:r>
      <w:r w:rsidR="009D57A1" w:rsidRPr="00CD4291">
        <w:t>:</w:t>
      </w:r>
      <w:r>
        <w:tab/>
        <w:t>ECE/TRANS/WP.15/AC.1/2023/54 (France)</w:t>
      </w:r>
    </w:p>
    <w:p w14:paraId="4F5A99C8" w14:textId="6DC6ACF3" w:rsidR="00961E9A" w:rsidRPr="00F1537C" w:rsidRDefault="00961E9A" w:rsidP="00CD4291">
      <w:pPr>
        <w:pStyle w:val="SingleTxtG"/>
      </w:pPr>
      <w:r>
        <w:t>22.</w:t>
      </w:r>
      <w:r>
        <w:tab/>
        <w:t>Le 4.3.4.2.1 indique que la température à la surface extérieure des citernes contenant des matières à température élevée ne doit pas dépasser 70</w:t>
      </w:r>
      <w:r w:rsidR="00FE5B4A">
        <w:t> </w:t>
      </w:r>
      <w:r>
        <w:t>°C pour éviter que les personnes touchant la citerne ne se brûlent. Cependant, la position des ouvertures et de leurs moyens d’obturation les rend difficiles à atteindre, et elles ne peuvent pas toujours être isolées de manière à respecter cette disposition. La proposition d’exemption d’isoler les ouvertures et fermetures est déjà couverte par les dispositions du 4.2.1.4. Il n’y a pas eu d’objections à la proposition d’amendement du 4.3.4.2.1.</w:t>
      </w:r>
    </w:p>
    <w:p w14:paraId="61CA785A" w14:textId="77777777" w:rsidR="00961E9A" w:rsidRPr="00F1537C" w:rsidRDefault="00961E9A" w:rsidP="00CD4291">
      <w:pPr>
        <w:pStyle w:val="H23G"/>
      </w:pPr>
      <w:r>
        <w:tab/>
      </w:r>
      <w:r>
        <w:tab/>
        <w:t>Proposition 13</w:t>
      </w:r>
    </w:p>
    <w:p w14:paraId="2F7807B6" w14:textId="0C53B6FA" w:rsidR="00961E9A" w:rsidRPr="002C5FA6" w:rsidRDefault="00961E9A" w:rsidP="00CD4291">
      <w:pPr>
        <w:pStyle w:val="SingleTxtG"/>
      </w:pPr>
      <w:r>
        <w:t xml:space="preserve">Modifier le 4.3.4.2.1 comme suit (les ajouts figurent en </w:t>
      </w:r>
      <w:r w:rsidRPr="002C5FA6">
        <w:t>caractères soulignés)</w:t>
      </w:r>
      <w:r w:rsidR="009D57A1" w:rsidRPr="002C5FA6">
        <w:t> :</w:t>
      </w:r>
    </w:p>
    <w:p w14:paraId="2ACCA3FD" w14:textId="7ED70755" w:rsidR="00961E9A" w:rsidRPr="00323207" w:rsidRDefault="00696F35" w:rsidP="00CD4291">
      <w:pPr>
        <w:pStyle w:val="SingleTxtG"/>
      </w:pPr>
      <w:r w:rsidRPr="002C5FA6">
        <w:t>« </w:t>
      </w:r>
      <w:r w:rsidR="00961E9A" w:rsidRPr="002C5FA6">
        <w:t xml:space="preserve">Dans le cas de remplissage de matières chaudes, la température </w:t>
      </w:r>
      <w:r w:rsidR="00961E9A" w:rsidRPr="002C5FA6">
        <w:rPr>
          <w:u w:val="single"/>
        </w:rPr>
        <w:t>de</w:t>
      </w:r>
      <w:r w:rsidR="00961E9A" w:rsidRPr="002C5FA6">
        <w:t xml:space="preserve"> la surface extérieure de la citerne, </w:t>
      </w:r>
      <w:r w:rsidR="00961E9A" w:rsidRPr="002C5FA6">
        <w:rPr>
          <w:u w:val="single"/>
        </w:rPr>
        <w:t>à l’exclusion des ouvertures et de leurs moyens d’obturation,</w:t>
      </w:r>
      <w:r w:rsidR="00961E9A" w:rsidRPr="002C5FA6">
        <w:t xml:space="preserve"> ou de l’isolation thermique ne doit pas dépasser 70</w:t>
      </w:r>
      <w:r w:rsidR="00FE5B4A" w:rsidRPr="002C5FA6">
        <w:t> </w:t>
      </w:r>
      <w:r w:rsidR="00961E9A" w:rsidRPr="002C5FA6">
        <w:t>°C pendant le transport.</w:t>
      </w:r>
      <w:r w:rsidRPr="002C5FA6">
        <w:t> »</w:t>
      </w:r>
      <w:r w:rsidR="00961E9A" w:rsidRPr="002C5FA6">
        <w:t>.</w:t>
      </w:r>
    </w:p>
    <w:p w14:paraId="07BBF6B5" w14:textId="34A251E7" w:rsidR="00961E9A" w:rsidRPr="00591C3B" w:rsidRDefault="00961E9A" w:rsidP="00CD4291">
      <w:pPr>
        <w:pStyle w:val="H1G"/>
      </w:pPr>
      <w:r w:rsidRPr="00323207">
        <w:lastRenderedPageBreak/>
        <w:tab/>
      </w:r>
      <w:r w:rsidRPr="00323207">
        <w:tab/>
      </w:r>
      <w:r>
        <w:t>Point 11</w:t>
      </w:r>
      <w:r w:rsidR="009D57A1">
        <w:t> :</w:t>
      </w:r>
      <w:r>
        <w:t xml:space="preserve"> Renvoi à la norme EN 12972:2018 au 6.8.2.6.1 et au 6.8.2.6.2</w:t>
      </w:r>
    </w:p>
    <w:p w14:paraId="50F43068" w14:textId="523B449F" w:rsidR="00961E9A" w:rsidRPr="00F1537C" w:rsidRDefault="00961E9A" w:rsidP="00FE5B4A">
      <w:pPr>
        <w:pStyle w:val="SingleTxtG"/>
        <w:keepNext/>
        <w:tabs>
          <w:tab w:val="left" w:pos="3402"/>
        </w:tabs>
        <w:ind w:right="0"/>
      </w:pPr>
      <w:r>
        <w:rPr>
          <w:i/>
          <w:iCs/>
        </w:rPr>
        <w:t>Document informel</w:t>
      </w:r>
      <w:r w:rsidR="009D57A1">
        <w:rPr>
          <w:i/>
          <w:iCs/>
        </w:rPr>
        <w:t> </w:t>
      </w:r>
      <w:r w:rsidR="009D57A1" w:rsidRPr="00CD4291">
        <w:t>:</w:t>
      </w:r>
      <w:r w:rsidR="00FE5B4A">
        <w:tab/>
      </w:r>
      <w:r>
        <w:tab/>
        <w:t>INF.18 (France)</w:t>
      </w:r>
    </w:p>
    <w:p w14:paraId="42F1D787" w14:textId="55356372" w:rsidR="00961E9A" w:rsidRPr="00F1537C" w:rsidRDefault="00961E9A" w:rsidP="00CD4291">
      <w:pPr>
        <w:pStyle w:val="SingleTxtG"/>
      </w:pPr>
      <w:r>
        <w:t>23.</w:t>
      </w:r>
      <w:r>
        <w:tab/>
        <w:t xml:space="preserve">Étant donné que le 6.8.2.6.2 était désormais intitulé </w:t>
      </w:r>
      <w:r w:rsidR="00696F35">
        <w:t>« </w:t>
      </w:r>
      <w:r>
        <w:t>Examen de type, contrôles et épreuves</w:t>
      </w:r>
      <w:r w:rsidR="00696F35">
        <w:t> »</w:t>
      </w:r>
      <w:r>
        <w:t xml:space="preserve"> et que le 6.8.2.6.1 était désormais intitulé </w:t>
      </w:r>
      <w:r w:rsidR="00696F35">
        <w:t>« </w:t>
      </w:r>
      <w:r>
        <w:t>Conception et construction</w:t>
      </w:r>
      <w:r w:rsidR="00696F35">
        <w:t> »</w:t>
      </w:r>
      <w:r>
        <w:t>, il a été convenu qu’il était pertinent de ne faire figurer un renvoi que dans le 6.8.2.6.2.</w:t>
      </w:r>
    </w:p>
    <w:p w14:paraId="52E63666" w14:textId="77777777" w:rsidR="00961E9A" w:rsidRPr="00F1537C" w:rsidRDefault="00961E9A" w:rsidP="00CD4291">
      <w:pPr>
        <w:pStyle w:val="H23G"/>
      </w:pPr>
      <w:r>
        <w:tab/>
      </w:r>
      <w:r>
        <w:tab/>
        <w:t>Proposition 14</w:t>
      </w:r>
    </w:p>
    <w:p w14:paraId="64C1D785" w14:textId="77777777" w:rsidR="00961E9A" w:rsidRPr="00F1537C" w:rsidRDefault="00961E9A" w:rsidP="00CD4291">
      <w:pPr>
        <w:pStyle w:val="SingleTxtG"/>
      </w:pPr>
      <w:r>
        <w:t>Supprimer le renvoi à la norme EN 12972:2018 dans le tableau du 6.8.2.6.1.</w:t>
      </w:r>
    </w:p>
    <w:p w14:paraId="7B75FBCE" w14:textId="77777777" w:rsidR="00961E9A" w:rsidRPr="00F1537C" w:rsidRDefault="00961E9A" w:rsidP="00CD4291">
      <w:pPr>
        <w:pStyle w:val="H23G"/>
      </w:pPr>
      <w:r>
        <w:tab/>
      </w:r>
      <w:r>
        <w:tab/>
        <w:t>Proposition 15</w:t>
      </w:r>
    </w:p>
    <w:p w14:paraId="7849FCA7" w14:textId="777F3B80" w:rsidR="00961E9A" w:rsidRPr="00F1537C" w:rsidRDefault="00961E9A" w:rsidP="00CD4291">
      <w:pPr>
        <w:pStyle w:val="SingleTxtG"/>
      </w:pPr>
      <w:r>
        <w:t>Modifier la colonne</w:t>
      </w:r>
      <w:r w:rsidR="00FE5B4A">
        <w:t> </w:t>
      </w:r>
      <w:r>
        <w:t>3 du tableau du 6.8.2.6.2 en y ajoutant un renvoi au 6.8.2.3.</w:t>
      </w:r>
    </w:p>
    <w:p w14:paraId="496E8562" w14:textId="66D6C3B9" w:rsidR="00961E9A" w:rsidRPr="00610F40" w:rsidRDefault="00961E9A" w:rsidP="00CD4291">
      <w:pPr>
        <w:pStyle w:val="H1G"/>
      </w:pPr>
      <w:r>
        <w:tab/>
      </w:r>
      <w:r>
        <w:tab/>
        <w:t>Point 12</w:t>
      </w:r>
      <w:r w:rsidR="009D57A1">
        <w:t> :</w:t>
      </w:r>
      <w:r>
        <w:t xml:space="preserve"> RID et ADR</w:t>
      </w:r>
      <w:r w:rsidR="009D57A1">
        <w:t> :</w:t>
      </w:r>
      <w:r>
        <w:t xml:space="preserve"> Suppression du code-citerne L10CH pour </w:t>
      </w:r>
      <w:r w:rsidR="00FE5B4A">
        <w:br/>
      </w:r>
      <w:r>
        <w:t xml:space="preserve">le </w:t>
      </w:r>
      <w:r w:rsidR="00BA59EB">
        <w:t>No </w:t>
      </w:r>
      <w:r>
        <w:t>ONU</w:t>
      </w:r>
      <w:r w:rsidR="00FE5B4A">
        <w:t> </w:t>
      </w:r>
      <w:r>
        <w:t>3550 POUDRE DE DIHYDROXIDE DE COBALT ayant une teneur en particules respirables supérieure ou égale à 10</w:t>
      </w:r>
      <w:r w:rsidR="00FE5B4A">
        <w:t> </w:t>
      </w:r>
      <w:r>
        <w:t>%</w:t>
      </w:r>
    </w:p>
    <w:p w14:paraId="2FFFDE0A" w14:textId="33AF723C" w:rsidR="00961E9A" w:rsidRPr="00F1537C" w:rsidRDefault="00961E9A" w:rsidP="00FE5B4A">
      <w:pPr>
        <w:pStyle w:val="SingleTxtG"/>
        <w:tabs>
          <w:tab w:val="left" w:pos="3402"/>
        </w:tabs>
        <w:ind w:right="1275"/>
      </w:pPr>
      <w:r>
        <w:rPr>
          <w:i/>
          <w:iCs/>
        </w:rPr>
        <w:t>Document informel</w:t>
      </w:r>
      <w:r w:rsidR="009D57A1">
        <w:rPr>
          <w:i/>
          <w:iCs/>
        </w:rPr>
        <w:t> </w:t>
      </w:r>
      <w:r w:rsidR="009D57A1" w:rsidRPr="00CD4291">
        <w:t>:</w:t>
      </w:r>
      <w:r>
        <w:tab/>
        <w:t>INF.27 (Allemagne)</w:t>
      </w:r>
    </w:p>
    <w:p w14:paraId="05F5EC85" w14:textId="740C0133" w:rsidR="00961E9A" w:rsidRPr="00F1537C" w:rsidRDefault="00961E9A" w:rsidP="00CD4291">
      <w:pPr>
        <w:pStyle w:val="SingleTxtG"/>
      </w:pPr>
      <w:r>
        <w:t>24.</w:t>
      </w:r>
      <w:r>
        <w:tab/>
        <w:t>Le Groupe de travail a convenu de supprimer le code-citerne L10CH pour le numéro</w:t>
      </w:r>
      <w:r w:rsidR="00602E76">
        <w:t> </w:t>
      </w:r>
      <w:r>
        <w:t>ONU</w:t>
      </w:r>
      <w:r w:rsidR="00FE5B4A">
        <w:t> </w:t>
      </w:r>
      <w:r>
        <w:t>3550 POUDRE DE DIHYDROXIDE DE COBALT. Par rapport à d’autres numéros</w:t>
      </w:r>
      <w:r w:rsidR="00602E76">
        <w:t> </w:t>
      </w:r>
      <w:r>
        <w:t xml:space="preserve">ONU de la classe 6.1, GE I (par exemple les </w:t>
      </w:r>
      <w:r w:rsidR="00BA59EB">
        <w:t>Nos </w:t>
      </w:r>
      <w:r>
        <w:t>ONU</w:t>
      </w:r>
      <w:r w:rsidR="00A6745C">
        <w:t> </w:t>
      </w:r>
      <w:r>
        <w:t>1544, 1575, 1588, 1680 et 1692), il</w:t>
      </w:r>
      <w:r w:rsidR="00FE5B4A">
        <w:t> </w:t>
      </w:r>
      <w:r>
        <w:t>est proposé de modifier les dispositions spéciales relatives aux citernes.</w:t>
      </w:r>
    </w:p>
    <w:p w14:paraId="467F5759" w14:textId="77777777" w:rsidR="00961E9A" w:rsidRPr="00F1537C" w:rsidRDefault="00961E9A" w:rsidP="00CD4291">
      <w:pPr>
        <w:pStyle w:val="H23G"/>
      </w:pPr>
      <w:r>
        <w:tab/>
      </w:r>
      <w:r>
        <w:tab/>
        <w:t>Proposition 16</w:t>
      </w:r>
    </w:p>
    <w:p w14:paraId="1E46D18B" w14:textId="48569E7B" w:rsidR="00961E9A" w:rsidRPr="00F1537C" w:rsidRDefault="00961E9A" w:rsidP="00CD4291">
      <w:pPr>
        <w:pStyle w:val="SingleTxtG"/>
      </w:pPr>
      <w:r>
        <w:t>Supprimer le code-citerne L10CH de la colonne</w:t>
      </w:r>
      <w:r w:rsidR="00FE5B4A">
        <w:t> </w:t>
      </w:r>
      <w:r>
        <w:t>12 du tableau</w:t>
      </w:r>
      <w:r w:rsidR="00FE5B4A">
        <w:t> </w:t>
      </w:r>
      <w:r>
        <w:t xml:space="preserve">A du 3.2 pour le </w:t>
      </w:r>
      <w:r w:rsidR="00BA59EB">
        <w:t>No </w:t>
      </w:r>
      <w:r>
        <w:t>ONU</w:t>
      </w:r>
      <w:r w:rsidR="00FE5B4A">
        <w:t> </w:t>
      </w:r>
      <w:r>
        <w:t>3550</w:t>
      </w:r>
    </w:p>
    <w:p w14:paraId="1DE17DAA" w14:textId="372EB4D6" w:rsidR="00961E9A" w:rsidRPr="00F1537C" w:rsidRDefault="00961E9A" w:rsidP="00CD4291">
      <w:pPr>
        <w:pStyle w:val="SingleTxtG"/>
      </w:pPr>
      <w:r>
        <w:t>et</w:t>
      </w:r>
      <w:r w:rsidR="009D57A1">
        <w:t> :</w:t>
      </w:r>
    </w:p>
    <w:p w14:paraId="6E9EB720" w14:textId="5397BDE4" w:rsidR="00961E9A" w:rsidRPr="00F1537C" w:rsidRDefault="00961E9A" w:rsidP="00CD4291">
      <w:pPr>
        <w:pStyle w:val="SingleTxtG"/>
      </w:pPr>
      <w:r>
        <w:t>Dans l’ADR</w:t>
      </w:r>
      <w:r w:rsidR="009D57A1">
        <w:t> :</w:t>
      </w:r>
      <w:r>
        <w:t xml:space="preserve"> supprimer les dispositions spéciales TU14 et TE21</w:t>
      </w:r>
      <w:r w:rsidR="00FE5B4A">
        <w:t> ;</w:t>
      </w:r>
    </w:p>
    <w:p w14:paraId="22C66410" w14:textId="7CA30563" w:rsidR="00961E9A" w:rsidRPr="00F1537C" w:rsidRDefault="00961E9A" w:rsidP="00FE5B4A">
      <w:pPr>
        <w:pStyle w:val="SingleTxtG"/>
      </w:pPr>
      <w:r>
        <w:t>Dans le RID</w:t>
      </w:r>
      <w:r w:rsidR="009D57A1">
        <w:t> :</w:t>
      </w:r>
      <w:r>
        <w:t xml:space="preserve"> supprimer les dispositions spéciales TU14, TU38, TE21 et TE22 de la colonne</w:t>
      </w:r>
      <w:r w:rsidR="00CD4291">
        <w:t> </w:t>
      </w:r>
      <w:r>
        <w:t>13 du tableau</w:t>
      </w:r>
      <w:r w:rsidR="00373FED">
        <w:t> </w:t>
      </w:r>
      <w:r>
        <w:t>A du 3.2.</w:t>
      </w:r>
    </w:p>
    <w:p w14:paraId="2FF973A9" w14:textId="01D86FC1" w:rsidR="00961E9A" w:rsidRPr="000E02D9" w:rsidRDefault="00CD4291" w:rsidP="00CD4291">
      <w:pPr>
        <w:pStyle w:val="HChG"/>
      </w:pPr>
      <w:r>
        <w:tab/>
      </w:r>
      <w:r w:rsidR="00961E9A">
        <w:t>II.</w:t>
      </w:r>
      <w:r w:rsidR="00961E9A">
        <w:tab/>
        <w:t>Section 2</w:t>
      </w:r>
      <w:r w:rsidR="009D57A1">
        <w:t> :</w:t>
      </w:r>
      <w:r w:rsidR="00961E9A">
        <w:t xml:space="preserve"> Résultats des débats sur d’autres documents</w:t>
      </w:r>
    </w:p>
    <w:p w14:paraId="0FD6D691" w14:textId="04D8F93C" w:rsidR="00961E9A" w:rsidRPr="002C5FA6" w:rsidRDefault="00961E9A" w:rsidP="00CD4291">
      <w:pPr>
        <w:pStyle w:val="H1G"/>
      </w:pPr>
      <w:r>
        <w:tab/>
      </w:r>
      <w:r>
        <w:tab/>
        <w:t>Point 13</w:t>
      </w:r>
      <w:r w:rsidR="009D57A1">
        <w:t> :</w:t>
      </w:r>
      <w:r>
        <w:t xml:space="preserve"> 6.8.3.6 du RID et de l’ADR</w:t>
      </w:r>
      <w:r w:rsidR="00373FED">
        <w:t> − </w:t>
      </w:r>
      <w:r>
        <w:t xml:space="preserve">Prescriptions applicables </w:t>
      </w:r>
      <w:r w:rsidR="00373FED">
        <w:br/>
      </w:r>
      <w:r>
        <w:t xml:space="preserve">aux wagons-batteries/véhicules-batteries et conteneurs à gaz </w:t>
      </w:r>
      <w:r w:rsidR="00373FED">
        <w:br/>
      </w:r>
      <w:r>
        <w:t xml:space="preserve">à éléments multiples qui sont conçus, construits, contrôlés </w:t>
      </w:r>
      <w:r w:rsidR="00373FED">
        <w:br/>
      </w:r>
      <w:r>
        <w:t xml:space="preserve">et éprouvés selon </w:t>
      </w:r>
      <w:r w:rsidRPr="002C5FA6">
        <w:t>des normes citées en référence</w:t>
      </w:r>
    </w:p>
    <w:p w14:paraId="3FF226AF" w14:textId="12DE163E" w:rsidR="00961E9A" w:rsidRPr="002C5FA6" w:rsidRDefault="00961E9A" w:rsidP="00373FED">
      <w:pPr>
        <w:tabs>
          <w:tab w:val="left" w:pos="3402"/>
        </w:tabs>
        <w:ind w:left="1134" w:right="1275"/>
      </w:pPr>
      <w:r w:rsidRPr="002C5FA6">
        <w:rPr>
          <w:i/>
          <w:iCs/>
        </w:rPr>
        <w:t>Documents</w:t>
      </w:r>
      <w:r w:rsidR="009D57A1" w:rsidRPr="002C5FA6">
        <w:rPr>
          <w:i/>
          <w:iCs/>
        </w:rPr>
        <w:t> </w:t>
      </w:r>
      <w:r w:rsidR="009D57A1" w:rsidRPr="002C5FA6">
        <w:t>:</w:t>
      </w:r>
      <w:r w:rsidRPr="002C5FA6">
        <w:tab/>
        <w:t>ECE/TRANS/WP.15/AC.1/2023/33 (EIGA)</w:t>
      </w:r>
    </w:p>
    <w:p w14:paraId="47C2CF48" w14:textId="77777777" w:rsidR="00961E9A" w:rsidRPr="002C5FA6" w:rsidRDefault="00961E9A" w:rsidP="00373FED">
      <w:pPr>
        <w:tabs>
          <w:tab w:val="left" w:pos="3402"/>
        </w:tabs>
        <w:ind w:left="1134" w:right="1275"/>
      </w:pPr>
      <w:r w:rsidRPr="002C5FA6">
        <w:tab/>
        <w:t>ECE/TRANS/WP.15/AC.1/2023/52 (France)</w:t>
      </w:r>
    </w:p>
    <w:p w14:paraId="1796D07B" w14:textId="6D07F8C6" w:rsidR="00961E9A" w:rsidRPr="002C5FA6" w:rsidRDefault="00961E9A" w:rsidP="002C5FA6">
      <w:pPr>
        <w:pStyle w:val="SingleTxtG"/>
        <w:tabs>
          <w:tab w:val="left" w:pos="3402"/>
        </w:tabs>
        <w:spacing w:before="120"/>
        <w:ind w:right="1276"/>
      </w:pPr>
      <w:r w:rsidRPr="002C5FA6">
        <w:rPr>
          <w:i/>
          <w:iCs/>
        </w:rPr>
        <w:t>Document informel</w:t>
      </w:r>
      <w:r w:rsidR="009D57A1" w:rsidRPr="002C5FA6">
        <w:rPr>
          <w:i/>
          <w:iCs/>
        </w:rPr>
        <w:t> </w:t>
      </w:r>
      <w:r w:rsidR="009D57A1" w:rsidRPr="002C5FA6">
        <w:t>:</w:t>
      </w:r>
      <w:r w:rsidRPr="002C5FA6">
        <w:tab/>
        <w:t>INF.23 (CEN)</w:t>
      </w:r>
    </w:p>
    <w:p w14:paraId="0FC8B190" w14:textId="0D47012B" w:rsidR="00961E9A" w:rsidRPr="00F1537C" w:rsidRDefault="00961E9A" w:rsidP="00CD4291">
      <w:pPr>
        <w:pStyle w:val="SingleTxtG"/>
      </w:pPr>
      <w:r w:rsidRPr="002C5FA6">
        <w:t>25.</w:t>
      </w:r>
      <w:r w:rsidRPr="002C5FA6">
        <w:tab/>
      </w:r>
      <w:r w:rsidRPr="002C5FA6">
        <w:rPr>
          <w:spacing w:val="2"/>
        </w:rPr>
        <w:t>La norme</w:t>
      </w:r>
      <w:r w:rsidR="00373FED" w:rsidRPr="002C5FA6">
        <w:rPr>
          <w:spacing w:val="2"/>
        </w:rPr>
        <w:t> </w:t>
      </w:r>
      <w:r w:rsidRPr="002C5FA6">
        <w:rPr>
          <w:spacing w:val="2"/>
        </w:rPr>
        <w:t>EN 23826 est citée au 6.8.3.6 en ce qui concerne les véhicules</w:t>
      </w:r>
      <w:r w:rsidR="00373FED" w:rsidRPr="002C5FA6">
        <w:rPr>
          <w:spacing w:val="2"/>
        </w:rPr>
        <w:noBreakHyphen/>
      </w:r>
      <w:r w:rsidRPr="002C5FA6">
        <w:rPr>
          <w:spacing w:val="2"/>
        </w:rPr>
        <w:t>batteries, les</w:t>
      </w:r>
      <w:r w:rsidR="00373FED" w:rsidRPr="002C5FA6">
        <w:rPr>
          <w:spacing w:val="2"/>
        </w:rPr>
        <w:t> </w:t>
      </w:r>
      <w:r w:rsidRPr="002C5FA6">
        <w:rPr>
          <w:spacing w:val="2"/>
        </w:rPr>
        <w:t>wagons-batteries et les CGEM, mais des questions se</w:t>
      </w:r>
      <w:r w:rsidRPr="00373FED">
        <w:rPr>
          <w:spacing w:val="2"/>
        </w:rPr>
        <w:t xml:space="preserve"> sont posées étant donné que la norme</w:t>
      </w:r>
      <w:r w:rsidR="00373FED" w:rsidRPr="00373FED">
        <w:rPr>
          <w:spacing w:val="2"/>
        </w:rPr>
        <w:t> </w:t>
      </w:r>
      <w:r w:rsidRPr="00373FED">
        <w:rPr>
          <w:spacing w:val="2"/>
        </w:rPr>
        <w:t>EN</w:t>
      </w:r>
      <w:r w:rsidR="00373FED" w:rsidRPr="00373FED">
        <w:rPr>
          <w:spacing w:val="2"/>
        </w:rPr>
        <w:t> </w:t>
      </w:r>
      <w:r w:rsidRPr="00373FED">
        <w:rPr>
          <w:spacing w:val="2"/>
        </w:rPr>
        <w:t>13807 ne renvoie pas encore à cette norme. Il a été décidé d’approuver la proposition du Groupe de travail des normes (voir document informel</w:t>
      </w:r>
      <w:r w:rsidR="00373FED" w:rsidRPr="00373FED">
        <w:rPr>
          <w:spacing w:val="2"/>
        </w:rPr>
        <w:t> </w:t>
      </w:r>
      <w:r w:rsidRPr="00373FED">
        <w:rPr>
          <w:spacing w:val="2"/>
        </w:rPr>
        <w:t>INF.23, point</w:t>
      </w:r>
      <w:r w:rsidR="00373FED" w:rsidRPr="00373FED">
        <w:rPr>
          <w:spacing w:val="2"/>
        </w:rPr>
        <w:t> </w:t>
      </w:r>
      <w:r w:rsidRPr="00373FED">
        <w:rPr>
          <w:spacing w:val="2"/>
        </w:rPr>
        <w:t xml:space="preserve">5). Comme il est prévu que la norme EN 13807 soit révisée peu après l’entrée en vigueur des éditions 2025 du RID et de l’ADR, la norme EN 23826 pourrait être appliquée sur la base du 1.1.5. </w:t>
      </w:r>
    </w:p>
    <w:p w14:paraId="2150A19A" w14:textId="7804761B" w:rsidR="00961E9A" w:rsidRPr="002C5FA6" w:rsidRDefault="00961E9A" w:rsidP="00CD4291">
      <w:pPr>
        <w:pStyle w:val="H1G"/>
      </w:pPr>
      <w:r>
        <w:lastRenderedPageBreak/>
        <w:tab/>
      </w:r>
      <w:r>
        <w:tab/>
        <w:t>Point 14</w:t>
      </w:r>
      <w:r w:rsidR="009D57A1">
        <w:t> :</w:t>
      </w:r>
      <w:r>
        <w:t xml:space="preserve"> Suppression du double agrément de citernes au titre </w:t>
      </w:r>
      <w:r w:rsidR="00373FED">
        <w:br/>
      </w:r>
      <w:r>
        <w:t>des chapitres 6.7 et 6.8 du RID/</w:t>
      </w:r>
      <w:r w:rsidRPr="002C5FA6">
        <w:t>ADR</w:t>
      </w:r>
    </w:p>
    <w:p w14:paraId="2D5464F1" w14:textId="1CCDFB7E" w:rsidR="00961E9A" w:rsidRPr="002C5FA6" w:rsidRDefault="00961E9A" w:rsidP="00373FED">
      <w:pPr>
        <w:tabs>
          <w:tab w:val="left" w:pos="3402"/>
        </w:tabs>
        <w:ind w:left="1134" w:right="1275"/>
      </w:pPr>
      <w:r w:rsidRPr="002C5FA6">
        <w:rPr>
          <w:i/>
          <w:iCs/>
        </w:rPr>
        <w:t>Document</w:t>
      </w:r>
      <w:r w:rsidR="009D57A1" w:rsidRPr="002C5FA6">
        <w:rPr>
          <w:i/>
          <w:iCs/>
        </w:rPr>
        <w:t> </w:t>
      </w:r>
      <w:r w:rsidR="009D57A1" w:rsidRPr="002C5FA6">
        <w:t>:</w:t>
      </w:r>
      <w:r w:rsidRPr="002C5FA6">
        <w:tab/>
        <w:t>ECE/TRANS/WP.15/AC.1/2023/46 (France)</w:t>
      </w:r>
    </w:p>
    <w:p w14:paraId="19B13CC8" w14:textId="219F77B2" w:rsidR="00961E9A" w:rsidRPr="002C5FA6" w:rsidRDefault="00961E9A" w:rsidP="002C5FA6">
      <w:pPr>
        <w:pStyle w:val="SingleTxtG"/>
        <w:tabs>
          <w:tab w:val="left" w:pos="3402"/>
        </w:tabs>
        <w:spacing w:before="120"/>
        <w:ind w:right="1276"/>
        <w:rPr>
          <w:b/>
          <w:bCs/>
        </w:rPr>
      </w:pPr>
      <w:r w:rsidRPr="002C5FA6">
        <w:rPr>
          <w:i/>
          <w:iCs/>
        </w:rPr>
        <w:t>Documents informels</w:t>
      </w:r>
      <w:r w:rsidR="009D57A1" w:rsidRPr="002C5FA6">
        <w:rPr>
          <w:i/>
          <w:iCs/>
        </w:rPr>
        <w:t> </w:t>
      </w:r>
      <w:r w:rsidR="009D57A1" w:rsidRPr="002C5FA6">
        <w:t>:</w:t>
      </w:r>
      <w:r w:rsidRPr="002C5FA6">
        <w:tab/>
        <w:t>INF.12 (ITCO), INF.24 (EIGA) et INF.29 (France)</w:t>
      </w:r>
    </w:p>
    <w:p w14:paraId="3F758638" w14:textId="6743F79B" w:rsidR="00961E9A" w:rsidRPr="00F1537C" w:rsidRDefault="00961E9A" w:rsidP="00CD4291">
      <w:pPr>
        <w:pStyle w:val="SingleTxtG"/>
      </w:pPr>
      <w:r w:rsidRPr="002C5FA6">
        <w:t>26.</w:t>
      </w:r>
      <w:r w:rsidRPr="002C5FA6">
        <w:tab/>
        <w:t>Ce document est le fruit des débats qui ont eu lieu à la session de printemps de la Réunion commune. Il a été souligné que le double agrément des citernes mobiles (6.7) en tant que conteneurs-citernes (6.8) avait des effets</w:t>
      </w:r>
      <w:r>
        <w:t xml:space="preserve"> néfastes. Il a également été reconnu que, dans certains cas, la double homologation avait des effets positifs sur l’utilisation de ces citernes. Par exemple, dans le cas des matières corrosives, les citernes mobiles doivent être vidées par le haut alors que les conteneurs-citernes peuvent être vidés par le bas. La vidange par le haut étant plus difficile à réaliser, le document informel INF.29 a réalisé un inventaire des numéros ONU concernés et proposé un usage différent des citernes mobiles pour pallier le problème.</w:t>
      </w:r>
    </w:p>
    <w:p w14:paraId="1AAAE9B6" w14:textId="313EA2B7" w:rsidR="00961E9A" w:rsidRPr="00F1537C" w:rsidRDefault="00961E9A" w:rsidP="00CD4291">
      <w:pPr>
        <w:pStyle w:val="SingleTxtG"/>
      </w:pPr>
      <w:r>
        <w:t>27.</w:t>
      </w:r>
      <w:r>
        <w:tab/>
        <w:t>Dans son document informel</w:t>
      </w:r>
      <w:r w:rsidR="00373FED">
        <w:t> </w:t>
      </w:r>
      <w:r>
        <w:t>INF.12, l’ITCO a mis en avant les antécédents en matière de sécurité des citernes bénéficiant d’un double agrément et les conséquences pour l’industrie de la suppression de cette possibilité. Dans son document informel</w:t>
      </w:r>
      <w:r w:rsidR="00373FED">
        <w:t> </w:t>
      </w:r>
      <w:r>
        <w:t>INF.24, bien que n’étant pas opposé au principe de la suppression du double agrément, l’EIGA a émis des réserves liées au fait que les citernes agré</w:t>
      </w:r>
      <w:r w:rsidR="00CD4291">
        <w:t>é</w:t>
      </w:r>
      <w:r>
        <w:t>es conformément au chapitre</w:t>
      </w:r>
      <w:r w:rsidR="00373FED">
        <w:t> </w:t>
      </w:r>
      <w:r>
        <w:t>6.7 n’étaient pas autorisées dans certains États ou Parties contractants au RID et à l’ADR. La majorité s’est prononcée en principe en faveur de l’interdiction de la double homologation des citernes mobiles. Toutefois, il a été estimé qu’il était nécessaire de bien comprendre les conséquences de cette décision avant de l’envisager.</w:t>
      </w:r>
    </w:p>
    <w:p w14:paraId="29D4BD04" w14:textId="08B5F7AA" w:rsidR="00961E9A" w:rsidRPr="00F1537C" w:rsidRDefault="00961E9A" w:rsidP="00CD4291">
      <w:pPr>
        <w:pStyle w:val="SingleTxtG"/>
      </w:pPr>
      <w:r>
        <w:t>28.</w:t>
      </w:r>
      <w:r>
        <w:tab/>
        <w:t>Une conséquence majeure indiquée dans le document informel</w:t>
      </w:r>
      <w:r w:rsidR="00373FED">
        <w:t> </w:t>
      </w:r>
      <w:r>
        <w:t>INF.24 est que dans certains pays ou terminaux de chargement, les citernes mobiles ne seraient pas acceptées si elles n’étaient pas également homologuées en tant que conteneurs-citernes. Il a été convenu que cela n’était certainement pas intentionnel et que les citernes mobiles (chapitre</w:t>
      </w:r>
      <w:r w:rsidR="00373FED">
        <w:t> </w:t>
      </w:r>
      <w:r>
        <w:t>6.7) pouvaient être prises en charge par tous les modes de transport et remplies ou vidées dans tous les États contractants au RID ou Parties contractantes à l’ADR et à l’ADN sans être également homologuées en tant que conteneur</w:t>
      </w:r>
      <w:r w:rsidR="00373FED">
        <w:noBreakHyphen/>
      </w:r>
      <w:r>
        <w:t>citerne (chapitre</w:t>
      </w:r>
      <w:r w:rsidR="00373FED">
        <w:t> </w:t>
      </w:r>
      <w:r>
        <w:t>6.8).</w:t>
      </w:r>
    </w:p>
    <w:p w14:paraId="61640A62" w14:textId="625E4E1C" w:rsidR="00961E9A" w:rsidRPr="00F1537C" w:rsidRDefault="00961E9A" w:rsidP="00CD4291">
      <w:pPr>
        <w:pStyle w:val="SingleTxtG"/>
      </w:pPr>
      <w:r>
        <w:t>29.</w:t>
      </w:r>
      <w:r>
        <w:tab/>
        <w:t>L’ITCO a proposé d’organiser une réunion intersessions afin de recenser toutes les conséquences et difficultés qui pourraient découler d’un changement aussi complexe.</w:t>
      </w:r>
    </w:p>
    <w:p w14:paraId="55EF39D3" w14:textId="3FF3A919" w:rsidR="00961E9A" w:rsidRPr="00F1537C" w:rsidRDefault="00961E9A" w:rsidP="00CD4291">
      <w:pPr>
        <w:pStyle w:val="H1G"/>
      </w:pPr>
      <w:r>
        <w:tab/>
      </w:r>
      <w:r>
        <w:tab/>
        <w:t>Point 15</w:t>
      </w:r>
      <w:r w:rsidR="009D57A1">
        <w:t> :</w:t>
      </w:r>
      <w:r>
        <w:t xml:space="preserve"> Cloisons ouvrantes</w:t>
      </w:r>
    </w:p>
    <w:p w14:paraId="558A46E4" w14:textId="47EAEA55" w:rsidR="00961E9A" w:rsidRPr="00F1537C" w:rsidRDefault="00961E9A" w:rsidP="00373FED">
      <w:pPr>
        <w:pStyle w:val="SingleTxtG"/>
        <w:tabs>
          <w:tab w:val="left" w:pos="3402"/>
        </w:tabs>
        <w:ind w:right="1275"/>
      </w:pPr>
      <w:r>
        <w:rPr>
          <w:i/>
          <w:iCs/>
        </w:rPr>
        <w:t>Document informel</w:t>
      </w:r>
      <w:r w:rsidR="009D57A1">
        <w:rPr>
          <w:i/>
          <w:iCs/>
        </w:rPr>
        <w:t> </w:t>
      </w:r>
      <w:r w:rsidR="009D57A1" w:rsidRPr="00CD4291">
        <w:t>:</w:t>
      </w:r>
      <w:r>
        <w:tab/>
        <w:t>INF.4 (Allemagne)</w:t>
      </w:r>
    </w:p>
    <w:p w14:paraId="34CE809B" w14:textId="77777777" w:rsidR="00961E9A" w:rsidRPr="00F1537C" w:rsidRDefault="00961E9A" w:rsidP="00CD4291">
      <w:pPr>
        <w:pStyle w:val="SingleTxtG"/>
      </w:pPr>
      <w:r>
        <w:t>30.</w:t>
      </w:r>
      <w:r>
        <w:tab/>
      </w:r>
      <w:r w:rsidRPr="00CD4291">
        <w:rPr>
          <w:spacing w:val="-2"/>
        </w:rPr>
        <w:t xml:space="preserve">Ni la réglementation ni les normes ne contiennent de dispositions relatives à l’utilisation de cloisons ouvrantes. Le Groupe de travail a jugé qu’il ne s’agissait pas d’une configuration acceptable. Étant donné que la citerne est conçue pour ne transporter qu’un type de carburant, les fuites entre les compartiments ne représentent pas un risque pour la sécurité. </w:t>
      </w:r>
    </w:p>
    <w:p w14:paraId="712883BC" w14:textId="3AC9FFA9" w:rsidR="00961E9A" w:rsidRPr="00F1537C" w:rsidRDefault="00961E9A" w:rsidP="00CD4291">
      <w:pPr>
        <w:pStyle w:val="H1G"/>
      </w:pPr>
      <w:r>
        <w:tab/>
      </w:r>
      <w:r>
        <w:tab/>
        <w:t>Point 16</w:t>
      </w:r>
      <w:r w:rsidR="009D57A1">
        <w:t> :</w:t>
      </w:r>
      <w:r>
        <w:t xml:space="preserve"> Réservoir d’eau pour citernes à déchets opérant sous vide</w:t>
      </w:r>
    </w:p>
    <w:p w14:paraId="3A52C3CD" w14:textId="2C170FA3" w:rsidR="00961E9A" w:rsidRPr="00F1537C" w:rsidRDefault="00961E9A" w:rsidP="00373FED">
      <w:pPr>
        <w:pStyle w:val="SingleTxtG"/>
        <w:tabs>
          <w:tab w:val="left" w:pos="3402"/>
        </w:tabs>
        <w:ind w:right="1275"/>
      </w:pPr>
      <w:r>
        <w:rPr>
          <w:i/>
          <w:iCs/>
        </w:rPr>
        <w:t>Document informel</w:t>
      </w:r>
      <w:r w:rsidR="009D57A1">
        <w:rPr>
          <w:i/>
          <w:iCs/>
        </w:rPr>
        <w:t> </w:t>
      </w:r>
      <w:r w:rsidR="009D57A1" w:rsidRPr="00CD4291">
        <w:t>:</w:t>
      </w:r>
      <w:r>
        <w:tab/>
        <w:t>INF.7 (Allemagne)</w:t>
      </w:r>
    </w:p>
    <w:p w14:paraId="142E56BC" w14:textId="77777777" w:rsidR="00961E9A" w:rsidRPr="00F1537C" w:rsidRDefault="00961E9A" w:rsidP="00CD4291">
      <w:pPr>
        <w:pStyle w:val="SingleTxtG"/>
      </w:pPr>
      <w:r>
        <w:t>31.</w:t>
      </w:r>
      <w:r>
        <w:tab/>
        <w:t xml:space="preserve">Le Groupe de travail a confirmé que les trois configurations présentées dans le document étaient autorisées par la réglementation. </w:t>
      </w:r>
    </w:p>
    <w:p w14:paraId="50C213CE" w14:textId="3B30C4EC" w:rsidR="00961E9A" w:rsidRPr="00F1537C" w:rsidRDefault="00961E9A" w:rsidP="00CD4291">
      <w:pPr>
        <w:pStyle w:val="H1G"/>
      </w:pPr>
      <w:r>
        <w:tab/>
      </w:r>
      <w:r>
        <w:tab/>
        <w:t>Point 17</w:t>
      </w:r>
      <w:r w:rsidR="009D57A1">
        <w:t> :</w:t>
      </w:r>
      <w:r>
        <w:t xml:space="preserve"> Suggestions découlant du débat intersessions sur le temps </w:t>
      </w:r>
      <w:r w:rsidR="00373FED">
        <w:br/>
      </w:r>
      <w:r>
        <w:t>de retenue</w:t>
      </w:r>
    </w:p>
    <w:p w14:paraId="407EB7CD" w14:textId="04FB7174" w:rsidR="00961E9A" w:rsidRPr="00F1537C" w:rsidRDefault="00961E9A" w:rsidP="00373FED">
      <w:pPr>
        <w:pStyle w:val="SingleTxtG"/>
        <w:tabs>
          <w:tab w:val="left" w:pos="3402"/>
        </w:tabs>
        <w:ind w:right="1275"/>
      </w:pPr>
      <w:r>
        <w:rPr>
          <w:i/>
          <w:iCs/>
        </w:rPr>
        <w:t>Document informel</w:t>
      </w:r>
      <w:r w:rsidR="009D57A1">
        <w:rPr>
          <w:i/>
          <w:iCs/>
        </w:rPr>
        <w:t> </w:t>
      </w:r>
      <w:r w:rsidR="009D57A1" w:rsidRPr="00CD4291">
        <w:t>:</w:t>
      </w:r>
      <w:r>
        <w:tab/>
        <w:t>INF.10 (Pays-Bas)</w:t>
      </w:r>
    </w:p>
    <w:p w14:paraId="585E17E0" w14:textId="77777777" w:rsidR="00961E9A" w:rsidRPr="00F1537C" w:rsidRDefault="00961E9A" w:rsidP="00CD4291">
      <w:pPr>
        <w:pStyle w:val="SingleTxtG"/>
      </w:pPr>
      <w:r>
        <w:t>32.</w:t>
      </w:r>
      <w:r>
        <w:tab/>
        <w:t>Les suggestions ont été examinées et bien accueillies, mais il a été convenu que des travaux plus approfondis devaient être menés.</w:t>
      </w:r>
    </w:p>
    <w:p w14:paraId="2CC6D580" w14:textId="4CA66081" w:rsidR="00961E9A" w:rsidRPr="00F1537C" w:rsidRDefault="00961E9A" w:rsidP="00CD4291">
      <w:pPr>
        <w:pStyle w:val="H1G"/>
      </w:pPr>
      <w:r>
        <w:lastRenderedPageBreak/>
        <w:tab/>
      </w:r>
      <w:r>
        <w:tab/>
        <w:t>Point 18</w:t>
      </w:r>
      <w:r w:rsidR="009D57A1">
        <w:t> :</w:t>
      </w:r>
      <w:r>
        <w:t xml:space="preserve"> Résultat du débat intersessions sur le temps de retenue </w:t>
      </w:r>
      <w:r w:rsidR="00CD4291">
        <w:br/>
      </w:r>
      <w:r>
        <w:t>des citernes de gaz liquides réfrigérés</w:t>
      </w:r>
    </w:p>
    <w:p w14:paraId="62F96345" w14:textId="5FD57778" w:rsidR="00961E9A" w:rsidRPr="00F1537C" w:rsidRDefault="00961E9A" w:rsidP="00C1239C">
      <w:pPr>
        <w:pStyle w:val="SingleTxtG"/>
        <w:tabs>
          <w:tab w:val="left" w:pos="3402"/>
        </w:tabs>
        <w:ind w:right="1275"/>
      </w:pPr>
      <w:r>
        <w:rPr>
          <w:i/>
          <w:iCs/>
        </w:rPr>
        <w:t>Document informel</w:t>
      </w:r>
      <w:r w:rsidR="009D57A1">
        <w:rPr>
          <w:i/>
          <w:iCs/>
        </w:rPr>
        <w:t> </w:t>
      </w:r>
      <w:r w:rsidR="009D57A1" w:rsidRPr="00CD4291">
        <w:t>:</w:t>
      </w:r>
      <w:r>
        <w:tab/>
        <w:t>INF.11 (Pays-Bas)</w:t>
      </w:r>
    </w:p>
    <w:p w14:paraId="14622AC1" w14:textId="77777777" w:rsidR="00961E9A" w:rsidRPr="00F1537C" w:rsidRDefault="00961E9A" w:rsidP="00CD4291">
      <w:pPr>
        <w:pStyle w:val="SingleTxtG"/>
      </w:pPr>
      <w:r>
        <w:t>33.</w:t>
      </w:r>
      <w:r>
        <w:tab/>
        <w:t>Le document présentait les débats menés avec les parties prenantes au sujet du temps de retenue et a été considéré comme une contribution précieuse permettant de mieux comprendre comment déterminer le temps de retenue réel. On a reconnu qu’en pratique, il était difficile de savoir qui devait déterminer le temps de retenue réel et que des travaux supplémentaires devaient être menés.</w:t>
      </w:r>
    </w:p>
    <w:p w14:paraId="150EFC0B" w14:textId="2A7277D7" w:rsidR="00961E9A" w:rsidRPr="00F1537C" w:rsidRDefault="00961E9A" w:rsidP="00CD4291">
      <w:pPr>
        <w:pStyle w:val="H1G"/>
      </w:pPr>
      <w:r>
        <w:tab/>
      </w:r>
      <w:r>
        <w:tab/>
        <w:t>Point 19</w:t>
      </w:r>
      <w:r w:rsidR="009D57A1">
        <w:t> :</w:t>
      </w:r>
      <w:r>
        <w:t xml:space="preserve"> Contrôle des citernes dont la date de contrôle intermédiaire est dépassée</w:t>
      </w:r>
    </w:p>
    <w:p w14:paraId="7AE7E1DF" w14:textId="492FB8D4" w:rsidR="00961E9A" w:rsidRPr="00F1537C" w:rsidRDefault="00961E9A" w:rsidP="00C1239C">
      <w:pPr>
        <w:pStyle w:val="SingleTxtG"/>
        <w:tabs>
          <w:tab w:val="left" w:pos="3402"/>
        </w:tabs>
        <w:ind w:right="1275"/>
      </w:pPr>
      <w:r>
        <w:rPr>
          <w:i/>
          <w:iCs/>
        </w:rPr>
        <w:t>Document informel</w:t>
      </w:r>
      <w:r w:rsidR="009D57A1">
        <w:rPr>
          <w:i/>
          <w:iCs/>
        </w:rPr>
        <w:t> </w:t>
      </w:r>
      <w:r w:rsidR="009D57A1" w:rsidRPr="00CD4291">
        <w:t>:</w:t>
      </w:r>
      <w:r>
        <w:tab/>
        <w:t>INF.19 (France)</w:t>
      </w:r>
    </w:p>
    <w:p w14:paraId="2CD12AD7" w14:textId="60841D2E" w:rsidR="00961E9A" w:rsidRPr="00F1537C" w:rsidRDefault="00961E9A" w:rsidP="00CD4291">
      <w:pPr>
        <w:pStyle w:val="SingleTxtG"/>
      </w:pPr>
      <w:r>
        <w:t>34.</w:t>
      </w:r>
      <w:r>
        <w:tab/>
        <w:t>Les experts ayant participé à des débats antérieurs ont confirmé qu’il était suffisant de mener un contrôle intermédiaire si la date prévue pour ce type de contrôle était dépassée. L’UIP a proposé de présenter un document clarifiant la situation à la session suivante.</w:t>
      </w:r>
    </w:p>
    <w:p w14:paraId="6F653346" w14:textId="61370F7D" w:rsidR="00961E9A" w:rsidRPr="00F1537C" w:rsidRDefault="00961E9A" w:rsidP="00961E9A">
      <w:pPr>
        <w:pStyle w:val="H1G"/>
      </w:pPr>
      <w:r>
        <w:tab/>
      </w:r>
      <w:r>
        <w:tab/>
      </w:r>
      <w:r>
        <w:rPr>
          <w:bCs/>
        </w:rPr>
        <w:t>Point 20</w:t>
      </w:r>
      <w:r w:rsidR="009D57A1">
        <w:rPr>
          <w:bCs/>
        </w:rPr>
        <w:t> :</w:t>
      </w:r>
      <w:r>
        <w:rPr>
          <w:bCs/>
        </w:rPr>
        <w:t xml:space="preserve"> 6.8.2.5.1 RID/ADR</w:t>
      </w:r>
      <w:r w:rsidR="002C5FA6">
        <w:rPr>
          <w:bCs/>
        </w:rPr>
        <w:t> − </w:t>
      </w:r>
      <w:r>
        <w:rPr>
          <w:bCs/>
        </w:rPr>
        <w:t>date et type du dernier contrôle subi</w:t>
      </w:r>
      <w:r w:rsidR="009D57A1">
        <w:rPr>
          <w:bCs/>
        </w:rPr>
        <w:t> :</w:t>
      </w:r>
      <w:r w:rsidR="00CD4291">
        <w:rPr>
          <w:bCs/>
        </w:rPr>
        <w:t xml:space="preserve"> </w:t>
      </w:r>
      <w:r>
        <w:rPr>
          <w:bCs/>
        </w:rPr>
        <w:t xml:space="preserve">mention </w:t>
      </w:r>
      <w:r w:rsidR="00696F35">
        <w:rPr>
          <w:bCs/>
        </w:rPr>
        <w:t>« </w:t>
      </w:r>
      <w:r>
        <w:rPr>
          <w:bCs/>
        </w:rPr>
        <w:t>mois, année</w:t>
      </w:r>
      <w:r w:rsidR="00696F35">
        <w:rPr>
          <w:bCs/>
        </w:rPr>
        <w:t> »</w:t>
      </w:r>
      <w:r>
        <w:rPr>
          <w:bCs/>
        </w:rPr>
        <w:t xml:space="preserve"> devant figurer sur la plaque de la citerne</w:t>
      </w:r>
    </w:p>
    <w:p w14:paraId="186CF4FA" w14:textId="72235790" w:rsidR="00961E9A" w:rsidRPr="00F1537C" w:rsidRDefault="00961E9A" w:rsidP="00C1239C">
      <w:pPr>
        <w:pStyle w:val="SingleTxtG"/>
        <w:tabs>
          <w:tab w:val="left" w:pos="3402"/>
        </w:tabs>
        <w:ind w:right="1275"/>
        <w:rPr>
          <w:bCs/>
        </w:rPr>
      </w:pPr>
      <w:r>
        <w:rPr>
          <w:i/>
          <w:iCs/>
        </w:rPr>
        <w:t>Document informel</w:t>
      </w:r>
      <w:r w:rsidR="009D57A1">
        <w:rPr>
          <w:i/>
          <w:iCs/>
        </w:rPr>
        <w:t> </w:t>
      </w:r>
      <w:r w:rsidR="009D57A1" w:rsidRPr="00CD4291">
        <w:t>:</w:t>
      </w:r>
      <w:r>
        <w:tab/>
        <w:t>INF.20 (Pologne)</w:t>
      </w:r>
    </w:p>
    <w:p w14:paraId="26FEC7B4" w14:textId="77777777" w:rsidR="00961E9A" w:rsidRPr="00F1537C" w:rsidRDefault="00961E9A" w:rsidP="00CD4291">
      <w:pPr>
        <w:pStyle w:val="SingleTxtG"/>
      </w:pPr>
      <w:r>
        <w:t>35.</w:t>
      </w:r>
      <w:r>
        <w:tab/>
        <w:t xml:space="preserve">Le 6.8.2.5.1 ne précise pas combien de chiffres doit comporter la date du dernier contrôle subi. Les experts qui ont pris la parole ont indiqué que le marquage de l’année avec deux chiffres était suffisant et ne prêtait pas à confusion. Dans de nombreux cas, l’espace était limité sur la plaque et le marquage nécessitait des efforts considérables. </w:t>
      </w:r>
    </w:p>
    <w:p w14:paraId="174016AA" w14:textId="77777777" w:rsidR="00961E9A" w:rsidRPr="00F1537C" w:rsidRDefault="00961E9A" w:rsidP="00CD4291">
      <w:pPr>
        <w:pStyle w:val="SingleTxtG"/>
        <w:rPr>
          <w:i/>
          <w:iCs/>
        </w:rPr>
      </w:pPr>
      <w:r>
        <w:t>36.</w:t>
      </w:r>
      <w:r>
        <w:tab/>
        <w:t xml:space="preserve">Il a été décidé de ne pas réglementer ce point et de continuer à autoriser l’usage de deux ou quatre chiffres pour indiquer l’année. </w:t>
      </w:r>
    </w:p>
    <w:p w14:paraId="10B23C2C" w14:textId="077FDC54" w:rsidR="00961E9A" w:rsidRPr="00F1537C" w:rsidRDefault="00961E9A" w:rsidP="00CD4291">
      <w:pPr>
        <w:pStyle w:val="H1G"/>
      </w:pPr>
      <w:r>
        <w:tab/>
      </w:r>
      <w:r>
        <w:tab/>
        <w:t>Point 21</w:t>
      </w:r>
      <w:r w:rsidR="009D57A1">
        <w:t> :</w:t>
      </w:r>
      <w:r>
        <w:t xml:space="preserve"> Consultation relative à l’article 5.8.3 de la norme</w:t>
      </w:r>
      <w:r w:rsidR="00C1239C">
        <w:t> </w:t>
      </w:r>
      <w:r>
        <w:t>EN</w:t>
      </w:r>
      <w:r w:rsidR="00C1239C">
        <w:t> </w:t>
      </w:r>
      <w:r>
        <w:t>12972 sur la pression d’épreuve d’étanchéité</w:t>
      </w:r>
    </w:p>
    <w:p w14:paraId="20BB113E" w14:textId="721B6873" w:rsidR="00961E9A" w:rsidRPr="00F1537C" w:rsidRDefault="00961E9A" w:rsidP="00C1239C">
      <w:pPr>
        <w:pStyle w:val="SingleTxtG"/>
        <w:tabs>
          <w:tab w:val="left" w:pos="3402"/>
        </w:tabs>
        <w:ind w:right="1275"/>
      </w:pPr>
      <w:r>
        <w:rPr>
          <w:i/>
          <w:iCs/>
        </w:rPr>
        <w:t>Document informel</w:t>
      </w:r>
      <w:r w:rsidR="009D57A1">
        <w:rPr>
          <w:i/>
          <w:iCs/>
        </w:rPr>
        <w:t> </w:t>
      </w:r>
      <w:r w:rsidR="009D57A1" w:rsidRPr="00CD4291">
        <w:t>:</w:t>
      </w:r>
      <w:r>
        <w:tab/>
        <w:t>INF.21 (Pologne)</w:t>
      </w:r>
    </w:p>
    <w:p w14:paraId="43914646" w14:textId="33A9FB34" w:rsidR="00961E9A" w:rsidRPr="00F1537C" w:rsidRDefault="00961E9A" w:rsidP="00CD4291">
      <w:pPr>
        <w:pStyle w:val="SingleTxtG"/>
      </w:pPr>
      <w:r>
        <w:t>37.</w:t>
      </w:r>
      <w:r>
        <w:tab/>
        <w:t>La question s’est posée de savoir si la pression d’épreuve des dispositifs de fermeture des citernes de l’article</w:t>
      </w:r>
      <w:r w:rsidR="00C1239C">
        <w:t> </w:t>
      </w:r>
      <w:r>
        <w:t>5.8.3 de la norme EN 12972:2018 était correcte. Il a été expliqué que l’article</w:t>
      </w:r>
      <w:r w:rsidR="00C1239C">
        <w:t> </w:t>
      </w:r>
      <w:r>
        <w:t>5.8.3 devait être pris en compte dans son intégralité et que la pression figurant dans le document informel INF.21 concernait une épreuve supplémentaire à mener dans le cas où les dispositifs de fermeture étaient contrôlés séparément de la citerne.</w:t>
      </w:r>
    </w:p>
    <w:p w14:paraId="3741C199" w14:textId="7444F8B8" w:rsidR="00961E9A" w:rsidRPr="00F1537C" w:rsidRDefault="00961E9A" w:rsidP="00CD4291">
      <w:pPr>
        <w:pStyle w:val="SingleTxtG"/>
      </w:pPr>
      <w:r>
        <w:t>38.</w:t>
      </w:r>
      <w:r>
        <w:tab/>
        <w:t xml:space="preserve"> Il a été suggéré d’améliorer la norme en numérotant les différentes sections de l’article</w:t>
      </w:r>
      <w:r w:rsidR="00CD4291">
        <w:t> </w:t>
      </w:r>
      <w:r>
        <w:t>5.8.3. Il n’a cependant pas été jugé nécessaire de modifier la réglementation.</w:t>
      </w:r>
    </w:p>
    <w:p w14:paraId="70ACE013" w14:textId="717631DD" w:rsidR="00961E9A" w:rsidRPr="00F1537C" w:rsidRDefault="00961E9A" w:rsidP="00CD4291">
      <w:pPr>
        <w:pStyle w:val="H1G"/>
      </w:pPr>
      <w:r>
        <w:tab/>
      </w:r>
      <w:r>
        <w:tab/>
        <w:t>Point 22</w:t>
      </w:r>
      <w:r w:rsidR="009D57A1">
        <w:t> :</w:t>
      </w:r>
      <w:r>
        <w:t xml:space="preserve"> Pression maximale de service d’une citerne </w:t>
      </w:r>
      <w:r w:rsidR="00CD4291">
        <w:br/>
      </w:r>
      <w:r>
        <w:t>ayant un code</w:t>
      </w:r>
      <w:r w:rsidR="00CD4291">
        <w:noBreakHyphen/>
      </w:r>
      <w:r>
        <w:t>citerne L4BH</w:t>
      </w:r>
    </w:p>
    <w:p w14:paraId="331D1C69" w14:textId="12C8FBB1" w:rsidR="00961E9A" w:rsidRPr="00F1537C" w:rsidRDefault="00961E9A" w:rsidP="00C1239C">
      <w:pPr>
        <w:pStyle w:val="SingleTxtG"/>
        <w:tabs>
          <w:tab w:val="left" w:pos="3402"/>
        </w:tabs>
        <w:ind w:right="1275"/>
      </w:pPr>
      <w:r>
        <w:rPr>
          <w:i/>
          <w:iCs/>
        </w:rPr>
        <w:t>Document informel</w:t>
      </w:r>
      <w:r w:rsidR="009D57A1">
        <w:rPr>
          <w:i/>
          <w:iCs/>
        </w:rPr>
        <w:t> </w:t>
      </w:r>
      <w:r w:rsidR="009D57A1" w:rsidRPr="00CD4291">
        <w:t>:</w:t>
      </w:r>
      <w:r>
        <w:tab/>
        <w:t>INF.28 (France)</w:t>
      </w:r>
    </w:p>
    <w:p w14:paraId="1A8DF949" w14:textId="1B16C62C" w:rsidR="00F9573C" w:rsidRDefault="00961E9A" w:rsidP="00CD4291">
      <w:pPr>
        <w:pStyle w:val="SingleTxtG"/>
      </w:pPr>
      <w:r>
        <w:t>39.</w:t>
      </w:r>
      <w:r>
        <w:tab/>
        <w:t>Il a été confirmé que les véhicules-citernes ayant un code-citerne L4BH et une pression de service inférieure à 3</w:t>
      </w:r>
      <w:r w:rsidR="00CD4291">
        <w:t> </w:t>
      </w:r>
      <w:proofErr w:type="gramStart"/>
      <w:r>
        <w:t>bar</w:t>
      </w:r>
      <w:proofErr w:type="gramEnd"/>
      <w:r>
        <w:t xml:space="preserve"> étaient autorisés. Dans ce cas, il conviendra de restreindre les substances autorisées. En raison de la soumission tardive du document, il a été jugé nécessaire de poursuivre les discussions à ce sujet.</w:t>
      </w:r>
    </w:p>
    <w:p w14:paraId="65CA137B" w14:textId="689AD744" w:rsidR="00961E9A" w:rsidRPr="00961E9A" w:rsidRDefault="00961E9A" w:rsidP="00961E9A">
      <w:pPr>
        <w:pStyle w:val="SingleTxtG"/>
        <w:spacing w:before="240" w:after="0"/>
        <w:jc w:val="center"/>
        <w:rPr>
          <w:u w:val="single"/>
        </w:rPr>
      </w:pPr>
      <w:r>
        <w:rPr>
          <w:u w:val="single"/>
        </w:rPr>
        <w:tab/>
      </w:r>
      <w:r>
        <w:rPr>
          <w:u w:val="single"/>
        </w:rPr>
        <w:tab/>
      </w:r>
      <w:r>
        <w:rPr>
          <w:u w:val="single"/>
        </w:rPr>
        <w:tab/>
      </w:r>
      <w:r>
        <w:rPr>
          <w:u w:val="single"/>
        </w:rPr>
        <w:tab/>
      </w:r>
    </w:p>
    <w:sectPr w:rsidR="00961E9A" w:rsidRPr="00961E9A" w:rsidSect="00961E9A">
      <w:headerReference w:type="even" r:id="rId8"/>
      <w:headerReference w:type="default" r:id="rId9"/>
      <w:footerReference w:type="even" r:id="rId10"/>
      <w:footerReference w:type="default" r:id="rId11"/>
      <w:footerReference w:type="first" r:id="rId12"/>
      <w:footnotePr>
        <w:numStart w:val="4"/>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0F71" w14:textId="77777777" w:rsidR="00F93844" w:rsidRDefault="00F93844" w:rsidP="00F95C08">
      <w:pPr>
        <w:spacing w:line="240" w:lineRule="auto"/>
      </w:pPr>
    </w:p>
  </w:endnote>
  <w:endnote w:type="continuationSeparator" w:id="0">
    <w:p w14:paraId="344A23F2" w14:textId="77777777" w:rsidR="00F93844" w:rsidRPr="00AC3823" w:rsidRDefault="00F93844" w:rsidP="00AC3823">
      <w:pPr>
        <w:pStyle w:val="Pieddepage"/>
      </w:pPr>
    </w:p>
  </w:endnote>
  <w:endnote w:type="continuationNotice" w:id="1">
    <w:p w14:paraId="294850BB" w14:textId="77777777" w:rsidR="00F93844" w:rsidRDefault="00F938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FA6B" w14:textId="0B3FC93E" w:rsidR="00961E9A" w:rsidRPr="00961E9A" w:rsidRDefault="00961E9A" w:rsidP="00961E9A">
    <w:pPr>
      <w:pStyle w:val="Pieddepage"/>
      <w:tabs>
        <w:tab w:val="right" w:pos="9638"/>
      </w:tabs>
    </w:pPr>
    <w:r w:rsidRPr="00961E9A">
      <w:rPr>
        <w:b/>
        <w:sz w:val="18"/>
      </w:rPr>
      <w:fldChar w:fldCharType="begin"/>
    </w:r>
    <w:r w:rsidRPr="00961E9A">
      <w:rPr>
        <w:b/>
        <w:sz w:val="18"/>
      </w:rPr>
      <w:instrText xml:space="preserve"> PAGE  \* MERGEFORMAT </w:instrText>
    </w:r>
    <w:r w:rsidRPr="00961E9A">
      <w:rPr>
        <w:b/>
        <w:sz w:val="18"/>
      </w:rPr>
      <w:fldChar w:fldCharType="separate"/>
    </w:r>
    <w:r w:rsidRPr="00961E9A">
      <w:rPr>
        <w:b/>
        <w:noProof/>
        <w:sz w:val="18"/>
      </w:rPr>
      <w:t>2</w:t>
    </w:r>
    <w:r w:rsidRPr="00961E9A">
      <w:rPr>
        <w:b/>
        <w:sz w:val="18"/>
      </w:rPr>
      <w:fldChar w:fldCharType="end"/>
    </w:r>
    <w:r>
      <w:rPr>
        <w:b/>
        <w:sz w:val="18"/>
      </w:rPr>
      <w:tab/>
    </w:r>
    <w:r>
      <w:t>GE.23-19527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6A3C" w14:textId="4C691E5E" w:rsidR="00961E9A" w:rsidRPr="00961E9A" w:rsidRDefault="00961E9A" w:rsidP="00961E9A">
    <w:pPr>
      <w:pStyle w:val="Pieddepage"/>
      <w:tabs>
        <w:tab w:val="right" w:pos="9638"/>
      </w:tabs>
      <w:rPr>
        <w:b/>
        <w:sz w:val="18"/>
      </w:rPr>
    </w:pPr>
    <w:r>
      <w:t>GE.23-19527</w:t>
    </w:r>
    <w:r>
      <w:tab/>
    </w:r>
    <w:r w:rsidRPr="00961E9A">
      <w:rPr>
        <w:b/>
        <w:sz w:val="18"/>
      </w:rPr>
      <w:fldChar w:fldCharType="begin"/>
    </w:r>
    <w:r w:rsidRPr="00961E9A">
      <w:rPr>
        <w:b/>
        <w:sz w:val="18"/>
      </w:rPr>
      <w:instrText xml:space="preserve"> PAGE  \* MERGEFORMAT </w:instrText>
    </w:r>
    <w:r w:rsidRPr="00961E9A">
      <w:rPr>
        <w:b/>
        <w:sz w:val="18"/>
      </w:rPr>
      <w:fldChar w:fldCharType="separate"/>
    </w:r>
    <w:r w:rsidRPr="00961E9A">
      <w:rPr>
        <w:b/>
        <w:noProof/>
        <w:sz w:val="18"/>
      </w:rPr>
      <w:t>3</w:t>
    </w:r>
    <w:r w:rsidRPr="00961E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71C5" w14:textId="21D8960A" w:rsidR="007F20FA" w:rsidRPr="00961E9A" w:rsidRDefault="00961E9A" w:rsidP="00961E9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862707" wp14:editId="4A5767A7">
          <wp:simplePos x="0" y="0"/>
          <wp:positionH relativeFrom="margin">
            <wp:posOffset>4319905</wp:posOffset>
          </wp:positionH>
          <wp:positionV relativeFrom="margin">
            <wp:posOffset>9144000</wp:posOffset>
          </wp:positionV>
          <wp:extent cx="1105200" cy="234000"/>
          <wp:effectExtent l="0" t="0" r="0" b="0"/>
          <wp:wrapNone/>
          <wp:docPr id="1690493638" name="Image 169049363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23-19527  (F)</w:t>
    </w:r>
    <w:r>
      <w:rPr>
        <w:noProof/>
        <w:sz w:val="20"/>
      </w:rPr>
      <w:drawing>
        <wp:anchor distT="0" distB="0" distL="114300" distR="114300" simplePos="0" relativeHeight="251660288" behindDoc="0" locked="0" layoutInCell="1" allowOverlap="1" wp14:anchorId="1105A2FC" wp14:editId="2799C8ED">
          <wp:simplePos x="0" y="0"/>
          <wp:positionH relativeFrom="margin">
            <wp:posOffset>5489575</wp:posOffset>
          </wp:positionH>
          <wp:positionV relativeFrom="margin">
            <wp:posOffset>8891905</wp:posOffset>
          </wp:positionV>
          <wp:extent cx="638175" cy="638175"/>
          <wp:effectExtent l="0" t="0" r="9525" b="9525"/>
          <wp:wrapNone/>
          <wp:docPr id="17870970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210224    2</w:t>
    </w:r>
    <w:r w:rsidR="006463FD">
      <w:rPr>
        <w:sz w:val="20"/>
      </w:rPr>
      <w:t>2</w:t>
    </w:r>
    <w:r>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52B5" w14:textId="77777777" w:rsidR="00F93844" w:rsidRPr="00AC3823" w:rsidRDefault="00F93844" w:rsidP="00AC3823">
      <w:pPr>
        <w:pStyle w:val="Pieddepage"/>
        <w:tabs>
          <w:tab w:val="right" w:pos="2155"/>
        </w:tabs>
        <w:spacing w:after="80" w:line="240" w:lineRule="atLeast"/>
        <w:ind w:left="680"/>
        <w:rPr>
          <w:u w:val="single"/>
        </w:rPr>
      </w:pPr>
      <w:r>
        <w:rPr>
          <w:u w:val="single"/>
        </w:rPr>
        <w:tab/>
      </w:r>
    </w:p>
  </w:footnote>
  <w:footnote w:type="continuationSeparator" w:id="0">
    <w:p w14:paraId="47BDFBBB" w14:textId="77777777" w:rsidR="00F93844" w:rsidRPr="00AC3823" w:rsidRDefault="00F93844" w:rsidP="00AC3823">
      <w:pPr>
        <w:pStyle w:val="Pieddepage"/>
        <w:tabs>
          <w:tab w:val="right" w:pos="2155"/>
        </w:tabs>
        <w:spacing w:after="80" w:line="240" w:lineRule="atLeast"/>
        <w:ind w:left="680"/>
        <w:rPr>
          <w:u w:val="single"/>
        </w:rPr>
      </w:pPr>
      <w:r>
        <w:rPr>
          <w:u w:val="single"/>
        </w:rPr>
        <w:tab/>
      </w:r>
    </w:p>
  </w:footnote>
  <w:footnote w:type="continuationNotice" w:id="1">
    <w:p w14:paraId="67E998D4" w14:textId="77777777" w:rsidR="00F93844" w:rsidRPr="00AC3823" w:rsidRDefault="00F93844">
      <w:pPr>
        <w:spacing w:line="240" w:lineRule="auto"/>
        <w:rPr>
          <w:sz w:val="2"/>
          <w:szCs w:val="2"/>
        </w:rPr>
      </w:pPr>
    </w:p>
  </w:footnote>
  <w:footnote w:id="2">
    <w:p w14:paraId="1622E908" w14:textId="1E18940B" w:rsidR="00696F35" w:rsidRPr="00696F35" w:rsidRDefault="00696F35" w:rsidP="00696F35">
      <w:pPr>
        <w:pStyle w:val="Notedebasdepage"/>
        <w:rPr>
          <w:lang w:val="fr-FR"/>
        </w:rPr>
      </w:pPr>
      <w:r>
        <w:tab/>
      </w:r>
      <w:r>
        <w:rPr>
          <w:rStyle w:val="Appelnotedebasdep"/>
        </w:rPr>
        <w:footnoteRef/>
      </w:r>
      <w:r>
        <w:tab/>
      </w:r>
      <w:r w:rsidRPr="00285F3F">
        <w:t>Voir le document de l</w:t>
      </w:r>
      <w:r w:rsidR="00AD6C10">
        <w:t>’</w:t>
      </w:r>
      <w:r w:rsidRPr="00285F3F">
        <w:t>EIGA intitulé «</w:t>
      </w:r>
      <w:r>
        <w:t> </w:t>
      </w:r>
      <w:r w:rsidRPr="00285F3F">
        <w:t xml:space="preserve">Methods to </w:t>
      </w:r>
      <w:proofErr w:type="spellStart"/>
      <w:r w:rsidRPr="00285F3F">
        <w:t>prevent</w:t>
      </w:r>
      <w:proofErr w:type="spellEnd"/>
      <w:r w:rsidRPr="00285F3F">
        <w:t xml:space="preserve"> the </w:t>
      </w:r>
      <w:proofErr w:type="spellStart"/>
      <w:r w:rsidRPr="00285F3F">
        <w:t>premature</w:t>
      </w:r>
      <w:proofErr w:type="spellEnd"/>
      <w:r w:rsidRPr="00285F3F">
        <w:t xml:space="preserve"> activation of relief </w:t>
      </w:r>
      <w:proofErr w:type="spellStart"/>
      <w:r w:rsidRPr="00285F3F">
        <w:t>devices</w:t>
      </w:r>
      <w:proofErr w:type="spellEnd"/>
      <w:r w:rsidRPr="00285F3F">
        <w:t xml:space="preserve"> on tanks</w:t>
      </w:r>
      <w:r>
        <w:t> </w:t>
      </w:r>
      <w:r w:rsidRPr="00285F3F">
        <w:t xml:space="preserve">», disponible sur le site </w:t>
      </w:r>
      <w:hyperlink r:id="rId1" w:history="1">
        <w:r w:rsidRPr="005C193C">
          <w:rPr>
            <w:rStyle w:val="Lienhypertexte"/>
          </w:rPr>
          <w:t>www.eiga.eu</w:t>
        </w:r>
      </w:hyperlink>
      <w:r w:rsidRPr="00285F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D7A1" w14:textId="0D138DB5" w:rsidR="00961E9A" w:rsidRPr="00961E9A" w:rsidRDefault="004B6150">
    <w:pPr>
      <w:pStyle w:val="En-tte"/>
    </w:pPr>
    <w:fldSimple w:instr=" TITLE  \* MERGEFORMAT ">
      <w:r w:rsidR="00F809CA">
        <w:t>ECE/TRANS/WP.15/AC.1/170/Add.1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92BA" w14:textId="4AB369B0" w:rsidR="00961E9A" w:rsidRPr="00961E9A" w:rsidRDefault="004B6150" w:rsidP="00961E9A">
    <w:pPr>
      <w:pStyle w:val="En-tte"/>
      <w:jc w:val="right"/>
    </w:pPr>
    <w:fldSimple w:instr=" TITLE  \* MERGEFORMAT ">
      <w:r w:rsidR="00F809CA">
        <w:t>ECE/TRANS/WP.15/AC.1/170/Add.1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05279409">
    <w:abstractNumId w:val="12"/>
  </w:num>
  <w:num w:numId="2" w16cid:durableId="2072536463">
    <w:abstractNumId w:val="11"/>
  </w:num>
  <w:num w:numId="3" w16cid:durableId="1552574741">
    <w:abstractNumId w:val="10"/>
  </w:num>
  <w:num w:numId="4" w16cid:durableId="59404069">
    <w:abstractNumId w:val="8"/>
  </w:num>
  <w:num w:numId="5" w16cid:durableId="1675255592">
    <w:abstractNumId w:val="3"/>
  </w:num>
  <w:num w:numId="6" w16cid:durableId="2142308029">
    <w:abstractNumId w:val="2"/>
  </w:num>
  <w:num w:numId="7" w16cid:durableId="1858277731">
    <w:abstractNumId w:val="1"/>
  </w:num>
  <w:num w:numId="8" w16cid:durableId="1197156962">
    <w:abstractNumId w:val="0"/>
  </w:num>
  <w:num w:numId="9" w16cid:durableId="1800151910">
    <w:abstractNumId w:val="9"/>
  </w:num>
  <w:num w:numId="10" w16cid:durableId="1963227543">
    <w:abstractNumId w:val="7"/>
  </w:num>
  <w:num w:numId="11" w16cid:durableId="1545949179">
    <w:abstractNumId w:val="6"/>
  </w:num>
  <w:num w:numId="12" w16cid:durableId="1417634885">
    <w:abstractNumId w:val="5"/>
  </w:num>
  <w:num w:numId="13" w16cid:durableId="1241600402">
    <w:abstractNumId w:val="4"/>
  </w:num>
  <w:num w:numId="14" w16cid:durableId="272442502">
    <w:abstractNumId w:val="12"/>
  </w:num>
  <w:num w:numId="15" w16cid:durableId="2075347709">
    <w:abstractNumId w:val="11"/>
  </w:num>
  <w:num w:numId="16" w16cid:durableId="2133084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567"/>
  <w:hyphenationZone w:val="425"/>
  <w:evenAndOddHeaders/>
  <w:characterSpacingControl w:val="doNotCompress"/>
  <w:hdrShapeDefaults>
    <o:shapedefaults v:ext="edit" spidmax="2050"/>
  </w:hdrShapeDefaults>
  <w:footnotePr>
    <w:numStart w:val="4"/>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44"/>
    <w:rsid w:val="00017F94"/>
    <w:rsid w:val="00023842"/>
    <w:rsid w:val="000334F9"/>
    <w:rsid w:val="00045FEB"/>
    <w:rsid w:val="0007796D"/>
    <w:rsid w:val="000B7790"/>
    <w:rsid w:val="000D2212"/>
    <w:rsid w:val="000F0143"/>
    <w:rsid w:val="00111F2F"/>
    <w:rsid w:val="0014365E"/>
    <w:rsid w:val="00143C66"/>
    <w:rsid w:val="00176178"/>
    <w:rsid w:val="001F525A"/>
    <w:rsid w:val="00201148"/>
    <w:rsid w:val="00223272"/>
    <w:rsid w:val="0024779E"/>
    <w:rsid w:val="00257168"/>
    <w:rsid w:val="002744B8"/>
    <w:rsid w:val="002832AC"/>
    <w:rsid w:val="00287B7C"/>
    <w:rsid w:val="002C5FA6"/>
    <w:rsid w:val="002C7535"/>
    <w:rsid w:val="002D7C93"/>
    <w:rsid w:val="00305801"/>
    <w:rsid w:val="00327888"/>
    <w:rsid w:val="00373FED"/>
    <w:rsid w:val="003916DE"/>
    <w:rsid w:val="00421996"/>
    <w:rsid w:val="00441C3B"/>
    <w:rsid w:val="00443845"/>
    <w:rsid w:val="00446FE5"/>
    <w:rsid w:val="00452396"/>
    <w:rsid w:val="00453A42"/>
    <w:rsid w:val="00477EB2"/>
    <w:rsid w:val="004837D8"/>
    <w:rsid w:val="004B6150"/>
    <w:rsid w:val="004E2EED"/>
    <w:rsid w:val="004E468C"/>
    <w:rsid w:val="0051000F"/>
    <w:rsid w:val="00521E18"/>
    <w:rsid w:val="005505B7"/>
    <w:rsid w:val="00573BE5"/>
    <w:rsid w:val="00586ED3"/>
    <w:rsid w:val="00596AA9"/>
    <w:rsid w:val="00602E76"/>
    <w:rsid w:val="006463FD"/>
    <w:rsid w:val="00696F35"/>
    <w:rsid w:val="0071601D"/>
    <w:rsid w:val="007A62E6"/>
    <w:rsid w:val="007B6237"/>
    <w:rsid w:val="007F20FA"/>
    <w:rsid w:val="0080684C"/>
    <w:rsid w:val="00871C75"/>
    <w:rsid w:val="008776DC"/>
    <w:rsid w:val="008D5EF9"/>
    <w:rsid w:val="009164F6"/>
    <w:rsid w:val="009446C0"/>
    <w:rsid w:val="00961E9A"/>
    <w:rsid w:val="009705C8"/>
    <w:rsid w:val="009C1CF4"/>
    <w:rsid w:val="009D57A1"/>
    <w:rsid w:val="009F6B74"/>
    <w:rsid w:val="00A3029F"/>
    <w:rsid w:val="00A30353"/>
    <w:rsid w:val="00A6745C"/>
    <w:rsid w:val="00AC3823"/>
    <w:rsid w:val="00AD6C10"/>
    <w:rsid w:val="00AE323C"/>
    <w:rsid w:val="00AF0CB5"/>
    <w:rsid w:val="00B00181"/>
    <w:rsid w:val="00B00B0D"/>
    <w:rsid w:val="00B45F2E"/>
    <w:rsid w:val="00B765F7"/>
    <w:rsid w:val="00B77993"/>
    <w:rsid w:val="00BA0CA9"/>
    <w:rsid w:val="00BA59EB"/>
    <w:rsid w:val="00C02897"/>
    <w:rsid w:val="00C1239C"/>
    <w:rsid w:val="00C97039"/>
    <w:rsid w:val="00CD4291"/>
    <w:rsid w:val="00CE5800"/>
    <w:rsid w:val="00D3439C"/>
    <w:rsid w:val="00D7622E"/>
    <w:rsid w:val="00DB0D65"/>
    <w:rsid w:val="00DB1831"/>
    <w:rsid w:val="00DD3BFD"/>
    <w:rsid w:val="00DF6678"/>
    <w:rsid w:val="00E0299A"/>
    <w:rsid w:val="00E27001"/>
    <w:rsid w:val="00E85C74"/>
    <w:rsid w:val="00EA6547"/>
    <w:rsid w:val="00ED7237"/>
    <w:rsid w:val="00EF2E22"/>
    <w:rsid w:val="00F35BAF"/>
    <w:rsid w:val="00F660DF"/>
    <w:rsid w:val="00F809CA"/>
    <w:rsid w:val="00F93844"/>
    <w:rsid w:val="00F94664"/>
    <w:rsid w:val="00F9573C"/>
    <w:rsid w:val="00F95C08"/>
    <w:rsid w:val="00FE5B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DE56"/>
  <w15:docId w15:val="{FBF1061F-3EEC-46A7-B9F2-D7F5D6A9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696F3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96F3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961E9A"/>
    <w:rPr>
      <w:rFonts w:ascii="Times New Roman" w:eastAsiaTheme="minorHAnsi" w:hAnsi="Times New Roman" w:cs="Times New Roman"/>
      <w:sz w:val="20"/>
      <w:szCs w:val="20"/>
      <w:lang w:eastAsia="en-US"/>
    </w:rPr>
  </w:style>
  <w:style w:type="character" w:customStyle="1" w:styleId="HChGChar">
    <w:name w:val="_ H _Ch_G Char"/>
    <w:link w:val="HChG"/>
    <w:qFormat/>
    <w:rsid w:val="00961E9A"/>
    <w:rPr>
      <w:rFonts w:ascii="Times New Roman" w:eastAsiaTheme="minorHAnsi" w:hAnsi="Times New Roman" w:cs="Times New Roman"/>
      <w:b/>
      <w:sz w:val="28"/>
      <w:szCs w:val="20"/>
      <w:lang w:eastAsia="en-US"/>
    </w:rPr>
  </w:style>
  <w:style w:type="character" w:customStyle="1" w:styleId="H1GChar">
    <w:name w:val="_ H_1_G Char"/>
    <w:link w:val="H1G"/>
    <w:qFormat/>
    <w:rsid w:val="00961E9A"/>
    <w:rPr>
      <w:rFonts w:ascii="Times New Roman" w:eastAsiaTheme="minorHAnsi" w:hAnsi="Times New Roman" w:cs="Times New Roman"/>
      <w:b/>
      <w:sz w:val="24"/>
      <w:szCs w:val="20"/>
      <w:lang w:eastAsia="en-US"/>
    </w:rPr>
  </w:style>
  <w:style w:type="character" w:customStyle="1" w:styleId="H23GChar">
    <w:name w:val="_ H_2/3_G Char"/>
    <w:link w:val="H23G"/>
    <w:locked/>
    <w:rsid w:val="00961E9A"/>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69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ig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F0B90-F081-404E-925C-089FD612F37B}"/>
</file>

<file path=customXml/itemProps2.xml><?xml version="1.0" encoding="utf-8"?>
<ds:datastoreItem xmlns:ds="http://schemas.openxmlformats.org/officeDocument/2006/customXml" ds:itemID="{5DA19699-A13D-49AA-B4BF-AE9B2C29F04A}"/>
</file>

<file path=docProps/app.xml><?xml version="1.0" encoding="utf-8"?>
<Properties xmlns="http://schemas.openxmlformats.org/officeDocument/2006/extended-properties" xmlns:vt="http://schemas.openxmlformats.org/officeDocument/2006/docPropsVTypes">
  <Template>ECE_TRANS.dotm</Template>
  <TotalTime>2</TotalTime>
  <Pages>10</Pages>
  <Words>2969</Words>
  <Characters>22744</Characters>
  <Application>Microsoft Office Word</Application>
  <DocSecurity>0</DocSecurity>
  <Lines>4548</Lines>
  <Paragraphs>1071</Paragraphs>
  <ScaleCrop>false</ScaleCrop>
  <HeadingPairs>
    <vt:vector size="2" baseType="variant">
      <vt:variant>
        <vt:lpstr>Titre</vt:lpstr>
      </vt:variant>
      <vt:variant>
        <vt:i4>1</vt:i4>
      </vt:variant>
    </vt:vector>
  </HeadingPairs>
  <TitlesOfParts>
    <vt:vector size="1" baseType="lpstr">
      <vt:lpstr>ECE/TRANS/WP.15/AC.1/170/Add.1</vt:lpstr>
    </vt:vector>
  </TitlesOfParts>
  <Company>DCM</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ECE/TRANS/WP.15/AC.1/170/Add.1</dc:title>
  <dc:subject/>
  <dc:creator>Estelle-Delphine DITTA</dc:creator>
  <cp:keywords/>
  <cp:lastModifiedBy>Estelle-Delphine DITTA</cp:lastModifiedBy>
  <cp:revision>3</cp:revision>
  <cp:lastPrinted>2024-02-22T08:35:00Z</cp:lastPrinted>
  <dcterms:created xsi:type="dcterms:W3CDTF">2024-02-22T08:35:00Z</dcterms:created>
  <dcterms:modified xsi:type="dcterms:W3CDTF">2024-02-22T08:37:00Z</dcterms:modified>
</cp:coreProperties>
</file>