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4F12220" w14:textId="77777777" w:rsidTr="00C97039">
        <w:trPr>
          <w:trHeight w:hRule="exact" w:val="851"/>
        </w:trPr>
        <w:tc>
          <w:tcPr>
            <w:tcW w:w="1276" w:type="dxa"/>
            <w:tcBorders>
              <w:bottom w:val="single" w:sz="4" w:space="0" w:color="auto"/>
            </w:tcBorders>
          </w:tcPr>
          <w:p w14:paraId="1DD0EEA3" w14:textId="77777777" w:rsidR="00F35BAF" w:rsidRPr="00DB58B5" w:rsidRDefault="00F35BAF" w:rsidP="00AD2936"/>
        </w:tc>
        <w:tc>
          <w:tcPr>
            <w:tcW w:w="2268" w:type="dxa"/>
            <w:tcBorders>
              <w:bottom w:val="single" w:sz="4" w:space="0" w:color="auto"/>
            </w:tcBorders>
            <w:vAlign w:val="bottom"/>
          </w:tcPr>
          <w:p w14:paraId="735F947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4CE99DA" w14:textId="2246906C" w:rsidR="00F35BAF" w:rsidRPr="00DB58B5" w:rsidRDefault="00AD2936" w:rsidP="00AD2936">
            <w:pPr>
              <w:jc w:val="right"/>
            </w:pPr>
            <w:r w:rsidRPr="00AD2936">
              <w:rPr>
                <w:sz w:val="40"/>
              </w:rPr>
              <w:t>ECE</w:t>
            </w:r>
            <w:r>
              <w:t>/TRANS/WP.15/266/Add.1</w:t>
            </w:r>
          </w:p>
        </w:tc>
      </w:tr>
      <w:tr w:rsidR="00F35BAF" w:rsidRPr="00DB58B5" w14:paraId="60ABDEAD" w14:textId="77777777" w:rsidTr="00C97039">
        <w:trPr>
          <w:trHeight w:hRule="exact" w:val="2835"/>
        </w:trPr>
        <w:tc>
          <w:tcPr>
            <w:tcW w:w="1276" w:type="dxa"/>
            <w:tcBorders>
              <w:top w:val="single" w:sz="4" w:space="0" w:color="auto"/>
              <w:bottom w:val="single" w:sz="12" w:space="0" w:color="auto"/>
            </w:tcBorders>
          </w:tcPr>
          <w:p w14:paraId="61B70EF9" w14:textId="77777777" w:rsidR="00F35BAF" w:rsidRPr="00DB58B5" w:rsidRDefault="00F35BAF" w:rsidP="00C97039">
            <w:pPr>
              <w:spacing w:before="120"/>
              <w:jc w:val="center"/>
            </w:pPr>
            <w:r>
              <w:rPr>
                <w:noProof/>
                <w:lang w:eastAsia="fr-CH"/>
              </w:rPr>
              <w:drawing>
                <wp:inline distT="0" distB="0" distL="0" distR="0" wp14:anchorId="491F2E8F" wp14:editId="4C4A004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C64F4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60811B5" w14:textId="77777777" w:rsidR="00F35BAF" w:rsidRDefault="00AD2936" w:rsidP="00C97039">
            <w:pPr>
              <w:spacing w:before="240"/>
            </w:pPr>
            <w:r>
              <w:t>Distr. générale</w:t>
            </w:r>
          </w:p>
          <w:p w14:paraId="58D6FAE9" w14:textId="77777777" w:rsidR="00AD2936" w:rsidRDefault="00AD2936" w:rsidP="00AD2936">
            <w:pPr>
              <w:spacing w:line="240" w:lineRule="exact"/>
            </w:pPr>
            <w:r>
              <w:t>22 janvier 2024</w:t>
            </w:r>
          </w:p>
          <w:p w14:paraId="6B7FE69F" w14:textId="77777777" w:rsidR="00AD2936" w:rsidRDefault="00AD2936" w:rsidP="00AD2936">
            <w:pPr>
              <w:spacing w:line="240" w:lineRule="exact"/>
            </w:pPr>
            <w:r>
              <w:t>Français</w:t>
            </w:r>
          </w:p>
          <w:p w14:paraId="40DC5B6B" w14:textId="5D3AD12F" w:rsidR="00AD2936" w:rsidRPr="00DB58B5" w:rsidRDefault="00AD2936" w:rsidP="00AD2936">
            <w:pPr>
              <w:spacing w:line="240" w:lineRule="exact"/>
            </w:pPr>
            <w:r>
              <w:t>Original : anglais</w:t>
            </w:r>
          </w:p>
        </w:tc>
      </w:tr>
    </w:tbl>
    <w:p w14:paraId="3C8A85A3" w14:textId="77777777" w:rsidR="007F20FA" w:rsidRPr="000312C0" w:rsidRDefault="007F20FA" w:rsidP="007F20FA">
      <w:pPr>
        <w:spacing w:before="120"/>
        <w:rPr>
          <w:b/>
          <w:sz w:val="28"/>
          <w:szCs w:val="28"/>
        </w:rPr>
      </w:pPr>
      <w:r w:rsidRPr="000312C0">
        <w:rPr>
          <w:b/>
          <w:sz w:val="28"/>
          <w:szCs w:val="28"/>
        </w:rPr>
        <w:t>Commission économique pour l’Europe</w:t>
      </w:r>
    </w:p>
    <w:p w14:paraId="2935A28C" w14:textId="77777777" w:rsidR="007F20FA" w:rsidRDefault="007F20FA" w:rsidP="007F20FA">
      <w:pPr>
        <w:spacing w:before="120"/>
        <w:rPr>
          <w:sz w:val="28"/>
          <w:szCs w:val="28"/>
        </w:rPr>
      </w:pPr>
      <w:r w:rsidRPr="00685843">
        <w:rPr>
          <w:sz w:val="28"/>
          <w:szCs w:val="28"/>
        </w:rPr>
        <w:t>Comité des transports intérieurs</w:t>
      </w:r>
    </w:p>
    <w:p w14:paraId="7EBDDD89" w14:textId="77777777" w:rsidR="00AD2936" w:rsidRPr="009E01B8" w:rsidRDefault="00AD2936" w:rsidP="00E85C74">
      <w:pPr>
        <w:spacing w:before="120"/>
        <w:rPr>
          <w:b/>
          <w:sz w:val="24"/>
          <w:szCs w:val="24"/>
        </w:rPr>
      </w:pPr>
      <w:r w:rsidRPr="009E01B8">
        <w:rPr>
          <w:b/>
          <w:sz w:val="24"/>
          <w:szCs w:val="24"/>
        </w:rPr>
        <w:t>Groupe de travail des transports de marchandises dangereuses</w:t>
      </w:r>
    </w:p>
    <w:p w14:paraId="1295BA65" w14:textId="77777777" w:rsidR="00AD2936" w:rsidRPr="002E3ED1" w:rsidRDefault="00AD2936" w:rsidP="00AD2936">
      <w:pPr>
        <w:spacing w:before="120"/>
        <w:rPr>
          <w:rFonts w:eastAsia="SimSun"/>
          <w:b/>
        </w:rPr>
      </w:pPr>
      <w:r>
        <w:rPr>
          <w:b/>
          <w:bCs/>
          <w:lang w:val="fr-FR"/>
        </w:rPr>
        <w:t>115</w:t>
      </w:r>
      <w:r w:rsidRPr="002E3ED1">
        <w:rPr>
          <w:b/>
          <w:bCs/>
          <w:vertAlign w:val="superscript"/>
          <w:lang w:val="fr-FR"/>
        </w:rPr>
        <w:t>e</w:t>
      </w:r>
      <w:r>
        <w:rPr>
          <w:b/>
          <w:bCs/>
          <w:lang w:val="fr-FR"/>
        </w:rPr>
        <w:t xml:space="preserve"> session</w:t>
      </w:r>
      <w:r>
        <w:rPr>
          <w:lang w:val="fr-FR"/>
        </w:rPr>
        <w:t xml:space="preserve"> </w:t>
      </w:r>
    </w:p>
    <w:p w14:paraId="151C6AF1" w14:textId="77777777" w:rsidR="00AD2936" w:rsidRPr="002E3ED1" w:rsidRDefault="00AD2936" w:rsidP="00AD2936">
      <w:pPr>
        <w:rPr>
          <w:rFonts w:eastAsia="SimSun"/>
        </w:rPr>
      </w:pPr>
      <w:r>
        <w:rPr>
          <w:lang w:val="fr-FR"/>
        </w:rPr>
        <w:t>Genève, 2-5 avril 2024</w:t>
      </w:r>
    </w:p>
    <w:p w14:paraId="7E3F6681" w14:textId="77777777" w:rsidR="00AD2936" w:rsidRPr="002E3ED1" w:rsidRDefault="00AD2936" w:rsidP="00AD2936">
      <w:r>
        <w:rPr>
          <w:lang w:val="fr-FR"/>
        </w:rPr>
        <w:t>Point 1 de l’ordre du jour provisoire</w:t>
      </w:r>
    </w:p>
    <w:p w14:paraId="614C6397" w14:textId="77777777" w:rsidR="00AD2936" w:rsidRPr="002E3ED1" w:rsidRDefault="00AD2936" w:rsidP="00AD2936">
      <w:pPr>
        <w:rPr>
          <w:b/>
          <w:bCs/>
        </w:rPr>
      </w:pPr>
      <w:r>
        <w:rPr>
          <w:b/>
          <w:bCs/>
          <w:lang w:val="fr-FR"/>
        </w:rPr>
        <w:t>Adoption de l’ordre du jour</w:t>
      </w:r>
    </w:p>
    <w:p w14:paraId="4A957418" w14:textId="23162D94" w:rsidR="00AD2936" w:rsidRPr="002E3ED1" w:rsidRDefault="00AD2936" w:rsidP="00AD2936">
      <w:pPr>
        <w:pStyle w:val="HChG"/>
      </w:pPr>
      <w:r>
        <w:rPr>
          <w:lang w:val="fr-FR"/>
        </w:rPr>
        <w:tab/>
      </w:r>
      <w:r>
        <w:rPr>
          <w:lang w:val="fr-FR"/>
        </w:rPr>
        <w:tab/>
        <w:t>Ordre du jour provisoire de la 115</w:t>
      </w:r>
      <w:r w:rsidRPr="00AD2936">
        <w:rPr>
          <w:vertAlign w:val="superscript"/>
          <w:lang w:val="fr-FR"/>
        </w:rPr>
        <w:t>e</w:t>
      </w:r>
      <w:r>
        <w:rPr>
          <w:lang w:val="fr-FR"/>
        </w:rPr>
        <w:t xml:space="preserve"> </w:t>
      </w:r>
      <w:r>
        <w:rPr>
          <w:lang w:val="fr-FR"/>
        </w:rPr>
        <w:t>session</w:t>
      </w:r>
    </w:p>
    <w:p w14:paraId="62938732" w14:textId="77777777" w:rsidR="00AD2936" w:rsidRPr="002E3ED1" w:rsidRDefault="00AD2936" w:rsidP="00AD2936">
      <w:pPr>
        <w:pStyle w:val="H23G"/>
      </w:pPr>
      <w:r>
        <w:rPr>
          <w:lang w:val="fr-FR"/>
        </w:rPr>
        <w:tab/>
      </w:r>
      <w:r>
        <w:rPr>
          <w:lang w:val="fr-FR"/>
        </w:rPr>
        <w:tab/>
        <w:t>Additif</w:t>
      </w:r>
    </w:p>
    <w:p w14:paraId="50B67822" w14:textId="77777777" w:rsidR="00AD2936" w:rsidRPr="002E3ED1" w:rsidRDefault="00AD2936" w:rsidP="00AD2936">
      <w:pPr>
        <w:pStyle w:val="H1G"/>
      </w:pPr>
      <w:r>
        <w:rPr>
          <w:lang w:val="fr-FR"/>
        </w:rPr>
        <w:tab/>
      </w:r>
      <w:r>
        <w:rPr>
          <w:lang w:val="fr-FR"/>
        </w:rPr>
        <w:tab/>
        <w:t>Liste des documents et annotations</w:t>
      </w:r>
    </w:p>
    <w:p w14:paraId="032B8A92" w14:textId="538D29C4" w:rsidR="00AD2936" w:rsidRPr="002E3ED1" w:rsidRDefault="00AD2936" w:rsidP="00AD2936">
      <w:pPr>
        <w:pStyle w:val="H1G"/>
      </w:pPr>
      <w:r>
        <w:rPr>
          <w:lang w:val="fr-FR"/>
        </w:rPr>
        <w:tab/>
      </w:r>
      <w:r>
        <w:rPr>
          <w:lang w:val="fr-FR"/>
        </w:rPr>
        <w:t>1.</w:t>
      </w:r>
      <w:r>
        <w:rPr>
          <w:lang w:val="fr-FR"/>
        </w:rPr>
        <w:tab/>
        <w:t>Adoption de l’ordre du jour</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AD2936" w:rsidRPr="002E3ED1" w14:paraId="2CDDDE93" w14:textId="77777777" w:rsidTr="005659F2">
        <w:trPr>
          <w:cantSplit/>
        </w:trPr>
        <w:tc>
          <w:tcPr>
            <w:tcW w:w="3402" w:type="dxa"/>
            <w:shd w:val="clear" w:color="auto" w:fill="auto"/>
          </w:tcPr>
          <w:p w14:paraId="386FAAD4" w14:textId="77777777" w:rsidR="00AD2936" w:rsidRPr="008738B9" w:rsidRDefault="00AD2936" w:rsidP="005659F2">
            <w:pPr>
              <w:spacing w:after="120" w:line="240" w:lineRule="auto"/>
              <w:ind w:right="99"/>
              <w:rPr>
                <w:rFonts w:asciiTheme="majorBidi" w:hAnsiTheme="majorBidi" w:cstheme="majorBidi"/>
              </w:rPr>
            </w:pPr>
            <w:r>
              <w:rPr>
                <w:lang w:val="fr-FR"/>
              </w:rPr>
              <w:t>ECE/TRANS/WP.15/266 (secrétariat)</w:t>
            </w:r>
          </w:p>
        </w:tc>
        <w:tc>
          <w:tcPr>
            <w:tcW w:w="3969" w:type="dxa"/>
            <w:shd w:val="clear" w:color="auto" w:fill="auto"/>
          </w:tcPr>
          <w:p w14:paraId="2EF94BCE" w14:textId="204ED2CD" w:rsidR="00AD2936" w:rsidRPr="002E3ED1" w:rsidRDefault="00AD2936" w:rsidP="005659F2">
            <w:pPr>
              <w:spacing w:after="120" w:line="240" w:lineRule="auto"/>
              <w:rPr>
                <w:rFonts w:asciiTheme="majorBidi" w:hAnsiTheme="majorBidi" w:cstheme="majorBidi"/>
              </w:rPr>
            </w:pPr>
            <w:r>
              <w:rPr>
                <w:lang w:val="fr-FR"/>
              </w:rPr>
              <w:t>Ordre du jour provisoire de la 115</w:t>
            </w:r>
            <w:r w:rsidRPr="00AD2936">
              <w:rPr>
                <w:vertAlign w:val="superscript"/>
                <w:lang w:val="fr-FR"/>
              </w:rPr>
              <w:t>e</w:t>
            </w:r>
            <w:r>
              <w:rPr>
                <w:lang w:val="fr-FR"/>
              </w:rPr>
              <w:t xml:space="preserve"> </w:t>
            </w:r>
            <w:r>
              <w:rPr>
                <w:lang w:val="fr-FR"/>
              </w:rPr>
              <w:t>session</w:t>
            </w:r>
          </w:p>
        </w:tc>
      </w:tr>
      <w:tr w:rsidR="00AD2936" w:rsidRPr="002E3ED1" w14:paraId="0EBC460E" w14:textId="77777777" w:rsidTr="005659F2">
        <w:trPr>
          <w:cantSplit/>
          <w:trHeight w:val="551"/>
        </w:trPr>
        <w:tc>
          <w:tcPr>
            <w:tcW w:w="3402" w:type="dxa"/>
            <w:shd w:val="clear" w:color="auto" w:fill="auto"/>
          </w:tcPr>
          <w:p w14:paraId="56B084D8" w14:textId="77777777" w:rsidR="00AD2936" w:rsidRPr="008738B9" w:rsidRDefault="00AD2936" w:rsidP="005659F2">
            <w:pPr>
              <w:spacing w:after="120" w:line="240" w:lineRule="auto"/>
              <w:ind w:right="99"/>
              <w:rPr>
                <w:rFonts w:asciiTheme="majorBidi" w:hAnsiTheme="majorBidi" w:cstheme="majorBidi"/>
              </w:rPr>
            </w:pPr>
            <w:r>
              <w:rPr>
                <w:lang w:val="fr-FR"/>
              </w:rPr>
              <w:t>ECE/TRANS/WP.15/266/Add.1 (secrétariat)</w:t>
            </w:r>
          </w:p>
        </w:tc>
        <w:tc>
          <w:tcPr>
            <w:tcW w:w="3969" w:type="dxa"/>
            <w:shd w:val="clear" w:color="auto" w:fill="auto"/>
          </w:tcPr>
          <w:p w14:paraId="4CE52B55" w14:textId="77777777" w:rsidR="00AD2936" w:rsidRPr="002E3ED1" w:rsidRDefault="00AD2936" w:rsidP="005659F2">
            <w:pPr>
              <w:spacing w:after="120" w:line="240" w:lineRule="auto"/>
              <w:rPr>
                <w:rFonts w:asciiTheme="majorBidi" w:hAnsiTheme="majorBidi" w:cstheme="majorBidi"/>
              </w:rPr>
            </w:pPr>
            <w:r>
              <w:rPr>
                <w:lang w:val="fr-FR"/>
              </w:rPr>
              <w:t>Liste des documents et annotations</w:t>
            </w:r>
          </w:p>
        </w:tc>
      </w:tr>
    </w:tbl>
    <w:p w14:paraId="67D84952" w14:textId="77777777" w:rsidR="00AD2936" w:rsidRPr="008738B9" w:rsidRDefault="00AD2936" w:rsidP="00AD2936">
      <w:pPr>
        <w:pStyle w:val="H23G"/>
      </w:pPr>
      <w:r>
        <w:rPr>
          <w:lang w:val="fr-FR"/>
        </w:rPr>
        <w:tab/>
      </w:r>
      <w:r>
        <w:rPr>
          <w:lang w:val="fr-FR"/>
        </w:rPr>
        <w:tab/>
        <w:t>Documents de référence</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AD2936" w:rsidRPr="008738B9" w14:paraId="59909882" w14:textId="77777777" w:rsidTr="00AD2936">
        <w:trPr>
          <w:cantSplit/>
          <w:trHeight w:val="20"/>
        </w:trPr>
        <w:tc>
          <w:tcPr>
            <w:tcW w:w="3402" w:type="dxa"/>
            <w:shd w:val="clear" w:color="auto" w:fill="auto"/>
          </w:tcPr>
          <w:p w14:paraId="6F81BE81" w14:textId="77777777" w:rsidR="00AD2936" w:rsidRPr="008738B9" w:rsidRDefault="00AD2936" w:rsidP="005659F2">
            <w:pPr>
              <w:spacing w:after="120" w:line="240" w:lineRule="auto"/>
              <w:ind w:right="99"/>
              <w:rPr>
                <w:b/>
              </w:rPr>
            </w:pPr>
            <w:hyperlink r:id="rId8" w:history="1">
              <w:r>
                <w:t xml:space="preserve">ECE/TRANS/WP.15/190/Add.1 </w:t>
              </w:r>
            </w:hyperlink>
          </w:p>
        </w:tc>
        <w:tc>
          <w:tcPr>
            <w:tcW w:w="3969" w:type="dxa"/>
            <w:shd w:val="clear" w:color="auto" w:fill="auto"/>
          </w:tcPr>
          <w:p w14:paraId="5F765465" w14:textId="77777777" w:rsidR="00AD2936" w:rsidRPr="008738B9" w:rsidRDefault="00AD2936" w:rsidP="005659F2">
            <w:pPr>
              <w:spacing w:after="120" w:line="240" w:lineRule="auto"/>
              <w:rPr>
                <w:bCs/>
              </w:rPr>
            </w:pPr>
            <w:r>
              <w:rPr>
                <w:lang w:val="fr-FR"/>
              </w:rPr>
              <w:t>Mandat et règlement intérieur</w:t>
            </w:r>
          </w:p>
        </w:tc>
      </w:tr>
      <w:tr w:rsidR="00AD2936" w:rsidRPr="002E3ED1" w14:paraId="69E63F24" w14:textId="77777777" w:rsidTr="00AD2936">
        <w:trPr>
          <w:cantSplit/>
          <w:trHeight w:val="20"/>
        </w:trPr>
        <w:tc>
          <w:tcPr>
            <w:tcW w:w="3402" w:type="dxa"/>
            <w:shd w:val="clear" w:color="auto" w:fill="auto"/>
          </w:tcPr>
          <w:p w14:paraId="1B3789B2" w14:textId="77777777" w:rsidR="00AD2936" w:rsidRPr="008738B9" w:rsidRDefault="00AD2936" w:rsidP="005659F2">
            <w:pPr>
              <w:spacing w:after="120" w:line="240" w:lineRule="auto"/>
              <w:ind w:right="99"/>
            </w:pPr>
            <w:r>
              <w:rPr>
                <w:lang w:val="fr-FR"/>
              </w:rPr>
              <w:t xml:space="preserve">ECE/TRANS/WP.15/264 </w:t>
            </w:r>
          </w:p>
        </w:tc>
        <w:tc>
          <w:tcPr>
            <w:tcW w:w="3969" w:type="dxa"/>
            <w:shd w:val="clear" w:color="auto" w:fill="auto"/>
          </w:tcPr>
          <w:p w14:paraId="3CAA3CAB" w14:textId="2DF32155" w:rsidR="00AD2936" w:rsidRPr="002E3ED1" w:rsidRDefault="00AD2936" w:rsidP="005659F2">
            <w:pPr>
              <w:spacing w:after="120" w:line="240" w:lineRule="auto"/>
            </w:pPr>
            <w:r>
              <w:rPr>
                <w:lang w:val="fr-FR"/>
              </w:rPr>
              <w:t>Rapport du Groupe de travail sur sa 114</w:t>
            </w:r>
            <w:r w:rsidRPr="00AD2936">
              <w:rPr>
                <w:vertAlign w:val="superscript"/>
                <w:lang w:val="fr-FR"/>
              </w:rPr>
              <w:t>e</w:t>
            </w:r>
            <w:r>
              <w:rPr>
                <w:lang w:val="fr-FR"/>
              </w:rPr>
              <w:t xml:space="preserve"> </w:t>
            </w:r>
            <w:r>
              <w:rPr>
                <w:lang w:val="fr-FR"/>
              </w:rPr>
              <w:t>session</w:t>
            </w:r>
          </w:p>
        </w:tc>
      </w:tr>
      <w:tr w:rsidR="00AD2936" w:rsidRPr="002E3ED1" w14:paraId="53F646F4" w14:textId="77777777" w:rsidTr="00AD2936">
        <w:trPr>
          <w:cantSplit/>
          <w:trHeight w:val="20"/>
        </w:trPr>
        <w:tc>
          <w:tcPr>
            <w:tcW w:w="3402" w:type="dxa"/>
            <w:shd w:val="clear" w:color="auto" w:fill="auto"/>
          </w:tcPr>
          <w:p w14:paraId="41112BCF" w14:textId="77777777" w:rsidR="00AD2936" w:rsidRPr="00AD2936" w:rsidRDefault="00AD2936" w:rsidP="005659F2">
            <w:pPr>
              <w:spacing w:after="120" w:line="240" w:lineRule="auto"/>
              <w:ind w:right="99"/>
            </w:pPr>
            <w:r w:rsidRPr="00AD2936">
              <w:rPr>
                <w:lang w:val="fr-FR"/>
              </w:rPr>
              <w:t>ECE/TRANS/326 et Corr.1 à 4</w:t>
            </w:r>
          </w:p>
        </w:tc>
        <w:tc>
          <w:tcPr>
            <w:tcW w:w="3969" w:type="dxa"/>
            <w:shd w:val="clear" w:color="auto" w:fill="auto"/>
          </w:tcPr>
          <w:p w14:paraId="4ACA74F9" w14:textId="267856D7" w:rsidR="00AD2936" w:rsidRPr="002E3ED1" w:rsidRDefault="00AD2936" w:rsidP="005659F2">
            <w:pPr>
              <w:spacing w:line="240" w:lineRule="auto"/>
            </w:pPr>
            <w:r>
              <w:rPr>
                <w:lang w:val="fr-FR"/>
              </w:rPr>
              <w:t>Version de l’ADR en vigueur depuis le 1</w:t>
            </w:r>
            <w:r w:rsidRPr="00AD2936">
              <w:rPr>
                <w:vertAlign w:val="superscript"/>
                <w:lang w:val="fr-FR"/>
              </w:rPr>
              <w:t>er</w:t>
            </w:r>
            <w:r>
              <w:rPr>
                <w:lang w:val="fr-FR"/>
              </w:rPr>
              <w:t> </w:t>
            </w:r>
            <w:r>
              <w:rPr>
                <w:lang w:val="fr-FR"/>
              </w:rPr>
              <w:t>janvier 2023</w:t>
            </w:r>
          </w:p>
        </w:tc>
      </w:tr>
      <w:tr w:rsidR="00AD2936" w:rsidRPr="002E3ED1" w14:paraId="3C956F37" w14:textId="77777777" w:rsidTr="00AD2936">
        <w:trPr>
          <w:cantSplit/>
          <w:trHeight w:val="20"/>
        </w:trPr>
        <w:tc>
          <w:tcPr>
            <w:tcW w:w="3402" w:type="dxa"/>
            <w:shd w:val="clear" w:color="auto" w:fill="auto"/>
          </w:tcPr>
          <w:p w14:paraId="2A0CD7F5" w14:textId="77777777" w:rsidR="00AD2936" w:rsidRPr="008B5F7B" w:rsidRDefault="00AD2936" w:rsidP="005659F2">
            <w:pPr>
              <w:spacing w:after="120" w:line="240" w:lineRule="auto"/>
              <w:ind w:right="99"/>
            </w:pPr>
            <w:r>
              <w:rPr>
                <w:lang w:val="fr-FR"/>
              </w:rPr>
              <w:t>ECE/TRANS/WP.15/265</w:t>
            </w:r>
          </w:p>
        </w:tc>
        <w:tc>
          <w:tcPr>
            <w:tcW w:w="3969" w:type="dxa"/>
            <w:shd w:val="clear" w:color="auto" w:fill="auto"/>
          </w:tcPr>
          <w:p w14:paraId="49C59943" w14:textId="77777777" w:rsidR="00AD2936" w:rsidRPr="002E3ED1" w:rsidRDefault="00AD2936" w:rsidP="005659F2">
            <w:pPr>
              <w:spacing w:line="240" w:lineRule="auto"/>
            </w:pPr>
            <w:r>
              <w:rPr>
                <w:lang w:val="fr-FR"/>
              </w:rPr>
              <w:t>Projet d’amendements aux annexes A et B de l’ADR</w:t>
            </w:r>
          </w:p>
        </w:tc>
      </w:tr>
    </w:tbl>
    <w:p w14:paraId="4BD85C95" w14:textId="698830FF" w:rsidR="00AD2936" w:rsidRPr="002E3ED1" w:rsidRDefault="00AD2936" w:rsidP="00AD2936">
      <w:pPr>
        <w:pStyle w:val="H1G"/>
      </w:pPr>
      <w:r>
        <w:rPr>
          <w:lang w:val="fr-FR"/>
        </w:rPr>
        <w:tab/>
      </w:r>
      <w:r>
        <w:rPr>
          <w:lang w:val="fr-FR"/>
        </w:rPr>
        <w:t>2.</w:t>
      </w:r>
      <w:r>
        <w:rPr>
          <w:lang w:val="fr-FR"/>
        </w:rPr>
        <w:tab/>
        <w:t>Quatre-vingt-sixième session du Comité des transports intérieurs</w:t>
      </w:r>
    </w:p>
    <w:p w14:paraId="4664A488" w14:textId="48F52545" w:rsidR="00AD2936" w:rsidRPr="002E3ED1" w:rsidRDefault="00AD2936" w:rsidP="00AD2936">
      <w:pPr>
        <w:pStyle w:val="SingleTxtG"/>
      </w:pPr>
      <w:r>
        <w:rPr>
          <w:lang w:val="fr-FR"/>
        </w:rPr>
        <w:tab/>
      </w:r>
      <w:r>
        <w:rPr>
          <w:lang w:val="fr-FR"/>
        </w:rPr>
        <w:tab/>
        <w:t>Un membre du secrétariat indiquera au Groupe de travail quelles décisions prises par le Comité des transports intérieurs à sa quatre-vingt-sixième session (Genève, 20-23 février 2024) nécessitent que les organes subsidiaires prennent des mesures de suivi.</w:t>
      </w:r>
    </w:p>
    <w:p w14:paraId="1E08DE88" w14:textId="28CC9CF3" w:rsidR="00AD2936" w:rsidRPr="002E3ED1" w:rsidRDefault="00AD2936" w:rsidP="00AD2936">
      <w:pPr>
        <w:pStyle w:val="H1G"/>
      </w:pPr>
      <w:r>
        <w:rPr>
          <w:lang w:val="fr-FR"/>
        </w:rPr>
        <w:tab/>
      </w:r>
      <w:r>
        <w:rPr>
          <w:lang w:val="fr-FR"/>
        </w:rPr>
        <w:t>3.</w:t>
      </w:r>
      <w:r>
        <w:rPr>
          <w:lang w:val="fr-FR"/>
        </w:rPr>
        <w:tab/>
        <w:t>État de l’Accord relatif au transport international des marchandises dangereuses par route (ADR) et questions connexes</w:t>
      </w:r>
    </w:p>
    <w:p w14:paraId="554DDB2D" w14:textId="77777777" w:rsidR="00AD2936" w:rsidRPr="002E3ED1" w:rsidRDefault="00AD2936" w:rsidP="00AD2936">
      <w:pPr>
        <w:pStyle w:val="SingleTxtG"/>
        <w:ind w:firstLine="567"/>
      </w:pPr>
      <w:r>
        <w:rPr>
          <w:lang w:val="fr-FR"/>
        </w:rPr>
        <w:t>Un membre du secrétariat informera le Groupe de travail de l’état de l’ADR, du Protocole de 1993 portant amendement de l’ADR, des accords spéciaux et des notifications en application du chapitre 1.9.</w:t>
      </w:r>
    </w:p>
    <w:p w14:paraId="26DE2A09" w14:textId="77777777" w:rsidR="00AD2936" w:rsidRPr="002E3ED1" w:rsidRDefault="00AD2936" w:rsidP="00AD2936">
      <w:pPr>
        <w:pStyle w:val="SingleTxtG"/>
        <w:ind w:firstLine="567"/>
      </w:pPr>
      <w:r>
        <w:rPr>
          <w:lang w:val="fr-FR"/>
        </w:rPr>
        <w:lastRenderedPageBreak/>
        <w:t>Au moment de la rédaction du présent document, aucun changement n’avait été signalé en ce qui concerne l’état de l’ADR (54 Parties contractantes) et du Protocole de 1993 (40 Parties contractantes).</w:t>
      </w:r>
    </w:p>
    <w:p w14:paraId="33FF6932" w14:textId="4CADE8D9" w:rsidR="00AD2936" w:rsidRPr="002E3ED1" w:rsidRDefault="00AD2936" w:rsidP="00AD2936">
      <w:pPr>
        <w:pStyle w:val="H1G"/>
      </w:pPr>
      <w:r>
        <w:rPr>
          <w:lang w:val="fr-FR"/>
        </w:rPr>
        <w:tab/>
      </w:r>
      <w:r>
        <w:rPr>
          <w:lang w:val="fr-FR"/>
        </w:rPr>
        <w:t>4.</w:t>
      </w:r>
      <w:r>
        <w:rPr>
          <w:lang w:val="fr-FR"/>
        </w:rPr>
        <w:tab/>
        <w:t>Travaux de la Réunion commune RID/ADR/ADN</w:t>
      </w:r>
    </w:p>
    <w:p w14:paraId="68737968" w14:textId="59556B9E" w:rsidR="00AD2936" w:rsidRPr="002E3ED1" w:rsidRDefault="00AD2936" w:rsidP="00AD2936">
      <w:pPr>
        <w:pStyle w:val="SingleTxtG"/>
        <w:ind w:firstLine="567"/>
      </w:pPr>
      <w:r>
        <w:rPr>
          <w:lang w:val="fr-FR"/>
        </w:rPr>
        <w:t>Le secrétariat fera état des textes adoptés par la Réunion commune à sa session du printemps 2024 (25-28 mars 2024) pour entrée en vigueur au 1</w:t>
      </w:r>
      <w:r w:rsidRPr="00AD2936">
        <w:rPr>
          <w:vertAlign w:val="superscript"/>
          <w:lang w:val="fr-FR"/>
        </w:rPr>
        <w:t>er</w:t>
      </w:r>
      <w:r>
        <w:rPr>
          <w:lang w:val="fr-FR"/>
        </w:rPr>
        <w:t xml:space="preserve"> </w:t>
      </w:r>
      <w:r>
        <w:rPr>
          <w:lang w:val="fr-FR"/>
        </w:rPr>
        <w:t>janvier 2025.</w:t>
      </w:r>
    </w:p>
    <w:p w14:paraId="3105673E" w14:textId="46CAAD1D" w:rsidR="00AD2936" w:rsidRPr="002E3ED1" w:rsidRDefault="00AD2936" w:rsidP="00AD2936">
      <w:pPr>
        <w:pStyle w:val="H1G"/>
      </w:pPr>
      <w:r>
        <w:rPr>
          <w:lang w:val="fr-FR"/>
        </w:rPr>
        <w:tab/>
      </w:r>
      <w:r>
        <w:rPr>
          <w:lang w:val="fr-FR"/>
        </w:rPr>
        <w:t>5.</w:t>
      </w:r>
      <w:r>
        <w:rPr>
          <w:lang w:val="fr-FR"/>
        </w:rPr>
        <w:tab/>
        <w:t>Propositions d’amendements aux annexes A et B de l’ADR</w:t>
      </w:r>
    </w:p>
    <w:p w14:paraId="375694E8" w14:textId="15BFCE66" w:rsidR="00AD2936" w:rsidRPr="002E3ED1" w:rsidRDefault="00AD2936" w:rsidP="00AD2936">
      <w:pPr>
        <w:pStyle w:val="H23G"/>
      </w:pPr>
      <w:r>
        <w:rPr>
          <w:lang w:val="fr-FR"/>
        </w:rPr>
        <w:tab/>
      </w:r>
      <w:r>
        <w:rPr>
          <w:lang w:val="fr-FR"/>
        </w:rPr>
        <w:t>a)</w:t>
      </w:r>
      <w:r>
        <w:rPr>
          <w:lang w:val="fr-FR"/>
        </w:rPr>
        <w:tab/>
        <w:t>Construction et agrément des véhicules</w:t>
      </w:r>
    </w:p>
    <w:tbl>
      <w:tblPr>
        <w:tblW w:w="7365" w:type="dxa"/>
        <w:tblInd w:w="1134" w:type="dxa"/>
        <w:tblLayout w:type="fixed"/>
        <w:tblCellMar>
          <w:left w:w="0" w:type="dxa"/>
          <w:right w:w="0" w:type="dxa"/>
        </w:tblCellMar>
        <w:tblLook w:val="01E0" w:firstRow="1" w:lastRow="1" w:firstColumn="1" w:lastColumn="1" w:noHBand="0" w:noVBand="0"/>
      </w:tblPr>
      <w:tblGrid>
        <w:gridCol w:w="3401"/>
        <w:gridCol w:w="3964"/>
      </w:tblGrid>
      <w:tr w:rsidR="00AD2936" w:rsidRPr="002E3ED1" w14:paraId="0494DF6D" w14:textId="77777777" w:rsidTr="005659F2">
        <w:trPr>
          <w:cantSplit/>
        </w:trPr>
        <w:tc>
          <w:tcPr>
            <w:tcW w:w="3401" w:type="dxa"/>
          </w:tcPr>
          <w:p w14:paraId="0F9B6AE4" w14:textId="77777777" w:rsidR="00AD2936" w:rsidRPr="008738B9" w:rsidRDefault="00AD2936" w:rsidP="005659F2">
            <w:pPr>
              <w:spacing w:after="120"/>
              <w:ind w:right="141"/>
            </w:pPr>
            <w:r>
              <w:rPr>
                <w:lang w:val="fr-FR"/>
              </w:rPr>
              <w:t>ECE/TRANS/WP.15/2024/4 (OICA)</w:t>
            </w:r>
          </w:p>
        </w:tc>
        <w:tc>
          <w:tcPr>
            <w:tcW w:w="3964" w:type="dxa"/>
          </w:tcPr>
          <w:p w14:paraId="586061CD" w14:textId="70CA91E9" w:rsidR="00AD2936" w:rsidRPr="002E3ED1" w:rsidRDefault="00AD2936" w:rsidP="005659F2">
            <w:pPr>
              <w:spacing w:after="120"/>
              <w:rPr>
                <w:bCs/>
              </w:rPr>
            </w:pPr>
            <w:r>
              <w:rPr>
                <w:lang w:val="fr-FR"/>
              </w:rPr>
              <w:t>9.2.2.3</w:t>
            </w:r>
            <w:r>
              <w:rPr>
                <w:lang w:val="fr-FR"/>
              </w:rPr>
              <w:t> </w:t>
            </w:r>
            <w:r>
              <w:rPr>
                <w:lang w:val="fr-FR"/>
              </w:rPr>
              <w:t>: Circuits exemptés de la protection par fusible ou par disjoncteur automatique</w:t>
            </w:r>
          </w:p>
        </w:tc>
      </w:tr>
      <w:tr w:rsidR="00AD2936" w:rsidRPr="002E3ED1" w14:paraId="131323C3" w14:textId="77777777" w:rsidTr="005659F2">
        <w:trPr>
          <w:cantSplit/>
        </w:trPr>
        <w:tc>
          <w:tcPr>
            <w:tcW w:w="3401" w:type="dxa"/>
          </w:tcPr>
          <w:p w14:paraId="5E4C05EE" w14:textId="77777777" w:rsidR="00AD2936" w:rsidRPr="002E3ED1" w:rsidRDefault="00AD2936" w:rsidP="005659F2">
            <w:pPr>
              <w:spacing w:after="120"/>
              <w:ind w:right="141"/>
            </w:pPr>
            <w:r>
              <w:rPr>
                <w:lang w:val="fr-FR"/>
              </w:rPr>
              <w:t>ECE/TRANS/WP.15/2024/5 (Pays-Bas)</w:t>
            </w:r>
          </w:p>
        </w:tc>
        <w:tc>
          <w:tcPr>
            <w:tcW w:w="3964" w:type="dxa"/>
          </w:tcPr>
          <w:p w14:paraId="258C512E" w14:textId="77777777" w:rsidR="00AD2936" w:rsidRPr="002E3ED1" w:rsidRDefault="00AD2936" w:rsidP="005659F2">
            <w:pPr>
              <w:spacing w:after="120"/>
              <w:rPr>
                <w:bCs/>
              </w:rPr>
            </w:pPr>
            <w:r>
              <w:rPr>
                <w:lang w:val="fr-FR"/>
              </w:rPr>
              <w:t>Application du chapitre 9.7 aux équipements électriques</w:t>
            </w:r>
          </w:p>
        </w:tc>
      </w:tr>
      <w:tr w:rsidR="00AD2936" w:rsidRPr="002E3ED1" w14:paraId="59C9A844" w14:textId="77777777" w:rsidTr="005659F2">
        <w:trPr>
          <w:cantSplit/>
        </w:trPr>
        <w:tc>
          <w:tcPr>
            <w:tcW w:w="3401" w:type="dxa"/>
          </w:tcPr>
          <w:p w14:paraId="604F9F58" w14:textId="60ACD122" w:rsidR="00AD2936" w:rsidRPr="002E3ED1" w:rsidRDefault="00AD2936" w:rsidP="005659F2">
            <w:pPr>
              <w:spacing w:after="120"/>
              <w:ind w:right="141"/>
            </w:pPr>
            <w:r>
              <w:rPr>
                <w:lang w:val="fr-FR"/>
              </w:rPr>
              <w:t>ECE/TRANS/WP.15/2024/6 (Royaume</w:t>
            </w:r>
            <w:r>
              <w:rPr>
                <w:lang w:val="fr-FR"/>
              </w:rPr>
              <w:noBreakHyphen/>
            </w:r>
            <w:r>
              <w:rPr>
                <w:lang w:val="fr-FR"/>
              </w:rPr>
              <w:t>Uni)</w:t>
            </w:r>
          </w:p>
        </w:tc>
        <w:tc>
          <w:tcPr>
            <w:tcW w:w="3964" w:type="dxa"/>
          </w:tcPr>
          <w:p w14:paraId="69A0D2F3" w14:textId="77777777" w:rsidR="00AD2936" w:rsidRPr="002E3ED1" w:rsidRDefault="00AD2936" w:rsidP="005659F2">
            <w:pPr>
              <w:spacing w:after="120"/>
            </w:pPr>
            <w:r>
              <w:rPr>
                <w:lang w:val="fr-FR"/>
              </w:rPr>
              <w:t>Section 9.7.6 sur la protection arrière des véhicules</w:t>
            </w:r>
          </w:p>
        </w:tc>
      </w:tr>
      <w:tr w:rsidR="00AD2936" w:rsidRPr="008738B9" w14:paraId="17E7C8F4" w14:textId="77777777" w:rsidTr="005659F2">
        <w:trPr>
          <w:cantSplit/>
        </w:trPr>
        <w:tc>
          <w:tcPr>
            <w:tcW w:w="3401" w:type="dxa"/>
          </w:tcPr>
          <w:p w14:paraId="28491970" w14:textId="77777777" w:rsidR="00AD2936" w:rsidRPr="002E3ED1" w:rsidRDefault="00AD2936" w:rsidP="005659F2">
            <w:pPr>
              <w:spacing w:after="120"/>
              <w:ind w:right="141"/>
            </w:pPr>
            <w:r>
              <w:rPr>
                <w:lang w:val="fr-FR"/>
              </w:rPr>
              <w:t>ECE/TRANS/WP.15/2024/7 (Pays-Bas)</w:t>
            </w:r>
          </w:p>
        </w:tc>
        <w:tc>
          <w:tcPr>
            <w:tcW w:w="3964" w:type="dxa"/>
          </w:tcPr>
          <w:p w14:paraId="1761A446" w14:textId="77777777" w:rsidR="00AD2936" w:rsidRPr="008738B9" w:rsidRDefault="00AD2936" w:rsidP="005659F2">
            <w:pPr>
              <w:spacing w:after="120"/>
            </w:pPr>
            <w:r>
              <w:rPr>
                <w:lang w:val="fr-FR"/>
              </w:rPr>
              <w:t>Tableau figurant au 9.2.1.1</w:t>
            </w:r>
          </w:p>
        </w:tc>
      </w:tr>
      <w:tr w:rsidR="00AD2936" w:rsidRPr="002E3ED1" w14:paraId="3CDA3F15" w14:textId="77777777" w:rsidTr="005659F2">
        <w:trPr>
          <w:cantSplit/>
        </w:trPr>
        <w:tc>
          <w:tcPr>
            <w:tcW w:w="3401" w:type="dxa"/>
          </w:tcPr>
          <w:p w14:paraId="321502F8" w14:textId="77777777" w:rsidR="00AD2936" w:rsidRPr="002E3ED1" w:rsidRDefault="00AD2936" w:rsidP="005659F2">
            <w:pPr>
              <w:ind w:right="141"/>
            </w:pPr>
            <w:r>
              <w:rPr>
                <w:lang w:val="fr-FR"/>
              </w:rPr>
              <w:t>ECE/TRANS/WP.15/2024/8 (Pays-Bas, au nom du groupe de travail informel des véhicules électriques)</w:t>
            </w:r>
          </w:p>
        </w:tc>
        <w:tc>
          <w:tcPr>
            <w:tcW w:w="3964" w:type="dxa"/>
          </w:tcPr>
          <w:p w14:paraId="6B1FC520" w14:textId="77777777" w:rsidR="00AD2936" w:rsidRPr="002E3ED1" w:rsidRDefault="00AD2936" w:rsidP="005659F2">
            <w:r>
              <w:rPr>
                <w:lang w:val="fr-FR"/>
              </w:rPr>
              <w:t>Véhicules électriques à batterie et véhicules alimentés  à l’hydrogène</w:t>
            </w:r>
          </w:p>
        </w:tc>
      </w:tr>
    </w:tbl>
    <w:p w14:paraId="1BB2D62F" w14:textId="7A5DEEDA" w:rsidR="00AD2936" w:rsidRPr="008738B9" w:rsidRDefault="00AD2936" w:rsidP="00AD2936">
      <w:pPr>
        <w:pStyle w:val="H23G"/>
      </w:pPr>
      <w:r>
        <w:rPr>
          <w:lang w:val="fr-FR"/>
        </w:rPr>
        <w:tab/>
      </w:r>
      <w:r>
        <w:rPr>
          <w:lang w:val="fr-FR"/>
        </w:rPr>
        <w:t>b)</w:t>
      </w:r>
      <w:r>
        <w:rPr>
          <w:lang w:val="fr-FR"/>
        </w:rPr>
        <w:tab/>
        <w:t>Propositions diverses</w:t>
      </w:r>
    </w:p>
    <w:tbl>
      <w:tblPr>
        <w:tblW w:w="7365" w:type="dxa"/>
        <w:tblInd w:w="1134" w:type="dxa"/>
        <w:tblLayout w:type="fixed"/>
        <w:tblCellMar>
          <w:left w:w="0" w:type="dxa"/>
          <w:right w:w="0" w:type="dxa"/>
        </w:tblCellMar>
        <w:tblLook w:val="01E0" w:firstRow="1" w:lastRow="1" w:firstColumn="1" w:lastColumn="1" w:noHBand="0" w:noVBand="0"/>
      </w:tblPr>
      <w:tblGrid>
        <w:gridCol w:w="3401"/>
        <w:gridCol w:w="3964"/>
      </w:tblGrid>
      <w:tr w:rsidR="00AD2936" w:rsidRPr="002E3ED1" w14:paraId="4D9E06B1" w14:textId="77777777" w:rsidTr="005659F2">
        <w:trPr>
          <w:cantSplit/>
        </w:trPr>
        <w:tc>
          <w:tcPr>
            <w:tcW w:w="3401" w:type="dxa"/>
          </w:tcPr>
          <w:p w14:paraId="36CF7C7A" w14:textId="77777777" w:rsidR="00AD2936" w:rsidRPr="008738B9" w:rsidRDefault="00AD2936" w:rsidP="005659F2">
            <w:pPr>
              <w:spacing w:after="120"/>
            </w:pPr>
            <w:r>
              <w:rPr>
                <w:lang w:val="fr-FR"/>
              </w:rPr>
              <w:t>ECE/TRANS/WP.15/2024/2 (</w:t>
            </w:r>
            <w:proofErr w:type="spellStart"/>
            <w:r>
              <w:rPr>
                <w:lang w:val="fr-FR"/>
              </w:rPr>
              <w:t>FuelsEurope</w:t>
            </w:r>
            <w:proofErr w:type="spellEnd"/>
            <w:r>
              <w:rPr>
                <w:lang w:val="fr-FR"/>
              </w:rPr>
              <w:t>)</w:t>
            </w:r>
          </w:p>
        </w:tc>
        <w:tc>
          <w:tcPr>
            <w:tcW w:w="3964" w:type="dxa"/>
          </w:tcPr>
          <w:p w14:paraId="50E71F06" w14:textId="77777777" w:rsidR="00AD2936" w:rsidRPr="002E3ED1" w:rsidRDefault="00AD2936" w:rsidP="005659F2">
            <w:pPr>
              <w:spacing w:after="120"/>
            </w:pPr>
            <w:r>
              <w:rPr>
                <w:lang w:val="fr-FR"/>
              </w:rPr>
              <w:t>Marquage d’un véhicule-citerne transportant les Nos ONU 1202, 1203 et 3475</w:t>
            </w:r>
          </w:p>
        </w:tc>
      </w:tr>
    </w:tbl>
    <w:p w14:paraId="42738227" w14:textId="00A10C32" w:rsidR="00AD2936" w:rsidRPr="008738B9" w:rsidRDefault="00AD2936" w:rsidP="00AD2936">
      <w:pPr>
        <w:pStyle w:val="H1G"/>
      </w:pPr>
      <w:r>
        <w:rPr>
          <w:lang w:val="fr-FR"/>
        </w:rPr>
        <w:tab/>
      </w:r>
      <w:r>
        <w:rPr>
          <w:lang w:val="fr-FR"/>
        </w:rPr>
        <w:t>6.</w:t>
      </w:r>
      <w:r>
        <w:rPr>
          <w:lang w:val="fr-FR"/>
        </w:rPr>
        <w:tab/>
        <w:t>Interprétation de l’ADR</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AD2936" w:rsidRPr="002E3ED1" w14:paraId="317501DD" w14:textId="77777777" w:rsidTr="005659F2">
        <w:trPr>
          <w:cantSplit/>
        </w:trPr>
        <w:tc>
          <w:tcPr>
            <w:tcW w:w="3399" w:type="dxa"/>
          </w:tcPr>
          <w:p w14:paraId="6454E171" w14:textId="77777777" w:rsidR="00AD2936" w:rsidRPr="008738B9" w:rsidRDefault="00AD2936" w:rsidP="005659F2">
            <w:pPr>
              <w:spacing w:after="120"/>
            </w:pPr>
            <w:r>
              <w:rPr>
                <w:lang w:val="fr-FR"/>
              </w:rPr>
              <w:t>ECE/TRANS/WP.15/2024/3 (Finlande)</w:t>
            </w:r>
          </w:p>
        </w:tc>
        <w:tc>
          <w:tcPr>
            <w:tcW w:w="3966" w:type="dxa"/>
          </w:tcPr>
          <w:p w14:paraId="27598CA3" w14:textId="09B2B342" w:rsidR="00AD2936" w:rsidRPr="002E3ED1" w:rsidRDefault="00AD2936" w:rsidP="005659F2">
            <w:pPr>
              <w:spacing w:after="120"/>
            </w:pPr>
            <w:r>
              <w:rPr>
                <w:lang w:val="fr-FR"/>
              </w:rPr>
              <w:t>Exemptions liées à la nature de l’opération de transport</w:t>
            </w:r>
            <w:r>
              <w:rPr>
                <w:lang w:val="fr-FR"/>
              </w:rPr>
              <w:t> </w:t>
            </w:r>
            <w:r>
              <w:rPr>
                <w:lang w:val="fr-FR"/>
              </w:rPr>
              <w:t>: 1.1.3.1 a) (transport de marchandises dangereuses effectué par des particuliers)</w:t>
            </w:r>
          </w:p>
        </w:tc>
      </w:tr>
    </w:tbl>
    <w:p w14:paraId="70D53B0C" w14:textId="2793A007" w:rsidR="00AD2936" w:rsidRPr="002E3ED1" w:rsidRDefault="00AD2936" w:rsidP="00AD2936">
      <w:pPr>
        <w:pStyle w:val="H1G"/>
      </w:pPr>
      <w:r>
        <w:rPr>
          <w:lang w:val="fr-FR"/>
        </w:rPr>
        <w:tab/>
      </w:r>
      <w:r>
        <w:rPr>
          <w:lang w:val="fr-FR"/>
        </w:rPr>
        <w:t>7.</w:t>
      </w:r>
      <w:r>
        <w:rPr>
          <w:lang w:val="fr-FR"/>
        </w:rPr>
        <w:tab/>
        <w:t xml:space="preserve">Économie circulaire, utilisation durable des ressources naturelles </w:t>
      </w:r>
      <w:r>
        <w:rPr>
          <w:lang w:val="fr-FR"/>
        </w:rPr>
        <w:br/>
      </w:r>
      <w:r>
        <w:rPr>
          <w:lang w:val="fr-FR"/>
        </w:rPr>
        <w:t>et objectifs de développement durable</w:t>
      </w:r>
    </w:p>
    <w:p w14:paraId="3F472B4D" w14:textId="6489648F" w:rsidR="00AD2936" w:rsidRPr="002E3ED1" w:rsidRDefault="00AD2936" w:rsidP="00AD2936">
      <w:pPr>
        <w:pStyle w:val="SingleTxtG"/>
      </w:pPr>
      <w:r>
        <w:rPr>
          <w:lang w:val="fr-FR"/>
        </w:rPr>
        <w:tab/>
      </w:r>
      <w:r>
        <w:rPr>
          <w:lang w:val="fr-FR"/>
        </w:rPr>
        <w:tab/>
        <w:t>Aucun document n’avait été soumis au titre de ce point de l’ordre du jour au moment de la rédaction du présent document.</w:t>
      </w:r>
    </w:p>
    <w:p w14:paraId="28551133" w14:textId="4B4304E7" w:rsidR="00AD2936" w:rsidRDefault="00AD2936" w:rsidP="00AD2936">
      <w:pPr>
        <w:pStyle w:val="H1G"/>
      </w:pPr>
      <w:r>
        <w:rPr>
          <w:lang w:val="fr-FR"/>
        </w:rPr>
        <w:tab/>
      </w:r>
      <w:r>
        <w:rPr>
          <w:lang w:val="fr-FR"/>
        </w:rPr>
        <w:t>8.</w:t>
      </w:r>
      <w:r>
        <w:rPr>
          <w:lang w:val="fr-FR"/>
        </w:rPr>
        <w:tab/>
        <w:t>Programme de travail</w:t>
      </w:r>
    </w:p>
    <w:p w14:paraId="62819E67" w14:textId="3FE8E441" w:rsidR="00AD2936" w:rsidRPr="002E3ED1" w:rsidRDefault="00AD2936" w:rsidP="00AD2936">
      <w:pPr>
        <w:pStyle w:val="SingleTxtG"/>
      </w:pPr>
      <w:r>
        <w:rPr>
          <w:lang w:val="fr-FR"/>
        </w:rPr>
        <w:tab/>
      </w:r>
      <w:r>
        <w:rPr>
          <w:lang w:val="fr-FR"/>
        </w:rPr>
        <w:tab/>
        <w:t>Aucun document n’avait été soumis au titre de ce point de l’ordre du jour au moment de la rédaction du présent document.</w:t>
      </w:r>
    </w:p>
    <w:p w14:paraId="21A6BD32" w14:textId="651FF4AC" w:rsidR="00AD2936" w:rsidRDefault="00AD2936" w:rsidP="00AD2936">
      <w:pPr>
        <w:pStyle w:val="H1G"/>
      </w:pPr>
      <w:r>
        <w:rPr>
          <w:lang w:val="fr-FR"/>
        </w:rPr>
        <w:tab/>
      </w:r>
      <w:r>
        <w:rPr>
          <w:lang w:val="fr-FR"/>
        </w:rPr>
        <w:t>9.</w:t>
      </w:r>
      <w:r>
        <w:rPr>
          <w:lang w:val="fr-FR"/>
        </w:rPr>
        <w:tab/>
        <w:t>Questions diverses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AD2936" w:rsidRPr="002E3ED1" w14:paraId="28327D9B" w14:textId="77777777" w:rsidTr="005659F2">
        <w:trPr>
          <w:cantSplit/>
        </w:trPr>
        <w:tc>
          <w:tcPr>
            <w:tcW w:w="3399" w:type="dxa"/>
          </w:tcPr>
          <w:p w14:paraId="14B4F099" w14:textId="77777777" w:rsidR="00AD2936" w:rsidRPr="008738B9" w:rsidRDefault="00AD2936" w:rsidP="005659F2">
            <w:pPr>
              <w:spacing w:after="120"/>
            </w:pPr>
            <w:r>
              <w:rPr>
                <w:lang w:val="fr-FR"/>
              </w:rPr>
              <w:t>ECE/TRANS/WP.15/2024/1 (IRU)</w:t>
            </w:r>
          </w:p>
        </w:tc>
        <w:tc>
          <w:tcPr>
            <w:tcW w:w="3966" w:type="dxa"/>
          </w:tcPr>
          <w:p w14:paraId="7C7ED15B" w14:textId="77777777" w:rsidR="00AD2936" w:rsidRPr="002E3ED1" w:rsidRDefault="00AD2936" w:rsidP="005659F2">
            <w:pPr>
              <w:spacing w:after="120"/>
            </w:pPr>
            <w:r>
              <w:rPr>
                <w:lang w:val="fr-FR"/>
              </w:rPr>
              <w:t>Uniformisation des examens de conduite ADR</w:t>
            </w:r>
          </w:p>
        </w:tc>
      </w:tr>
      <w:tr w:rsidR="00AD2936" w:rsidRPr="002E3ED1" w14:paraId="526A3633" w14:textId="77777777" w:rsidTr="005659F2">
        <w:trPr>
          <w:cantSplit/>
        </w:trPr>
        <w:tc>
          <w:tcPr>
            <w:tcW w:w="3399" w:type="dxa"/>
          </w:tcPr>
          <w:p w14:paraId="34096C5D" w14:textId="77777777" w:rsidR="00AD2936" w:rsidRDefault="00AD2936" w:rsidP="005659F2">
            <w:pPr>
              <w:spacing w:after="120"/>
            </w:pPr>
            <w:r>
              <w:rPr>
                <w:lang w:val="fr-FR"/>
              </w:rPr>
              <w:t>ECE/TRANS/WP.15/2024/9 (secrétariat)</w:t>
            </w:r>
          </w:p>
        </w:tc>
        <w:tc>
          <w:tcPr>
            <w:tcW w:w="3966" w:type="dxa"/>
          </w:tcPr>
          <w:p w14:paraId="688F0972" w14:textId="77777777" w:rsidR="00AD2936" w:rsidRPr="002E3ED1" w:rsidRDefault="00AD2936" w:rsidP="005659F2">
            <w:pPr>
              <w:spacing w:after="120"/>
            </w:pPr>
            <w:r>
              <w:rPr>
                <w:lang w:val="fr-FR"/>
              </w:rPr>
              <w:t>Mandat, règlement intérieur et méthodes de travail du Groupe de travail des transports de marchandises dangereuses</w:t>
            </w:r>
          </w:p>
        </w:tc>
      </w:tr>
      <w:tr w:rsidR="00AD2936" w:rsidRPr="008738B9" w14:paraId="5E662E24" w14:textId="77777777" w:rsidTr="005659F2">
        <w:trPr>
          <w:cantSplit/>
        </w:trPr>
        <w:tc>
          <w:tcPr>
            <w:tcW w:w="3399" w:type="dxa"/>
          </w:tcPr>
          <w:p w14:paraId="4FAE2FEC" w14:textId="77777777" w:rsidR="00AD2936" w:rsidRDefault="00AD2936" w:rsidP="005659F2">
            <w:pPr>
              <w:spacing w:after="120"/>
            </w:pPr>
            <w:r>
              <w:rPr>
                <w:lang w:val="fr-FR"/>
              </w:rPr>
              <w:lastRenderedPageBreak/>
              <w:t>ECE/TRANS/WP.15/2024/10 (secrétariat)</w:t>
            </w:r>
          </w:p>
        </w:tc>
        <w:tc>
          <w:tcPr>
            <w:tcW w:w="3966" w:type="dxa"/>
          </w:tcPr>
          <w:p w14:paraId="68715210" w14:textId="77777777" w:rsidR="00AD2936" w:rsidRDefault="00AD2936" w:rsidP="005659F2">
            <w:pPr>
              <w:spacing w:after="120"/>
            </w:pPr>
            <w:r>
              <w:rPr>
                <w:lang w:val="fr-FR"/>
              </w:rPr>
              <w:t>Demande de statut consultatif</w:t>
            </w:r>
          </w:p>
        </w:tc>
      </w:tr>
    </w:tbl>
    <w:p w14:paraId="1104FE5C" w14:textId="15FA53C3" w:rsidR="00AD2936" w:rsidRPr="008738B9" w:rsidRDefault="00AD2936" w:rsidP="00AD2936">
      <w:pPr>
        <w:pStyle w:val="H1G"/>
      </w:pPr>
      <w:r>
        <w:rPr>
          <w:lang w:val="fr-FR"/>
        </w:rPr>
        <w:tab/>
      </w:r>
      <w:r>
        <w:rPr>
          <w:lang w:val="fr-FR"/>
        </w:rPr>
        <w:t>10.</w:t>
      </w:r>
      <w:r>
        <w:rPr>
          <w:lang w:val="fr-FR"/>
        </w:rPr>
        <w:tab/>
        <w:t>Adoption du rapport</w:t>
      </w:r>
    </w:p>
    <w:p w14:paraId="079EDCC0" w14:textId="22A29392" w:rsidR="00AD2936" w:rsidRPr="002E3ED1" w:rsidRDefault="00AD2936" w:rsidP="00AD2936">
      <w:pPr>
        <w:pStyle w:val="SingleTxtG"/>
        <w:ind w:firstLine="567"/>
      </w:pPr>
      <w:r>
        <w:rPr>
          <w:lang w:val="fr-FR"/>
        </w:rPr>
        <w:t>Le Groupe de travail sera invité à adopter le rapport de sa 115</w:t>
      </w:r>
      <w:r w:rsidRPr="00AD2936">
        <w:rPr>
          <w:vertAlign w:val="superscript"/>
          <w:lang w:val="fr-FR"/>
        </w:rPr>
        <w:t>e</w:t>
      </w:r>
      <w:r>
        <w:rPr>
          <w:lang w:val="fr-FR"/>
        </w:rPr>
        <w:t xml:space="preserve"> </w:t>
      </w:r>
      <w:r>
        <w:rPr>
          <w:lang w:val="fr-FR"/>
        </w:rPr>
        <w:t>session sur la base d’un projet établi par le secrétariat.</w:t>
      </w:r>
    </w:p>
    <w:p w14:paraId="44CDC0DD" w14:textId="13EF14C9" w:rsidR="00F9573C" w:rsidRPr="00AD2936" w:rsidRDefault="00AD2936" w:rsidP="00AD2936">
      <w:pPr>
        <w:spacing w:before="240"/>
        <w:jc w:val="center"/>
        <w:rPr>
          <w:u w:val="single"/>
        </w:rPr>
      </w:pPr>
      <w:r w:rsidRPr="002E3ED1">
        <w:rPr>
          <w:u w:val="single"/>
        </w:rPr>
        <w:tab/>
      </w:r>
      <w:r w:rsidRPr="002E3ED1">
        <w:rPr>
          <w:u w:val="single"/>
        </w:rPr>
        <w:tab/>
      </w:r>
      <w:r w:rsidRPr="002E3ED1">
        <w:rPr>
          <w:u w:val="single"/>
        </w:rPr>
        <w:tab/>
      </w:r>
    </w:p>
    <w:sectPr w:rsidR="00F9573C" w:rsidRPr="00AD2936" w:rsidSect="00AD293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9F96" w14:textId="77777777" w:rsidR="00175C15" w:rsidRDefault="00175C15" w:rsidP="00F95C08">
      <w:pPr>
        <w:spacing w:line="240" w:lineRule="auto"/>
      </w:pPr>
    </w:p>
  </w:endnote>
  <w:endnote w:type="continuationSeparator" w:id="0">
    <w:p w14:paraId="12023FA7" w14:textId="77777777" w:rsidR="00175C15" w:rsidRPr="00AC3823" w:rsidRDefault="00175C15" w:rsidP="00AC3823">
      <w:pPr>
        <w:pStyle w:val="Pieddepage"/>
      </w:pPr>
    </w:p>
  </w:endnote>
  <w:endnote w:type="continuationNotice" w:id="1">
    <w:p w14:paraId="5FB799F4" w14:textId="77777777" w:rsidR="00175C15" w:rsidRDefault="00175C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DDA4" w14:textId="024CF971" w:rsidR="00AD2936" w:rsidRPr="00AD2936" w:rsidRDefault="00AD2936" w:rsidP="00AD2936">
    <w:pPr>
      <w:pStyle w:val="Pieddepage"/>
      <w:tabs>
        <w:tab w:val="right" w:pos="9638"/>
      </w:tabs>
    </w:pPr>
    <w:r w:rsidRPr="00AD2936">
      <w:rPr>
        <w:b/>
        <w:sz w:val="18"/>
      </w:rPr>
      <w:fldChar w:fldCharType="begin"/>
    </w:r>
    <w:r w:rsidRPr="00AD2936">
      <w:rPr>
        <w:b/>
        <w:sz w:val="18"/>
      </w:rPr>
      <w:instrText xml:space="preserve"> PAGE  \* MERGEFORMAT </w:instrText>
    </w:r>
    <w:r w:rsidRPr="00AD2936">
      <w:rPr>
        <w:b/>
        <w:sz w:val="18"/>
      </w:rPr>
      <w:fldChar w:fldCharType="separate"/>
    </w:r>
    <w:r w:rsidRPr="00AD2936">
      <w:rPr>
        <w:b/>
        <w:noProof/>
        <w:sz w:val="18"/>
      </w:rPr>
      <w:t>2</w:t>
    </w:r>
    <w:r w:rsidRPr="00AD2936">
      <w:rPr>
        <w:b/>
        <w:sz w:val="18"/>
      </w:rPr>
      <w:fldChar w:fldCharType="end"/>
    </w:r>
    <w:r>
      <w:rPr>
        <w:b/>
        <w:sz w:val="18"/>
      </w:rPr>
      <w:tab/>
    </w:r>
    <w:r>
      <w:t>GE.24-01027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2C51" w14:textId="393D31A2" w:rsidR="00AD2936" w:rsidRPr="00AD2936" w:rsidRDefault="00AD2936" w:rsidP="00AD2936">
    <w:pPr>
      <w:pStyle w:val="Pieddepage"/>
      <w:tabs>
        <w:tab w:val="right" w:pos="9638"/>
      </w:tabs>
      <w:rPr>
        <w:b/>
        <w:sz w:val="18"/>
      </w:rPr>
    </w:pPr>
    <w:r>
      <w:t>GE.24-01027</w:t>
    </w:r>
    <w:r>
      <w:tab/>
    </w:r>
    <w:r w:rsidRPr="00AD2936">
      <w:rPr>
        <w:b/>
        <w:sz w:val="18"/>
      </w:rPr>
      <w:fldChar w:fldCharType="begin"/>
    </w:r>
    <w:r w:rsidRPr="00AD2936">
      <w:rPr>
        <w:b/>
        <w:sz w:val="18"/>
      </w:rPr>
      <w:instrText xml:space="preserve"> PAGE  \* MERGEFORMAT </w:instrText>
    </w:r>
    <w:r w:rsidRPr="00AD2936">
      <w:rPr>
        <w:b/>
        <w:sz w:val="18"/>
      </w:rPr>
      <w:fldChar w:fldCharType="separate"/>
    </w:r>
    <w:r w:rsidRPr="00AD2936">
      <w:rPr>
        <w:b/>
        <w:noProof/>
        <w:sz w:val="18"/>
      </w:rPr>
      <w:t>3</w:t>
    </w:r>
    <w:r w:rsidRPr="00AD29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A862" w14:textId="2767C8C0" w:rsidR="007F20FA" w:rsidRPr="00AD2936" w:rsidRDefault="00AD2936" w:rsidP="00AD293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837FF62" wp14:editId="2F0A094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24-01027  (F)</w:t>
    </w:r>
    <w:r>
      <w:rPr>
        <w:noProof/>
        <w:sz w:val="20"/>
      </w:rPr>
      <w:drawing>
        <wp:anchor distT="0" distB="0" distL="114300" distR="114300" simplePos="0" relativeHeight="251660288" behindDoc="0" locked="0" layoutInCell="1" allowOverlap="1" wp14:anchorId="5C6A891A" wp14:editId="028CE07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140224    140224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DBC9" w14:textId="77777777" w:rsidR="00175C15" w:rsidRPr="00AC3823" w:rsidRDefault="00175C15" w:rsidP="00AC3823">
      <w:pPr>
        <w:pStyle w:val="Pieddepage"/>
        <w:tabs>
          <w:tab w:val="right" w:pos="2155"/>
        </w:tabs>
        <w:spacing w:after="80" w:line="240" w:lineRule="atLeast"/>
        <w:ind w:left="680"/>
        <w:rPr>
          <w:u w:val="single"/>
        </w:rPr>
      </w:pPr>
      <w:r>
        <w:rPr>
          <w:u w:val="single"/>
        </w:rPr>
        <w:tab/>
      </w:r>
    </w:p>
  </w:footnote>
  <w:footnote w:type="continuationSeparator" w:id="0">
    <w:p w14:paraId="3439573D" w14:textId="77777777" w:rsidR="00175C15" w:rsidRPr="00AC3823" w:rsidRDefault="00175C15" w:rsidP="00AC3823">
      <w:pPr>
        <w:pStyle w:val="Pieddepage"/>
        <w:tabs>
          <w:tab w:val="right" w:pos="2155"/>
        </w:tabs>
        <w:spacing w:after="80" w:line="240" w:lineRule="atLeast"/>
        <w:ind w:left="680"/>
        <w:rPr>
          <w:u w:val="single"/>
        </w:rPr>
      </w:pPr>
      <w:r>
        <w:rPr>
          <w:u w:val="single"/>
        </w:rPr>
        <w:tab/>
      </w:r>
    </w:p>
  </w:footnote>
  <w:footnote w:type="continuationNotice" w:id="1">
    <w:p w14:paraId="72B6E0EC" w14:textId="77777777" w:rsidR="00175C15" w:rsidRPr="00AC3823" w:rsidRDefault="00175C1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AEE6" w14:textId="50152DCA" w:rsidR="00AD2936" w:rsidRPr="00AD2936" w:rsidRDefault="00AD2936">
    <w:pPr>
      <w:pStyle w:val="En-tte"/>
    </w:pPr>
    <w:fldSimple w:instr=" TITLE  \* MERGEFORMAT ">
      <w:r>
        <w:t>ECE/TRANS/WP.15/266/Add.1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3C47" w14:textId="53AD6D09" w:rsidR="00AD2936" w:rsidRPr="00AD2936" w:rsidRDefault="00AD2936" w:rsidP="00AD2936">
    <w:pPr>
      <w:pStyle w:val="En-tte"/>
      <w:jc w:val="right"/>
    </w:pPr>
    <w:fldSimple w:instr=" TITLE  \* MERGEFORMAT ">
      <w:r>
        <w:t>ECE/TRANS/WP.15/266/Add.1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25480134">
    <w:abstractNumId w:val="13"/>
  </w:num>
  <w:num w:numId="2" w16cid:durableId="2080250836">
    <w:abstractNumId w:val="12"/>
  </w:num>
  <w:num w:numId="3" w16cid:durableId="462307970">
    <w:abstractNumId w:val="10"/>
  </w:num>
  <w:num w:numId="4" w16cid:durableId="1004822331">
    <w:abstractNumId w:val="8"/>
  </w:num>
  <w:num w:numId="5" w16cid:durableId="1961912863">
    <w:abstractNumId w:val="3"/>
  </w:num>
  <w:num w:numId="6" w16cid:durableId="419370444">
    <w:abstractNumId w:val="2"/>
  </w:num>
  <w:num w:numId="7" w16cid:durableId="991255368">
    <w:abstractNumId w:val="1"/>
  </w:num>
  <w:num w:numId="8" w16cid:durableId="1966962140">
    <w:abstractNumId w:val="0"/>
  </w:num>
  <w:num w:numId="9" w16cid:durableId="1108617368">
    <w:abstractNumId w:val="9"/>
  </w:num>
  <w:num w:numId="10" w16cid:durableId="1808739263">
    <w:abstractNumId w:val="7"/>
  </w:num>
  <w:num w:numId="11" w16cid:durableId="1721903232">
    <w:abstractNumId w:val="6"/>
  </w:num>
  <w:num w:numId="12" w16cid:durableId="640574860">
    <w:abstractNumId w:val="5"/>
  </w:num>
  <w:num w:numId="13" w16cid:durableId="1066418291">
    <w:abstractNumId w:val="4"/>
  </w:num>
  <w:num w:numId="14" w16cid:durableId="264114729">
    <w:abstractNumId w:val="13"/>
  </w:num>
  <w:num w:numId="15" w16cid:durableId="1738244072">
    <w:abstractNumId w:val="12"/>
  </w:num>
  <w:num w:numId="16" w16cid:durableId="1669626843">
    <w:abstractNumId w:val="10"/>
  </w:num>
  <w:num w:numId="17" w16cid:durableId="4480080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15"/>
    <w:rsid w:val="00017F94"/>
    <w:rsid w:val="00023842"/>
    <w:rsid w:val="000334F9"/>
    <w:rsid w:val="00045FEB"/>
    <w:rsid w:val="0007796D"/>
    <w:rsid w:val="000B7790"/>
    <w:rsid w:val="00111F2F"/>
    <w:rsid w:val="0014365E"/>
    <w:rsid w:val="00143C66"/>
    <w:rsid w:val="00175C15"/>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07072"/>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D2936"/>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51C6E"/>
  <w15:docId w15:val="{5A7927C8-83DF-4E34-BF76-34B419EB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AD293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DAM/trans/doc/2007/wp15/ECE-TRANS-WP15-190a1e.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FE2E6-1E03-4BC1-A684-0065054D97EC}"/>
</file>

<file path=customXml/itemProps2.xml><?xml version="1.0" encoding="utf-8"?>
<ds:datastoreItem xmlns:ds="http://schemas.openxmlformats.org/officeDocument/2006/customXml" ds:itemID="{EB3FC4D5-7D7C-476F-A4D4-BD1625D853C7}"/>
</file>

<file path=docProps/app.xml><?xml version="1.0" encoding="utf-8"?>
<Properties xmlns="http://schemas.openxmlformats.org/officeDocument/2006/extended-properties" xmlns:vt="http://schemas.openxmlformats.org/officeDocument/2006/docPropsVTypes">
  <Template>ECE_TRANS.dotm</Template>
  <TotalTime>1</TotalTime>
  <Pages>3</Pages>
  <Words>490</Words>
  <Characters>3433</Characters>
  <Application>Microsoft Office Word</Application>
  <DocSecurity>0</DocSecurity>
  <Lines>286</Lines>
  <Paragraphs>156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ECE/TRANS/WP.15/266/Add.1</dc:title>
  <dc:subject/>
  <dc:creator>Sandrine CLERE</dc:creator>
  <cp:keywords/>
  <cp:lastModifiedBy>Sandrine Clere</cp:lastModifiedBy>
  <cp:revision>2</cp:revision>
  <cp:lastPrinted>2014-05-14T10:59:00Z</cp:lastPrinted>
  <dcterms:created xsi:type="dcterms:W3CDTF">2024-02-14T08:05:00Z</dcterms:created>
  <dcterms:modified xsi:type="dcterms:W3CDTF">2024-02-14T08:05:00Z</dcterms:modified>
</cp:coreProperties>
</file>