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5BF42C8" w14:textId="77777777" w:rsidTr="00C97039">
        <w:trPr>
          <w:trHeight w:hRule="exact" w:val="851"/>
        </w:trPr>
        <w:tc>
          <w:tcPr>
            <w:tcW w:w="1276" w:type="dxa"/>
            <w:tcBorders>
              <w:bottom w:val="single" w:sz="4" w:space="0" w:color="auto"/>
            </w:tcBorders>
          </w:tcPr>
          <w:p w14:paraId="36A69E5A" w14:textId="77777777" w:rsidR="00F35BAF" w:rsidRPr="00DB58B5" w:rsidRDefault="00F35BAF" w:rsidP="007E32EA"/>
        </w:tc>
        <w:tc>
          <w:tcPr>
            <w:tcW w:w="2268" w:type="dxa"/>
            <w:tcBorders>
              <w:bottom w:val="single" w:sz="4" w:space="0" w:color="auto"/>
            </w:tcBorders>
            <w:vAlign w:val="bottom"/>
          </w:tcPr>
          <w:p w14:paraId="3115B36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88FF539" w14:textId="08657A4C" w:rsidR="00F35BAF" w:rsidRPr="00DB58B5" w:rsidRDefault="007E32EA" w:rsidP="007E32EA">
            <w:pPr>
              <w:jc w:val="right"/>
            </w:pPr>
            <w:r w:rsidRPr="007E32EA">
              <w:rPr>
                <w:sz w:val="40"/>
              </w:rPr>
              <w:t>ECE</w:t>
            </w:r>
            <w:r>
              <w:t>/TRANS/WP.15/2024/5</w:t>
            </w:r>
          </w:p>
        </w:tc>
      </w:tr>
      <w:tr w:rsidR="00F35BAF" w:rsidRPr="00DB58B5" w14:paraId="176B2EC9" w14:textId="77777777" w:rsidTr="00C97039">
        <w:trPr>
          <w:trHeight w:hRule="exact" w:val="2835"/>
        </w:trPr>
        <w:tc>
          <w:tcPr>
            <w:tcW w:w="1276" w:type="dxa"/>
            <w:tcBorders>
              <w:top w:val="single" w:sz="4" w:space="0" w:color="auto"/>
              <w:bottom w:val="single" w:sz="12" w:space="0" w:color="auto"/>
            </w:tcBorders>
          </w:tcPr>
          <w:p w14:paraId="0571B98B" w14:textId="77777777" w:rsidR="00F35BAF" w:rsidRPr="00DB58B5" w:rsidRDefault="00F35BAF" w:rsidP="00C97039">
            <w:pPr>
              <w:spacing w:before="120"/>
              <w:jc w:val="center"/>
            </w:pPr>
            <w:r>
              <w:rPr>
                <w:noProof/>
                <w:lang w:eastAsia="fr-CH"/>
              </w:rPr>
              <w:drawing>
                <wp:inline distT="0" distB="0" distL="0" distR="0" wp14:anchorId="52633F47" wp14:editId="447F6D8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6E7B686"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5C3C1EA" w14:textId="77777777" w:rsidR="00F35BAF" w:rsidRDefault="007E32EA" w:rsidP="00C97039">
            <w:pPr>
              <w:spacing w:before="240"/>
            </w:pPr>
            <w:r>
              <w:t>Distr. générale</w:t>
            </w:r>
          </w:p>
          <w:p w14:paraId="78A56D90" w14:textId="0C30A0AF" w:rsidR="007E32EA" w:rsidRDefault="007E32EA" w:rsidP="007E32EA">
            <w:pPr>
              <w:spacing w:line="240" w:lineRule="exact"/>
            </w:pPr>
            <w:r>
              <w:t>11 janvier 2024</w:t>
            </w:r>
          </w:p>
          <w:p w14:paraId="38612C1C" w14:textId="77777777" w:rsidR="007E32EA" w:rsidRDefault="007E32EA" w:rsidP="007E32EA">
            <w:pPr>
              <w:spacing w:line="240" w:lineRule="exact"/>
            </w:pPr>
            <w:r>
              <w:t>Français</w:t>
            </w:r>
          </w:p>
          <w:p w14:paraId="32523941" w14:textId="4D415319" w:rsidR="007E32EA" w:rsidRPr="00DB58B5" w:rsidRDefault="007E32EA" w:rsidP="007E32EA">
            <w:pPr>
              <w:spacing w:line="240" w:lineRule="exact"/>
            </w:pPr>
            <w:r>
              <w:t>Original : anglais</w:t>
            </w:r>
          </w:p>
        </w:tc>
      </w:tr>
    </w:tbl>
    <w:p w14:paraId="05EE8308" w14:textId="146352F2" w:rsidR="007F20FA" w:rsidRPr="000312C0" w:rsidRDefault="007F20FA" w:rsidP="007F20FA">
      <w:pPr>
        <w:spacing w:before="120"/>
        <w:rPr>
          <w:b/>
          <w:sz w:val="28"/>
          <w:szCs w:val="28"/>
        </w:rPr>
      </w:pPr>
      <w:r w:rsidRPr="000312C0">
        <w:rPr>
          <w:b/>
          <w:sz w:val="28"/>
          <w:szCs w:val="28"/>
        </w:rPr>
        <w:t>Commission économique pour l</w:t>
      </w:r>
      <w:r w:rsidR="007E32EA">
        <w:rPr>
          <w:b/>
          <w:sz w:val="28"/>
          <w:szCs w:val="28"/>
        </w:rPr>
        <w:t>’</w:t>
      </w:r>
      <w:r w:rsidRPr="000312C0">
        <w:rPr>
          <w:b/>
          <w:sz w:val="28"/>
          <w:szCs w:val="28"/>
        </w:rPr>
        <w:t>Europe</w:t>
      </w:r>
    </w:p>
    <w:p w14:paraId="2A256B40" w14:textId="77777777" w:rsidR="007F20FA" w:rsidRDefault="007F20FA" w:rsidP="007F20FA">
      <w:pPr>
        <w:spacing w:before="120"/>
        <w:rPr>
          <w:sz w:val="28"/>
          <w:szCs w:val="28"/>
        </w:rPr>
      </w:pPr>
      <w:r w:rsidRPr="00685843">
        <w:rPr>
          <w:sz w:val="28"/>
          <w:szCs w:val="28"/>
        </w:rPr>
        <w:t>Comité des transports intérieurs</w:t>
      </w:r>
    </w:p>
    <w:p w14:paraId="7BFE97F9" w14:textId="77777777" w:rsidR="007E32EA" w:rsidRPr="009E01B8" w:rsidRDefault="007E32EA" w:rsidP="00E85C74">
      <w:pPr>
        <w:spacing w:before="120"/>
        <w:rPr>
          <w:b/>
          <w:sz w:val="24"/>
          <w:szCs w:val="24"/>
        </w:rPr>
      </w:pPr>
      <w:r w:rsidRPr="009E01B8">
        <w:rPr>
          <w:b/>
          <w:sz w:val="24"/>
          <w:szCs w:val="24"/>
        </w:rPr>
        <w:t>Groupe de travail des transports de marchandises dangereuses</w:t>
      </w:r>
    </w:p>
    <w:p w14:paraId="71192A02" w14:textId="457BA244" w:rsidR="007E32EA" w:rsidRPr="00992778" w:rsidRDefault="007E32EA" w:rsidP="00E85C74">
      <w:pPr>
        <w:spacing w:before="120"/>
        <w:rPr>
          <w:b/>
        </w:rPr>
      </w:pPr>
      <w:r>
        <w:rPr>
          <w:b/>
          <w:bCs/>
          <w:lang w:val="fr-FR"/>
        </w:rPr>
        <w:t>115</w:t>
      </w:r>
      <w:r w:rsidRPr="007E32EA">
        <w:rPr>
          <w:b/>
          <w:bCs/>
          <w:vertAlign w:val="superscript"/>
          <w:lang w:val="fr-FR"/>
        </w:rPr>
        <w:t>e</w:t>
      </w:r>
      <w:r>
        <w:rPr>
          <w:b/>
          <w:bCs/>
          <w:lang w:val="fr-FR"/>
        </w:rPr>
        <w:t> </w:t>
      </w:r>
      <w:r w:rsidRPr="00992778">
        <w:rPr>
          <w:b/>
        </w:rPr>
        <w:t>session</w:t>
      </w:r>
    </w:p>
    <w:p w14:paraId="26CD4019" w14:textId="77777777" w:rsidR="007E32EA" w:rsidRPr="00047D02" w:rsidRDefault="007E32EA" w:rsidP="007E32EA">
      <w:pPr>
        <w:rPr>
          <w:rFonts w:eastAsia="SimSun"/>
          <w:lang w:val="fr-FR"/>
        </w:rPr>
      </w:pPr>
      <w:r>
        <w:rPr>
          <w:lang w:val="fr-FR"/>
        </w:rPr>
        <w:t>Genève, 2-5 avril 2024</w:t>
      </w:r>
    </w:p>
    <w:p w14:paraId="2B20B375" w14:textId="4448A8AC" w:rsidR="007E32EA" w:rsidRPr="00047D02" w:rsidRDefault="007E32EA" w:rsidP="007E32EA">
      <w:pPr>
        <w:rPr>
          <w:lang w:val="fr-FR"/>
        </w:rPr>
      </w:pPr>
      <w:r>
        <w:rPr>
          <w:lang w:val="fr-FR"/>
        </w:rPr>
        <w:t>Point 5 a) de l</w:t>
      </w:r>
      <w:r>
        <w:rPr>
          <w:lang w:val="fr-FR"/>
        </w:rPr>
        <w:t>’</w:t>
      </w:r>
      <w:r>
        <w:rPr>
          <w:lang w:val="fr-FR"/>
        </w:rPr>
        <w:t>ordre du jour provisoire</w:t>
      </w:r>
    </w:p>
    <w:p w14:paraId="20916812" w14:textId="26D0F967" w:rsidR="007E32EA" w:rsidRPr="003774FB" w:rsidRDefault="007E32EA" w:rsidP="007E32EA">
      <w:pPr>
        <w:rPr>
          <w:b/>
          <w:bCs/>
          <w:lang w:val="fr-FR"/>
        </w:rPr>
      </w:pPr>
      <w:r w:rsidRPr="003774FB">
        <w:rPr>
          <w:b/>
          <w:bCs/>
          <w:lang w:val="fr-FR"/>
        </w:rPr>
        <w:t>Propositions d</w:t>
      </w:r>
      <w:r w:rsidRPr="003774FB">
        <w:rPr>
          <w:b/>
          <w:bCs/>
          <w:lang w:val="fr-FR"/>
        </w:rPr>
        <w:t>’</w:t>
      </w:r>
      <w:r w:rsidRPr="003774FB">
        <w:rPr>
          <w:b/>
          <w:bCs/>
          <w:lang w:val="fr-FR"/>
        </w:rPr>
        <w:t>amendements aux annexes A et B de l</w:t>
      </w:r>
      <w:r w:rsidRPr="003774FB">
        <w:rPr>
          <w:b/>
          <w:bCs/>
          <w:lang w:val="fr-FR"/>
        </w:rPr>
        <w:t>’</w:t>
      </w:r>
      <w:r w:rsidRPr="003774FB">
        <w:rPr>
          <w:b/>
          <w:bCs/>
          <w:lang w:val="fr-FR"/>
        </w:rPr>
        <w:t>ADR</w:t>
      </w:r>
      <w:r w:rsidR="003774FB" w:rsidRPr="003774FB">
        <w:rPr>
          <w:b/>
          <w:bCs/>
          <w:lang w:val="fr-FR"/>
        </w:rPr>
        <w:t> </w:t>
      </w:r>
      <w:r w:rsidRPr="003774FB">
        <w:rPr>
          <w:b/>
          <w:bCs/>
          <w:lang w:val="fr-FR"/>
        </w:rPr>
        <w:t>:</w:t>
      </w:r>
    </w:p>
    <w:p w14:paraId="055248D8" w14:textId="77777777" w:rsidR="007E32EA" w:rsidRPr="00047D02" w:rsidRDefault="007E32EA" w:rsidP="007E32EA">
      <w:pPr>
        <w:rPr>
          <w:b/>
          <w:bCs/>
          <w:lang w:val="fr-FR"/>
        </w:rPr>
      </w:pPr>
      <w:r>
        <w:rPr>
          <w:b/>
          <w:bCs/>
          <w:lang w:val="fr-FR"/>
        </w:rPr>
        <w:t>Construction et agrément des véhicules</w:t>
      </w:r>
    </w:p>
    <w:p w14:paraId="40C132D4" w14:textId="77777777" w:rsidR="007E32EA" w:rsidRPr="00047D02" w:rsidRDefault="007E32EA" w:rsidP="007E32EA">
      <w:pPr>
        <w:pStyle w:val="HChG"/>
        <w:rPr>
          <w:sz w:val="24"/>
          <w:szCs w:val="24"/>
          <w:lang w:val="fr-FR"/>
        </w:rPr>
      </w:pPr>
      <w:r>
        <w:rPr>
          <w:lang w:val="fr-FR"/>
        </w:rPr>
        <w:tab/>
      </w:r>
      <w:r>
        <w:rPr>
          <w:lang w:val="fr-FR"/>
        </w:rPr>
        <w:tab/>
        <w:t>Application du chapitre 9.7 aux équipements électriques</w:t>
      </w:r>
    </w:p>
    <w:p w14:paraId="4EC7B6DF" w14:textId="0B4789D8" w:rsidR="007E32EA" w:rsidRPr="00047D02" w:rsidRDefault="007E32EA" w:rsidP="007E32EA">
      <w:pPr>
        <w:pStyle w:val="H1G"/>
        <w:rPr>
          <w:szCs w:val="24"/>
          <w:lang w:val="fr-FR"/>
        </w:rPr>
      </w:pPr>
      <w:r>
        <w:rPr>
          <w:lang w:val="fr-FR"/>
        </w:rPr>
        <w:tab/>
      </w:r>
      <w:r>
        <w:rPr>
          <w:lang w:val="fr-FR"/>
        </w:rPr>
        <w:tab/>
        <w:t>Communication du Gouvernement néerlandais</w:t>
      </w:r>
      <w:r w:rsidRPr="007E32EA">
        <w:rPr>
          <w:rStyle w:val="Appelnotedebasdep"/>
          <w:b w:val="0"/>
          <w:bCs/>
          <w:sz w:val="20"/>
          <w:vertAlign w:val="baseline"/>
        </w:rPr>
        <w:footnoteReference w:customMarkFollows="1" w:id="2"/>
        <w:t>*</w:t>
      </w:r>
    </w:p>
    <w:p w14:paraId="5EBF6A44" w14:textId="6C68DE7A" w:rsidR="007E32EA" w:rsidRPr="00047D02" w:rsidRDefault="007E32EA" w:rsidP="007E32EA">
      <w:pPr>
        <w:pStyle w:val="HChG"/>
        <w:rPr>
          <w:lang w:val="fr-FR"/>
        </w:rPr>
      </w:pPr>
      <w:r>
        <w:rPr>
          <w:lang w:val="fr-FR"/>
        </w:rPr>
        <w:tab/>
      </w:r>
      <w:r>
        <w:rPr>
          <w:lang w:val="fr-FR"/>
        </w:rPr>
        <w:t>I.</w:t>
      </w:r>
      <w:r>
        <w:rPr>
          <w:lang w:val="fr-FR"/>
        </w:rPr>
        <w:tab/>
        <w:t>Introduction</w:t>
      </w:r>
    </w:p>
    <w:p w14:paraId="705CAA10" w14:textId="303ED8C1" w:rsidR="007E32EA" w:rsidRPr="00047D02" w:rsidRDefault="007E32EA" w:rsidP="007E32EA">
      <w:pPr>
        <w:pStyle w:val="SingleTxtG"/>
        <w:rPr>
          <w:lang w:val="fr-FR"/>
        </w:rPr>
      </w:pPr>
      <w:r>
        <w:rPr>
          <w:lang w:val="fr-FR"/>
        </w:rPr>
        <w:t>1.</w:t>
      </w:r>
      <w:r>
        <w:rPr>
          <w:lang w:val="fr-FR"/>
        </w:rPr>
        <w:tab/>
        <w:t>Dans l</w:t>
      </w:r>
      <w:r>
        <w:rPr>
          <w:lang w:val="fr-FR"/>
        </w:rPr>
        <w:t>’</w:t>
      </w:r>
      <w:r>
        <w:rPr>
          <w:lang w:val="fr-FR"/>
        </w:rPr>
        <w:t>édition 2017 de l</w:t>
      </w:r>
      <w:r>
        <w:rPr>
          <w:lang w:val="fr-FR"/>
        </w:rPr>
        <w:t>’</w:t>
      </w:r>
      <w:r>
        <w:rPr>
          <w:lang w:val="fr-FR"/>
        </w:rPr>
        <w:t>ADR, le champ d</w:t>
      </w:r>
      <w:r>
        <w:rPr>
          <w:lang w:val="fr-FR"/>
        </w:rPr>
        <w:t>’</w:t>
      </w:r>
      <w:r>
        <w:rPr>
          <w:lang w:val="fr-FR"/>
        </w:rPr>
        <w:t>application des prescriptions relatives à l</w:t>
      </w:r>
      <w:r>
        <w:rPr>
          <w:lang w:val="fr-FR"/>
        </w:rPr>
        <w:t>’</w:t>
      </w:r>
      <w:r>
        <w:rPr>
          <w:lang w:val="fr-FR"/>
        </w:rPr>
        <w:t>installation électrique a été élargi de manière à inclure les véhicules AT. Par conséquent, les parties supplémentaires ou modifiées de l</w:t>
      </w:r>
      <w:r>
        <w:rPr>
          <w:lang w:val="fr-FR"/>
        </w:rPr>
        <w:t>’</w:t>
      </w:r>
      <w:r>
        <w:rPr>
          <w:lang w:val="fr-FR"/>
        </w:rPr>
        <w:t>installation électrique résultant d</w:t>
      </w:r>
      <w:r>
        <w:rPr>
          <w:lang w:val="fr-FR"/>
        </w:rPr>
        <w:t>’</w:t>
      </w:r>
      <w:r>
        <w:rPr>
          <w:lang w:val="fr-FR"/>
        </w:rPr>
        <w:t>une deuxième étape de construction du véhicule doivent également satisfaire aux prescriptions. Entre</w:t>
      </w:r>
      <w:r w:rsidR="003774FB">
        <w:rPr>
          <w:lang w:val="fr-FR"/>
        </w:rPr>
        <w:noBreakHyphen/>
      </w:r>
      <w:r>
        <w:rPr>
          <w:lang w:val="fr-FR"/>
        </w:rPr>
        <w:t>temps, les véhicules EX/III transportant des explosifs dans des citernes (mélange de nitrate d</w:t>
      </w:r>
      <w:r>
        <w:rPr>
          <w:lang w:val="fr-FR"/>
        </w:rPr>
        <w:t>’</w:t>
      </w:r>
      <w:r>
        <w:rPr>
          <w:lang w:val="fr-FR"/>
        </w:rPr>
        <w:t>ammonium et de fioul (ANFO)) ont également été ajoutés.</w:t>
      </w:r>
    </w:p>
    <w:p w14:paraId="2DF50F37" w14:textId="245260AB" w:rsidR="007E32EA" w:rsidRPr="00047D02" w:rsidRDefault="007E32EA" w:rsidP="007E32EA">
      <w:pPr>
        <w:pStyle w:val="SingleTxtG"/>
        <w:rPr>
          <w:lang w:val="fr-FR"/>
        </w:rPr>
      </w:pPr>
      <w:r>
        <w:rPr>
          <w:lang w:val="fr-FR"/>
        </w:rPr>
        <w:t>2.</w:t>
      </w:r>
      <w:r>
        <w:rPr>
          <w:lang w:val="fr-FR"/>
        </w:rPr>
        <w:tab/>
        <w:t>Le document ECE/TRANS/WP.15/2023/8 a soulevé la question de l</w:t>
      </w:r>
      <w:r>
        <w:rPr>
          <w:lang w:val="fr-FR"/>
        </w:rPr>
        <w:t>’</w:t>
      </w:r>
      <w:r>
        <w:rPr>
          <w:lang w:val="fr-FR"/>
        </w:rPr>
        <w:t>application du</w:t>
      </w:r>
      <w:r w:rsidR="003774FB">
        <w:rPr>
          <w:lang w:val="fr-FR"/>
        </w:rPr>
        <w:t> </w:t>
      </w:r>
      <w:r>
        <w:rPr>
          <w:lang w:val="fr-FR"/>
        </w:rPr>
        <w:t>9.7.8 aux véhicules FL. Le titre du 9.7.8 a été modifié en conséquence (voir annexe II du document ECE/TRANS/WP.15/264). La présente proposition vise à rendre au titre sa forme initiale mais ne modifie pas l</w:t>
      </w:r>
      <w:r>
        <w:rPr>
          <w:lang w:val="fr-FR"/>
        </w:rPr>
        <w:t>’</w:t>
      </w:r>
      <w:r>
        <w:rPr>
          <w:lang w:val="fr-FR"/>
        </w:rPr>
        <w:t>autre amendement figurant dans ce document, qui porte sur le</w:t>
      </w:r>
      <w:r w:rsidR="003774FB">
        <w:rPr>
          <w:lang w:val="fr-FR"/>
        </w:rPr>
        <w:t> </w:t>
      </w:r>
      <w:r>
        <w:rPr>
          <w:lang w:val="fr-FR"/>
        </w:rPr>
        <w:t>9.7.8.3.</w:t>
      </w:r>
    </w:p>
    <w:p w14:paraId="2D557DEF" w14:textId="3FE50615" w:rsidR="007E32EA" w:rsidRPr="00047D02" w:rsidRDefault="007E32EA" w:rsidP="007E32EA">
      <w:pPr>
        <w:pStyle w:val="HChG"/>
        <w:rPr>
          <w:lang w:val="fr-FR"/>
        </w:rPr>
      </w:pPr>
      <w:r>
        <w:rPr>
          <w:bCs/>
          <w:lang w:val="fr-FR"/>
        </w:rPr>
        <w:tab/>
      </w:r>
      <w:r>
        <w:rPr>
          <w:bCs/>
          <w:lang w:val="fr-FR"/>
        </w:rPr>
        <w:t>II.</w:t>
      </w:r>
      <w:r>
        <w:rPr>
          <w:lang w:val="fr-FR"/>
        </w:rPr>
        <w:tab/>
      </w:r>
      <w:r w:rsidRPr="007E32EA">
        <w:rPr>
          <w:lang w:val="fr-FR"/>
        </w:rPr>
        <w:t>Proposition</w:t>
      </w:r>
    </w:p>
    <w:p w14:paraId="43CD0234" w14:textId="2F8C021E" w:rsidR="007E32EA" w:rsidRPr="00047D02" w:rsidRDefault="007E32EA" w:rsidP="007E32EA">
      <w:pPr>
        <w:pStyle w:val="SingleTxtG"/>
        <w:rPr>
          <w:lang w:val="fr-FR"/>
        </w:rPr>
      </w:pPr>
      <w:r>
        <w:rPr>
          <w:lang w:val="fr-FR"/>
        </w:rPr>
        <w:t>3.</w:t>
      </w:r>
      <w:r>
        <w:rPr>
          <w:lang w:val="fr-FR"/>
        </w:rPr>
        <w:tab/>
        <w:t>Modifier les 9.7.8, 9.7.8.1 et 9.7.8.2 comme suit (les modifications figurent en caractères soulignés pour les ajouts et biffés pour les suppressions)</w:t>
      </w:r>
      <w:r w:rsidR="003774FB">
        <w:rPr>
          <w:lang w:val="fr-FR"/>
        </w:rPr>
        <w:t> </w:t>
      </w:r>
      <w:r>
        <w:rPr>
          <w:lang w:val="fr-FR"/>
        </w:rPr>
        <w:t>:</w:t>
      </w:r>
    </w:p>
    <w:p w14:paraId="2ADA7090" w14:textId="524D50D7" w:rsidR="007E32EA" w:rsidRPr="00047D02" w:rsidRDefault="007E32EA" w:rsidP="003774FB">
      <w:pPr>
        <w:pStyle w:val="SingleTxtG"/>
        <w:tabs>
          <w:tab w:val="left" w:pos="2268"/>
        </w:tabs>
        <w:rPr>
          <w:lang w:val="fr-FR"/>
        </w:rPr>
      </w:pPr>
      <w:r w:rsidRPr="003774FB">
        <w:rPr>
          <w:color w:val="4D5156"/>
          <w:shd w:val="clear" w:color="auto" w:fill="FFFFFF"/>
          <w:lang w:val="fr-FR"/>
        </w:rPr>
        <w:t>« </w:t>
      </w:r>
      <w:r w:rsidRPr="007E32EA">
        <w:rPr>
          <w:b/>
          <w:bCs/>
          <w:lang w:val="fr-FR"/>
        </w:rPr>
        <w:t>9.7.8</w:t>
      </w:r>
      <w:r w:rsidR="003774FB">
        <w:rPr>
          <w:b/>
          <w:bCs/>
          <w:lang w:val="fr-FR"/>
        </w:rPr>
        <w:tab/>
      </w:r>
      <w:r w:rsidRPr="007E32EA">
        <w:rPr>
          <w:b/>
          <w:bCs/>
          <w:lang w:val="fr-FR"/>
        </w:rPr>
        <w:t xml:space="preserve">Équipement électrique </w:t>
      </w:r>
      <w:r w:rsidRPr="007E32EA">
        <w:rPr>
          <w:b/>
          <w:bCs/>
          <w:strike/>
          <w:lang w:val="fr-FR"/>
        </w:rPr>
        <w:t>[des véhicules FL]</w:t>
      </w:r>
    </w:p>
    <w:p w14:paraId="191D1ED4" w14:textId="77777777" w:rsidR="007E32EA" w:rsidRPr="00643219" w:rsidRDefault="007E32EA" w:rsidP="007E32EA">
      <w:pPr>
        <w:pStyle w:val="SingleTxtG"/>
        <w:rPr>
          <w:i/>
          <w:iCs/>
          <w:lang w:val="fr-FR"/>
        </w:rPr>
      </w:pPr>
      <w:r w:rsidRPr="00643219">
        <w:rPr>
          <w:lang w:val="fr-FR"/>
        </w:rPr>
        <w:t>9.7.8.1</w:t>
      </w:r>
      <w:r w:rsidRPr="00643219">
        <w:rPr>
          <w:lang w:val="fr-FR"/>
        </w:rPr>
        <w:tab/>
      </w:r>
      <w:r w:rsidRPr="00643219">
        <w:rPr>
          <w:lang w:val="fr-FR"/>
        </w:rPr>
        <w:tab/>
      </w:r>
      <w:r w:rsidRPr="00643219">
        <w:rPr>
          <w:i/>
          <w:iCs/>
          <w:u w:val="single"/>
          <w:lang w:val="fr-FR"/>
        </w:rPr>
        <w:t>Généralités</w:t>
      </w:r>
    </w:p>
    <w:p w14:paraId="0D346EAE" w14:textId="7A0BAC2F" w:rsidR="007E32EA" w:rsidRPr="00047D02" w:rsidRDefault="007E32EA" w:rsidP="007E32EA">
      <w:pPr>
        <w:pStyle w:val="SingleTxtG"/>
        <w:ind w:left="2268"/>
        <w:rPr>
          <w:lang w:val="fr-FR"/>
        </w:rPr>
      </w:pPr>
      <w:r w:rsidRPr="00830056">
        <w:rPr>
          <w:u w:val="single"/>
          <w:lang w:val="fr-FR"/>
        </w:rPr>
        <w:t>L</w:t>
      </w:r>
      <w:r>
        <w:rPr>
          <w:u w:val="single"/>
          <w:lang w:val="fr-FR"/>
        </w:rPr>
        <w:t xml:space="preserve">es </w:t>
      </w:r>
      <w:r w:rsidRPr="00830056">
        <w:rPr>
          <w:strike/>
          <w:lang w:val="fr-FR"/>
        </w:rPr>
        <w:t>L</w:t>
      </w:r>
      <w:r>
        <w:rPr>
          <w:strike/>
          <w:lang w:val="fr-FR"/>
        </w:rPr>
        <w:t>’</w:t>
      </w:r>
      <w:r w:rsidRPr="00047D02">
        <w:rPr>
          <w:lang w:val="fr-FR"/>
        </w:rPr>
        <w:t>installation</w:t>
      </w:r>
      <w:r>
        <w:rPr>
          <w:u w:val="single"/>
          <w:lang w:val="fr-FR"/>
        </w:rPr>
        <w:t>s</w:t>
      </w:r>
      <w:r w:rsidRPr="00047D02">
        <w:rPr>
          <w:lang w:val="fr-FR"/>
        </w:rPr>
        <w:t xml:space="preserve"> électrique</w:t>
      </w:r>
      <w:r>
        <w:rPr>
          <w:u w:val="single"/>
          <w:lang w:val="fr-FR"/>
        </w:rPr>
        <w:t>s</w:t>
      </w:r>
      <w:r w:rsidRPr="00047D02">
        <w:rPr>
          <w:lang w:val="fr-FR"/>
        </w:rPr>
        <w:t xml:space="preserve"> </w:t>
      </w:r>
      <w:r>
        <w:rPr>
          <w:u w:val="single"/>
          <w:lang w:val="fr-FR"/>
        </w:rPr>
        <w:t xml:space="preserve">modifiées ou ajoutées </w:t>
      </w:r>
      <w:r w:rsidRPr="00047D02">
        <w:rPr>
          <w:lang w:val="fr-FR"/>
        </w:rPr>
        <w:t>sur les véhicules FL doi</w:t>
      </w:r>
      <w:r w:rsidRPr="002E27ED">
        <w:rPr>
          <w:u w:val="single"/>
          <w:lang w:val="fr-FR"/>
        </w:rPr>
        <w:t>ven</w:t>
      </w:r>
      <w:r w:rsidRPr="00047D02">
        <w:rPr>
          <w:lang w:val="fr-FR"/>
        </w:rPr>
        <w:t xml:space="preserve">t satisfaire aux prescriptions pertinentes </w:t>
      </w:r>
      <w:r>
        <w:rPr>
          <w:u w:val="single"/>
          <w:lang w:val="fr-FR"/>
        </w:rPr>
        <w:t>du chapitre 9.</w:t>
      </w:r>
      <w:r w:rsidRPr="004544B6">
        <w:rPr>
          <w:u w:val="single"/>
          <w:lang w:val="fr-FR"/>
        </w:rPr>
        <w:t>2</w:t>
      </w:r>
      <w:r w:rsidRPr="004544B6">
        <w:rPr>
          <w:strike/>
          <w:lang w:val="fr-FR"/>
        </w:rPr>
        <w:t>des 9.2.2.1, 9.2.2.2, 9.2.2.4, 9.2.2.5, 9.2.2.6, 9.2.2.8 et 9.2.2.9.1</w:t>
      </w:r>
      <w:r w:rsidRPr="003774FB">
        <w:rPr>
          <w:lang w:val="fr-FR"/>
        </w:rPr>
        <w:t xml:space="preserve"> </w:t>
      </w:r>
      <w:r>
        <w:rPr>
          <w:u w:val="single"/>
          <w:lang w:val="fr-FR"/>
        </w:rPr>
        <w:t>le cas échéant (voir le tableau du 9.2.1.1)</w:t>
      </w:r>
      <w:r w:rsidRPr="00047D02">
        <w:rPr>
          <w:lang w:val="fr-FR"/>
        </w:rPr>
        <w:t>.</w:t>
      </w:r>
    </w:p>
    <w:p w14:paraId="2F86BD83" w14:textId="77777777" w:rsidR="007E32EA" w:rsidRPr="00047D02" w:rsidRDefault="007E32EA" w:rsidP="007E32EA">
      <w:pPr>
        <w:pStyle w:val="SingleTxtG"/>
        <w:ind w:left="2268"/>
        <w:rPr>
          <w:lang w:val="fr-FR"/>
        </w:rPr>
      </w:pPr>
      <w:r w:rsidRPr="000213B7">
        <w:rPr>
          <w:strike/>
          <w:lang w:val="fr-FR"/>
        </w:rPr>
        <w:lastRenderedPageBreak/>
        <w:t>Toutefois toute installation électrique ajoutée ou modifiée doit répondre aux prescriptions applicables au matériel électrique du groupe et de la classe de température pertinents selon les matières à transporter.</w:t>
      </w:r>
    </w:p>
    <w:p w14:paraId="5F211C2F" w14:textId="6288F6C7" w:rsidR="007E32EA" w:rsidRPr="00D22FC3" w:rsidRDefault="007E32EA" w:rsidP="007E32EA">
      <w:pPr>
        <w:pStyle w:val="SingleTxtG"/>
        <w:ind w:left="2268"/>
        <w:rPr>
          <w:i/>
          <w:iCs/>
          <w:lang w:val="fr-FR"/>
        </w:rPr>
      </w:pPr>
      <w:r w:rsidRPr="00D22FC3">
        <w:rPr>
          <w:b/>
          <w:bCs/>
          <w:i/>
          <w:iCs/>
          <w:lang w:val="fr-FR"/>
        </w:rPr>
        <w:t>NOT</w:t>
      </w:r>
      <w:r>
        <w:rPr>
          <w:b/>
          <w:bCs/>
          <w:i/>
          <w:iCs/>
          <w:lang w:val="fr-FR"/>
        </w:rPr>
        <w:t>A</w:t>
      </w:r>
      <w:r w:rsidR="003774FB">
        <w:rPr>
          <w:b/>
          <w:bCs/>
          <w:i/>
          <w:iCs/>
          <w:lang w:val="fr-FR"/>
        </w:rPr>
        <w:t> </w:t>
      </w:r>
      <w:r w:rsidRPr="00D22FC3">
        <w:rPr>
          <w:b/>
          <w:bCs/>
          <w:i/>
          <w:iCs/>
          <w:lang w:val="fr-FR"/>
        </w:rPr>
        <w:t>:</w:t>
      </w:r>
      <w:r w:rsidR="003774FB">
        <w:rPr>
          <w:b/>
          <w:bCs/>
          <w:i/>
          <w:iCs/>
          <w:lang w:val="fr-FR"/>
        </w:rPr>
        <w:t xml:space="preserve"> </w:t>
      </w:r>
      <w:r w:rsidRPr="00D22FC3">
        <w:rPr>
          <w:i/>
          <w:iCs/>
          <w:lang w:val="fr-FR"/>
        </w:rPr>
        <w:t>Pour les dispositions transitoires, voir 1.6.5.</w:t>
      </w:r>
    </w:p>
    <w:p w14:paraId="14432FDD" w14:textId="77777777" w:rsidR="007E32EA" w:rsidRPr="00733833" w:rsidRDefault="007E32EA" w:rsidP="007E32EA">
      <w:pPr>
        <w:pStyle w:val="SingleTxtG"/>
        <w:rPr>
          <w:i/>
          <w:iCs/>
          <w:strike/>
          <w:lang w:val="fr-FR"/>
        </w:rPr>
      </w:pPr>
      <w:r w:rsidRPr="00733833">
        <w:rPr>
          <w:lang w:val="fr-FR"/>
        </w:rPr>
        <w:t>9.7.8.2</w:t>
      </w:r>
      <w:r w:rsidRPr="00733833">
        <w:rPr>
          <w:lang w:val="fr-FR"/>
        </w:rPr>
        <w:tab/>
      </w:r>
      <w:r w:rsidRPr="00733833">
        <w:rPr>
          <w:lang w:val="fr-FR"/>
        </w:rPr>
        <w:tab/>
      </w:r>
      <w:r w:rsidRPr="00733833">
        <w:rPr>
          <w:i/>
          <w:iCs/>
          <w:u w:val="single"/>
          <w:lang w:val="fr-FR"/>
        </w:rPr>
        <w:t>Véhicules FL</w:t>
      </w:r>
    </w:p>
    <w:p w14:paraId="708FDD44" w14:textId="34C9662F" w:rsidR="007E32EA" w:rsidRPr="00A56F78" w:rsidRDefault="007E32EA" w:rsidP="007E32EA">
      <w:pPr>
        <w:pStyle w:val="SingleTxtG"/>
        <w:ind w:left="2268"/>
        <w:rPr>
          <w:lang w:val="fr-FR"/>
        </w:rPr>
      </w:pPr>
      <w:r w:rsidRPr="00A56F78">
        <w:rPr>
          <w:lang w:val="fr-FR"/>
        </w:rPr>
        <w:t>L</w:t>
      </w:r>
      <w:r>
        <w:rPr>
          <w:lang w:val="fr-FR"/>
        </w:rPr>
        <w:t>’</w:t>
      </w:r>
      <w:r w:rsidRPr="00A56F78">
        <w:rPr>
          <w:lang w:val="fr-FR"/>
        </w:rPr>
        <w:t>équipement électrique sur les véhicules FL</w:t>
      </w:r>
      <w:r>
        <w:rPr>
          <w:lang w:val="fr-FR"/>
        </w:rPr>
        <w:t xml:space="preserve"> </w:t>
      </w:r>
      <w:r w:rsidRPr="00A03530">
        <w:rPr>
          <w:u w:val="single"/>
          <w:lang w:val="fr-FR"/>
        </w:rPr>
        <w:t>[</w:t>
      </w:r>
      <w:r>
        <w:rPr>
          <w:u w:val="single"/>
          <w:lang w:val="fr-FR"/>
        </w:rPr>
        <w:t>qui reste sous tension lorsque le dispositif de mise hors tension des circuits électriques est actionné</w:t>
      </w:r>
      <w:r w:rsidRPr="00A03530">
        <w:rPr>
          <w:lang w:val="fr-FR"/>
        </w:rPr>
        <w:t>]</w:t>
      </w:r>
      <w:r w:rsidRPr="00A56F78">
        <w:rPr>
          <w:lang w:val="fr-FR"/>
        </w:rPr>
        <w:t>, situé dans les zones où il existe ou peut exister une atmosphère explosible en proportion telle que des précautions spéciales soient nécessaires doit être de caractéristiques appropriées pour l</w:t>
      </w:r>
      <w:r>
        <w:rPr>
          <w:lang w:val="fr-FR"/>
        </w:rPr>
        <w:t>’</w:t>
      </w:r>
      <w:r w:rsidRPr="00A56F78">
        <w:rPr>
          <w:lang w:val="fr-FR"/>
        </w:rPr>
        <w:t>utilisation en zone dangereuse.</w:t>
      </w:r>
      <w:r w:rsidRPr="005406AB">
        <w:rPr>
          <w:lang w:val="fr-FR"/>
        </w:rPr>
        <w:t xml:space="preserve"> Cet</w:t>
      </w:r>
      <w:r w:rsidR="00A92AA5">
        <w:rPr>
          <w:lang w:val="fr-FR"/>
        </w:rPr>
        <w:t> </w:t>
      </w:r>
      <w:r w:rsidRPr="005406AB">
        <w:rPr>
          <w:lang w:val="fr-FR"/>
        </w:rPr>
        <w:t>équipement doit satisfaire aux dispositions générales de la norme CEI 60079 parties 0 et 14, et aux dispositions additionnelles applicables de la norme CEI 60079 parties 1, 2, 5, 6, 7, 11, 18, 26 ou 28. Il doit répondre aux prescriptions applicables au matériel électrique du groupe et de la classe de température pertinents selon les matières à transporter</w:t>
      </w:r>
      <w:r w:rsidRPr="00A92AA5">
        <w:rPr>
          <w:lang w:val="fr-FR"/>
        </w:rPr>
        <w:t>.</w:t>
      </w:r>
      <w:r w:rsidR="00A92AA5" w:rsidRPr="00A92AA5">
        <w:rPr>
          <w:color w:val="4D5156"/>
          <w:shd w:val="clear" w:color="auto" w:fill="FFFFFF"/>
          <w:lang w:val="fr-FR"/>
        </w:rPr>
        <w:t> </w:t>
      </w:r>
      <w:r w:rsidRPr="00A92AA5">
        <w:rPr>
          <w:color w:val="4D5156"/>
          <w:shd w:val="clear" w:color="auto" w:fill="FFFFFF"/>
          <w:lang w:val="fr-FR"/>
        </w:rPr>
        <w:t>»</w:t>
      </w:r>
      <w:r w:rsidRPr="00A92AA5">
        <w:rPr>
          <w:lang w:val="fr-FR"/>
        </w:rPr>
        <w:t>.</w:t>
      </w:r>
    </w:p>
    <w:p w14:paraId="5A286B71" w14:textId="77777777" w:rsidR="007E32EA" w:rsidRPr="00047D02" w:rsidRDefault="007E32EA" w:rsidP="007E32EA">
      <w:pPr>
        <w:pStyle w:val="SingleTxtG"/>
        <w:rPr>
          <w:lang w:val="fr-FR"/>
        </w:rPr>
      </w:pPr>
      <w:r>
        <w:rPr>
          <w:lang w:val="fr-FR"/>
        </w:rPr>
        <w:t>Le reste du 9.7.8.2 demeure inchangé.</w:t>
      </w:r>
    </w:p>
    <w:p w14:paraId="5BAEC410" w14:textId="2C2F2454" w:rsidR="007E32EA" w:rsidRPr="00047D02" w:rsidRDefault="007E32EA" w:rsidP="007E32EA">
      <w:pPr>
        <w:pStyle w:val="HChG"/>
        <w:rPr>
          <w:lang w:val="fr-FR"/>
        </w:rPr>
      </w:pPr>
      <w:r>
        <w:rPr>
          <w:lang w:val="fr-FR"/>
        </w:rPr>
        <w:tab/>
      </w:r>
      <w:r>
        <w:rPr>
          <w:lang w:val="fr-FR"/>
        </w:rPr>
        <w:t>III.</w:t>
      </w:r>
      <w:r>
        <w:rPr>
          <w:lang w:val="fr-FR"/>
        </w:rPr>
        <w:tab/>
        <w:t>Justification</w:t>
      </w:r>
    </w:p>
    <w:p w14:paraId="5AA476DF" w14:textId="7CF796C5" w:rsidR="007E32EA" w:rsidRPr="00047D02" w:rsidRDefault="007E32EA" w:rsidP="007E32EA">
      <w:pPr>
        <w:pStyle w:val="SingleTxtG"/>
        <w:rPr>
          <w:lang w:val="fr-FR"/>
        </w:rPr>
      </w:pPr>
      <w:r>
        <w:rPr>
          <w:lang w:val="fr-FR"/>
        </w:rPr>
        <w:t>4.</w:t>
      </w:r>
      <w:r>
        <w:rPr>
          <w:lang w:val="fr-FR"/>
        </w:rPr>
        <w:tab/>
        <w:t>La modification du titre du 9.7.8 et du premier paragraphe du 9.7.8.1 a pour but d</w:t>
      </w:r>
      <w:r>
        <w:rPr>
          <w:lang w:val="fr-FR"/>
        </w:rPr>
        <w:t>’</w:t>
      </w:r>
      <w:r>
        <w:rPr>
          <w:lang w:val="fr-FR"/>
        </w:rPr>
        <w:t>étendre l</w:t>
      </w:r>
      <w:r>
        <w:rPr>
          <w:lang w:val="fr-FR"/>
        </w:rPr>
        <w:t>’</w:t>
      </w:r>
      <w:r>
        <w:rPr>
          <w:lang w:val="fr-FR"/>
        </w:rPr>
        <w:t>application de ces dispositions à toutes les catégories de véhicules visées au 9.7. Par exemple, la protection supplémentaire ainsi que la mise hors tension de batteries supplémentaires doivent se faire dans le respect des prescriptions du chapitre 9.2, le cas échéant.</w:t>
      </w:r>
    </w:p>
    <w:p w14:paraId="727139C7" w14:textId="5B695621" w:rsidR="007E32EA" w:rsidRPr="00047D02" w:rsidRDefault="007E32EA" w:rsidP="007E32EA">
      <w:pPr>
        <w:pStyle w:val="SingleTxtG"/>
        <w:rPr>
          <w:lang w:val="fr-FR"/>
        </w:rPr>
      </w:pPr>
      <w:r>
        <w:rPr>
          <w:lang w:val="fr-FR"/>
        </w:rPr>
        <w:t>5.</w:t>
      </w:r>
      <w:r>
        <w:rPr>
          <w:lang w:val="fr-FR"/>
        </w:rPr>
        <w:tab/>
        <w:t>Le début du deuxième paragraphe est ajouté au premier pour préciser qu</w:t>
      </w:r>
      <w:r>
        <w:rPr>
          <w:lang w:val="fr-FR"/>
        </w:rPr>
        <w:t>’</w:t>
      </w:r>
      <w:r>
        <w:rPr>
          <w:lang w:val="fr-FR"/>
        </w:rPr>
        <w:t>il s</w:t>
      </w:r>
      <w:r>
        <w:rPr>
          <w:lang w:val="fr-FR"/>
        </w:rPr>
        <w:t>’</w:t>
      </w:r>
      <w:r>
        <w:rPr>
          <w:lang w:val="fr-FR"/>
        </w:rPr>
        <w:t>agit en particulier d</w:t>
      </w:r>
      <w:r>
        <w:rPr>
          <w:lang w:val="fr-FR"/>
        </w:rPr>
        <w:t>’</w:t>
      </w:r>
      <w:r>
        <w:rPr>
          <w:lang w:val="fr-FR"/>
        </w:rPr>
        <w:t>ajouts ou de modifications des systèmes déjà présents sur le véhicule de base. Alors que le chapitre 9.2 concerne le constructeur du véhicule, le chapitre 9.7 concerne le carrossier (deuxième étape).</w:t>
      </w:r>
    </w:p>
    <w:p w14:paraId="7CC26F4A" w14:textId="4B845E55" w:rsidR="007E32EA" w:rsidRPr="00047D02" w:rsidRDefault="007E32EA" w:rsidP="007E32EA">
      <w:pPr>
        <w:pStyle w:val="SingleTxtG"/>
        <w:rPr>
          <w:lang w:val="fr-FR"/>
        </w:rPr>
      </w:pPr>
      <w:r>
        <w:rPr>
          <w:lang w:val="fr-FR"/>
        </w:rPr>
        <w:t>6.</w:t>
      </w:r>
      <w:r>
        <w:rPr>
          <w:lang w:val="fr-FR"/>
        </w:rPr>
        <w:tab/>
        <w:t>Le reste du deuxième paragraphe du 9.7.8.1 concerne la protection en cas d</w:t>
      </w:r>
      <w:r>
        <w:rPr>
          <w:lang w:val="fr-FR"/>
        </w:rPr>
        <w:t>’</w:t>
      </w:r>
      <w:r>
        <w:rPr>
          <w:lang w:val="fr-FR"/>
        </w:rPr>
        <w:t>atmosphère explosible, mais cette formulation existe déjà dans la dernière phrase du premier paragraphe du 9.7.8.2 et devient donc obsolète.</w:t>
      </w:r>
    </w:p>
    <w:p w14:paraId="74D7828C" w14:textId="210A0592" w:rsidR="00F9573C" w:rsidRDefault="007E32EA" w:rsidP="007E32EA">
      <w:pPr>
        <w:pStyle w:val="SingleTxtG"/>
        <w:rPr>
          <w:lang w:val="fr-FR"/>
        </w:rPr>
      </w:pPr>
      <w:r>
        <w:rPr>
          <w:lang w:val="fr-FR"/>
        </w:rPr>
        <w:t>7.</w:t>
      </w:r>
      <w:r>
        <w:rPr>
          <w:lang w:val="fr-FR"/>
        </w:rPr>
        <w:tab/>
        <w:t>Le 9.7.8.2 reçoit un nouveau titre pour préciser qu</w:t>
      </w:r>
      <w:r>
        <w:rPr>
          <w:lang w:val="fr-FR"/>
        </w:rPr>
        <w:t>’</w:t>
      </w:r>
      <w:r>
        <w:rPr>
          <w:lang w:val="fr-FR"/>
        </w:rPr>
        <w:t>il s</w:t>
      </w:r>
      <w:r>
        <w:rPr>
          <w:lang w:val="fr-FR"/>
        </w:rPr>
        <w:t>’</w:t>
      </w:r>
      <w:r>
        <w:rPr>
          <w:lang w:val="fr-FR"/>
        </w:rPr>
        <w:t xml:space="preserve">applique en particulier aux véhicules FL. Les véhicules transportant des explosifs en citernes (ONU 0331 </w:t>
      </w:r>
      <w:r w:rsidR="00A92AA5">
        <w:rPr>
          <w:lang w:val="fr-FR"/>
        </w:rPr>
        <w:t>−</w:t>
      </w:r>
      <w:r>
        <w:rPr>
          <w:lang w:val="fr-FR"/>
        </w:rPr>
        <w:t xml:space="preserve"> 1.5D) n</w:t>
      </w:r>
      <w:r>
        <w:rPr>
          <w:lang w:val="fr-FR"/>
        </w:rPr>
        <w:t>’</w:t>
      </w:r>
      <w:r>
        <w:rPr>
          <w:lang w:val="fr-FR"/>
        </w:rPr>
        <w:t>ont pas à satisfaire aux prescriptions applicables aux véhicules FL, car le fioul utilisé avec le nitrate d</w:t>
      </w:r>
      <w:r>
        <w:rPr>
          <w:lang w:val="fr-FR"/>
        </w:rPr>
        <w:t>’</w:t>
      </w:r>
      <w:r>
        <w:rPr>
          <w:lang w:val="fr-FR"/>
        </w:rPr>
        <w:t>ammonium est censé, de par son classement, ne pas produire d</w:t>
      </w:r>
      <w:r>
        <w:rPr>
          <w:lang w:val="fr-FR"/>
        </w:rPr>
        <w:t>’</w:t>
      </w:r>
      <w:r>
        <w:rPr>
          <w:lang w:val="fr-FR"/>
        </w:rPr>
        <w:t>atmosphère explosible.</w:t>
      </w:r>
    </w:p>
    <w:p w14:paraId="3D26FB8A" w14:textId="6BE3690D" w:rsidR="007E32EA" w:rsidRPr="007E32EA" w:rsidRDefault="007E32EA" w:rsidP="007E32EA">
      <w:pPr>
        <w:pStyle w:val="SingleTxtG"/>
        <w:spacing w:before="240" w:after="0"/>
        <w:jc w:val="center"/>
        <w:rPr>
          <w:u w:val="single"/>
        </w:rPr>
      </w:pPr>
      <w:r>
        <w:rPr>
          <w:u w:val="single"/>
        </w:rPr>
        <w:tab/>
      </w:r>
      <w:r>
        <w:rPr>
          <w:u w:val="single"/>
        </w:rPr>
        <w:tab/>
      </w:r>
      <w:r>
        <w:rPr>
          <w:u w:val="single"/>
        </w:rPr>
        <w:tab/>
      </w:r>
      <w:r>
        <w:rPr>
          <w:u w:val="single"/>
        </w:rPr>
        <w:tab/>
      </w:r>
    </w:p>
    <w:sectPr w:rsidR="007E32EA" w:rsidRPr="007E32EA" w:rsidSect="007E32E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FCDC9" w14:textId="77777777" w:rsidR="00294910" w:rsidRDefault="00294910" w:rsidP="00F95C08">
      <w:pPr>
        <w:spacing w:line="240" w:lineRule="auto"/>
      </w:pPr>
    </w:p>
  </w:endnote>
  <w:endnote w:type="continuationSeparator" w:id="0">
    <w:p w14:paraId="34EDBC9E" w14:textId="77777777" w:rsidR="00294910" w:rsidRPr="00AC3823" w:rsidRDefault="00294910" w:rsidP="00AC3823">
      <w:pPr>
        <w:pStyle w:val="Pieddepage"/>
      </w:pPr>
    </w:p>
  </w:endnote>
  <w:endnote w:type="continuationNotice" w:id="1">
    <w:p w14:paraId="37613949" w14:textId="77777777" w:rsidR="00294910" w:rsidRDefault="0029491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F2B6" w14:textId="39E512CE" w:rsidR="007E32EA" w:rsidRPr="007E32EA" w:rsidRDefault="007E32EA" w:rsidP="007E32EA">
    <w:pPr>
      <w:pStyle w:val="Pieddepage"/>
      <w:tabs>
        <w:tab w:val="right" w:pos="9638"/>
      </w:tabs>
    </w:pPr>
    <w:r w:rsidRPr="007E32EA">
      <w:rPr>
        <w:b/>
        <w:sz w:val="18"/>
      </w:rPr>
      <w:fldChar w:fldCharType="begin"/>
    </w:r>
    <w:r w:rsidRPr="007E32EA">
      <w:rPr>
        <w:b/>
        <w:sz w:val="18"/>
      </w:rPr>
      <w:instrText xml:space="preserve"> PAGE  \* MERGEFORMAT </w:instrText>
    </w:r>
    <w:r w:rsidRPr="007E32EA">
      <w:rPr>
        <w:b/>
        <w:sz w:val="18"/>
      </w:rPr>
      <w:fldChar w:fldCharType="separate"/>
    </w:r>
    <w:r w:rsidRPr="007E32EA">
      <w:rPr>
        <w:b/>
        <w:noProof/>
        <w:sz w:val="18"/>
      </w:rPr>
      <w:t>2</w:t>
    </w:r>
    <w:r w:rsidRPr="007E32EA">
      <w:rPr>
        <w:b/>
        <w:sz w:val="18"/>
      </w:rPr>
      <w:fldChar w:fldCharType="end"/>
    </w:r>
    <w:r>
      <w:rPr>
        <w:b/>
        <w:sz w:val="18"/>
      </w:rPr>
      <w:tab/>
    </w:r>
    <w:r>
      <w:t>GE.24-00456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B01D" w14:textId="0B90CA80" w:rsidR="007E32EA" w:rsidRPr="007E32EA" w:rsidRDefault="007E32EA" w:rsidP="007E32EA">
    <w:pPr>
      <w:pStyle w:val="Pieddepage"/>
      <w:tabs>
        <w:tab w:val="right" w:pos="9638"/>
      </w:tabs>
      <w:rPr>
        <w:b/>
        <w:sz w:val="18"/>
      </w:rPr>
    </w:pPr>
    <w:r>
      <w:t>GE.24-00456</w:t>
    </w:r>
    <w:r>
      <w:tab/>
    </w:r>
    <w:r w:rsidRPr="007E32EA">
      <w:rPr>
        <w:b/>
        <w:sz w:val="18"/>
      </w:rPr>
      <w:fldChar w:fldCharType="begin"/>
    </w:r>
    <w:r w:rsidRPr="007E32EA">
      <w:rPr>
        <w:b/>
        <w:sz w:val="18"/>
      </w:rPr>
      <w:instrText xml:space="preserve"> PAGE  \* MERGEFORMAT </w:instrText>
    </w:r>
    <w:r w:rsidRPr="007E32EA">
      <w:rPr>
        <w:b/>
        <w:sz w:val="18"/>
      </w:rPr>
      <w:fldChar w:fldCharType="separate"/>
    </w:r>
    <w:r w:rsidRPr="007E32EA">
      <w:rPr>
        <w:b/>
        <w:noProof/>
        <w:sz w:val="18"/>
      </w:rPr>
      <w:t>3</w:t>
    </w:r>
    <w:r w:rsidRPr="007E32E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8172F" w14:textId="526318E8" w:rsidR="007F20FA" w:rsidRPr="007E32EA" w:rsidRDefault="007E32EA" w:rsidP="007E32EA">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DA61739" wp14:editId="790775C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24-00456  (F)</w:t>
    </w:r>
    <w:r>
      <w:rPr>
        <w:noProof/>
        <w:sz w:val="20"/>
      </w:rPr>
      <w:drawing>
        <wp:anchor distT="0" distB="0" distL="114300" distR="114300" simplePos="0" relativeHeight="251660288" behindDoc="0" locked="0" layoutInCell="1" allowOverlap="1" wp14:anchorId="3E298A88" wp14:editId="3C56BD92">
          <wp:simplePos x="0" y="0"/>
          <wp:positionH relativeFrom="margin">
            <wp:posOffset>5489575</wp:posOffset>
          </wp:positionH>
          <wp:positionV relativeFrom="margin">
            <wp:posOffset>8891905</wp:posOffset>
          </wp:positionV>
          <wp:extent cx="638175" cy="638175"/>
          <wp:effectExtent l="0" t="0" r="9525" b="9525"/>
          <wp:wrapNone/>
          <wp:docPr id="6995902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080224    090224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C2B44" w14:textId="77777777" w:rsidR="00294910" w:rsidRPr="00AC3823" w:rsidRDefault="00294910" w:rsidP="00AC3823">
      <w:pPr>
        <w:pStyle w:val="Pieddepage"/>
        <w:tabs>
          <w:tab w:val="right" w:pos="2155"/>
        </w:tabs>
        <w:spacing w:after="80" w:line="240" w:lineRule="atLeast"/>
        <w:ind w:left="680"/>
        <w:rPr>
          <w:u w:val="single"/>
        </w:rPr>
      </w:pPr>
      <w:r>
        <w:rPr>
          <w:u w:val="single"/>
        </w:rPr>
        <w:tab/>
      </w:r>
    </w:p>
  </w:footnote>
  <w:footnote w:type="continuationSeparator" w:id="0">
    <w:p w14:paraId="5584146D" w14:textId="77777777" w:rsidR="00294910" w:rsidRPr="00AC3823" w:rsidRDefault="00294910" w:rsidP="00AC3823">
      <w:pPr>
        <w:pStyle w:val="Pieddepage"/>
        <w:tabs>
          <w:tab w:val="right" w:pos="2155"/>
        </w:tabs>
        <w:spacing w:after="80" w:line="240" w:lineRule="atLeast"/>
        <w:ind w:left="680"/>
        <w:rPr>
          <w:u w:val="single"/>
        </w:rPr>
      </w:pPr>
      <w:r>
        <w:rPr>
          <w:u w:val="single"/>
        </w:rPr>
        <w:tab/>
      </w:r>
    </w:p>
  </w:footnote>
  <w:footnote w:type="continuationNotice" w:id="1">
    <w:p w14:paraId="5C54AAEE" w14:textId="77777777" w:rsidR="00294910" w:rsidRPr="00AC3823" w:rsidRDefault="00294910">
      <w:pPr>
        <w:spacing w:line="240" w:lineRule="auto"/>
        <w:rPr>
          <w:sz w:val="2"/>
          <w:szCs w:val="2"/>
        </w:rPr>
      </w:pPr>
    </w:p>
  </w:footnote>
  <w:footnote w:id="2">
    <w:p w14:paraId="527FD778" w14:textId="307144ED" w:rsidR="007E32EA" w:rsidRPr="007E32EA" w:rsidRDefault="007E32EA">
      <w:pPr>
        <w:pStyle w:val="Notedebasdepage"/>
      </w:pPr>
      <w:r>
        <w:rPr>
          <w:rStyle w:val="Appelnotedebasdep"/>
        </w:rPr>
        <w:tab/>
      </w:r>
      <w:r w:rsidRPr="007E32EA">
        <w:rPr>
          <w:rStyle w:val="Appelnotedebasdep"/>
          <w:sz w:val="20"/>
          <w:vertAlign w:val="baseline"/>
        </w:rPr>
        <w:t>*</w:t>
      </w:r>
      <w:r>
        <w:rPr>
          <w:rStyle w:val="Appelnotedebasdep"/>
          <w:sz w:val="20"/>
          <w:vertAlign w:val="baseline"/>
        </w:rPr>
        <w:tab/>
      </w:r>
      <w:r>
        <w:rPr>
          <w:lang w:val="fr-FR"/>
        </w:rPr>
        <w:t>A/78/6 (Sect. 20), tableau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C0DB4" w14:textId="0AF50F7C" w:rsidR="007E32EA" w:rsidRPr="007E32EA" w:rsidRDefault="007E32EA">
    <w:pPr>
      <w:pStyle w:val="En-tte"/>
    </w:pPr>
    <w:fldSimple w:instr=" TITLE  \* MERGEFORMAT ">
      <w:r>
        <w:t>ECE/TRANS/WP.15/2024/5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DF14" w14:textId="4BE64B61" w:rsidR="007E32EA" w:rsidRPr="007E32EA" w:rsidRDefault="007E32EA" w:rsidP="007E32EA">
    <w:pPr>
      <w:pStyle w:val="En-tte"/>
      <w:jc w:val="right"/>
    </w:pPr>
    <w:fldSimple w:instr=" TITLE  \* MERGEFORMAT ">
      <w:r>
        <w:t>ECE/TRANS/WP.15/2024/5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108818907">
    <w:abstractNumId w:val="12"/>
  </w:num>
  <w:num w:numId="2" w16cid:durableId="1600139413">
    <w:abstractNumId w:val="11"/>
  </w:num>
  <w:num w:numId="3" w16cid:durableId="2105832691">
    <w:abstractNumId w:val="10"/>
  </w:num>
  <w:num w:numId="4" w16cid:durableId="1409956914">
    <w:abstractNumId w:val="8"/>
  </w:num>
  <w:num w:numId="5" w16cid:durableId="883372312">
    <w:abstractNumId w:val="3"/>
  </w:num>
  <w:num w:numId="6" w16cid:durableId="2039889974">
    <w:abstractNumId w:val="2"/>
  </w:num>
  <w:num w:numId="7" w16cid:durableId="403190550">
    <w:abstractNumId w:val="1"/>
  </w:num>
  <w:num w:numId="8" w16cid:durableId="1615356595">
    <w:abstractNumId w:val="0"/>
  </w:num>
  <w:num w:numId="9" w16cid:durableId="345443708">
    <w:abstractNumId w:val="9"/>
  </w:num>
  <w:num w:numId="10" w16cid:durableId="1639336473">
    <w:abstractNumId w:val="7"/>
  </w:num>
  <w:num w:numId="11" w16cid:durableId="163210684">
    <w:abstractNumId w:val="6"/>
  </w:num>
  <w:num w:numId="12" w16cid:durableId="1938630207">
    <w:abstractNumId w:val="5"/>
  </w:num>
  <w:num w:numId="13" w16cid:durableId="2042897150">
    <w:abstractNumId w:val="4"/>
  </w:num>
  <w:num w:numId="14" w16cid:durableId="1201818297">
    <w:abstractNumId w:val="12"/>
  </w:num>
  <w:num w:numId="15" w16cid:durableId="1454130522">
    <w:abstractNumId w:val="11"/>
  </w:num>
  <w:num w:numId="16" w16cid:durableId="12575233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910"/>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94910"/>
    <w:rsid w:val="002D7C93"/>
    <w:rsid w:val="00305801"/>
    <w:rsid w:val="003774FB"/>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E32EA"/>
    <w:rsid w:val="007F20FA"/>
    <w:rsid w:val="0080684C"/>
    <w:rsid w:val="00871C75"/>
    <w:rsid w:val="008776DC"/>
    <w:rsid w:val="008D5EF9"/>
    <w:rsid w:val="009446C0"/>
    <w:rsid w:val="009705C8"/>
    <w:rsid w:val="009C1CF4"/>
    <w:rsid w:val="009F6B74"/>
    <w:rsid w:val="00A3029F"/>
    <w:rsid w:val="00A30353"/>
    <w:rsid w:val="00A92AA5"/>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47152"/>
  <w15:docId w15:val="{CCC73DD3-DA9A-4ED0-B553-64BC8CE0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CCF7B3-2802-46EA-83D9-9F67E28B2949}"/>
</file>

<file path=customXml/itemProps2.xml><?xml version="1.0" encoding="utf-8"?>
<ds:datastoreItem xmlns:ds="http://schemas.openxmlformats.org/officeDocument/2006/customXml" ds:itemID="{D7693AC4-5978-48AD-BE4F-8EB56929EE92}"/>
</file>

<file path=docProps/app.xml><?xml version="1.0" encoding="utf-8"?>
<Properties xmlns="http://schemas.openxmlformats.org/officeDocument/2006/extended-properties" xmlns:vt="http://schemas.openxmlformats.org/officeDocument/2006/docPropsVTypes">
  <Template>ECE_TRANS.dotm</Template>
  <TotalTime>6</TotalTime>
  <Pages>2</Pages>
  <Words>534</Words>
  <Characters>3739</Characters>
  <Application>Microsoft Office Word</Application>
  <DocSecurity>0</DocSecurity>
  <Lines>311</Lines>
  <Paragraphs>170</Paragraphs>
  <ScaleCrop>false</ScaleCrop>
  <HeadingPairs>
    <vt:vector size="2" baseType="variant">
      <vt:variant>
        <vt:lpstr>Titre</vt:lpstr>
      </vt:variant>
      <vt:variant>
        <vt:i4>1</vt:i4>
      </vt:variant>
    </vt:vector>
  </HeadingPairs>
  <TitlesOfParts>
    <vt:vector size="1" baseType="lpstr">
      <vt:lpstr>ECE/TRANS/WP.15/2024/5</vt:lpstr>
    </vt:vector>
  </TitlesOfParts>
  <Company>DCM</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ECE/TRANS/WP.15/2024/5</dc:title>
  <dc:subject/>
  <dc:creator>Julien OKRZESIK</dc:creator>
  <cp:keywords/>
  <cp:lastModifiedBy>Julien Okrzesik</cp:lastModifiedBy>
  <cp:revision>2</cp:revision>
  <cp:lastPrinted>2014-05-14T10:59:00Z</cp:lastPrinted>
  <dcterms:created xsi:type="dcterms:W3CDTF">2024-02-09T10:29:00Z</dcterms:created>
  <dcterms:modified xsi:type="dcterms:W3CDTF">2024-02-09T10:29:00Z</dcterms:modified>
</cp:coreProperties>
</file>