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7E201F" w14:textId="77777777" w:rsidTr="00B20551">
        <w:trPr>
          <w:cantSplit/>
          <w:trHeight w:hRule="exact" w:val="851"/>
        </w:trPr>
        <w:tc>
          <w:tcPr>
            <w:tcW w:w="1276" w:type="dxa"/>
            <w:tcBorders>
              <w:bottom w:val="single" w:sz="4" w:space="0" w:color="auto"/>
            </w:tcBorders>
            <w:vAlign w:val="bottom"/>
          </w:tcPr>
          <w:p w14:paraId="6AF01054" w14:textId="77777777" w:rsidR="009E6CB7" w:rsidRDefault="009E6CB7" w:rsidP="00B20551">
            <w:pPr>
              <w:spacing w:after="80"/>
            </w:pPr>
          </w:p>
        </w:tc>
        <w:tc>
          <w:tcPr>
            <w:tcW w:w="2268" w:type="dxa"/>
            <w:tcBorders>
              <w:bottom w:val="single" w:sz="4" w:space="0" w:color="auto"/>
            </w:tcBorders>
            <w:vAlign w:val="bottom"/>
          </w:tcPr>
          <w:p w14:paraId="16AF4BF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0240D5" w14:textId="3B34BDB0" w:rsidR="009E6CB7" w:rsidRPr="00D47EEA" w:rsidRDefault="00BD26BA" w:rsidP="00BD26BA">
            <w:pPr>
              <w:jc w:val="right"/>
            </w:pPr>
            <w:r w:rsidRPr="00BD26BA">
              <w:rPr>
                <w:sz w:val="40"/>
              </w:rPr>
              <w:t>ECE</w:t>
            </w:r>
            <w:r>
              <w:t>/TRANS/WP.15/2024/1</w:t>
            </w:r>
          </w:p>
        </w:tc>
      </w:tr>
      <w:tr w:rsidR="009E6CB7" w14:paraId="50DE1EF6" w14:textId="77777777" w:rsidTr="00B20551">
        <w:trPr>
          <w:cantSplit/>
          <w:trHeight w:hRule="exact" w:val="2835"/>
        </w:trPr>
        <w:tc>
          <w:tcPr>
            <w:tcW w:w="1276" w:type="dxa"/>
            <w:tcBorders>
              <w:top w:val="single" w:sz="4" w:space="0" w:color="auto"/>
              <w:bottom w:val="single" w:sz="12" w:space="0" w:color="auto"/>
            </w:tcBorders>
          </w:tcPr>
          <w:p w14:paraId="5CA2F896" w14:textId="77777777" w:rsidR="009E6CB7" w:rsidRDefault="00686A48" w:rsidP="00B20551">
            <w:pPr>
              <w:spacing w:before="120"/>
            </w:pPr>
            <w:r>
              <w:rPr>
                <w:noProof/>
                <w:lang w:val="fr-CH" w:eastAsia="fr-CH"/>
              </w:rPr>
              <w:drawing>
                <wp:inline distT="0" distB="0" distL="0" distR="0" wp14:anchorId="39D6EC0E" wp14:editId="052AB2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277C9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EA3F49E" w14:textId="77777777" w:rsidR="009E6CB7" w:rsidRDefault="00BD26BA" w:rsidP="00BD26BA">
            <w:pPr>
              <w:spacing w:before="240" w:line="240" w:lineRule="exact"/>
            </w:pPr>
            <w:r>
              <w:t>Distr.: General</w:t>
            </w:r>
          </w:p>
          <w:p w14:paraId="0F9C3E39" w14:textId="77777777" w:rsidR="00BD26BA" w:rsidRDefault="00BD26BA" w:rsidP="00BD26BA">
            <w:pPr>
              <w:spacing w:line="240" w:lineRule="exact"/>
            </w:pPr>
            <w:r>
              <w:t>5 January 2024</w:t>
            </w:r>
          </w:p>
          <w:p w14:paraId="78A57765" w14:textId="77777777" w:rsidR="00BD26BA" w:rsidRDefault="00BD26BA" w:rsidP="00BD26BA">
            <w:pPr>
              <w:spacing w:line="240" w:lineRule="exact"/>
            </w:pPr>
          </w:p>
          <w:p w14:paraId="4CE38E7D" w14:textId="7EE25B7E" w:rsidR="00BD26BA" w:rsidRDefault="00BD26BA" w:rsidP="00BD26BA">
            <w:pPr>
              <w:spacing w:line="240" w:lineRule="exact"/>
            </w:pPr>
            <w:r>
              <w:t>Original: English</w:t>
            </w:r>
          </w:p>
        </w:tc>
      </w:tr>
    </w:tbl>
    <w:p w14:paraId="37A248E1" w14:textId="77777777" w:rsidR="00200784" w:rsidRDefault="00200784" w:rsidP="00C411EB">
      <w:pPr>
        <w:spacing w:before="120"/>
        <w:rPr>
          <w:b/>
          <w:sz w:val="28"/>
          <w:szCs w:val="28"/>
        </w:rPr>
      </w:pPr>
      <w:r>
        <w:rPr>
          <w:b/>
          <w:sz w:val="28"/>
          <w:szCs w:val="28"/>
        </w:rPr>
        <w:t>Economic Commission for Europe</w:t>
      </w:r>
    </w:p>
    <w:p w14:paraId="67D2C45D" w14:textId="77777777" w:rsidR="00200784" w:rsidRDefault="00200784" w:rsidP="00C411EB">
      <w:pPr>
        <w:spacing w:before="120"/>
        <w:rPr>
          <w:sz w:val="28"/>
          <w:szCs w:val="28"/>
        </w:rPr>
      </w:pPr>
      <w:r>
        <w:rPr>
          <w:sz w:val="28"/>
          <w:szCs w:val="28"/>
        </w:rPr>
        <w:t>Inland Transport Committee</w:t>
      </w:r>
    </w:p>
    <w:p w14:paraId="1BC421D1" w14:textId="77777777" w:rsidR="00200784" w:rsidRPr="001330DE" w:rsidRDefault="00200784" w:rsidP="00C411EB">
      <w:pPr>
        <w:spacing w:before="120"/>
        <w:rPr>
          <w:b/>
          <w:sz w:val="24"/>
          <w:szCs w:val="24"/>
        </w:rPr>
      </w:pPr>
      <w:r>
        <w:rPr>
          <w:b/>
          <w:sz w:val="24"/>
          <w:szCs w:val="24"/>
        </w:rPr>
        <w:t xml:space="preserve">Working Party on the Transport </w:t>
      </w:r>
      <w:r w:rsidRPr="001330DE">
        <w:rPr>
          <w:b/>
          <w:sz w:val="24"/>
          <w:szCs w:val="24"/>
        </w:rPr>
        <w:t>of Dangerous Goods</w:t>
      </w:r>
    </w:p>
    <w:p w14:paraId="4E521655" w14:textId="5AA3F676" w:rsidR="00200784" w:rsidRPr="001330DE" w:rsidRDefault="00200784" w:rsidP="00C411EB">
      <w:pPr>
        <w:spacing w:before="120"/>
        <w:rPr>
          <w:rFonts w:eastAsia="SimSun"/>
          <w:b/>
        </w:rPr>
      </w:pPr>
      <w:r>
        <w:rPr>
          <w:rFonts w:eastAsia="SimSun"/>
          <w:b/>
        </w:rPr>
        <w:t xml:space="preserve">115th </w:t>
      </w:r>
      <w:r w:rsidRPr="001330DE">
        <w:rPr>
          <w:rFonts w:eastAsia="SimSun"/>
          <w:b/>
        </w:rPr>
        <w:t xml:space="preserve">session </w:t>
      </w:r>
    </w:p>
    <w:p w14:paraId="3E2F98B1" w14:textId="650CDF83" w:rsidR="00200784" w:rsidRPr="00BA64A8" w:rsidRDefault="00200784" w:rsidP="00C411EB">
      <w:pPr>
        <w:rPr>
          <w:rFonts w:eastAsia="SimSun"/>
        </w:rPr>
      </w:pPr>
      <w:r w:rsidRPr="00BA64A8">
        <w:rPr>
          <w:rFonts w:eastAsia="SimSun"/>
        </w:rPr>
        <w:t>Geneva,</w:t>
      </w:r>
      <w:r>
        <w:rPr>
          <w:rFonts w:eastAsia="SimSun"/>
        </w:rPr>
        <w:t xml:space="preserve"> 2-5 April 2024</w:t>
      </w:r>
    </w:p>
    <w:p w14:paraId="430181A9" w14:textId="2FE2B6DC" w:rsidR="00200784" w:rsidRPr="00C521A6" w:rsidRDefault="00200784" w:rsidP="00C411EB">
      <w:pPr>
        <w:autoSpaceDE w:val="0"/>
        <w:autoSpaceDN w:val="0"/>
        <w:adjustRightInd w:val="0"/>
      </w:pPr>
      <w:r>
        <w:t xml:space="preserve">Item </w:t>
      </w:r>
      <w:r w:rsidR="00825794">
        <w:t>9</w:t>
      </w:r>
      <w:r>
        <w:t xml:space="preserve"> of the provisional agenda</w:t>
      </w:r>
    </w:p>
    <w:p w14:paraId="2BE2CC94" w14:textId="700BD079" w:rsidR="007462F0" w:rsidRDefault="00BC743A" w:rsidP="00C411EB">
      <w:pPr>
        <w:rPr>
          <w:b/>
          <w:bCs/>
          <w:szCs w:val="24"/>
        </w:rPr>
      </w:pPr>
      <w:r w:rsidRPr="00BC743A">
        <w:rPr>
          <w:b/>
          <w:bCs/>
        </w:rPr>
        <w:t>Any other business</w:t>
      </w:r>
    </w:p>
    <w:p w14:paraId="09910C54" w14:textId="3AB1D24C" w:rsidR="002C746F" w:rsidRDefault="002C746F" w:rsidP="007502E0">
      <w:pPr>
        <w:pStyle w:val="HChG"/>
      </w:pPr>
      <w:r>
        <w:tab/>
      </w:r>
      <w:r>
        <w:tab/>
        <w:t>Standardisation of ADR driver exams</w:t>
      </w:r>
    </w:p>
    <w:p w14:paraId="475B1380" w14:textId="625E1113" w:rsidR="000E6E11" w:rsidRPr="000E6E11" w:rsidRDefault="002C746F" w:rsidP="00BF0CFC">
      <w:pPr>
        <w:pStyle w:val="H1G"/>
      </w:pPr>
      <w:r>
        <w:tab/>
      </w:r>
      <w:r>
        <w:tab/>
      </w:r>
      <w:r w:rsidRPr="002B7627">
        <w:t>Transmitted by the International Road Transport Union (IRU)</w:t>
      </w:r>
      <w:r w:rsidR="00BF0CFC" w:rsidRPr="004724A6">
        <w:rPr>
          <w:rStyle w:val="FootnoteReference"/>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C746F" w14:paraId="17405CD9" w14:textId="77777777" w:rsidTr="00E44A02">
        <w:trPr>
          <w:jc w:val="center"/>
        </w:trPr>
        <w:tc>
          <w:tcPr>
            <w:tcW w:w="9629" w:type="dxa"/>
            <w:shd w:val="clear" w:color="auto" w:fill="auto"/>
          </w:tcPr>
          <w:p w14:paraId="52DD84E6" w14:textId="77777777" w:rsidR="002C746F" w:rsidRPr="00C6263E" w:rsidRDefault="002C746F" w:rsidP="006E5E26">
            <w:pPr>
              <w:spacing w:before="240" w:after="120"/>
              <w:ind w:left="255"/>
              <w:rPr>
                <w:i/>
                <w:sz w:val="24"/>
              </w:rPr>
            </w:pPr>
            <w:r w:rsidRPr="00C6263E">
              <w:rPr>
                <w:i/>
                <w:sz w:val="24"/>
              </w:rPr>
              <w:t>Summary</w:t>
            </w:r>
          </w:p>
        </w:tc>
      </w:tr>
      <w:tr w:rsidR="002C746F" w14:paraId="1DF911F4" w14:textId="77777777" w:rsidTr="00E44A02">
        <w:trPr>
          <w:jc w:val="center"/>
        </w:trPr>
        <w:tc>
          <w:tcPr>
            <w:tcW w:w="9629" w:type="dxa"/>
            <w:shd w:val="clear" w:color="auto" w:fill="auto"/>
          </w:tcPr>
          <w:p w14:paraId="2E9CF76D" w14:textId="77777777" w:rsidR="002C746F" w:rsidRDefault="00CD76AF" w:rsidP="00550E39">
            <w:pPr>
              <w:pStyle w:val="SingleTxtG"/>
              <w:ind w:left="3252" w:hanging="2118"/>
            </w:pPr>
            <w:r w:rsidRPr="00A0138E">
              <w:rPr>
                <w:b/>
                <w:bCs/>
              </w:rPr>
              <w:t>Executive summary:</w:t>
            </w:r>
            <w:r>
              <w:t xml:space="preserve"> </w:t>
            </w:r>
            <w:r w:rsidRPr="005C35EF">
              <w:tab/>
            </w:r>
            <w:r>
              <w:t>For standardisation of ADR driver exams, it is required to create a Catalogue of questions. This is the way to set and maintain the minimum quality level of driver training and assessment in ADR Contracting Parties.</w:t>
            </w:r>
          </w:p>
          <w:p w14:paraId="1B36BCE3" w14:textId="0E3F1595" w:rsidR="00AB2471" w:rsidRDefault="00310C43" w:rsidP="00310C43">
            <w:pPr>
              <w:pStyle w:val="SingleTxtG"/>
              <w:ind w:left="3261" w:hanging="2127"/>
            </w:pPr>
            <w:r w:rsidRPr="00A0138E">
              <w:rPr>
                <w:b/>
                <w:bCs/>
              </w:rPr>
              <w:t>Actions to be taken:</w:t>
            </w:r>
            <w:r>
              <w:rPr>
                <w:b/>
                <w:bCs/>
              </w:rPr>
              <w:tab/>
            </w:r>
            <w:r w:rsidRPr="00CB6E07">
              <w:t>It is required to create an</w:t>
            </w:r>
            <w:r>
              <w:t xml:space="preserve"> informal working group for developing the Catalogue of questions.</w:t>
            </w:r>
          </w:p>
        </w:tc>
      </w:tr>
    </w:tbl>
    <w:p w14:paraId="52CA0FE6" w14:textId="5888F276" w:rsidR="00BF0CFC" w:rsidRDefault="00BF0CFC" w:rsidP="002C746F"/>
    <w:p w14:paraId="18CA80DF" w14:textId="77777777" w:rsidR="00BF0CFC" w:rsidRDefault="00BF0CFC">
      <w:r>
        <w:br w:type="page"/>
      </w:r>
    </w:p>
    <w:p w14:paraId="26B601F6" w14:textId="1D802A7C" w:rsidR="004271C5" w:rsidRPr="002B7627" w:rsidRDefault="004271C5" w:rsidP="004271C5">
      <w:pPr>
        <w:pStyle w:val="HChG"/>
        <w:rPr>
          <w:rFonts w:eastAsia="Calibri"/>
        </w:rPr>
      </w:pPr>
      <w:r>
        <w:rPr>
          <w:rFonts w:eastAsia="Calibri"/>
        </w:rPr>
        <w:lastRenderedPageBreak/>
        <w:tab/>
      </w:r>
      <w:r w:rsidR="00852DB5">
        <w:rPr>
          <w:rFonts w:eastAsia="Calibri"/>
        </w:rPr>
        <w:t>I.</w:t>
      </w:r>
      <w:r w:rsidR="00852DB5">
        <w:rPr>
          <w:rFonts w:eastAsia="Calibri"/>
        </w:rPr>
        <w:tab/>
      </w:r>
      <w:r w:rsidRPr="003B24EE">
        <w:rPr>
          <w:rFonts w:eastAsia="Calibri"/>
        </w:rPr>
        <w:t>Introduction</w:t>
      </w:r>
    </w:p>
    <w:p w14:paraId="2F75EF91" w14:textId="77777777" w:rsidR="004271C5" w:rsidRPr="006A048F" w:rsidRDefault="004271C5" w:rsidP="00852DB5">
      <w:pPr>
        <w:pStyle w:val="SingleTxtG"/>
        <w:rPr>
          <w:lang w:eastAsia="en-US"/>
        </w:rPr>
      </w:pPr>
      <w:r>
        <w:t>1.</w:t>
      </w:r>
      <w:r>
        <w:tab/>
      </w:r>
      <w:r w:rsidRPr="00852DB5">
        <w:t>Training</w:t>
      </w:r>
      <w:r>
        <w:t xml:space="preserve"> and assessing ADR drivers is crucial to ensure and maintain the safety in dangerous goods transport. There are provisions for training and examination of drivers in the ADR, but the content of the exam is not standardised.</w:t>
      </w:r>
    </w:p>
    <w:p w14:paraId="5A74662A" w14:textId="77777777" w:rsidR="004271C5" w:rsidRPr="002B7627" w:rsidRDefault="004271C5" w:rsidP="004271C5">
      <w:pPr>
        <w:pStyle w:val="SingleTxtG"/>
      </w:pPr>
      <w:r w:rsidRPr="002B7627">
        <w:t>2</w:t>
      </w:r>
      <w:r>
        <w:t>.</w:t>
      </w:r>
      <w:r>
        <w:tab/>
        <w:t>A possible solution for this issue is to create a Catalogue of questions. An actual theoretical exam sheet should contain questions selected from this catalogue.</w:t>
      </w:r>
    </w:p>
    <w:p w14:paraId="3E8046F4" w14:textId="1FBE38FF" w:rsidR="004271C5" w:rsidRPr="002B7627" w:rsidRDefault="004271C5" w:rsidP="004271C5">
      <w:pPr>
        <w:keepNext/>
        <w:keepLines/>
        <w:tabs>
          <w:tab w:val="right" w:pos="851"/>
        </w:tabs>
        <w:spacing w:before="360" w:after="240" w:line="300" w:lineRule="exact"/>
        <w:ind w:left="1134" w:right="1134" w:hanging="1134"/>
        <w:rPr>
          <w:rFonts w:eastAsia="Calibri"/>
          <w:b/>
          <w:kern w:val="2"/>
          <w:sz w:val="28"/>
          <w:szCs w:val="22"/>
          <w14:ligatures w14:val="standardContextual"/>
        </w:rPr>
      </w:pPr>
      <w:r w:rsidRPr="002B7627">
        <w:rPr>
          <w:rFonts w:eastAsia="Calibri"/>
          <w:b/>
          <w:kern w:val="2"/>
          <w:sz w:val="28"/>
          <w:szCs w:val="22"/>
          <w14:ligatures w14:val="standardContextual"/>
        </w:rPr>
        <w:tab/>
      </w:r>
      <w:r w:rsidR="00852DB5">
        <w:rPr>
          <w:rFonts w:eastAsia="Calibri"/>
          <w:b/>
          <w:kern w:val="2"/>
          <w:sz w:val="28"/>
          <w:szCs w:val="22"/>
          <w14:ligatures w14:val="standardContextual"/>
        </w:rPr>
        <w:t>II.</w:t>
      </w:r>
      <w:r w:rsidR="00852DB5">
        <w:rPr>
          <w:rFonts w:eastAsia="Calibri"/>
          <w:b/>
          <w:kern w:val="2"/>
          <w:sz w:val="28"/>
          <w:szCs w:val="22"/>
          <w14:ligatures w14:val="standardContextual"/>
        </w:rPr>
        <w:tab/>
      </w:r>
      <w:r w:rsidRPr="002B7627">
        <w:rPr>
          <w:rFonts w:eastAsia="Calibri"/>
          <w:b/>
          <w:kern w:val="2"/>
          <w:sz w:val="28"/>
          <w:szCs w:val="22"/>
          <w14:ligatures w14:val="standardContextual"/>
        </w:rPr>
        <w:t>Background</w:t>
      </w:r>
    </w:p>
    <w:p w14:paraId="5A2ED57B" w14:textId="77777777" w:rsidR="004271C5" w:rsidRPr="002B7627" w:rsidRDefault="004271C5" w:rsidP="004271C5">
      <w:pPr>
        <w:pStyle w:val="SingleTxtG"/>
      </w:pPr>
      <w:r w:rsidRPr="002B7627">
        <w:t>3.</w:t>
      </w:r>
      <w:r w:rsidRPr="002B7627">
        <w:tab/>
      </w:r>
      <w:r>
        <w:t>In some Con</w:t>
      </w:r>
      <w:r>
        <w:rPr>
          <w:lang w:eastAsia="en-US"/>
        </w:rPr>
        <w:t>tracting parties that have joined the ADR recently, the ADR training and examination is not well-developed. However, the ADR certificates issued by the competent authority of any ADR country are valid in the whole territory of the ADR.</w:t>
      </w:r>
    </w:p>
    <w:p w14:paraId="51C0BD87" w14:textId="77777777" w:rsidR="004271C5" w:rsidRPr="00BC6CFA" w:rsidRDefault="004271C5" w:rsidP="004271C5">
      <w:pPr>
        <w:pStyle w:val="SingleTxtG"/>
      </w:pPr>
      <w:r>
        <w:t>4.</w:t>
      </w:r>
      <w:r>
        <w:tab/>
        <w:t>The level of the ADR exams in ADR countries are different; therefore, an exam-tourism is developed for the drivers to visit other countries to find an easier way pass the ADR exam.</w:t>
      </w:r>
    </w:p>
    <w:p w14:paraId="6A33C8D2" w14:textId="77777777" w:rsidR="004271C5" w:rsidRPr="00BD7DFF" w:rsidRDefault="004271C5" w:rsidP="004271C5">
      <w:pPr>
        <w:pStyle w:val="SingleTxtG"/>
      </w:pPr>
      <w:r>
        <w:t>5</w:t>
      </w:r>
      <w:r w:rsidRPr="00BC6CFA">
        <w:t>.</w:t>
      </w:r>
      <w:r>
        <w:tab/>
        <w:t>Countries that plan to sign the Agreement in the future do not have any guideline or standard about the minimum quality of the content of the ADR driver exams.</w:t>
      </w:r>
    </w:p>
    <w:p w14:paraId="5FAC05E4" w14:textId="0223CC4B" w:rsidR="004271C5" w:rsidRPr="002B7627" w:rsidRDefault="00852DB5" w:rsidP="00852DB5">
      <w:pPr>
        <w:pStyle w:val="HChG"/>
      </w:pPr>
      <w:r>
        <w:tab/>
        <w:t>III.</w:t>
      </w:r>
      <w:r>
        <w:tab/>
      </w:r>
      <w:r w:rsidR="004271C5" w:rsidRPr="002B7627">
        <w:t>Proposal</w:t>
      </w:r>
    </w:p>
    <w:p w14:paraId="656AE15B" w14:textId="77777777" w:rsidR="004271C5" w:rsidRDefault="004271C5" w:rsidP="004271C5">
      <w:pPr>
        <w:pStyle w:val="SingleTxtG"/>
      </w:pPr>
      <w:bookmarkStart w:id="0" w:name="_Hlk141103608"/>
      <w:r>
        <w:t>6</w:t>
      </w:r>
      <w:r w:rsidRPr="002B7627">
        <w:t>.</w:t>
      </w:r>
      <w:r>
        <w:tab/>
        <w:t>Contracting parties should create a Catalogue of question that can be used for creating exam sheets for ADR driver exams. By this way, the level of the exams can be standardised; therefore, the knowledge of the drivers who have ADR driver certificate will be similar in any ADR countries.</w:t>
      </w:r>
    </w:p>
    <w:p w14:paraId="50543E9E" w14:textId="77777777" w:rsidR="004271C5" w:rsidRPr="00B47AAD" w:rsidRDefault="004271C5" w:rsidP="004271C5">
      <w:pPr>
        <w:pStyle w:val="SingleTxtG"/>
      </w:pPr>
      <w:r>
        <w:t>7.</w:t>
      </w:r>
      <w:r>
        <w:tab/>
      </w:r>
      <w:bookmarkEnd w:id="0"/>
      <w:r>
        <w:t>The IRU is ready to deal with this topic. It is recommended to establish an informal working group on this topic. Suggestions and ideas for the possible solutions are more than welcome from any participants of the meeting.</w:t>
      </w:r>
    </w:p>
    <w:p w14:paraId="4AF31614" w14:textId="5EE3B88A" w:rsidR="004271C5" w:rsidRPr="002B7627" w:rsidRDefault="004271C5" w:rsidP="00852DB5">
      <w:pPr>
        <w:pStyle w:val="HChG"/>
      </w:pPr>
      <w:r w:rsidRPr="002B7627">
        <w:tab/>
      </w:r>
      <w:r w:rsidR="00852DB5">
        <w:t>IV.</w:t>
      </w:r>
      <w:r w:rsidR="00852DB5">
        <w:tab/>
      </w:r>
      <w:r w:rsidRPr="002B7627">
        <w:t>Justification</w:t>
      </w:r>
    </w:p>
    <w:p w14:paraId="6AA2DF92" w14:textId="77777777" w:rsidR="004271C5" w:rsidRDefault="004271C5" w:rsidP="004271C5">
      <w:pPr>
        <w:pStyle w:val="SingleTxtG"/>
      </w:pPr>
      <w:r>
        <w:t>8</w:t>
      </w:r>
      <w:r w:rsidRPr="002B7627">
        <w:t>.</w:t>
      </w:r>
      <w:r>
        <w:tab/>
        <w:t>The Catalogue of questions exists for the qualifying exam of ADN experts. This catalogue is used in ADN countries. This catalogue is well-developed and periodically amended following the biennial amendments of the ADN.</w:t>
      </w:r>
    </w:p>
    <w:p w14:paraId="1896495B" w14:textId="0567C9DF" w:rsidR="007462F0" w:rsidRDefault="004271C5" w:rsidP="00852DB5">
      <w:pPr>
        <w:pStyle w:val="SingleTxtG"/>
      </w:pPr>
      <w:r>
        <w:t>9.</w:t>
      </w:r>
      <w:r>
        <w:tab/>
        <w:t>The IRU deals with certifications of training centres in many countries.</w:t>
      </w:r>
      <w:r w:rsidRPr="002B7627">
        <w:t xml:space="preserve"> </w:t>
      </w:r>
      <w:r>
        <w:t xml:space="preserve">Some of these countries are contracting parties of the ADR, while others plan to sign the ADR Agreement </w:t>
      </w:r>
      <w:proofErr w:type="gramStart"/>
      <w:r>
        <w:t>in the near future</w:t>
      </w:r>
      <w:proofErr w:type="gramEnd"/>
      <w:r>
        <w:t>. Therefore, the IRU has an extensive view on the level of ADR trainings and examination in different countries.</w:t>
      </w:r>
    </w:p>
    <w:p w14:paraId="0193F66C" w14:textId="24612CEE" w:rsidR="00852DB5" w:rsidRPr="00852DB5" w:rsidRDefault="00852DB5" w:rsidP="00852DB5">
      <w:pPr>
        <w:spacing w:before="240"/>
        <w:jc w:val="center"/>
        <w:rPr>
          <w:u w:val="single"/>
        </w:rPr>
      </w:pPr>
      <w:r>
        <w:rPr>
          <w:u w:val="single"/>
        </w:rPr>
        <w:tab/>
      </w:r>
      <w:r>
        <w:rPr>
          <w:u w:val="single"/>
        </w:rPr>
        <w:tab/>
      </w:r>
      <w:r>
        <w:rPr>
          <w:u w:val="single"/>
        </w:rPr>
        <w:tab/>
      </w:r>
    </w:p>
    <w:sectPr w:rsidR="00852DB5" w:rsidRPr="00852DB5" w:rsidSect="00BD26B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7002" w14:textId="77777777" w:rsidR="00BD26BA" w:rsidRDefault="00BD26BA"/>
  </w:endnote>
  <w:endnote w:type="continuationSeparator" w:id="0">
    <w:p w14:paraId="07AF662C" w14:textId="77777777" w:rsidR="00BD26BA" w:rsidRDefault="00BD26BA"/>
  </w:endnote>
  <w:endnote w:type="continuationNotice" w:id="1">
    <w:p w14:paraId="70C34477" w14:textId="77777777" w:rsidR="00BD26BA" w:rsidRDefault="00BD2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CCC5" w14:textId="26B7DD80" w:rsidR="00BD26BA" w:rsidRPr="00BD26BA" w:rsidRDefault="00BD26BA" w:rsidP="00BD26BA">
    <w:pPr>
      <w:pStyle w:val="Footer"/>
      <w:tabs>
        <w:tab w:val="right" w:pos="9638"/>
      </w:tabs>
      <w:rPr>
        <w:sz w:val="18"/>
      </w:rPr>
    </w:pPr>
    <w:r w:rsidRPr="00BD26BA">
      <w:rPr>
        <w:b/>
        <w:sz w:val="18"/>
      </w:rPr>
      <w:fldChar w:fldCharType="begin"/>
    </w:r>
    <w:r w:rsidRPr="00BD26BA">
      <w:rPr>
        <w:b/>
        <w:sz w:val="18"/>
      </w:rPr>
      <w:instrText xml:space="preserve"> PAGE  \* MERGEFORMAT </w:instrText>
    </w:r>
    <w:r w:rsidRPr="00BD26BA">
      <w:rPr>
        <w:b/>
        <w:sz w:val="18"/>
      </w:rPr>
      <w:fldChar w:fldCharType="separate"/>
    </w:r>
    <w:r w:rsidRPr="00BD26BA">
      <w:rPr>
        <w:b/>
        <w:noProof/>
        <w:sz w:val="18"/>
      </w:rPr>
      <w:t>2</w:t>
    </w:r>
    <w:r w:rsidRPr="00BD26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438" w14:textId="200AA0A2" w:rsidR="00BD26BA" w:rsidRPr="00BD26BA" w:rsidRDefault="00BD26BA" w:rsidP="00BD26BA">
    <w:pPr>
      <w:pStyle w:val="Footer"/>
      <w:tabs>
        <w:tab w:val="right" w:pos="9638"/>
      </w:tabs>
      <w:rPr>
        <w:b/>
        <w:sz w:val="18"/>
      </w:rPr>
    </w:pPr>
    <w:r>
      <w:tab/>
    </w:r>
    <w:r w:rsidRPr="00BD26BA">
      <w:rPr>
        <w:b/>
        <w:sz w:val="18"/>
      </w:rPr>
      <w:fldChar w:fldCharType="begin"/>
    </w:r>
    <w:r w:rsidRPr="00BD26BA">
      <w:rPr>
        <w:b/>
        <w:sz w:val="18"/>
      </w:rPr>
      <w:instrText xml:space="preserve"> PAGE  \* MERGEFORMAT </w:instrText>
    </w:r>
    <w:r w:rsidRPr="00BD26BA">
      <w:rPr>
        <w:b/>
        <w:sz w:val="18"/>
      </w:rPr>
      <w:fldChar w:fldCharType="separate"/>
    </w:r>
    <w:r w:rsidRPr="00BD26BA">
      <w:rPr>
        <w:b/>
        <w:noProof/>
        <w:sz w:val="18"/>
      </w:rPr>
      <w:t>3</w:t>
    </w:r>
    <w:r w:rsidRPr="00BD26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FB6D" w14:textId="6409E688" w:rsidR="00AE756C" w:rsidRDefault="00AE756C" w:rsidP="00AE756C">
    <w:pPr>
      <w:pStyle w:val="Footer"/>
    </w:pPr>
    <w:r w:rsidRPr="0027112F">
      <w:rPr>
        <w:noProof/>
        <w:lang w:val="en-US"/>
      </w:rPr>
      <w:drawing>
        <wp:anchor distT="0" distB="0" distL="114300" distR="114300" simplePos="0" relativeHeight="251659264" behindDoc="0" locked="1" layoutInCell="1" allowOverlap="1" wp14:anchorId="0E269C9F" wp14:editId="7A532D9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DDCB0B" w14:textId="0F2FDF06" w:rsidR="00AE756C" w:rsidRPr="00AE756C" w:rsidRDefault="00AE756C" w:rsidP="00AE756C">
    <w:pPr>
      <w:pStyle w:val="Footer"/>
      <w:ind w:right="1134"/>
      <w:rPr>
        <w:sz w:val="20"/>
      </w:rPr>
    </w:pPr>
    <w:r>
      <w:rPr>
        <w:sz w:val="20"/>
      </w:rPr>
      <w:t>GE.24-00183(E)</w:t>
    </w:r>
    <w:r>
      <w:rPr>
        <w:noProof/>
        <w:sz w:val="20"/>
      </w:rPr>
      <w:drawing>
        <wp:anchor distT="0" distB="0" distL="114300" distR="114300" simplePos="0" relativeHeight="251660288" behindDoc="0" locked="0" layoutInCell="1" allowOverlap="1" wp14:anchorId="27ED91D8" wp14:editId="37179CC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454D" w14:textId="77777777" w:rsidR="00BD26BA" w:rsidRPr="000B175B" w:rsidRDefault="00BD26BA" w:rsidP="000B175B">
      <w:pPr>
        <w:tabs>
          <w:tab w:val="right" w:pos="2155"/>
        </w:tabs>
        <w:spacing w:after="80"/>
        <w:ind w:left="680"/>
        <w:rPr>
          <w:u w:val="single"/>
        </w:rPr>
      </w:pPr>
      <w:r>
        <w:rPr>
          <w:u w:val="single"/>
        </w:rPr>
        <w:tab/>
      </w:r>
    </w:p>
  </w:footnote>
  <w:footnote w:type="continuationSeparator" w:id="0">
    <w:p w14:paraId="36EA785E" w14:textId="77777777" w:rsidR="00BD26BA" w:rsidRPr="00FC68B7" w:rsidRDefault="00BD26BA" w:rsidP="00FC68B7">
      <w:pPr>
        <w:tabs>
          <w:tab w:val="left" w:pos="2155"/>
        </w:tabs>
        <w:spacing w:after="80"/>
        <w:ind w:left="680"/>
        <w:rPr>
          <w:u w:val="single"/>
        </w:rPr>
      </w:pPr>
      <w:r>
        <w:rPr>
          <w:u w:val="single"/>
        </w:rPr>
        <w:tab/>
      </w:r>
    </w:p>
  </w:footnote>
  <w:footnote w:type="continuationNotice" w:id="1">
    <w:p w14:paraId="346503BD" w14:textId="77777777" w:rsidR="00BD26BA" w:rsidRDefault="00BD26BA"/>
  </w:footnote>
  <w:footnote w:id="2">
    <w:p w14:paraId="4DC1F851" w14:textId="010C1D3A" w:rsidR="00BF0CFC" w:rsidRPr="000D104F" w:rsidRDefault="00BF0CFC">
      <w:pPr>
        <w:pStyle w:val="FootnoteText"/>
        <w:rPr>
          <w:lang w:val="fr-CH"/>
        </w:rPr>
      </w:pPr>
      <w:r>
        <w:rPr>
          <w:rStyle w:val="FootnoteReference"/>
        </w:rPr>
        <w:tab/>
      </w:r>
      <w:r w:rsidRPr="004724A6">
        <w:rPr>
          <w:rStyle w:val="FootnoteReference"/>
          <w:b/>
          <w:sz w:val="20"/>
        </w:rPr>
        <w:t>*</w:t>
      </w:r>
      <w:r>
        <w:rPr>
          <w:rStyle w:val="FootnoteReference"/>
          <w:sz w:val="20"/>
          <w:vertAlign w:val="baseline"/>
        </w:rPr>
        <w:tab/>
      </w:r>
      <w:r w:rsidR="000D104F" w:rsidRPr="000D104F">
        <w:t>A/78/6 (Sect. 20), table 20.5</w:t>
      </w:r>
      <w:r w:rsidR="000D10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0E7F" w14:textId="1EA0F04D" w:rsidR="00BD26BA" w:rsidRPr="00BD26BA" w:rsidRDefault="00BC743A">
    <w:pPr>
      <w:pStyle w:val="Header"/>
    </w:pPr>
    <w:fldSimple w:instr=" TITLE  \* MERGEFORMAT ">
      <w:r w:rsidR="00BD26BA">
        <w:t>ECE/TRANS/WP.15/2024/1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C1A2" w14:textId="7A5EAE60" w:rsidR="00BD26BA" w:rsidRPr="00BD26BA" w:rsidRDefault="00BC743A" w:rsidP="00BD26BA">
    <w:pPr>
      <w:pStyle w:val="Header"/>
      <w:jc w:val="right"/>
    </w:pPr>
    <w:fldSimple w:instr=" TITLE  \* MERGEFORMAT ">
      <w:r w:rsidR="00BD26BA">
        <w:t>ECE/TRANS/WP.15/2024/1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83268020">
    <w:abstractNumId w:val="1"/>
  </w:num>
  <w:num w:numId="2" w16cid:durableId="1126118849">
    <w:abstractNumId w:val="0"/>
  </w:num>
  <w:num w:numId="3" w16cid:durableId="687684856">
    <w:abstractNumId w:val="2"/>
  </w:num>
  <w:num w:numId="4" w16cid:durableId="1641307148">
    <w:abstractNumId w:val="3"/>
  </w:num>
  <w:num w:numId="5" w16cid:durableId="650716407">
    <w:abstractNumId w:val="8"/>
  </w:num>
  <w:num w:numId="6" w16cid:durableId="2079014741">
    <w:abstractNumId w:val="9"/>
  </w:num>
  <w:num w:numId="7" w16cid:durableId="1000619071">
    <w:abstractNumId w:val="7"/>
  </w:num>
  <w:num w:numId="8" w16cid:durableId="527521644">
    <w:abstractNumId w:val="6"/>
  </w:num>
  <w:num w:numId="9" w16cid:durableId="204870484">
    <w:abstractNumId w:val="5"/>
  </w:num>
  <w:num w:numId="10" w16cid:durableId="1158107818">
    <w:abstractNumId w:val="4"/>
  </w:num>
  <w:num w:numId="11" w16cid:durableId="1004551001">
    <w:abstractNumId w:val="15"/>
  </w:num>
  <w:num w:numId="12" w16cid:durableId="39062960">
    <w:abstractNumId w:val="14"/>
  </w:num>
  <w:num w:numId="13" w16cid:durableId="1616516534">
    <w:abstractNumId w:val="10"/>
  </w:num>
  <w:num w:numId="14" w16cid:durableId="1408764562">
    <w:abstractNumId w:val="12"/>
  </w:num>
  <w:num w:numId="15" w16cid:durableId="1222909659">
    <w:abstractNumId w:val="16"/>
  </w:num>
  <w:num w:numId="16" w16cid:durableId="43455540">
    <w:abstractNumId w:val="13"/>
  </w:num>
  <w:num w:numId="17" w16cid:durableId="594443723">
    <w:abstractNumId w:val="17"/>
  </w:num>
  <w:num w:numId="18" w16cid:durableId="1715886302">
    <w:abstractNumId w:val="18"/>
  </w:num>
  <w:num w:numId="19" w16cid:durableId="1803226824">
    <w:abstractNumId w:val="11"/>
  </w:num>
  <w:num w:numId="20" w16cid:durableId="816867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B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D104F"/>
    <w:rsid w:val="000E0415"/>
    <w:rsid w:val="000E6E11"/>
    <w:rsid w:val="000F771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0784"/>
    <w:rsid w:val="002043F0"/>
    <w:rsid w:val="00211E0B"/>
    <w:rsid w:val="00232575"/>
    <w:rsid w:val="00247258"/>
    <w:rsid w:val="00257CAC"/>
    <w:rsid w:val="00264441"/>
    <w:rsid w:val="0027237A"/>
    <w:rsid w:val="002974E9"/>
    <w:rsid w:val="002A7F94"/>
    <w:rsid w:val="002B109A"/>
    <w:rsid w:val="002C6D45"/>
    <w:rsid w:val="002C746F"/>
    <w:rsid w:val="002D6E53"/>
    <w:rsid w:val="002F046D"/>
    <w:rsid w:val="002F3023"/>
    <w:rsid w:val="00301764"/>
    <w:rsid w:val="00310C43"/>
    <w:rsid w:val="003229D8"/>
    <w:rsid w:val="00336C97"/>
    <w:rsid w:val="00337F88"/>
    <w:rsid w:val="00342432"/>
    <w:rsid w:val="0035223F"/>
    <w:rsid w:val="00352D4B"/>
    <w:rsid w:val="0035638C"/>
    <w:rsid w:val="0038667F"/>
    <w:rsid w:val="003A46BB"/>
    <w:rsid w:val="003A4EC7"/>
    <w:rsid w:val="003A7295"/>
    <w:rsid w:val="003B1F60"/>
    <w:rsid w:val="003C2CC4"/>
    <w:rsid w:val="003D4B23"/>
    <w:rsid w:val="003E278A"/>
    <w:rsid w:val="00413520"/>
    <w:rsid w:val="004271C5"/>
    <w:rsid w:val="00430D57"/>
    <w:rsid w:val="004325CB"/>
    <w:rsid w:val="00440A07"/>
    <w:rsid w:val="00462880"/>
    <w:rsid w:val="004724A6"/>
    <w:rsid w:val="00476F24"/>
    <w:rsid w:val="004C55B0"/>
    <w:rsid w:val="004F6BA0"/>
    <w:rsid w:val="00503BEA"/>
    <w:rsid w:val="00533616"/>
    <w:rsid w:val="00535ABA"/>
    <w:rsid w:val="0053768B"/>
    <w:rsid w:val="005420F2"/>
    <w:rsid w:val="0054285C"/>
    <w:rsid w:val="00550E39"/>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462F0"/>
    <w:rsid w:val="007502E0"/>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5794"/>
    <w:rsid w:val="008272DD"/>
    <w:rsid w:val="00852DB5"/>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2471"/>
    <w:rsid w:val="00AC0F2C"/>
    <w:rsid w:val="00AC502A"/>
    <w:rsid w:val="00AE756C"/>
    <w:rsid w:val="00AF58C1"/>
    <w:rsid w:val="00B04A3F"/>
    <w:rsid w:val="00B06643"/>
    <w:rsid w:val="00B15055"/>
    <w:rsid w:val="00B20551"/>
    <w:rsid w:val="00B23D55"/>
    <w:rsid w:val="00B30179"/>
    <w:rsid w:val="00B33FC7"/>
    <w:rsid w:val="00B37B15"/>
    <w:rsid w:val="00B45C02"/>
    <w:rsid w:val="00B70B63"/>
    <w:rsid w:val="00B72A1E"/>
    <w:rsid w:val="00B81E12"/>
    <w:rsid w:val="00BA2A69"/>
    <w:rsid w:val="00BA339B"/>
    <w:rsid w:val="00BB23CC"/>
    <w:rsid w:val="00BC1E7E"/>
    <w:rsid w:val="00BC743A"/>
    <w:rsid w:val="00BC74E9"/>
    <w:rsid w:val="00BD26BA"/>
    <w:rsid w:val="00BE36A9"/>
    <w:rsid w:val="00BE618E"/>
    <w:rsid w:val="00BE7BEC"/>
    <w:rsid w:val="00BF0A5A"/>
    <w:rsid w:val="00BF0CFC"/>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D76AF"/>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7CAE"/>
    <w:rsid w:val="00E423C0"/>
    <w:rsid w:val="00E44A02"/>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84AC9"/>
  <w15:docId w15:val="{611D694B-61D4-4FAB-BB31-CF6C7A02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rsid w:val="002C746F"/>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F625CADD-F9B4-4070-B42D-66A137DDC0DF}"/>
</file>

<file path=docProps/app.xml><?xml version="1.0" encoding="utf-8"?>
<Properties xmlns="http://schemas.openxmlformats.org/officeDocument/2006/extended-properties" xmlns:vt="http://schemas.openxmlformats.org/officeDocument/2006/docPropsVTypes">
  <Template>TRANS_WP1_24_E.dotm</Template>
  <TotalTime>0</TotalTime>
  <Pages>2</Pages>
  <Words>467</Words>
  <Characters>2411</Characters>
  <Application>Microsoft Office Word</Application>
  <DocSecurity>0</DocSecurity>
  <Lines>59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ECE/TRANS/WP.15/2024/1</dc:title>
  <dc:subject>2400183</dc:subject>
  <dc:creator>Alicia DORCA-GARCIA</dc:creator>
  <cp:keywords/>
  <dc:description/>
  <cp:lastModifiedBy>Pauline Anne Escalante</cp:lastModifiedBy>
  <cp:revision>2</cp:revision>
  <cp:lastPrinted>2009-02-18T09:36:00Z</cp:lastPrinted>
  <dcterms:created xsi:type="dcterms:W3CDTF">2024-01-05T13:08:00Z</dcterms:created>
  <dcterms:modified xsi:type="dcterms:W3CDTF">2024-01-05T13:08:00Z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