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E6B913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DBBE36E" w14:textId="77777777" w:rsidR="002D5AAC" w:rsidRDefault="002D5AAC" w:rsidP="003C13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C10A8E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62CC418" w14:textId="625D6015" w:rsidR="002D5AAC" w:rsidRDefault="003C13E2" w:rsidP="003C13E2">
            <w:pPr>
              <w:jc w:val="right"/>
            </w:pPr>
            <w:r w:rsidRPr="003C13E2">
              <w:rPr>
                <w:sz w:val="40"/>
              </w:rPr>
              <w:t>ECE</w:t>
            </w:r>
            <w:r>
              <w:t>/TRANS/WP.29/GRSG/2024/8</w:t>
            </w:r>
          </w:p>
        </w:tc>
      </w:tr>
      <w:tr w:rsidR="002D5AAC" w:rsidRPr="00DD0371" w14:paraId="24D1782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AE527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79DB7F6" wp14:editId="48A7182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9F036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A74073A" w14:textId="77777777" w:rsidR="002D5AAC" w:rsidRDefault="003C13E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C4662CA" w14:textId="1ADC008B" w:rsidR="003C13E2" w:rsidRDefault="00DD0371" w:rsidP="003C13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January 2024</w:t>
            </w:r>
          </w:p>
          <w:p w14:paraId="023F8659" w14:textId="77777777" w:rsidR="003C13E2" w:rsidRDefault="003C13E2" w:rsidP="003C13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851CA79" w14:textId="73470312" w:rsidR="003C13E2" w:rsidRPr="008D53B6" w:rsidRDefault="003C13E2" w:rsidP="003C13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2FBFF4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B692607" w14:textId="77777777" w:rsidR="003C13E2" w:rsidRPr="00812F7C" w:rsidRDefault="003C13E2" w:rsidP="003C13E2">
      <w:pPr>
        <w:spacing w:before="120"/>
        <w:rPr>
          <w:sz w:val="28"/>
          <w:szCs w:val="28"/>
        </w:rPr>
      </w:pPr>
      <w:r w:rsidRPr="006F7ADF">
        <w:rPr>
          <w:sz w:val="28"/>
          <w:szCs w:val="28"/>
        </w:rPr>
        <w:t>Комитет по внутреннему транспорту</w:t>
      </w:r>
    </w:p>
    <w:p w14:paraId="1BE4B369" w14:textId="7706FCB0" w:rsidR="003C13E2" w:rsidRPr="00812F7C" w:rsidRDefault="003C13E2" w:rsidP="003C13E2">
      <w:pPr>
        <w:spacing w:before="120"/>
        <w:rPr>
          <w:b/>
          <w:sz w:val="24"/>
          <w:szCs w:val="24"/>
        </w:rPr>
      </w:pPr>
      <w:r w:rsidRPr="006F7ADF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6F7ADF">
        <w:rPr>
          <w:b/>
          <w:sz w:val="24"/>
          <w:szCs w:val="24"/>
        </w:rPr>
        <w:t>в области транспортных средств</w:t>
      </w:r>
    </w:p>
    <w:p w14:paraId="2FC386F5" w14:textId="6218D3DC" w:rsidR="003C13E2" w:rsidRPr="008436A1" w:rsidRDefault="003C13E2" w:rsidP="003C13E2">
      <w:pPr>
        <w:spacing w:before="120"/>
        <w:rPr>
          <w:b/>
          <w:szCs w:val="20"/>
        </w:rPr>
      </w:pPr>
      <w:r w:rsidRPr="008436A1">
        <w:rPr>
          <w:b/>
          <w:szCs w:val="20"/>
        </w:rPr>
        <w:t xml:space="preserve">Рабочая группа по общим предписаниям, </w:t>
      </w:r>
      <w:r w:rsidRPr="008436A1">
        <w:rPr>
          <w:b/>
          <w:szCs w:val="20"/>
        </w:rPr>
        <w:br/>
      </w:r>
      <w:r w:rsidRPr="008436A1">
        <w:rPr>
          <w:b/>
          <w:szCs w:val="20"/>
        </w:rPr>
        <w:t>касающимся безопасности</w:t>
      </w:r>
    </w:p>
    <w:p w14:paraId="7B1D273D" w14:textId="77777777" w:rsidR="003C13E2" w:rsidRPr="00812F7C" w:rsidRDefault="003C13E2" w:rsidP="003C13E2">
      <w:pPr>
        <w:spacing w:before="120"/>
        <w:rPr>
          <w:b/>
        </w:rPr>
      </w:pPr>
      <w:r>
        <w:rPr>
          <w:b/>
          <w:bCs/>
        </w:rPr>
        <w:t>Сто двадцать седьмая сессия</w:t>
      </w:r>
    </w:p>
    <w:p w14:paraId="28773EE1" w14:textId="77777777" w:rsidR="003C13E2" w:rsidRPr="00812F7C" w:rsidRDefault="003C13E2" w:rsidP="003C13E2">
      <w:r>
        <w:t>Женева, 15–19 апреля 2024 года</w:t>
      </w:r>
    </w:p>
    <w:p w14:paraId="01B410FD" w14:textId="77777777" w:rsidR="003C13E2" w:rsidRPr="000357FD" w:rsidRDefault="003C13E2" w:rsidP="003C13E2">
      <w:r>
        <w:t>Пункт 11 a) предварительной повестки дня</w:t>
      </w:r>
    </w:p>
    <w:p w14:paraId="73FC65D1" w14:textId="678F0907" w:rsidR="003C13E2" w:rsidRPr="003A47B5" w:rsidRDefault="003C13E2" w:rsidP="003C13E2">
      <w:pPr>
        <w:rPr>
          <w:b/>
          <w:bCs/>
        </w:rPr>
      </w:pPr>
      <w:r>
        <w:rPr>
          <w:b/>
          <w:bCs/>
        </w:rPr>
        <w:t xml:space="preserve">Поправки к правилам, касающимся устройств </w:t>
      </w:r>
      <w:r>
        <w:rPr>
          <w:b/>
          <w:bCs/>
        </w:rPr>
        <w:br/>
      </w:r>
      <w:r>
        <w:rPr>
          <w:b/>
          <w:bCs/>
        </w:rPr>
        <w:t xml:space="preserve">для предотвращения несанкционированного </w:t>
      </w:r>
      <w:r>
        <w:rPr>
          <w:b/>
          <w:bCs/>
        </w:rPr>
        <w:br/>
      </w:r>
      <w:r>
        <w:rPr>
          <w:b/>
          <w:bCs/>
        </w:rPr>
        <w:t xml:space="preserve">использования, иммобилизаторов и систем </w:t>
      </w:r>
      <w:r>
        <w:rPr>
          <w:b/>
          <w:bCs/>
        </w:rPr>
        <w:br/>
      </w:r>
      <w:r>
        <w:rPr>
          <w:b/>
          <w:bCs/>
        </w:rPr>
        <w:t xml:space="preserve">охранной сигнализации транспортных средств: </w:t>
      </w:r>
      <w:r>
        <w:rPr>
          <w:b/>
          <w:bCs/>
        </w:rPr>
        <w:br/>
      </w:r>
      <w:r>
        <w:rPr>
          <w:b/>
          <w:bCs/>
        </w:rPr>
        <w:t>Правила № 116 ООН (противоугонные системы</w:t>
      </w:r>
      <w:r>
        <w:rPr>
          <w:b/>
          <w:bCs/>
        </w:rPr>
        <w:br/>
      </w:r>
      <w:r>
        <w:rPr>
          <w:b/>
          <w:bCs/>
        </w:rPr>
        <w:t>и системы охранной сигнализации)</w:t>
      </w:r>
      <w:bookmarkStart w:id="0" w:name="_Hlk157074160"/>
      <w:bookmarkEnd w:id="0"/>
    </w:p>
    <w:p w14:paraId="34DAEDB4" w14:textId="4F6691AD" w:rsidR="003C13E2" w:rsidRDefault="003C13E2" w:rsidP="003C13E2">
      <w:pPr>
        <w:pStyle w:val="HChG"/>
        <w:ind w:left="1124" w:right="1138" w:firstLine="0"/>
      </w:pPr>
      <w:r>
        <w:rPr>
          <w:bCs/>
        </w:rPr>
        <w:t>Предложение по дополнению 2 к поправкам серии 01 к</w:t>
      </w:r>
      <w:r>
        <w:rPr>
          <w:bCs/>
          <w:lang w:val="fr-CH"/>
        </w:rPr>
        <w:t> </w:t>
      </w:r>
      <w:r>
        <w:rPr>
          <w:bCs/>
        </w:rPr>
        <w:t>Правилам № 116 ООН (противоугонные системы и</w:t>
      </w:r>
      <w:r>
        <w:rPr>
          <w:bCs/>
          <w:lang w:val="fr-CH"/>
        </w:rPr>
        <w:t> </w:t>
      </w:r>
      <w:r>
        <w:rPr>
          <w:bCs/>
        </w:rPr>
        <w:t>системы охранной сигнализации)</w:t>
      </w:r>
      <w:r>
        <w:t xml:space="preserve"> </w:t>
      </w:r>
    </w:p>
    <w:p w14:paraId="4DDDD6A6" w14:textId="77777777" w:rsidR="003C13E2" w:rsidRDefault="003C13E2" w:rsidP="003C13E2">
      <w:pPr>
        <w:pStyle w:val="H1G"/>
        <w:rPr>
          <w:szCs w:val="24"/>
        </w:rPr>
      </w:pPr>
      <w:r>
        <w:tab/>
      </w:r>
      <w:r>
        <w:tab/>
        <w:t>Представлено экспертом от Германии</w:t>
      </w:r>
      <w:r w:rsidRPr="003C13E2">
        <w:rPr>
          <w:b w:val="0"/>
          <w:bCs/>
          <w:sz w:val="20"/>
        </w:rPr>
        <w:t>*</w:t>
      </w:r>
    </w:p>
    <w:p w14:paraId="52808A5A" w14:textId="0B33F567" w:rsidR="008436A1" w:rsidRDefault="003C13E2" w:rsidP="003C13E2">
      <w:pPr>
        <w:pStyle w:val="SingleTxtG"/>
        <w:ind w:left="1138" w:right="1138" w:firstLine="563"/>
      </w:pPr>
      <w:r>
        <w:footnoteReference w:customMarkFollows="1" w:id="1"/>
        <w:t>Воспроизведенный ниже текст был подготовлен экспертом от Германии от имени участников Рабочего совещания, посвященного Правилам № 155 ООН и Правилам № 156 ООН, с целью привести нынешний текст Правил № 116 ООН в соответствие с формулировкой, за которую WP.29 проголосовал на своей сто девяносто первой сессии и которая предусматривает включение в Правила № 157 ООН предписания о соблюдении технических требований, изложенных в Правилах № 10 ООН (ECE/TRANS/WP.29/2023/131). Изменения к нынешнему тексту Правил ООН выделены жирным шрифтом в случае новых элементов или зачеркиванием — в случае исключенных элементов.</w:t>
      </w:r>
      <w:bookmarkStart w:id="1" w:name="_Hlk156577528"/>
      <w:bookmarkEnd w:id="1"/>
    </w:p>
    <w:p w14:paraId="635A344D" w14:textId="77777777" w:rsidR="008436A1" w:rsidRDefault="008436A1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7ED7B65A" w14:textId="77777777" w:rsidR="003C13E2" w:rsidRPr="006E0032" w:rsidRDefault="003C13E2" w:rsidP="003C13E2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347B9D99" w14:textId="77777777" w:rsidR="003C13E2" w:rsidRDefault="003C13E2" w:rsidP="003C13E2">
      <w:pPr>
        <w:spacing w:before="120" w:after="120"/>
        <w:ind w:left="1134" w:right="1134"/>
        <w:jc w:val="both"/>
        <w:rPr>
          <w:iCs/>
        </w:rPr>
      </w:pPr>
      <w:r>
        <w:rPr>
          <w:i/>
          <w:iCs/>
        </w:rPr>
        <w:t xml:space="preserve">Приложение 11, пункт 5 </w:t>
      </w:r>
      <w:r>
        <w:t>изменить следующим образом:</w:t>
      </w:r>
    </w:p>
    <w:p w14:paraId="0559B6A6" w14:textId="77777777" w:rsidR="003C13E2" w:rsidRDefault="003C13E2" w:rsidP="003C13E2">
      <w:pPr>
        <w:spacing w:before="120" w:after="120"/>
        <w:ind w:left="2268" w:right="1134" w:hanging="1134"/>
        <w:jc w:val="both"/>
      </w:pPr>
      <w:r>
        <w:t>«5.</w:t>
      </w:r>
      <w:r>
        <w:tab/>
        <w:t xml:space="preserve">Кибератаки, киберугрозы и факторы уязвимости не должны оказывать негативного влияния на эффективность системы. Эффективность мер безопасности должна быть продемонстрирована </w:t>
      </w:r>
      <w:r>
        <w:rPr>
          <w:strike/>
        </w:rPr>
        <w:t>соблюдением</w:t>
      </w:r>
      <w:r>
        <w:t xml:space="preserve"> </w:t>
      </w:r>
      <w:r>
        <w:rPr>
          <w:b/>
          <w:bCs/>
        </w:rPr>
        <w:t>выполнением технических требований</w:t>
      </w:r>
      <w:r>
        <w:t xml:space="preserve"> Правил № 155 ООН».</w:t>
      </w:r>
      <w:bookmarkStart w:id="2" w:name="_Hlk156577146"/>
      <w:bookmarkEnd w:id="2"/>
    </w:p>
    <w:p w14:paraId="5DC0BD65" w14:textId="77777777" w:rsidR="003C13E2" w:rsidRPr="008C0C40" w:rsidRDefault="003C13E2" w:rsidP="003C13E2">
      <w:pPr>
        <w:pStyle w:val="HChG"/>
      </w:pPr>
      <w:r>
        <w:rPr>
          <w:bCs/>
        </w:rPr>
        <w:tab/>
        <w:t>II.</w:t>
      </w:r>
      <w:r>
        <w:tab/>
      </w:r>
      <w:r>
        <w:tab/>
      </w:r>
      <w:r>
        <w:rPr>
          <w:bCs/>
        </w:rPr>
        <w:t>Обоснование</w:t>
      </w:r>
    </w:p>
    <w:p w14:paraId="462EA348" w14:textId="30D405B3" w:rsidR="003C13E2" w:rsidRDefault="009E3A91" w:rsidP="003C13E2">
      <w:pPr>
        <w:pStyle w:val="SingleTxtG"/>
        <w:rPr>
          <w:rFonts w:eastAsia="Malgun Gothic"/>
        </w:rPr>
      </w:pPr>
      <w:r>
        <w:tab/>
      </w:r>
      <w:r w:rsidR="003C13E2">
        <w:t>Цель данного предложения заключается в том, чтобы привести нынешний текст Правил № 116 ООН в соответствие с формулировкой, за которую WP.29 проголосовал на своей сто девяносто первой сессии и которая предусматривает включение в Правила</w:t>
      </w:r>
      <w:r w:rsidR="0059258B">
        <w:rPr>
          <w:lang w:val="fr-CH"/>
        </w:rPr>
        <w:t> </w:t>
      </w:r>
      <w:r w:rsidR="003C13E2">
        <w:t>№</w:t>
      </w:r>
      <w:r w:rsidR="0059258B">
        <w:rPr>
          <w:lang w:val="fr-CH"/>
        </w:rPr>
        <w:t> </w:t>
      </w:r>
      <w:r w:rsidR="003C13E2">
        <w:t>157</w:t>
      </w:r>
      <w:r w:rsidR="0059258B">
        <w:rPr>
          <w:lang w:val="fr-CH"/>
        </w:rPr>
        <w:t> </w:t>
      </w:r>
      <w:r w:rsidR="003C13E2">
        <w:t>ООН предписания о соблюдении технических требований, изложенных в Правилах № 10 ООН (ECE/TRANS/WP.29/2023/131).</w:t>
      </w:r>
    </w:p>
    <w:p w14:paraId="3290B4F4" w14:textId="5C870A48" w:rsidR="00E12C5F" w:rsidRPr="008D53B6" w:rsidRDefault="003C13E2" w:rsidP="003C13E2">
      <w:pPr>
        <w:spacing w:before="240"/>
        <w:jc w:val="center"/>
      </w:pPr>
      <w:r w:rsidRPr="003C13E2">
        <w:rPr>
          <w:rFonts w:eastAsia="Malgun Gothic"/>
          <w:u w:val="single"/>
          <w:lang w:eastAsia="ko-KR"/>
        </w:rPr>
        <w:tab/>
      </w:r>
      <w:r w:rsidRPr="003C13E2">
        <w:rPr>
          <w:rFonts w:eastAsia="Malgun Gothic"/>
          <w:u w:val="single"/>
          <w:lang w:eastAsia="ko-KR"/>
        </w:rPr>
        <w:tab/>
      </w:r>
      <w:r w:rsidRPr="003C13E2">
        <w:rPr>
          <w:rFonts w:eastAsia="Malgun Gothic"/>
          <w:u w:val="single"/>
          <w:lang w:eastAsia="ko-KR"/>
        </w:rPr>
        <w:tab/>
      </w:r>
    </w:p>
    <w:sectPr w:rsidR="00E12C5F" w:rsidRPr="008D53B6" w:rsidSect="003C1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768A2" w14:textId="77777777" w:rsidR="000928C9" w:rsidRPr="00A312BC" w:rsidRDefault="000928C9" w:rsidP="00A312BC"/>
  </w:endnote>
  <w:endnote w:type="continuationSeparator" w:id="0">
    <w:p w14:paraId="76569583" w14:textId="77777777" w:rsidR="000928C9" w:rsidRPr="00A312BC" w:rsidRDefault="000928C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B0D3" w14:textId="75868B71" w:rsidR="003C13E2" w:rsidRPr="003C13E2" w:rsidRDefault="003C13E2">
    <w:pPr>
      <w:pStyle w:val="a8"/>
    </w:pPr>
    <w:r w:rsidRPr="003C13E2">
      <w:rPr>
        <w:b/>
        <w:sz w:val="18"/>
      </w:rPr>
      <w:fldChar w:fldCharType="begin"/>
    </w:r>
    <w:r w:rsidRPr="003C13E2">
      <w:rPr>
        <w:b/>
        <w:sz w:val="18"/>
      </w:rPr>
      <w:instrText xml:space="preserve"> PAGE  \* MERGEFORMAT </w:instrText>
    </w:r>
    <w:r w:rsidRPr="003C13E2">
      <w:rPr>
        <w:b/>
        <w:sz w:val="18"/>
      </w:rPr>
      <w:fldChar w:fldCharType="separate"/>
    </w:r>
    <w:r w:rsidRPr="003C13E2">
      <w:rPr>
        <w:b/>
        <w:noProof/>
        <w:sz w:val="18"/>
      </w:rPr>
      <w:t>2</w:t>
    </w:r>
    <w:r w:rsidRPr="003C13E2">
      <w:rPr>
        <w:b/>
        <w:sz w:val="18"/>
      </w:rPr>
      <w:fldChar w:fldCharType="end"/>
    </w:r>
    <w:r>
      <w:rPr>
        <w:b/>
        <w:sz w:val="18"/>
      </w:rPr>
      <w:tab/>
    </w:r>
    <w:r>
      <w:t>GE.24-01418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7D4F" w14:textId="6093E7C2" w:rsidR="003C13E2" w:rsidRPr="003C13E2" w:rsidRDefault="003C13E2" w:rsidP="003C13E2">
    <w:pPr>
      <w:pStyle w:val="a8"/>
      <w:tabs>
        <w:tab w:val="clear" w:pos="9639"/>
        <w:tab w:val="right" w:pos="9638"/>
      </w:tabs>
      <w:rPr>
        <w:b/>
        <w:sz w:val="18"/>
      </w:rPr>
    </w:pPr>
    <w:r>
      <w:t>GE.24-01418</w:t>
    </w:r>
    <w:r>
      <w:tab/>
    </w:r>
    <w:r w:rsidRPr="003C13E2">
      <w:rPr>
        <w:b/>
        <w:sz w:val="18"/>
      </w:rPr>
      <w:fldChar w:fldCharType="begin"/>
    </w:r>
    <w:r w:rsidRPr="003C13E2">
      <w:rPr>
        <w:b/>
        <w:sz w:val="18"/>
      </w:rPr>
      <w:instrText xml:space="preserve"> PAGE  \* MERGEFORMAT </w:instrText>
    </w:r>
    <w:r w:rsidRPr="003C13E2">
      <w:rPr>
        <w:b/>
        <w:sz w:val="18"/>
      </w:rPr>
      <w:fldChar w:fldCharType="separate"/>
    </w:r>
    <w:r w:rsidRPr="003C13E2">
      <w:rPr>
        <w:b/>
        <w:noProof/>
        <w:sz w:val="18"/>
      </w:rPr>
      <w:t>3</w:t>
    </w:r>
    <w:r w:rsidRPr="003C13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5B30" w14:textId="27715249" w:rsidR="00042B72" w:rsidRPr="003C13E2" w:rsidRDefault="003C13E2" w:rsidP="003C13E2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3AF8BAE" wp14:editId="16AD3F0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24-01418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87CC16B" wp14:editId="308228A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060224  060224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99EE" w14:textId="77777777" w:rsidR="000928C9" w:rsidRPr="001075E9" w:rsidRDefault="000928C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9C9813" w14:textId="77777777" w:rsidR="000928C9" w:rsidRDefault="000928C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28F512D" w14:textId="085DA10A" w:rsidR="003C13E2" w:rsidRPr="00EA370C" w:rsidRDefault="003C13E2" w:rsidP="003C13E2">
      <w:pPr>
        <w:pStyle w:val="ad"/>
      </w:pPr>
      <w:r>
        <w:tab/>
      </w:r>
      <w:r w:rsidRPr="003C13E2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>
        <w:rPr>
          <w:lang w:val="fr-CH"/>
        </w:rPr>
        <w:t> </w:t>
      </w:r>
      <w:r>
        <w:t>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9CA9" w14:textId="1D2C7693" w:rsidR="003C13E2" w:rsidRPr="003C13E2" w:rsidRDefault="003C13E2">
    <w:pPr>
      <w:pStyle w:val="a5"/>
    </w:pPr>
    <w:fldSimple w:instr=" TITLE  \* MERGEFORMAT ">
      <w:r w:rsidR="00615648">
        <w:t>ECE/TRANS/WP.29/GRSG/2024/8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4A25" w14:textId="67EF6D8C" w:rsidR="003C13E2" w:rsidRPr="003C13E2" w:rsidRDefault="003C13E2" w:rsidP="003C13E2">
    <w:pPr>
      <w:pStyle w:val="a5"/>
      <w:jc w:val="right"/>
    </w:pPr>
    <w:fldSimple w:instr=" TITLE  \* MERGEFORMAT ">
      <w:r w:rsidR="00615648">
        <w:t>ECE/TRANS/WP.29/GRSG/2024/8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4CE8" w14:textId="77777777" w:rsidR="003C13E2" w:rsidRDefault="003C13E2" w:rsidP="003C13E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C9"/>
    <w:rsid w:val="00033EE1"/>
    <w:rsid w:val="00042B72"/>
    <w:rsid w:val="000558BD"/>
    <w:rsid w:val="000928C9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13E2"/>
    <w:rsid w:val="003E0B46"/>
    <w:rsid w:val="00407B78"/>
    <w:rsid w:val="00415313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258B"/>
    <w:rsid w:val="005961C8"/>
    <w:rsid w:val="005966F1"/>
    <w:rsid w:val="005D7914"/>
    <w:rsid w:val="005E2B41"/>
    <w:rsid w:val="005F0B42"/>
    <w:rsid w:val="00615648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36A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3A91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0371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B6158"/>
  <w15:docId w15:val="{941C083F-1B4A-4E92-B95E-FDD7285A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3C13E2"/>
    <w:rPr>
      <w:lang w:val="ru-RU" w:eastAsia="en-US"/>
    </w:rPr>
  </w:style>
  <w:style w:type="character" w:customStyle="1" w:styleId="HChGChar">
    <w:name w:val="_ H _Ch_G Char"/>
    <w:link w:val="HChG"/>
    <w:qFormat/>
    <w:rsid w:val="003C13E2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3C13E2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B0DFB-CE64-4031-B574-E84D9F12C4CA}"/>
</file>

<file path=customXml/itemProps2.xml><?xml version="1.0" encoding="utf-8"?>
<ds:datastoreItem xmlns:ds="http://schemas.openxmlformats.org/officeDocument/2006/customXml" ds:itemID="{41409425-B2D9-4DB1-8798-1D17E3BF8D2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278</Words>
  <Characters>1870</Characters>
  <Application>Microsoft Office Word</Application>
  <DocSecurity>0</DocSecurity>
  <Lines>52</Lines>
  <Paragraphs>23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7" baseType="lpstr">
      <vt:lpstr>ECE/TRANS/WP.29/GRSG/2024/8</vt:lpstr>
      <vt:lpstr>    Предложение по дополнению 2 к поправкам серии 01 к Правилам № 116 ООН (противоуг</vt:lpstr>
      <vt:lpstr>        Представлено экспертом от Германии*</vt:lpstr>
      <vt:lpstr>    I.	Предложение</vt:lpstr>
      <vt:lpstr>    II.		Обоснование</vt:lpstr>
      <vt:lpstr>A/</vt:lpstr>
      <vt:lpstr>A/</vt:lpstr>
    </vt:vector>
  </TitlesOfParts>
  <Company>DCM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ECE/TRANS/WP.29/GRSG/2024/8</dc:title>
  <dc:subject/>
  <dc:creator>Olga OVTCHINNIKOVA</dc:creator>
  <cp:keywords/>
  <cp:lastModifiedBy>Olga Ovchinnikova</cp:lastModifiedBy>
  <cp:revision>4</cp:revision>
  <cp:lastPrinted>2024-02-06T15:51:00Z</cp:lastPrinted>
  <dcterms:created xsi:type="dcterms:W3CDTF">2024-02-06T15:51:00Z</dcterms:created>
  <dcterms:modified xsi:type="dcterms:W3CDTF">2024-02-06T15:53:00Z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