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E6854" w14:paraId="22785989" w14:textId="77777777" w:rsidTr="00B20551">
        <w:trPr>
          <w:cantSplit/>
          <w:trHeight w:hRule="exact" w:val="851"/>
        </w:trPr>
        <w:tc>
          <w:tcPr>
            <w:tcW w:w="1276" w:type="dxa"/>
            <w:tcBorders>
              <w:bottom w:val="single" w:sz="4" w:space="0" w:color="auto"/>
            </w:tcBorders>
            <w:vAlign w:val="bottom"/>
          </w:tcPr>
          <w:p w14:paraId="1049842B" w14:textId="77777777" w:rsidR="009E6CB7" w:rsidRPr="005E6854" w:rsidRDefault="009E6CB7" w:rsidP="00B20551">
            <w:pPr>
              <w:spacing w:after="80"/>
            </w:pPr>
          </w:p>
        </w:tc>
        <w:tc>
          <w:tcPr>
            <w:tcW w:w="2268" w:type="dxa"/>
            <w:tcBorders>
              <w:bottom w:val="single" w:sz="4" w:space="0" w:color="auto"/>
            </w:tcBorders>
            <w:vAlign w:val="bottom"/>
          </w:tcPr>
          <w:p w14:paraId="6F602216" w14:textId="77777777" w:rsidR="009E6CB7" w:rsidRPr="005E6854" w:rsidRDefault="009E6CB7" w:rsidP="00B20551">
            <w:pPr>
              <w:spacing w:after="80" w:line="300" w:lineRule="exact"/>
              <w:rPr>
                <w:b/>
                <w:sz w:val="24"/>
                <w:szCs w:val="24"/>
              </w:rPr>
            </w:pPr>
            <w:r w:rsidRPr="005E6854">
              <w:rPr>
                <w:sz w:val="28"/>
                <w:szCs w:val="28"/>
              </w:rPr>
              <w:t>United Nations</w:t>
            </w:r>
          </w:p>
        </w:tc>
        <w:tc>
          <w:tcPr>
            <w:tcW w:w="6095" w:type="dxa"/>
            <w:gridSpan w:val="2"/>
            <w:tcBorders>
              <w:bottom w:val="single" w:sz="4" w:space="0" w:color="auto"/>
            </w:tcBorders>
            <w:vAlign w:val="bottom"/>
          </w:tcPr>
          <w:p w14:paraId="5608963C" w14:textId="382F0786" w:rsidR="009E6CB7" w:rsidRPr="005E6854" w:rsidRDefault="002969D1" w:rsidP="002969D1">
            <w:pPr>
              <w:jc w:val="right"/>
            </w:pPr>
            <w:r w:rsidRPr="005E6854">
              <w:rPr>
                <w:sz w:val="40"/>
              </w:rPr>
              <w:t>ECE</w:t>
            </w:r>
            <w:r w:rsidRPr="005E6854">
              <w:t>/TRANS/WP.29/GRSG/2024/5</w:t>
            </w:r>
          </w:p>
        </w:tc>
      </w:tr>
      <w:tr w:rsidR="009E6CB7" w:rsidRPr="005E6854" w14:paraId="55956CD4" w14:textId="77777777" w:rsidTr="00B20551">
        <w:trPr>
          <w:cantSplit/>
          <w:trHeight w:hRule="exact" w:val="2835"/>
        </w:trPr>
        <w:tc>
          <w:tcPr>
            <w:tcW w:w="1276" w:type="dxa"/>
            <w:tcBorders>
              <w:top w:val="single" w:sz="4" w:space="0" w:color="auto"/>
              <w:bottom w:val="single" w:sz="12" w:space="0" w:color="auto"/>
            </w:tcBorders>
          </w:tcPr>
          <w:p w14:paraId="7E0F9929" w14:textId="77777777" w:rsidR="009E6CB7" w:rsidRPr="005E6854" w:rsidRDefault="00686A48" w:rsidP="00B20551">
            <w:pPr>
              <w:spacing w:before="120"/>
            </w:pPr>
            <w:r w:rsidRPr="005E6854">
              <w:rPr>
                <w:noProof/>
                <w:lang w:eastAsia="fr-CH"/>
              </w:rPr>
              <w:drawing>
                <wp:inline distT="0" distB="0" distL="0" distR="0" wp14:anchorId="345A2D66" wp14:editId="028C78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73A32B" w14:textId="77777777" w:rsidR="009E6CB7" w:rsidRPr="005E6854" w:rsidRDefault="009E6CB7" w:rsidP="00B20551">
            <w:pPr>
              <w:spacing w:before="120" w:line="420" w:lineRule="exact"/>
              <w:rPr>
                <w:sz w:val="40"/>
                <w:szCs w:val="40"/>
              </w:rPr>
            </w:pPr>
            <w:r w:rsidRPr="005E6854">
              <w:rPr>
                <w:b/>
                <w:sz w:val="40"/>
                <w:szCs w:val="40"/>
              </w:rPr>
              <w:t>Economic and Social Council</w:t>
            </w:r>
          </w:p>
        </w:tc>
        <w:tc>
          <w:tcPr>
            <w:tcW w:w="2835" w:type="dxa"/>
            <w:tcBorders>
              <w:top w:val="single" w:sz="4" w:space="0" w:color="auto"/>
              <w:bottom w:val="single" w:sz="12" w:space="0" w:color="auto"/>
            </w:tcBorders>
          </w:tcPr>
          <w:p w14:paraId="18DB93E6" w14:textId="77777777" w:rsidR="009E6CB7" w:rsidRPr="005E6854" w:rsidRDefault="002969D1" w:rsidP="002969D1">
            <w:pPr>
              <w:spacing w:before="240" w:line="240" w:lineRule="exact"/>
            </w:pPr>
            <w:r w:rsidRPr="005E6854">
              <w:t>Distr.: General</w:t>
            </w:r>
          </w:p>
          <w:p w14:paraId="1C678124" w14:textId="528721B2" w:rsidR="002969D1" w:rsidRPr="005E6854" w:rsidRDefault="002969D1" w:rsidP="002969D1">
            <w:pPr>
              <w:spacing w:line="240" w:lineRule="exact"/>
            </w:pPr>
            <w:r w:rsidRPr="005E6854">
              <w:t>2</w:t>
            </w:r>
            <w:r w:rsidR="00957D60">
              <w:t>6</w:t>
            </w:r>
            <w:r w:rsidRPr="005E6854">
              <w:t xml:space="preserve"> January 2024</w:t>
            </w:r>
          </w:p>
          <w:p w14:paraId="1855A849" w14:textId="77777777" w:rsidR="002969D1" w:rsidRPr="005E6854" w:rsidRDefault="002969D1" w:rsidP="002969D1">
            <w:pPr>
              <w:spacing w:line="240" w:lineRule="exact"/>
            </w:pPr>
          </w:p>
          <w:p w14:paraId="6A478A66" w14:textId="2925AE2B" w:rsidR="002969D1" w:rsidRPr="005E6854" w:rsidRDefault="002969D1" w:rsidP="002969D1">
            <w:pPr>
              <w:spacing w:line="240" w:lineRule="exact"/>
            </w:pPr>
            <w:r w:rsidRPr="005E6854">
              <w:t>Original: English</w:t>
            </w:r>
          </w:p>
        </w:tc>
      </w:tr>
    </w:tbl>
    <w:p w14:paraId="01965B84" w14:textId="77777777" w:rsidR="002969D1" w:rsidRPr="005E6854" w:rsidRDefault="002969D1" w:rsidP="002969D1">
      <w:pPr>
        <w:spacing w:before="120"/>
        <w:rPr>
          <w:b/>
          <w:sz w:val="28"/>
          <w:szCs w:val="28"/>
        </w:rPr>
      </w:pPr>
      <w:r w:rsidRPr="005E6854">
        <w:rPr>
          <w:b/>
          <w:sz w:val="28"/>
          <w:szCs w:val="28"/>
        </w:rPr>
        <w:t>Economic Commission for Europe</w:t>
      </w:r>
    </w:p>
    <w:p w14:paraId="00418A0F" w14:textId="77777777" w:rsidR="002969D1" w:rsidRPr="005E6854" w:rsidRDefault="002969D1" w:rsidP="002969D1">
      <w:pPr>
        <w:spacing w:before="120"/>
        <w:rPr>
          <w:sz w:val="28"/>
          <w:szCs w:val="28"/>
        </w:rPr>
      </w:pPr>
      <w:r w:rsidRPr="005E6854">
        <w:rPr>
          <w:sz w:val="28"/>
          <w:szCs w:val="28"/>
        </w:rPr>
        <w:t>Inland Transport Committee</w:t>
      </w:r>
    </w:p>
    <w:p w14:paraId="6D5A1047" w14:textId="77777777" w:rsidR="002969D1" w:rsidRPr="005E6854" w:rsidRDefault="002969D1" w:rsidP="002969D1">
      <w:pPr>
        <w:spacing w:before="120"/>
        <w:rPr>
          <w:b/>
          <w:sz w:val="24"/>
          <w:szCs w:val="24"/>
        </w:rPr>
      </w:pPr>
      <w:r w:rsidRPr="005E6854">
        <w:rPr>
          <w:b/>
          <w:sz w:val="24"/>
          <w:szCs w:val="24"/>
        </w:rPr>
        <w:t>World Forum for Harmonization of Vehicle Regulations</w:t>
      </w:r>
    </w:p>
    <w:p w14:paraId="332F6D4A" w14:textId="77777777" w:rsidR="002969D1" w:rsidRPr="005E6854" w:rsidRDefault="002969D1" w:rsidP="002969D1">
      <w:pPr>
        <w:spacing w:before="120"/>
        <w:rPr>
          <w:b/>
        </w:rPr>
      </w:pPr>
      <w:r w:rsidRPr="005E6854">
        <w:rPr>
          <w:b/>
        </w:rPr>
        <w:t>Working Party on General Safety Provisions</w:t>
      </w:r>
    </w:p>
    <w:p w14:paraId="3D8076D7" w14:textId="77777777" w:rsidR="002969D1" w:rsidRPr="005E6854" w:rsidRDefault="002969D1" w:rsidP="002969D1">
      <w:pPr>
        <w:spacing w:before="120"/>
        <w:rPr>
          <w:b/>
        </w:rPr>
      </w:pPr>
      <w:r w:rsidRPr="005E6854">
        <w:rPr>
          <w:b/>
        </w:rPr>
        <w:t>127th session</w:t>
      </w:r>
    </w:p>
    <w:p w14:paraId="045BF079" w14:textId="77777777" w:rsidR="002969D1" w:rsidRPr="005E6854" w:rsidRDefault="002969D1" w:rsidP="002969D1">
      <w:r w:rsidRPr="005E6854">
        <w:t>Geneva, 15–19 April 2024</w:t>
      </w:r>
    </w:p>
    <w:p w14:paraId="562507AE" w14:textId="0C8BD903" w:rsidR="002969D1" w:rsidRPr="005E6854" w:rsidRDefault="002969D1" w:rsidP="002969D1">
      <w:r w:rsidRPr="005E6854">
        <w:t>Item 19 of the provisional agenda</w:t>
      </w:r>
    </w:p>
    <w:p w14:paraId="65A4811D" w14:textId="239A7D64" w:rsidR="002969D1" w:rsidRPr="005E6854" w:rsidRDefault="00162F34" w:rsidP="00D44F8D">
      <w:pPr>
        <w:rPr>
          <w:b/>
        </w:rPr>
      </w:pPr>
      <w:r w:rsidRPr="00162F34">
        <w:rPr>
          <w:b/>
        </w:rPr>
        <w:t>Consolidated Resolution on the Construction of Vehicles</w:t>
      </w:r>
      <w:r w:rsidR="00F5099B">
        <w:rPr>
          <w:b/>
        </w:rPr>
        <w:t xml:space="preserve">  </w:t>
      </w:r>
      <w:r w:rsidR="002969D1" w:rsidRPr="005E6854">
        <w:tab/>
      </w:r>
      <w:r w:rsidR="002969D1" w:rsidRPr="005E6854">
        <w:rPr>
          <w:b/>
        </w:rPr>
        <w:t xml:space="preserve">  </w:t>
      </w:r>
    </w:p>
    <w:p w14:paraId="72FA2CBE" w14:textId="73F77FF2" w:rsidR="002969D1" w:rsidRPr="005E6854" w:rsidRDefault="002969D1" w:rsidP="002969D1">
      <w:pPr>
        <w:pStyle w:val="HChG"/>
        <w:ind w:left="1124" w:right="1138" w:firstLine="0"/>
      </w:pPr>
      <w:r w:rsidRPr="005E6854">
        <w:rPr>
          <w:szCs w:val="28"/>
        </w:rPr>
        <w:t xml:space="preserve">Proposal for amendments to the </w:t>
      </w:r>
      <w:r w:rsidRPr="005E6854">
        <w:t xml:space="preserve">Consolidated Resolution on the Construction of Vehicles </w:t>
      </w:r>
    </w:p>
    <w:p w14:paraId="029374DB" w14:textId="21F10C57" w:rsidR="002969D1" w:rsidRPr="005E6854" w:rsidRDefault="002969D1" w:rsidP="002969D1">
      <w:pPr>
        <w:pStyle w:val="H1G"/>
        <w:rPr>
          <w:szCs w:val="24"/>
        </w:rPr>
      </w:pPr>
      <w:r w:rsidRPr="005E6854">
        <w:tab/>
      </w:r>
      <w:r w:rsidRPr="005E6854">
        <w:tab/>
      </w:r>
      <w:r w:rsidRPr="005E6854">
        <w:rPr>
          <w:szCs w:val="24"/>
        </w:rPr>
        <w:t xml:space="preserve">Submitted by the expert from the </w:t>
      </w:r>
      <w:r w:rsidRPr="005E6854">
        <w:t>International Federation for Historic Vehicles</w:t>
      </w:r>
      <w:r w:rsidRPr="005E6854">
        <w:rPr>
          <w:szCs w:val="24"/>
        </w:rPr>
        <w:t xml:space="preserve"> </w:t>
      </w:r>
      <w:r w:rsidRPr="005E6854">
        <w:footnoteReference w:customMarkFollows="1" w:id="2"/>
        <w:t>*</w:t>
      </w:r>
    </w:p>
    <w:p w14:paraId="6DF6A489" w14:textId="50BC61E7" w:rsidR="002969D1" w:rsidRPr="005E6854" w:rsidRDefault="002969D1" w:rsidP="002969D1">
      <w:pPr>
        <w:pStyle w:val="SingleTxtG"/>
        <w:ind w:firstLine="567"/>
      </w:pPr>
      <w:r w:rsidRPr="005E6854">
        <w:t>The text reproduced below was prepared by the expert from the International Federation for Historic Vehicles to introduce a definition of historic vehicles</w:t>
      </w:r>
      <w:r w:rsidRPr="005E6854">
        <w:rPr>
          <w:rStyle w:val="rynqvb"/>
        </w:rPr>
        <w:t>.</w:t>
      </w:r>
      <w:r w:rsidRPr="005E6854">
        <w:t xml:space="preserve"> The modifications to the current text of the Consolidated Resolution on the Construction of Vehicles (R.E.3) are marked in bold for new or strikethrough for deleted characters.</w:t>
      </w:r>
    </w:p>
    <w:p w14:paraId="2A1317B4" w14:textId="77777777" w:rsidR="002969D1" w:rsidRPr="005E6854" w:rsidRDefault="002969D1" w:rsidP="002969D1">
      <w:pPr>
        <w:spacing w:line="240" w:lineRule="auto"/>
      </w:pPr>
      <w:r w:rsidRPr="005E6854">
        <w:br w:type="page"/>
      </w:r>
    </w:p>
    <w:p w14:paraId="0DF88B61" w14:textId="77777777" w:rsidR="002969D1" w:rsidRPr="0013510A" w:rsidRDefault="002969D1" w:rsidP="002969D1">
      <w:pPr>
        <w:keepNext/>
        <w:keepLines/>
        <w:tabs>
          <w:tab w:val="right" w:pos="851"/>
        </w:tabs>
        <w:spacing w:before="360" w:after="240" w:line="300" w:lineRule="exact"/>
        <w:ind w:right="1134"/>
        <w:rPr>
          <w:b/>
          <w:sz w:val="28"/>
        </w:rPr>
      </w:pPr>
      <w:r w:rsidRPr="005E6854">
        <w:rPr>
          <w:b/>
          <w:sz w:val="28"/>
        </w:rPr>
        <w:lastRenderedPageBreak/>
        <w:tab/>
        <w:t>I.</w:t>
      </w:r>
      <w:r w:rsidRPr="005E6854">
        <w:rPr>
          <w:b/>
          <w:sz w:val="28"/>
        </w:rPr>
        <w:tab/>
        <w:t xml:space="preserve">Proposal </w:t>
      </w:r>
    </w:p>
    <w:p w14:paraId="1307B99E" w14:textId="77777777" w:rsidR="002969D1" w:rsidRPr="005E6854" w:rsidRDefault="002969D1" w:rsidP="002969D1">
      <w:pPr>
        <w:tabs>
          <w:tab w:val="left" w:pos="2300"/>
          <w:tab w:val="left" w:pos="2800"/>
        </w:tabs>
        <w:spacing w:after="120"/>
        <w:ind w:left="2268" w:right="1134" w:hanging="1134"/>
        <w:jc w:val="both"/>
      </w:pPr>
      <w:r w:rsidRPr="005E6854">
        <w:rPr>
          <w:i/>
        </w:rPr>
        <w:t>Insert new paragraph 1.16</w:t>
      </w:r>
      <w:r w:rsidRPr="005E6854">
        <w:rPr>
          <w:iCs/>
        </w:rPr>
        <w:t>.,</w:t>
      </w:r>
      <w:r w:rsidRPr="005E6854">
        <w:rPr>
          <w:i/>
        </w:rPr>
        <w:t xml:space="preserve"> </w:t>
      </w:r>
      <w:r w:rsidRPr="005E6854">
        <w:t>to read</w:t>
      </w:r>
      <w:r w:rsidRPr="005E6854">
        <w:rPr>
          <w:iCs/>
        </w:rPr>
        <w:t xml:space="preserve">: </w:t>
      </w:r>
    </w:p>
    <w:p w14:paraId="2A68B0C6" w14:textId="7D37EBE0" w:rsidR="002969D1" w:rsidRPr="005E6854" w:rsidRDefault="002969D1" w:rsidP="002969D1">
      <w:pPr>
        <w:pStyle w:val="SingleTxtG"/>
        <w:ind w:left="1980" w:hanging="846"/>
        <w:rPr>
          <w:b/>
          <w:bCs/>
        </w:rPr>
      </w:pPr>
      <w:r w:rsidRPr="005E6854">
        <w:rPr>
          <w:bCs/>
        </w:rPr>
        <w:t>"</w:t>
      </w:r>
      <w:r w:rsidRPr="005E6854">
        <w:rPr>
          <w:b/>
          <w:bCs/>
        </w:rPr>
        <w:t>1.16.</w:t>
      </w:r>
      <w:r w:rsidRPr="005E6854">
        <w:rPr>
          <w:b/>
          <w:bCs/>
        </w:rPr>
        <w:tab/>
        <w:t>"</w:t>
      </w:r>
      <w:r w:rsidRPr="005E6854">
        <w:rPr>
          <w:b/>
          <w:bCs/>
          <w:i/>
          <w:iCs/>
        </w:rPr>
        <w:t>Vehicle of historical interest</w:t>
      </w:r>
      <w:r w:rsidRPr="005E6854">
        <w:rPr>
          <w:b/>
          <w:bCs/>
        </w:rPr>
        <w:t>" means any vehicle which is considered to be historical by the country of registration or one of its appointed authorising bodies and which fulfils all the following conditions:</w:t>
      </w:r>
    </w:p>
    <w:p w14:paraId="0D52759F" w14:textId="76BACD60" w:rsidR="002969D1" w:rsidRPr="005E6854" w:rsidRDefault="002969D1" w:rsidP="002969D1">
      <w:pPr>
        <w:pStyle w:val="SingleTxtG"/>
        <w:ind w:left="2520" w:hanging="540"/>
        <w:rPr>
          <w:b/>
          <w:bCs/>
        </w:rPr>
      </w:pPr>
      <w:r w:rsidRPr="005E6854">
        <w:rPr>
          <w:b/>
          <w:bCs/>
        </w:rPr>
        <w:t>(a)</w:t>
      </w:r>
      <w:r w:rsidRPr="005E6854">
        <w:rPr>
          <w:b/>
          <w:bCs/>
        </w:rPr>
        <w:tab/>
      </w:r>
      <w:r w:rsidR="005E6854">
        <w:rPr>
          <w:b/>
          <w:bCs/>
        </w:rPr>
        <w:t>the vehicle</w:t>
      </w:r>
      <w:r w:rsidRPr="005E6854">
        <w:rPr>
          <w:b/>
          <w:bCs/>
        </w:rPr>
        <w:t xml:space="preserve"> was manufactured or registered for the first time at least 30 years ago;</w:t>
      </w:r>
    </w:p>
    <w:p w14:paraId="2F771880" w14:textId="7765CC1D" w:rsidR="002969D1" w:rsidRPr="005E6854" w:rsidRDefault="002969D1" w:rsidP="002969D1">
      <w:pPr>
        <w:pStyle w:val="SingleTxtG"/>
        <w:ind w:left="2520" w:hanging="540"/>
        <w:rPr>
          <w:b/>
          <w:bCs/>
        </w:rPr>
      </w:pPr>
      <w:r w:rsidRPr="005E6854">
        <w:rPr>
          <w:b/>
          <w:bCs/>
        </w:rPr>
        <w:t xml:space="preserve">(b) </w:t>
      </w:r>
      <w:r w:rsidRPr="005E6854">
        <w:rPr>
          <w:b/>
          <w:bCs/>
        </w:rPr>
        <w:tab/>
      </w:r>
      <w:r w:rsidR="005E6854">
        <w:rPr>
          <w:b/>
          <w:bCs/>
        </w:rPr>
        <w:t>the</w:t>
      </w:r>
      <w:r w:rsidRPr="005E6854">
        <w:rPr>
          <w:b/>
          <w:bCs/>
        </w:rPr>
        <w:t xml:space="preserve"> specific type</w:t>
      </w:r>
      <w:r w:rsidR="005E6854">
        <w:rPr>
          <w:b/>
          <w:bCs/>
        </w:rPr>
        <w:t xml:space="preserve"> of vehicle</w:t>
      </w:r>
      <w:r w:rsidRPr="005E6854">
        <w:rPr>
          <w:b/>
          <w:bCs/>
        </w:rPr>
        <w:t xml:space="preserve">, as defined in the relevant international or national law, is no longer in production; </w:t>
      </w:r>
      <w:r w:rsidR="005E6854">
        <w:rPr>
          <w:b/>
          <w:bCs/>
        </w:rPr>
        <w:t>and</w:t>
      </w:r>
    </w:p>
    <w:p w14:paraId="06F3A1C6" w14:textId="175478A3" w:rsidR="002969D1" w:rsidRPr="005E6854" w:rsidRDefault="002969D1" w:rsidP="002969D1">
      <w:pPr>
        <w:pStyle w:val="SingleTxtG"/>
        <w:ind w:left="2520" w:hanging="540"/>
      </w:pPr>
      <w:r w:rsidRPr="005E6854">
        <w:rPr>
          <w:b/>
          <w:bCs/>
        </w:rPr>
        <w:t xml:space="preserve">(c) </w:t>
      </w:r>
      <w:r w:rsidRPr="005E6854">
        <w:rPr>
          <w:b/>
          <w:bCs/>
        </w:rPr>
        <w:tab/>
      </w:r>
      <w:r w:rsidR="005E6854">
        <w:rPr>
          <w:b/>
          <w:bCs/>
        </w:rPr>
        <w:t>the vehicle</w:t>
      </w:r>
      <w:r w:rsidRPr="005E6854">
        <w:rPr>
          <w:b/>
          <w:bCs/>
        </w:rPr>
        <w:t xml:space="preserve"> is historically preserved and maintained in its original state and has not undergone substantial changes in the technical characteristics of its main components.</w:t>
      </w:r>
      <w:r w:rsidRPr="005E6854">
        <w:t>"</w:t>
      </w:r>
    </w:p>
    <w:p w14:paraId="4B91D00B" w14:textId="77777777" w:rsidR="002969D1" w:rsidRPr="005E6854" w:rsidRDefault="002969D1" w:rsidP="002969D1">
      <w:pPr>
        <w:keepNext/>
        <w:keepLines/>
        <w:tabs>
          <w:tab w:val="right" w:pos="851"/>
        </w:tabs>
        <w:spacing w:before="360" w:after="240" w:line="300" w:lineRule="exact"/>
        <w:ind w:left="1134" w:right="1134" w:hanging="1134"/>
        <w:rPr>
          <w:b/>
          <w:sz w:val="28"/>
        </w:rPr>
      </w:pPr>
      <w:r w:rsidRPr="005E6854">
        <w:rPr>
          <w:b/>
          <w:sz w:val="28"/>
        </w:rPr>
        <w:tab/>
        <w:t>II.</w:t>
      </w:r>
      <w:r w:rsidRPr="005E6854">
        <w:rPr>
          <w:b/>
          <w:sz w:val="28"/>
        </w:rPr>
        <w:tab/>
        <w:t xml:space="preserve">Justification </w:t>
      </w:r>
    </w:p>
    <w:p w14:paraId="33E708CB" w14:textId="3F8CFB7B" w:rsidR="002969D1" w:rsidRPr="005E6854" w:rsidRDefault="002969D1" w:rsidP="005E6854">
      <w:pPr>
        <w:pStyle w:val="SingleTxtG"/>
        <w:ind w:left="1701" w:hanging="567"/>
      </w:pPr>
      <w:r w:rsidRPr="005E6854">
        <w:t>1.</w:t>
      </w:r>
      <w:r w:rsidRPr="005E6854">
        <w:tab/>
        <w:t xml:space="preserve">Historic vehicles are our motoring heritage. This heritage not only presents the physical timeline of the evolution of motorised transport, </w:t>
      </w:r>
      <w:proofErr w:type="gramStart"/>
      <w:r w:rsidRPr="005E6854">
        <w:t>it</w:t>
      </w:r>
      <w:proofErr w:type="gramEnd"/>
      <w:r w:rsidRPr="005E6854">
        <w:t xml:space="preserve"> also helped shape </w:t>
      </w:r>
      <w:r w:rsidR="005E6854">
        <w:t>twentie</w:t>
      </w:r>
      <w:r w:rsidR="005E6854" w:rsidRPr="005E6854">
        <w:t xml:space="preserve">th </w:t>
      </w:r>
      <w:r w:rsidRPr="005E6854">
        <w:t>century social, industrial and economic development. The advent of the motor vehicle radically changed living and working structures</w:t>
      </w:r>
      <w:r w:rsidR="005E6854">
        <w:t>: (a)</w:t>
      </w:r>
      <w:r w:rsidRPr="005E6854">
        <w:t xml:space="preserve"> </w:t>
      </w:r>
      <w:r w:rsidR="005E6854">
        <w:t>by</w:t>
      </w:r>
      <w:r w:rsidRPr="005E6854">
        <w:t xml:space="preserve"> advanc</w:t>
      </w:r>
      <w:r w:rsidR="005E6854">
        <w:t>ing</w:t>
      </w:r>
      <w:r w:rsidRPr="005E6854">
        <w:t xml:space="preserve"> the growth of urban and industrial areas and road networks which together reshaped the physical landscape; and </w:t>
      </w:r>
      <w:r w:rsidR="005E6854">
        <w:t xml:space="preserve">(b) by </w:t>
      </w:r>
      <w:r w:rsidR="005E6854" w:rsidRPr="005E6854">
        <w:t xml:space="preserve">greatly </w:t>
      </w:r>
      <w:r w:rsidRPr="005E6854">
        <w:t>contribut</w:t>
      </w:r>
      <w:r w:rsidR="005E6854">
        <w:t>ing</w:t>
      </w:r>
      <w:r w:rsidRPr="005E6854">
        <w:t xml:space="preserve"> to social mobility. Historic vehicles themselves are one of the clearest identifiers of the evolution of </w:t>
      </w:r>
      <w:r w:rsidR="005E6854">
        <w:t>twentie</w:t>
      </w:r>
      <w:r w:rsidRPr="005E6854">
        <w:t>th century technical and design evolution.</w:t>
      </w:r>
    </w:p>
    <w:p w14:paraId="41492292" w14:textId="3B900333" w:rsidR="002969D1" w:rsidRPr="005E6854" w:rsidRDefault="002969D1" w:rsidP="002969D1">
      <w:pPr>
        <w:pStyle w:val="SingleTxtG"/>
        <w:ind w:left="1701" w:hanging="567"/>
      </w:pPr>
      <w:r w:rsidRPr="005E6854">
        <w:t xml:space="preserve">2. </w:t>
      </w:r>
      <w:r w:rsidRPr="005E6854">
        <w:tab/>
        <w:t xml:space="preserve">However, historic vehicles are increasingly different </w:t>
      </w:r>
      <w:r w:rsidR="005E6854">
        <w:t xml:space="preserve">from </w:t>
      </w:r>
      <w:r w:rsidRPr="005E6854">
        <w:t xml:space="preserve">the modern </w:t>
      </w:r>
      <w:r w:rsidR="005E6854">
        <w:t xml:space="preserve">fleet of </w:t>
      </w:r>
      <w:r w:rsidRPr="005E6854">
        <w:t>vehicle</w:t>
      </w:r>
      <w:r w:rsidR="005E6854">
        <w:t>s</w:t>
      </w:r>
      <w:r w:rsidRPr="005E6854">
        <w:t xml:space="preserve">. Intelligent transport systems and electric engines determine the path </w:t>
      </w:r>
      <w:r w:rsidR="005E6854">
        <w:t xml:space="preserve">of </w:t>
      </w:r>
      <w:r w:rsidRPr="005E6854">
        <w:t>decision</w:t>
      </w:r>
      <w:r w:rsidR="005E6854">
        <w:t xml:space="preserve"> </w:t>
      </w:r>
      <w:r w:rsidRPr="005E6854">
        <w:t xml:space="preserve">makers </w:t>
      </w:r>
      <w:r w:rsidR="005E6854">
        <w:t>who</w:t>
      </w:r>
      <w:r w:rsidRPr="005E6854">
        <w:t xml:space="preserve"> regulate the design and use of vehicles and roads. Improved environmental, roadworthiness, and road and vehicle safety legislations, can have the unintentional and undesirable effect of restricting the use of historic vehicles, with these ultimately being </w:t>
      </w:r>
      <w:r w:rsidR="00754E3E">
        <w:t>r</w:t>
      </w:r>
      <w:r w:rsidR="00754E3E" w:rsidRPr="00754E3E">
        <w:t>estricted from use on public</w:t>
      </w:r>
      <w:r w:rsidRPr="005E6854">
        <w:t xml:space="preserve"> from the roads. This should be avoided because the social and cultural value of historic vehicles relies on the fact that they provide the public </w:t>
      </w:r>
      <w:r w:rsidR="005E6854">
        <w:t xml:space="preserve">with </w:t>
      </w:r>
      <w:r w:rsidRPr="005E6854">
        <w:t xml:space="preserve">a free moving museum of </w:t>
      </w:r>
      <w:r w:rsidR="005E6854" w:rsidRPr="005E6854">
        <w:t>motor</w:t>
      </w:r>
      <w:r w:rsidR="005E6854">
        <w:t xml:space="preserve"> </w:t>
      </w:r>
      <w:r w:rsidRPr="005E6854">
        <w:t>heritage by</w:t>
      </w:r>
      <w:r w:rsidR="00754E3E">
        <w:t xml:space="preserve"> their</w:t>
      </w:r>
      <w:r w:rsidRPr="005E6854">
        <w:t xml:space="preserve"> </w:t>
      </w:r>
      <w:r w:rsidR="00754E3E">
        <w:t xml:space="preserve">presence </w:t>
      </w:r>
      <w:r w:rsidRPr="005E6854">
        <w:t xml:space="preserve">on public roads. The cultural richness of our movement relies precisely on the capacity of vehicles to effectively operate as such even if considered historical artefacts. </w:t>
      </w:r>
    </w:p>
    <w:p w14:paraId="2DC0182D" w14:textId="35115480" w:rsidR="002969D1" w:rsidRPr="005E6854" w:rsidRDefault="002969D1" w:rsidP="002969D1">
      <w:pPr>
        <w:spacing w:after="120"/>
        <w:ind w:left="1701" w:right="1134" w:hanging="567"/>
        <w:jc w:val="both"/>
      </w:pPr>
      <w:r w:rsidRPr="005E6854">
        <w:t xml:space="preserve">3. </w:t>
      </w:r>
      <w:r w:rsidRPr="005E6854">
        <w:tab/>
        <w:t>The regulatory experience in many countries and organizations of countries (like the EU) has shown us that, as the mobil</w:t>
      </w:r>
      <w:r w:rsidR="00754E3E">
        <w:t xml:space="preserve">e </w:t>
      </w:r>
      <w:r w:rsidRPr="005E6854">
        <w:t xml:space="preserve">environment evolves in line with </w:t>
      </w:r>
      <w:r w:rsidR="005E6854">
        <w:t xml:space="preserve">the </w:t>
      </w:r>
      <w:r w:rsidRPr="005E6854">
        <w:t xml:space="preserve">increased technical and environmental demands for vehicles, it is essential to provide for a regulatory ad hoc regime for historic vehicles, to avoid regulations impacting on their preservation and use. In the EU, the introduction of a definition of vehicles of historical interest in the legislations of reference has helped regulators avoid and mitigate adverse legal effects on historic vehicles. The most paradigmatic example is </w:t>
      </w:r>
      <w:r w:rsidR="009C396D">
        <w:t xml:space="preserve">shown with </w:t>
      </w:r>
      <w:r w:rsidRPr="005E6854">
        <w:t xml:space="preserve">the EU Directive on </w:t>
      </w:r>
      <w:r w:rsidR="009C396D">
        <w:t>r</w:t>
      </w:r>
      <w:r w:rsidRPr="005E6854">
        <w:t xml:space="preserve">oadworthiness testing 2014/45/EU – the definition proposed above, already allows the 27 EU </w:t>
      </w:r>
      <w:r w:rsidR="009C396D">
        <w:t>m</w:t>
      </w:r>
      <w:r w:rsidRPr="005E6854">
        <w:t xml:space="preserve">ember States, all of them members to ECE, to adapt their roadworthiness rules to the specific necessities of historic vehicles as opposed to regular vehicles. </w:t>
      </w:r>
    </w:p>
    <w:p w14:paraId="3D6C47B8" w14:textId="6C0B339D" w:rsidR="002969D1" w:rsidRPr="005E6854" w:rsidRDefault="002969D1" w:rsidP="002969D1">
      <w:pPr>
        <w:spacing w:after="120"/>
        <w:ind w:left="1701" w:right="1134" w:hanging="567"/>
        <w:jc w:val="both"/>
      </w:pPr>
      <w:r w:rsidRPr="005E6854">
        <w:t xml:space="preserve">4. </w:t>
      </w:r>
      <w:r w:rsidRPr="005E6854">
        <w:tab/>
        <w:t xml:space="preserve">In order to replicate this positive experience at </w:t>
      </w:r>
      <w:r w:rsidR="009C396D">
        <w:t xml:space="preserve">the </w:t>
      </w:r>
      <w:r w:rsidR="00754E3E">
        <w:t>UNE</w:t>
      </w:r>
      <w:r w:rsidRPr="005E6854">
        <w:t>CE level,</w:t>
      </w:r>
      <w:r w:rsidR="00754E3E" w:rsidRPr="00754E3E">
        <w:t xml:space="preserve"> the World Forum for Harmonization of Vehicle Regulations could introduce a definition of historic vehicles in the Consolidated Resolution on the Construction of Vehicles (R.E.3) in order to develop an international regulatory safeguard in favour of automotive heritage that can be adopted by the </w:t>
      </w:r>
      <w:r w:rsidR="00754E3E">
        <w:t>UN</w:t>
      </w:r>
      <w:r w:rsidR="00754E3E" w:rsidRPr="00754E3E">
        <w:t>ECE Parties</w:t>
      </w:r>
      <w:r w:rsidRPr="005E6854">
        <w:t xml:space="preserve">. For the sake of building on a definition that already counts on a great consensus among UNECE members countries, it is proposed to adopt the definition of historic vehicles already included in the EU Directive on Roadworthiness testing, which has already been incorporated </w:t>
      </w:r>
      <w:r w:rsidRPr="005E6854">
        <w:lastRenderedPageBreak/>
        <w:t xml:space="preserve">into EU law as well as the national law of the 27 EU member states and contracting parties of </w:t>
      </w:r>
      <w:r w:rsidR="00377C2A" w:rsidRPr="005E6854">
        <w:t>the 1958 Agreement</w:t>
      </w:r>
      <w:r w:rsidRPr="005E6854">
        <w:t xml:space="preserve">. </w:t>
      </w:r>
    </w:p>
    <w:p w14:paraId="548B0C47" w14:textId="4798FE89" w:rsidR="001C6663" w:rsidRPr="005E6854" w:rsidRDefault="002969D1" w:rsidP="002969D1">
      <w:pPr>
        <w:spacing w:before="240"/>
        <w:jc w:val="center"/>
        <w:rPr>
          <w:u w:val="single"/>
        </w:rPr>
      </w:pPr>
      <w:r w:rsidRPr="005E6854">
        <w:rPr>
          <w:u w:val="single"/>
        </w:rPr>
        <w:tab/>
      </w:r>
      <w:r w:rsidRPr="005E6854">
        <w:rPr>
          <w:u w:val="single"/>
        </w:rPr>
        <w:tab/>
      </w:r>
      <w:r w:rsidRPr="005E6854">
        <w:rPr>
          <w:u w:val="single"/>
        </w:rPr>
        <w:tab/>
      </w:r>
    </w:p>
    <w:sectPr w:rsidR="001C6663" w:rsidRPr="005E6854" w:rsidSect="002969D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6761" w14:textId="77777777" w:rsidR="002C2072" w:rsidRDefault="002C2072"/>
  </w:endnote>
  <w:endnote w:type="continuationSeparator" w:id="0">
    <w:p w14:paraId="59532FC9" w14:textId="77777777" w:rsidR="002C2072" w:rsidRDefault="002C2072"/>
  </w:endnote>
  <w:endnote w:type="continuationNotice" w:id="1">
    <w:p w14:paraId="7BFAF648" w14:textId="77777777" w:rsidR="002C2072" w:rsidRDefault="002C2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D95A" w14:textId="08E27D03" w:rsidR="002969D1" w:rsidRPr="002969D1" w:rsidRDefault="002969D1" w:rsidP="002969D1">
    <w:pPr>
      <w:pStyle w:val="Footer"/>
      <w:tabs>
        <w:tab w:val="right" w:pos="9638"/>
      </w:tabs>
      <w:rPr>
        <w:sz w:val="18"/>
      </w:rPr>
    </w:pPr>
    <w:r w:rsidRPr="002969D1">
      <w:rPr>
        <w:b/>
        <w:sz w:val="18"/>
      </w:rPr>
      <w:fldChar w:fldCharType="begin"/>
    </w:r>
    <w:r w:rsidRPr="002969D1">
      <w:rPr>
        <w:b/>
        <w:sz w:val="18"/>
      </w:rPr>
      <w:instrText xml:space="preserve"> PAGE  \* MERGEFORMAT </w:instrText>
    </w:r>
    <w:r w:rsidRPr="002969D1">
      <w:rPr>
        <w:b/>
        <w:sz w:val="18"/>
      </w:rPr>
      <w:fldChar w:fldCharType="separate"/>
    </w:r>
    <w:r w:rsidRPr="002969D1">
      <w:rPr>
        <w:b/>
        <w:noProof/>
        <w:sz w:val="18"/>
      </w:rPr>
      <w:t>2</w:t>
    </w:r>
    <w:r w:rsidRPr="002969D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F0F0" w14:textId="636EE6ED" w:rsidR="002969D1" w:rsidRPr="002969D1" w:rsidRDefault="002969D1" w:rsidP="002969D1">
    <w:pPr>
      <w:pStyle w:val="Footer"/>
      <w:tabs>
        <w:tab w:val="right" w:pos="9638"/>
      </w:tabs>
      <w:rPr>
        <w:b/>
        <w:sz w:val="18"/>
      </w:rPr>
    </w:pPr>
    <w:r>
      <w:tab/>
    </w:r>
    <w:r w:rsidRPr="002969D1">
      <w:rPr>
        <w:b/>
        <w:sz w:val="18"/>
      </w:rPr>
      <w:fldChar w:fldCharType="begin"/>
    </w:r>
    <w:r w:rsidRPr="002969D1">
      <w:rPr>
        <w:b/>
        <w:sz w:val="18"/>
      </w:rPr>
      <w:instrText xml:space="preserve"> PAGE  \* MERGEFORMAT </w:instrText>
    </w:r>
    <w:r w:rsidRPr="002969D1">
      <w:rPr>
        <w:b/>
        <w:sz w:val="18"/>
      </w:rPr>
      <w:fldChar w:fldCharType="separate"/>
    </w:r>
    <w:r w:rsidRPr="002969D1">
      <w:rPr>
        <w:b/>
        <w:noProof/>
        <w:sz w:val="18"/>
      </w:rPr>
      <w:t>3</w:t>
    </w:r>
    <w:r w:rsidRPr="002969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47F4" w14:textId="09F1CC35" w:rsidR="0013510A" w:rsidRDefault="0013510A" w:rsidP="0013510A">
    <w:pPr>
      <w:pStyle w:val="Footer"/>
    </w:pPr>
    <w:r w:rsidRPr="0027112F">
      <w:rPr>
        <w:noProof/>
        <w:lang w:val="en-US"/>
      </w:rPr>
      <w:drawing>
        <wp:anchor distT="0" distB="0" distL="114300" distR="114300" simplePos="0" relativeHeight="251659264" behindDoc="0" locked="1" layoutInCell="1" allowOverlap="1" wp14:anchorId="33F55F27" wp14:editId="67502D9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33B245" w14:textId="3DBE0134" w:rsidR="0013510A" w:rsidRPr="0013510A" w:rsidRDefault="0013510A" w:rsidP="0013510A">
    <w:pPr>
      <w:pStyle w:val="Footer"/>
      <w:ind w:right="1134"/>
      <w:rPr>
        <w:sz w:val="20"/>
      </w:rPr>
    </w:pPr>
    <w:r>
      <w:rPr>
        <w:sz w:val="20"/>
      </w:rPr>
      <w:t>GE.24-01412(E)</w:t>
    </w:r>
    <w:r>
      <w:rPr>
        <w:noProof/>
        <w:sz w:val="20"/>
      </w:rPr>
      <w:drawing>
        <wp:anchor distT="0" distB="0" distL="114300" distR="114300" simplePos="0" relativeHeight="251660288" behindDoc="0" locked="0" layoutInCell="1" allowOverlap="1" wp14:anchorId="42443689" wp14:editId="402BA7A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ECE1" w14:textId="77777777" w:rsidR="002C2072" w:rsidRPr="000B175B" w:rsidRDefault="002C2072" w:rsidP="000B175B">
      <w:pPr>
        <w:tabs>
          <w:tab w:val="right" w:pos="2155"/>
        </w:tabs>
        <w:spacing w:after="80"/>
        <w:ind w:left="680"/>
        <w:rPr>
          <w:u w:val="single"/>
        </w:rPr>
      </w:pPr>
      <w:r>
        <w:rPr>
          <w:u w:val="single"/>
        </w:rPr>
        <w:tab/>
      </w:r>
    </w:p>
  </w:footnote>
  <w:footnote w:type="continuationSeparator" w:id="0">
    <w:p w14:paraId="41C22307" w14:textId="77777777" w:rsidR="002C2072" w:rsidRPr="00FC68B7" w:rsidRDefault="002C2072" w:rsidP="00FC68B7">
      <w:pPr>
        <w:tabs>
          <w:tab w:val="left" w:pos="2155"/>
        </w:tabs>
        <w:spacing w:after="80"/>
        <w:ind w:left="680"/>
        <w:rPr>
          <w:u w:val="single"/>
        </w:rPr>
      </w:pPr>
      <w:r>
        <w:rPr>
          <w:u w:val="single"/>
        </w:rPr>
        <w:tab/>
      </w:r>
    </w:p>
  </w:footnote>
  <w:footnote w:type="continuationNotice" w:id="1">
    <w:p w14:paraId="0F65C33D" w14:textId="77777777" w:rsidR="002C2072" w:rsidRDefault="002C2072"/>
  </w:footnote>
  <w:footnote w:id="2">
    <w:p w14:paraId="39812F94" w14:textId="77777777" w:rsidR="002969D1" w:rsidRPr="00EA370C" w:rsidRDefault="002969D1" w:rsidP="002969D1">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BF19" w14:textId="2305E48C" w:rsidR="002969D1" w:rsidRPr="002969D1" w:rsidRDefault="000A2A56">
    <w:pPr>
      <w:pStyle w:val="Header"/>
    </w:pPr>
    <w:fldSimple w:instr=" TITLE  \* MERGEFORMAT ">
      <w:r>
        <w:t>ECE/TRANS/WP.29/GRSG/2024/5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BCE5" w14:textId="6B5D2C11" w:rsidR="002969D1" w:rsidRPr="002969D1" w:rsidRDefault="000A2A56" w:rsidP="002969D1">
    <w:pPr>
      <w:pStyle w:val="Header"/>
      <w:jc w:val="right"/>
    </w:pPr>
    <w:fldSimple w:instr=" TITLE  \* MERGEFORMAT ">
      <w:r>
        <w:t>ECE/TRANS/WP.29/GRSG/2024/5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52797740">
    <w:abstractNumId w:val="1"/>
  </w:num>
  <w:num w:numId="2" w16cid:durableId="566451680">
    <w:abstractNumId w:val="0"/>
  </w:num>
  <w:num w:numId="3" w16cid:durableId="1392582606">
    <w:abstractNumId w:val="2"/>
  </w:num>
  <w:num w:numId="4" w16cid:durableId="555287768">
    <w:abstractNumId w:val="3"/>
  </w:num>
  <w:num w:numId="5" w16cid:durableId="1434351982">
    <w:abstractNumId w:val="8"/>
  </w:num>
  <w:num w:numId="6" w16cid:durableId="1702590542">
    <w:abstractNumId w:val="9"/>
  </w:num>
  <w:num w:numId="7" w16cid:durableId="1193769134">
    <w:abstractNumId w:val="7"/>
  </w:num>
  <w:num w:numId="8" w16cid:durableId="291979380">
    <w:abstractNumId w:val="6"/>
  </w:num>
  <w:num w:numId="9" w16cid:durableId="444275507">
    <w:abstractNumId w:val="5"/>
  </w:num>
  <w:num w:numId="10" w16cid:durableId="1613827658">
    <w:abstractNumId w:val="4"/>
  </w:num>
  <w:num w:numId="11" w16cid:durableId="850994438">
    <w:abstractNumId w:val="15"/>
  </w:num>
  <w:num w:numId="12" w16cid:durableId="1963268242">
    <w:abstractNumId w:val="14"/>
  </w:num>
  <w:num w:numId="13" w16cid:durableId="577129469">
    <w:abstractNumId w:val="10"/>
  </w:num>
  <w:num w:numId="14" w16cid:durableId="271327239">
    <w:abstractNumId w:val="12"/>
  </w:num>
  <w:num w:numId="15" w16cid:durableId="1613782568">
    <w:abstractNumId w:val="16"/>
  </w:num>
  <w:num w:numId="16" w16cid:durableId="1713967606">
    <w:abstractNumId w:val="13"/>
  </w:num>
  <w:num w:numId="17" w16cid:durableId="1536309360">
    <w:abstractNumId w:val="17"/>
  </w:num>
  <w:num w:numId="18" w16cid:durableId="254099802">
    <w:abstractNumId w:val="18"/>
  </w:num>
  <w:num w:numId="19" w16cid:durableId="14839628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D1"/>
    <w:rsid w:val="00002A7D"/>
    <w:rsid w:val="000038A8"/>
    <w:rsid w:val="00005DF3"/>
    <w:rsid w:val="00006790"/>
    <w:rsid w:val="00027624"/>
    <w:rsid w:val="00050F6B"/>
    <w:rsid w:val="000678CD"/>
    <w:rsid w:val="00072C8C"/>
    <w:rsid w:val="00081CE0"/>
    <w:rsid w:val="00084D30"/>
    <w:rsid w:val="00090320"/>
    <w:rsid w:val="000931C0"/>
    <w:rsid w:val="00097003"/>
    <w:rsid w:val="000A2A56"/>
    <w:rsid w:val="000A2E09"/>
    <w:rsid w:val="000B175B"/>
    <w:rsid w:val="000B3A0F"/>
    <w:rsid w:val="000E0415"/>
    <w:rsid w:val="000F7715"/>
    <w:rsid w:val="0013510A"/>
    <w:rsid w:val="00156B99"/>
    <w:rsid w:val="00162F34"/>
    <w:rsid w:val="00166124"/>
    <w:rsid w:val="00184DDA"/>
    <w:rsid w:val="001900CD"/>
    <w:rsid w:val="001A0452"/>
    <w:rsid w:val="001B4B04"/>
    <w:rsid w:val="001B5875"/>
    <w:rsid w:val="001C4B9C"/>
    <w:rsid w:val="001C6663"/>
    <w:rsid w:val="001C7895"/>
    <w:rsid w:val="001D26DF"/>
    <w:rsid w:val="001F1599"/>
    <w:rsid w:val="001F19C4"/>
    <w:rsid w:val="00200222"/>
    <w:rsid w:val="002043F0"/>
    <w:rsid w:val="00211E0B"/>
    <w:rsid w:val="00232575"/>
    <w:rsid w:val="00247258"/>
    <w:rsid w:val="00257CAC"/>
    <w:rsid w:val="0027237A"/>
    <w:rsid w:val="002969D1"/>
    <w:rsid w:val="002974E9"/>
    <w:rsid w:val="002A306B"/>
    <w:rsid w:val="002A7F94"/>
    <w:rsid w:val="002B109A"/>
    <w:rsid w:val="002C2072"/>
    <w:rsid w:val="002C6D45"/>
    <w:rsid w:val="002D6E53"/>
    <w:rsid w:val="002F046D"/>
    <w:rsid w:val="002F3023"/>
    <w:rsid w:val="002F5F1E"/>
    <w:rsid w:val="00301764"/>
    <w:rsid w:val="003229D8"/>
    <w:rsid w:val="00336C97"/>
    <w:rsid w:val="00337F88"/>
    <w:rsid w:val="00342432"/>
    <w:rsid w:val="0035223F"/>
    <w:rsid w:val="00352D4B"/>
    <w:rsid w:val="0035638C"/>
    <w:rsid w:val="00377C2A"/>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E6854"/>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4E3E"/>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7D60"/>
    <w:rsid w:val="009610D0"/>
    <w:rsid w:val="0096375C"/>
    <w:rsid w:val="009662E6"/>
    <w:rsid w:val="0097095E"/>
    <w:rsid w:val="0098592B"/>
    <w:rsid w:val="00985FC4"/>
    <w:rsid w:val="00990766"/>
    <w:rsid w:val="00991261"/>
    <w:rsid w:val="009964C4"/>
    <w:rsid w:val="009A7B81"/>
    <w:rsid w:val="009B7EB7"/>
    <w:rsid w:val="009C396D"/>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44F8D"/>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4156"/>
    <w:rsid w:val="00F25D06"/>
    <w:rsid w:val="00F31CFF"/>
    <w:rsid w:val="00F3742B"/>
    <w:rsid w:val="00F41FDB"/>
    <w:rsid w:val="00F50597"/>
    <w:rsid w:val="00F5099B"/>
    <w:rsid w:val="00F56D63"/>
    <w:rsid w:val="00F609A9"/>
    <w:rsid w:val="00F80C99"/>
    <w:rsid w:val="00F867EC"/>
    <w:rsid w:val="00F91B2B"/>
    <w:rsid w:val="00F956D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C0CB3"/>
  <w15:docId w15:val="{939C9601-B068-4CF8-AE5C-27E370B3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2969D1"/>
    <w:rPr>
      <w:lang w:val="en-GB"/>
    </w:rPr>
  </w:style>
  <w:style w:type="character" w:customStyle="1" w:styleId="HChGChar">
    <w:name w:val="_ H _Ch_G Char"/>
    <w:link w:val="HChG"/>
    <w:qFormat/>
    <w:rsid w:val="002969D1"/>
    <w:rPr>
      <w:b/>
      <w:sz w:val="28"/>
      <w:lang w:val="en-GB"/>
    </w:rPr>
  </w:style>
  <w:style w:type="character" w:customStyle="1" w:styleId="H1GChar">
    <w:name w:val="_ H_1_G Char"/>
    <w:link w:val="H1G"/>
    <w:locked/>
    <w:rsid w:val="002969D1"/>
    <w:rPr>
      <w:b/>
      <w:sz w:val="24"/>
      <w:lang w:val="en-GB"/>
    </w:rPr>
  </w:style>
  <w:style w:type="character" w:customStyle="1" w:styleId="rynqvb">
    <w:name w:val="rynqvb"/>
    <w:basedOn w:val="DefaultParagraphFont"/>
    <w:rsid w:val="002969D1"/>
  </w:style>
  <w:style w:type="paragraph" w:styleId="Revision">
    <w:name w:val="Revision"/>
    <w:hidden/>
    <w:uiPriority w:val="99"/>
    <w:semiHidden/>
    <w:rsid w:val="005E6854"/>
    <w:rPr>
      <w:lang w:val="en-GB"/>
    </w:rPr>
  </w:style>
  <w:style w:type="character" w:styleId="CommentReference">
    <w:name w:val="annotation reference"/>
    <w:basedOn w:val="DefaultParagraphFont"/>
    <w:semiHidden/>
    <w:unhideWhenUsed/>
    <w:rsid w:val="005E6854"/>
    <w:rPr>
      <w:sz w:val="16"/>
      <w:szCs w:val="16"/>
    </w:rPr>
  </w:style>
  <w:style w:type="paragraph" w:styleId="CommentText">
    <w:name w:val="annotation text"/>
    <w:basedOn w:val="Normal"/>
    <w:link w:val="CommentTextChar"/>
    <w:unhideWhenUsed/>
    <w:rsid w:val="005E6854"/>
    <w:pPr>
      <w:spacing w:line="240" w:lineRule="auto"/>
    </w:pPr>
  </w:style>
  <w:style w:type="character" w:customStyle="1" w:styleId="CommentTextChar">
    <w:name w:val="Comment Text Char"/>
    <w:basedOn w:val="DefaultParagraphFont"/>
    <w:link w:val="CommentText"/>
    <w:rsid w:val="005E6854"/>
    <w:rPr>
      <w:lang w:val="en-GB"/>
    </w:rPr>
  </w:style>
  <w:style w:type="paragraph" w:styleId="CommentSubject">
    <w:name w:val="annotation subject"/>
    <w:basedOn w:val="CommentText"/>
    <w:next w:val="CommentText"/>
    <w:link w:val="CommentSubjectChar"/>
    <w:semiHidden/>
    <w:unhideWhenUsed/>
    <w:rsid w:val="005E6854"/>
    <w:rPr>
      <w:b/>
      <w:bCs/>
    </w:rPr>
  </w:style>
  <w:style w:type="character" w:customStyle="1" w:styleId="CommentSubjectChar">
    <w:name w:val="Comment Subject Char"/>
    <w:basedOn w:val="CommentTextChar"/>
    <w:link w:val="CommentSubject"/>
    <w:semiHidden/>
    <w:rsid w:val="005E685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3452">
      <w:bodyDiv w:val="1"/>
      <w:marLeft w:val="0"/>
      <w:marRight w:val="0"/>
      <w:marTop w:val="0"/>
      <w:marBottom w:val="0"/>
      <w:divBdr>
        <w:top w:val="none" w:sz="0" w:space="0" w:color="auto"/>
        <w:left w:val="none" w:sz="0" w:space="0" w:color="auto"/>
        <w:bottom w:val="none" w:sz="0" w:space="0" w:color="auto"/>
        <w:right w:val="none" w:sz="0" w:space="0" w:color="auto"/>
      </w:divBdr>
    </w:div>
    <w:div w:id="10504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CD8756D-5D7A-4BB1-8462-C7B3276BCD09}">
  <ds:schemaRefs>
    <ds:schemaRef ds:uri="http://schemas.microsoft.com/sharepoint/v3/contenttype/forms"/>
  </ds:schemaRefs>
</ds:datastoreItem>
</file>

<file path=customXml/itemProps2.xml><?xml version="1.0" encoding="utf-8"?>
<ds:datastoreItem xmlns:ds="http://schemas.openxmlformats.org/officeDocument/2006/customXml" ds:itemID="{1A67F57A-C187-4206-A5D4-743F9F98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B1E6BE83-544E-4C52-86B7-D695EDCA808F}">
  <ds:schemaRefs>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3988</Characters>
  <Application>Microsoft Office Word</Application>
  <DocSecurity>0</DocSecurity>
  <Lines>80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ECE/TRANS/WP.29/GRSG/2024/5</vt:lpstr>
      <vt:lpstr/>
    </vt:vector>
  </TitlesOfParts>
  <Company>CSD</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ECE/TRANS/WP.29/GRSG/2024/5</dc:title>
  <dc:subject>2401412</dc:subject>
  <dc:creator>Una Giltsoff</dc:creator>
  <cp:keywords/>
  <dc:description/>
  <cp:lastModifiedBy>Una Giltsoff</cp:lastModifiedBy>
  <cp:revision>2</cp:revision>
  <cp:lastPrinted>2024-01-26T15:00:00Z</cp:lastPrinted>
  <dcterms:created xsi:type="dcterms:W3CDTF">2024-01-26T15:49:00Z</dcterms:created>
  <dcterms:modified xsi:type="dcterms:W3CDTF">2024-01-26T15:49:00Z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