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27537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E266D2" w14:textId="77777777" w:rsidR="002D5AAC" w:rsidRDefault="002D5AAC" w:rsidP="00B432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8F6E1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7E4B9A" w14:textId="45B43800" w:rsidR="002D5AAC" w:rsidRDefault="00B43201" w:rsidP="00B43201">
            <w:pPr>
              <w:jc w:val="right"/>
            </w:pPr>
            <w:r w:rsidRPr="00B43201">
              <w:rPr>
                <w:sz w:val="40"/>
              </w:rPr>
              <w:t>ECE</w:t>
            </w:r>
            <w:r>
              <w:t>/TRANS/WP.29/GRE/2024/6</w:t>
            </w:r>
          </w:p>
        </w:tc>
      </w:tr>
      <w:tr w:rsidR="002D5AAC" w:rsidRPr="0000225A" w14:paraId="6B73286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B92A0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290D3D" wp14:editId="74EDCD5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8E6B2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F096F5" w14:textId="77777777" w:rsidR="002D5AAC" w:rsidRDefault="00B432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4B6A3E" w14:textId="76F2A627" w:rsidR="00B43201" w:rsidRDefault="00ED1A90" w:rsidP="00B43201">
            <w:pPr>
              <w:spacing w:line="240" w:lineRule="exact"/>
              <w:rPr>
                <w:lang w:val="en-US"/>
              </w:rPr>
            </w:pPr>
            <w:r w:rsidRPr="0000225A">
              <w:rPr>
                <w:lang w:val="en-US"/>
              </w:rPr>
              <w:t>6</w:t>
            </w:r>
            <w:r w:rsidR="00B43201">
              <w:rPr>
                <w:lang w:val="en-US"/>
              </w:rPr>
              <w:t xml:space="preserve"> February 2024</w:t>
            </w:r>
          </w:p>
          <w:p w14:paraId="1E5AAC30" w14:textId="77777777" w:rsidR="00B43201" w:rsidRDefault="00B43201" w:rsidP="00B432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B1360C" w14:textId="046B0943" w:rsidR="00B43201" w:rsidRPr="008D53B6" w:rsidRDefault="00B43201" w:rsidP="00B432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BE1BA2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EBB6BA" w14:textId="77777777" w:rsidR="00B43201" w:rsidRPr="006E7922" w:rsidRDefault="00B43201" w:rsidP="00B43201">
      <w:pPr>
        <w:spacing w:before="120"/>
        <w:rPr>
          <w:sz w:val="28"/>
          <w:szCs w:val="28"/>
        </w:rPr>
      </w:pPr>
      <w:r w:rsidRPr="006E7922">
        <w:rPr>
          <w:sz w:val="28"/>
          <w:szCs w:val="28"/>
        </w:rPr>
        <w:t>Комитет по внутреннему транспорту</w:t>
      </w:r>
    </w:p>
    <w:p w14:paraId="6ECDFE12" w14:textId="77777777" w:rsidR="00B43201" w:rsidRPr="00F4201F" w:rsidRDefault="00B43201" w:rsidP="00B43201">
      <w:pPr>
        <w:spacing w:before="120"/>
        <w:rPr>
          <w:b/>
          <w:bCs/>
          <w:sz w:val="24"/>
          <w:szCs w:val="24"/>
        </w:rPr>
      </w:pPr>
      <w:r w:rsidRPr="00F4201F">
        <w:rPr>
          <w:b/>
          <w:bCs/>
          <w:sz w:val="24"/>
          <w:szCs w:val="24"/>
        </w:rPr>
        <w:t xml:space="preserve">Всемирный форум для согласования </w:t>
      </w:r>
      <w:r w:rsidRPr="00F4201F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6F98E628" w14:textId="77777777" w:rsidR="00B43201" w:rsidRPr="006E7922" w:rsidRDefault="00B43201" w:rsidP="00B43201">
      <w:pPr>
        <w:spacing w:before="120" w:after="120"/>
        <w:rPr>
          <w:b/>
          <w:bCs/>
        </w:rPr>
      </w:pPr>
      <w:r w:rsidRPr="006E7922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6E7922">
        <w:rPr>
          <w:b/>
          <w:bCs/>
        </w:rPr>
        <w:t>и световой сигнализации</w:t>
      </w:r>
    </w:p>
    <w:p w14:paraId="57C282D8" w14:textId="77777777" w:rsidR="00B43201" w:rsidRPr="006E7922" w:rsidRDefault="00B43201" w:rsidP="00B43201">
      <w:pPr>
        <w:ind w:right="1134"/>
        <w:rPr>
          <w:b/>
        </w:rPr>
      </w:pPr>
      <w:r>
        <w:rPr>
          <w:b/>
          <w:bCs/>
        </w:rPr>
        <w:t>Девяностая сессия</w:t>
      </w:r>
    </w:p>
    <w:p w14:paraId="5C226B1D" w14:textId="77777777" w:rsidR="00B43201" w:rsidRPr="006E7922" w:rsidRDefault="00B43201" w:rsidP="00B43201">
      <w:pPr>
        <w:ind w:right="1134"/>
      </w:pPr>
      <w:r>
        <w:t>Женева, 29 апреля — 3 мая 2024 года</w:t>
      </w:r>
    </w:p>
    <w:p w14:paraId="2F741ECA" w14:textId="77777777" w:rsidR="00B43201" w:rsidRPr="006E7922" w:rsidRDefault="00B43201" w:rsidP="00B43201">
      <w:pPr>
        <w:ind w:right="1134"/>
        <w:rPr>
          <w:bCs/>
        </w:rPr>
      </w:pPr>
      <w:r>
        <w:t>Пункт 7 a) предварительной повестки дня</w:t>
      </w:r>
    </w:p>
    <w:p w14:paraId="14CDEA67" w14:textId="77777777" w:rsidR="00B43201" w:rsidRPr="006E7922" w:rsidRDefault="00B43201" w:rsidP="00B43201">
      <w:pPr>
        <w:ind w:right="1467"/>
        <w:rPr>
          <w:b/>
          <w:bCs/>
        </w:rPr>
      </w:pPr>
      <w:r>
        <w:rPr>
          <w:b/>
          <w:bCs/>
        </w:rPr>
        <w:t xml:space="preserve">Правила ООН, касающиеся устройств: </w:t>
      </w:r>
      <w:r>
        <w:rPr>
          <w:b/>
          <w:bCs/>
        </w:rPr>
        <w:br/>
        <w:t>Правила № 148 ООН (устройства световой сигнализации)</w:t>
      </w:r>
    </w:p>
    <w:p w14:paraId="3AA61BAE" w14:textId="77777777" w:rsidR="00B43201" w:rsidRPr="00AB0C23" w:rsidRDefault="00B43201" w:rsidP="00B43201">
      <w:pPr>
        <w:pStyle w:val="HChG"/>
      </w:pPr>
      <w:r w:rsidRPr="00AF0712">
        <w:tab/>
      </w:r>
      <w:r w:rsidRPr="00AF0712">
        <w:tab/>
      </w:r>
      <w:r w:rsidRPr="00AB0C23">
        <w:t>Предложение по дополнению к поправкам серий 00 и 01 к Правилам № 148 ООН</w:t>
      </w:r>
    </w:p>
    <w:p w14:paraId="1180A6C6" w14:textId="77777777" w:rsidR="00B43201" w:rsidRPr="00AB0C23" w:rsidRDefault="00B43201" w:rsidP="00B43201">
      <w:pPr>
        <w:pStyle w:val="H1G"/>
      </w:pPr>
      <w:r w:rsidRPr="00AB0C23">
        <w:tab/>
      </w:r>
      <w:r w:rsidRPr="00AB0C23">
        <w:tab/>
        <w:t>Представлено экспертами от Международной группы экспертов по</w:t>
      </w:r>
      <w:r>
        <w:t> </w:t>
      </w:r>
      <w:r w:rsidRPr="00AB0C23">
        <w:t>вопросам автомобильного освещения и световой сигнализации</w:t>
      </w:r>
      <w:r w:rsidRPr="00AB0C23">
        <w:rPr>
          <w:b w:val="0"/>
          <w:bCs/>
          <w:sz w:val="20"/>
        </w:rPr>
        <w:t xml:space="preserve">* </w:t>
      </w:r>
    </w:p>
    <w:p w14:paraId="0F8AB520" w14:textId="7AF389C6" w:rsidR="00B43201" w:rsidRPr="006E7922" w:rsidRDefault="00B43201" w:rsidP="00B43201">
      <w:pPr>
        <w:pStyle w:val="SingleTxtG"/>
        <w:tabs>
          <w:tab w:val="left" w:pos="8505"/>
        </w:tabs>
        <w:ind w:firstLine="567"/>
      </w:pPr>
      <w:r>
        <w:footnoteReference w:customMarkFollows="1" w:id="1"/>
        <w:t>Воспроизведенный ниже текст был подготовлен экспертами от Международной группы экспертов по вопросам осве</w:t>
      </w:r>
      <w:r w:rsidR="008D7BDD">
        <w:t>щ</w:t>
      </w:r>
      <w:r>
        <w:t>ения и световой сигнализации (БРГ) с целью исправления и уточнения карточки сообщения.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57535322" w14:textId="77777777" w:rsidR="00B43201" w:rsidRPr="00FA6369" w:rsidRDefault="00B43201" w:rsidP="00B43201">
      <w:pPr>
        <w:pStyle w:val="HChG"/>
        <w:pageBreakBefore/>
      </w:pPr>
      <w:r w:rsidRPr="00FA6369">
        <w:lastRenderedPageBreak/>
        <w:tab/>
        <w:t>I.</w:t>
      </w:r>
      <w:r w:rsidRPr="00FA6369">
        <w:tab/>
        <w:t>Предложение</w:t>
      </w:r>
    </w:p>
    <w:p w14:paraId="32A91645" w14:textId="77777777" w:rsidR="00B43201" w:rsidRPr="00FA6369" w:rsidRDefault="00B43201" w:rsidP="00B43201">
      <w:pPr>
        <w:pStyle w:val="H1G"/>
        <w:rPr>
          <w:rFonts w:eastAsia="SimSun"/>
        </w:rPr>
      </w:pPr>
      <w:r>
        <w:tab/>
      </w:r>
      <w:r w:rsidRPr="00FA6369">
        <w:t>A.</w:t>
      </w:r>
      <w:r w:rsidRPr="00FA6369">
        <w:tab/>
        <w:t xml:space="preserve">Предложение по дополнению к поправкам серий 00 </w:t>
      </w:r>
      <w:r>
        <w:br/>
      </w:r>
      <w:r w:rsidRPr="00FA6369">
        <w:t>к Правилам № 148 ООН</w:t>
      </w:r>
    </w:p>
    <w:p w14:paraId="1BC82385" w14:textId="77777777" w:rsidR="00B43201" w:rsidRPr="006E7922" w:rsidRDefault="00B43201" w:rsidP="00B43201">
      <w:pPr>
        <w:pStyle w:val="SingleTxtG"/>
      </w:pPr>
      <w:r>
        <w:rPr>
          <w:i/>
          <w:iCs/>
        </w:rPr>
        <w:t>Пункт 5.4.1</w:t>
      </w:r>
      <w:r>
        <w:t xml:space="preserve"> изменить следующим образом:</w:t>
      </w:r>
    </w:p>
    <w:p w14:paraId="68075F9C" w14:textId="77777777" w:rsidR="00B43201" w:rsidRPr="006E7922" w:rsidRDefault="00B43201" w:rsidP="00B43201">
      <w:pPr>
        <w:pStyle w:val="para"/>
        <w:rPr>
          <w:lang w:val="ru-RU"/>
        </w:rPr>
      </w:pPr>
      <w:r>
        <w:rPr>
          <w:lang w:val="ru-RU"/>
        </w:rPr>
        <w:t>«5.4.1</w:t>
      </w:r>
      <w:r>
        <w:rPr>
          <w:lang w:val="ru-RU"/>
        </w:rPr>
        <w:tab/>
      </w:r>
      <w:r>
        <w:rPr>
          <w:lang w:val="ru-RU"/>
        </w:rPr>
        <w:tab/>
        <w:t xml:space="preserve">Сила света, излучаемого каждым из двух представленных огней, должна соответствовать требованиям, указанным в таблице 6. </w:t>
      </w:r>
    </w:p>
    <w:p w14:paraId="7DEBC9A5" w14:textId="77777777" w:rsidR="00B43201" w:rsidRPr="003377C0" w:rsidRDefault="00B43201" w:rsidP="00B43201">
      <w:pPr>
        <w:pStyle w:val="H23G"/>
        <w:rPr>
          <w:bCs/>
        </w:rPr>
      </w:pPr>
      <w:r w:rsidRPr="00FA6369">
        <w:rPr>
          <w:b w:val="0"/>
          <w:bCs/>
        </w:rPr>
        <w:tab/>
      </w:r>
      <w:r w:rsidRPr="00FA6369">
        <w:rPr>
          <w:b w:val="0"/>
          <w:bCs/>
        </w:rPr>
        <w:tab/>
      </w:r>
      <w:r w:rsidRPr="00FA6369">
        <w:rPr>
          <w:b w:val="0"/>
          <w:bCs/>
        </w:rPr>
        <w:tab/>
        <w:t xml:space="preserve">Таблица 6 </w:t>
      </w:r>
      <w:r w:rsidRPr="00FA6369">
        <w:rPr>
          <w:b w:val="0"/>
          <w:bCs/>
        </w:rPr>
        <w:br/>
      </w:r>
      <w:r>
        <w:rPr>
          <w:bCs/>
        </w:rPr>
        <w:t>Значения силы света дневных ходовых огней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2131"/>
      </w:tblGrid>
      <w:tr w:rsidR="00B43201" w:rsidRPr="00E52A15" w14:paraId="32B20593" w14:textId="77777777" w:rsidTr="009F5B95">
        <w:trPr>
          <w:trHeight w:val="357"/>
          <w:tblHeader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A3C74F" w14:textId="77777777" w:rsidR="00B43201" w:rsidRPr="00E52A15" w:rsidRDefault="00B43201" w:rsidP="009F5B95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221203" w14:textId="77777777" w:rsidR="00B43201" w:rsidRPr="00E52A15" w:rsidRDefault="00B43201" w:rsidP="009F5B95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52A15">
              <w:rPr>
                <w:i/>
                <w:iCs/>
                <w:sz w:val="16"/>
                <w:szCs w:val="16"/>
              </w:rPr>
              <w:t>Минимальное значение силы света в направлении H-V (значения в кд)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1A0801" w14:textId="77777777" w:rsidR="00B43201" w:rsidRPr="00E52A15" w:rsidRDefault="00B43201" w:rsidP="009F5B95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52A15">
              <w:rPr>
                <w:i/>
                <w:iCs/>
                <w:sz w:val="16"/>
                <w:szCs w:val="16"/>
              </w:rPr>
              <w:t>Максимальное значение силы света в любом направлении (значения в</w:t>
            </w:r>
            <w:r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E52A15">
              <w:rPr>
                <w:i/>
                <w:iCs/>
                <w:sz w:val="16"/>
                <w:szCs w:val="16"/>
              </w:rPr>
              <w:t>кд)</w:t>
            </w:r>
            <w:r w:rsidRPr="00E52A15">
              <w:rPr>
                <w:sz w:val="16"/>
                <w:szCs w:val="16"/>
              </w:rPr>
              <w:t xml:space="preserve"> </w:t>
            </w:r>
          </w:p>
        </w:tc>
      </w:tr>
      <w:tr w:rsidR="00B43201" w:rsidRPr="00DF60AE" w14:paraId="3ECC75AB" w14:textId="77777777" w:rsidTr="009F5B95">
        <w:trPr>
          <w:trHeight w:val="48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8CB1DD" w14:textId="77777777" w:rsidR="00B43201" w:rsidRPr="00DF60AE" w:rsidRDefault="00B43201" w:rsidP="009F5B9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Дневные ходовые огни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9066D8" w14:textId="77777777" w:rsidR="00B43201" w:rsidRPr="00DF60AE" w:rsidRDefault="00B43201" w:rsidP="009F5B9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400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C6342D" w14:textId="77777777" w:rsidR="00B43201" w:rsidRPr="00DF60AE" w:rsidRDefault="00B43201" w:rsidP="009F5B9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1200</w:t>
            </w:r>
          </w:p>
        </w:tc>
      </w:tr>
    </w:tbl>
    <w:p w14:paraId="44CAFA5C" w14:textId="77777777" w:rsidR="00B43201" w:rsidRPr="003F72FC" w:rsidRDefault="00B43201" w:rsidP="00B43201">
      <w:pPr>
        <w:pStyle w:val="para"/>
        <w:spacing w:before="120"/>
        <w:rPr>
          <w:lang w:val="ru-RU"/>
        </w:rPr>
      </w:pPr>
      <w:r>
        <w:rPr>
          <w:b/>
          <w:bCs/>
          <w:lang w:val="ru-RU"/>
        </w:rPr>
        <w:t>5.4.1.1</w:t>
      </w:r>
      <w:r>
        <w:rPr>
          <w:lang w:val="ru-RU"/>
        </w:rPr>
        <w:tab/>
      </w:r>
      <w:r>
        <w:rPr>
          <w:b/>
          <w:bCs/>
          <w:lang w:val="ru-RU"/>
        </w:rPr>
        <w:t>Если предполагается уменьшить силу света дневного ходового огня, то уменьшенная расчетная максимальная сила света не должна превышать 140 кд</w:t>
      </w:r>
      <w:r w:rsidRPr="003F72FC">
        <w:rPr>
          <w:b/>
          <w:bCs/>
          <w:lang w:val="ru-RU"/>
        </w:rPr>
        <w:t>.</w:t>
      </w:r>
      <w:r w:rsidRPr="003F72FC">
        <w:rPr>
          <w:lang w:val="ru-RU"/>
        </w:rPr>
        <w:t>».</w:t>
      </w:r>
    </w:p>
    <w:p w14:paraId="39F38213" w14:textId="77777777" w:rsidR="00B43201" w:rsidRPr="006E7922" w:rsidRDefault="00B43201" w:rsidP="00B43201">
      <w:pPr>
        <w:pStyle w:val="SingleTxtG"/>
        <w:rPr>
          <w:i/>
          <w:iCs/>
        </w:rPr>
      </w:pPr>
      <w:r>
        <w:rPr>
          <w:i/>
          <w:iCs/>
        </w:rPr>
        <w:t>Приложение 1</w:t>
      </w:r>
    </w:p>
    <w:p w14:paraId="4DD1E6E5" w14:textId="77777777" w:rsidR="00B43201" w:rsidRPr="006E7922" w:rsidRDefault="00B43201" w:rsidP="00B43201">
      <w:pPr>
        <w:pStyle w:val="SingleTxtG"/>
      </w:pPr>
      <w:r>
        <w:rPr>
          <w:i/>
          <w:iCs/>
        </w:rPr>
        <w:t>Пункт 9.1.5</w:t>
      </w:r>
      <w:r>
        <w:t xml:space="preserve"> изменить следующим образом:</w:t>
      </w:r>
    </w:p>
    <w:p w14:paraId="0893D0C9" w14:textId="77777777" w:rsidR="00B43201" w:rsidRPr="006E7922" w:rsidRDefault="00B43201" w:rsidP="00B43201">
      <w:pPr>
        <w:pStyle w:val="para"/>
        <w:rPr>
          <w:lang w:val="ru-RU"/>
        </w:rPr>
      </w:pPr>
      <w:r>
        <w:rPr>
          <w:lang w:val="ru-RU"/>
        </w:rPr>
        <w:t>«9.1.5</w:t>
      </w:r>
      <w:r>
        <w:rPr>
          <w:lang w:val="ru-RU"/>
        </w:rPr>
        <w:tab/>
        <w:t>Дневной ходовой огонь</w:t>
      </w:r>
    </w:p>
    <w:p w14:paraId="29BD7095" w14:textId="77777777" w:rsidR="00B43201" w:rsidRPr="006E7922" w:rsidRDefault="00B43201" w:rsidP="00B43201">
      <w:pPr>
        <w:pStyle w:val="para"/>
        <w:rPr>
          <w:b/>
          <w:bCs/>
          <w:lang w:val="ru-RU"/>
        </w:rPr>
      </w:pPr>
      <w:r>
        <w:rPr>
          <w:b/>
          <w:bCs/>
          <w:lang w:val="ru-RU"/>
        </w:rPr>
        <w:t>9.1.5.1</w:t>
      </w:r>
      <w:r>
        <w:rPr>
          <w:lang w:val="ru-RU"/>
        </w:rPr>
        <w:tab/>
        <w:t>Максимальное значение силы света не превышает 700 кд да/нет</w:t>
      </w:r>
    </w:p>
    <w:p w14:paraId="6394DB7E" w14:textId="5B823400" w:rsidR="00B43201" w:rsidRPr="005E7B7E" w:rsidRDefault="00B43201" w:rsidP="00B43201">
      <w:pPr>
        <w:pStyle w:val="para"/>
        <w:rPr>
          <w:i/>
          <w:iCs/>
          <w:lang w:val="ru-RU"/>
        </w:rPr>
      </w:pPr>
      <w:r>
        <w:rPr>
          <w:b/>
          <w:bCs/>
          <w:lang w:val="ru-RU"/>
        </w:rPr>
        <w:t>9.1.5.2</w:t>
      </w:r>
      <w:r>
        <w:rPr>
          <w:lang w:val="ru-RU"/>
        </w:rPr>
        <w:tab/>
      </w:r>
      <w:r>
        <w:rPr>
          <w:b/>
          <w:bCs/>
          <w:lang w:val="ru-RU"/>
        </w:rPr>
        <w:t xml:space="preserve">Сила света дневного ходового </w:t>
      </w:r>
      <w:r w:rsidR="005B2070">
        <w:rPr>
          <w:b/>
          <w:bCs/>
          <w:lang w:val="ru-RU"/>
        </w:rPr>
        <w:t>огня</w:t>
      </w:r>
      <w:r>
        <w:rPr>
          <w:b/>
          <w:bCs/>
          <w:lang w:val="ru-RU"/>
        </w:rPr>
        <w:t xml:space="preserve"> уменьшается, с тем чтобы максимальная сила света не превышала 140 кд: да/нет</w:t>
      </w:r>
      <w:r>
        <w:rPr>
          <w:b/>
          <w:bCs/>
          <w:vertAlign w:val="superscript"/>
          <w:lang w:val="ru-RU"/>
        </w:rPr>
        <w:t>2</w:t>
      </w:r>
      <w:r>
        <w:rPr>
          <w:b/>
          <w:bCs/>
          <w:lang w:val="ru-RU"/>
        </w:rPr>
        <w:t>.</w:t>
      </w:r>
      <w:r w:rsidRPr="005E7B7E">
        <w:rPr>
          <w:lang w:val="ru-RU"/>
        </w:rPr>
        <w:t>».</w:t>
      </w:r>
    </w:p>
    <w:p w14:paraId="60B56908" w14:textId="77777777" w:rsidR="00B43201" w:rsidRPr="00F91FB0" w:rsidRDefault="00B43201" w:rsidP="00B43201">
      <w:pPr>
        <w:pStyle w:val="SingleTxtG"/>
      </w:pPr>
      <w:r>
        <w:rPr>
          <w:i/>
          <w:iCs/>
        </w:rPr>
        <w:t>Пункт 9.3</w:t>
      </w:r>
      <w:r>
        <w:t xml:space="preserve"> изменить следующим образом:</w:t>
      </w:r>
    </w:p>
    <w:p w14:paraId="2A8B4634" w14:textId="77777777" w:rsidR="00B43201" w:rsidRPr="008923A2" w:rsidRDefault="00B43201" w:rsidP="00837EE1">
      <w:pPr>
        <w:pStyle w:val="SingleTxtG"/>
        <w:tabs>
          <w:tab w:val="clear" w:pos="1701"/>
        </w:tabs>
        <w:ind w:left="2268" w:hanging="1134"/>
      </w:pPr>
      <w:r>
        <w:t>«9.3</w:t>
      </w:r>
      <w:r>
        <w:tab/>
        <w:t>Передний габаритный огонь</w:t>
      </w:r>
      <w:r>
        <w:rPr>
          <w:vertAlign w:val="superscript"/>
        </w:rPr>
        <w:t>2</w:t>
      </w:r>
      <w:r>
        <w:t>, задний габаритный огонь</w:t>
      </w:r>
      <w:r>
        <w:rPr>
          <w:vertAlign w:val="superscript"/>
        </w:rPr>
        <w:t>2</w:t>
      </w:r>
      <w:r>
        <w:t>, сигнал торможения</w:t>
      </w:r>
      <w:r>
        <w:rPr>
          <w:vertAlign w:val="superscript"/>
        </w:rPr>
        <w:t>2</w:t>
      </w:r>
      <w:r>
        <w:t>, контурный огонь</w:t>
      </w:r>
      <w:r>
        <w:rPr>
          <w:vertAlign w:val="superscript"/>
        </w:rPr>
        <w:t>2</w:t>
      </w:r>
      <w:r>
        <w:t>, дневной ходовой огонь</w:t>
      </w:r>
      <w:r>
        <w:rPr>
          <w:vertAlign w:val="superscript"/>
        </w:rPr>
        <w:t>2</w:t>
      </w:r>
      <w:r>
        <w:t xml:space="preserve">, </w:t>
      </w:r>
      <w:r>
        <w:rPr>
          <w:b/>
          <w:bCs/>
        </w:rPr>
        <w:t>стояночный огонь</w:t>
      </w:r>
      <w:r>
        <w:rPr>
          <w:b/>
          <w:bCs/>
          <w:vertAlign w:val="superscript"/>
        </w:rPr>
        <w:t>2</w:t>
      </w:r>
      <w:r>
        <w:t xml:space="preserve">, </w:t>
      </w:r>
      <w:r>
        <w:rPr>
          <w:b/>
          <w:bCs/>
        </w:rPr>
        <w:t>задняя фара</w:t>
      </w:r>
      <w:r>
        <w:rPr>
          <w:b/>
          <w:bCs/>
          <w:vertAlign w:val="superscript"/>
        </w:rPr>
        <w:t>2</w:t>
      </w:r>
      <w:r>
        <w:t>,</w:t>
      </w:r>
      <w:r>
        <w:rPr>
          <w:b/>
          <w:bCs/>
        </w:rPr>
        <w:t xml:space="preserve"> задний противотуманный огонь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и</w:t>
      </w:r>
      <w:r>
        <w:t xml:space="preserve"> </w:t>
      </w:r>
      <w:r>
        <w:rPr>
          <w:b/>
          <w:bCs/>
        </w:rPr>
        <w:t>боковой габаритный фонарь</w:t>
      </w:r>
      <w:r>
        <w:rPr>
          <w:b/>
          <w:bCs/>
          <w:vertAlign w:val="superscript"/>
        </w:rPr>
        <w:t>2</w:t>
      </w:r>
      <w:r>
        <w:t xml:space="preserve"> предназначены для использования только на транспортном средстве, оснащенном контрольным сигналом сбоя: да/нет</w:t>
      </w:r>
      <w:r>
        <w:rPr>
          <w:vertAlign w:val="superscript"/>
        </w:rPr>
        <w:t>2</w:t>
      </w:r>
      <w:r>
        <w:t>»</w:t>
      </w:r>
      <w:r w:rsidRPr="008923A2">
        <w:t>.</w:t>
      </w:r>
    </w:p>
    <w:p w14:paraId="3C10FAC1" w14:textId="77777777" w:rsidR="00B43201" w:rsidRPr="00B576EF" w:rsidRDefault="00B43201" w:rsidP="00B43201">
      <w:pPr>
        <w:pStyle w:val="H1G"/>
        <w:rPr>
          <w:rFonts w:eastAsia="SimSun"/>
        </w:rPr>
      </w:pPr>
      <w:r>
        <w:tab/>
      </w:r>
      <w:r w:rsidRPr="00B576EF">
        <w:t>B.</w:t>
      </w:r>
      <w:r w:rsidRPr="00B576EF">
        <w:tab/>
        <w:t xml:space="preserve">Предложение по дополнению к поправкам серии 01 </w:t>
      </w:r>
      <w:r>
        <w:br/>
      </w:r>
      <w:r w:rsidRPr="00B576EF">
        <w:t>к Правилам № 148 ООН</w:t>
      </w:r>
    </w:p>
    <w:p w14:paraId="72708AFD" w14:textId="77777777" w:rsidR="00B43201" w:rsidRPr="006E7922" w:rsidRDefault="00B43201" w:rsidP="00B43201">
      <w:pPr>
        <w:pStyle w:val="SingleTxtG"/>
      </w:pPr>
      <w:r>
        <w:rPr>
          <w:i/>
          <w:iCs/>
        </w:rPr>
        <w:t>Пункт 5.4.1</w:t>
      </w:r>
      <w:r>
        <w:t xml:space="preserve"> изменить следующим образом:</w:t>
      </w:r>
    </w:p>
    <w:p w14:paraId="6290F3AF" w14:textId="77777777" w:rsidR="00B43201" w:rsidRPr="006E7922" w:rsidRDefault="00B43201" w:rsidP="00B43201">
      <w:pPr>
        <w:pStyle w:val="para"/>
        <w:rPr>
          <w:lang w:val="ru-RU"/>
        </w:rPr>
      </w:pPr>
      <w:bookmarkStart w:id="0" w:name="_Hlk127515917"/>
      <w:r>
        <w:rPr>
          <w:lang w:val="ru-RU"/>
        </w:rPr>
        <w:t>«5.4.1</w:t>
      </w:r>
      <w:r>
        <w:rPr>
          <w:lang w:val="ru-RU"/>
        </w:rPr>
        <w:tab/>
        <w:t xml:space="preserve">Сила света и стандартное распределение света: </w:t>
      </w:r>
    </w:p>
    <w:p w14:paraId="6DE17071" w14:textId="77777777" w:rsidR="00B43201" w:rsidRPr="006E7922" w:rsidRDefault="00B43201" w:rsidP="00B43201">
      <w:pPr>
        <w:pStyle w:val="para"/>
        <w:ind w:firstLine="0"/>
        <w:rPr>
          <w:lang w:val="ru-RU"/>
        </w:rPr>
      </w:pPr>
      <w:r>
        <w:rPr>
          <w:lang w:val="ru-RU"/>
        </w:rPr>
        <w:t xml:space="preserve">Сила света, излучаемого каждым из двух представленных образцов, должна соответствовать требованиям, указанным в таблице 6. </w:t>
      </w:r>
    </w:p>
    <w:p w14:paraId="7CA38028" w14:textId="77777777" w:rsidR="00B43201" w:rsidRPr="003377C0" w:rsidRDefault="00B43201" w:rsidP="005C196F">
      <w:pPr>
        <w:pStyle w:val="H23G"/>
        <w:rPr>
          <w:rStyle w:val="Carpredefinitoparagrafo1"/>
          <w:b w:val="0"/>
          <w:bCs/>
        </w:rPr>
      </w:pPr>
      <w:r w:rsidRPr="00724078">
        <w:rPr>
          <w:b w:val="0"/>
          <w:bCs/>
        </w:rPr>
        <w:lastRenderedPageBreak/>
        <w:tab/>
      </w:r>
      <w:r w:rsidRPr="00724078">
        <w:rPr>
          <w:b w:val="0"/>
          <w:bCs/>
        </w:rPr>
        <w:tab/>
      </w:r>
      <w:r w:rsidRPr="00724078">
        <w:rPr>
          <w:b w:val="0"/>
          <w:bCs/>
        </w:rPr>
        <w:tab/>
        <w:t>Таблица 6</w:t>
      </w:r>
      <w:r w:rsidRPr="00724078">
        <w:rPr>
          <w:b w:val="0"/>
          <w:bCs/>
        </w:rPr>
        <w:br/>
      </w:r>
      <w:r>
        <w:rPr>
          <w:bCs/>
        </w:rPr>
        <w:t>Значения силы света дневных ходовых огней</w:t>
      </w:r>
    </w:p>
    <w:tbl>
      <w:tblPr>
        <w:tblW w:w="8491" w:type="dxa"/>
        <w:tblInd w:w="1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308"/>
        <w:gridCol w:w="960"/>
        <w:gridCol w:w="1470"/>
        <w:gridCol w:w="1288"/>
        <w:gridCol w:w="1271"/>
        <w:gridCol w:w="1215"/>
      </w:tblGrid>
      <w:tr w:rsidR="00B43201" w:rsidRPr="00CB33EB" w14:paraId="51F4BCDD" w14:textId="77777777" w:rsidTr="009F5B95">
        <w:trPr>
          <w:cantSplit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7867F5" w14:textId="77777777" w:rsidR="00B43201" w:rsidRPr="00CB33EB" w:rsidRDefault="00B43201" w:rsidP="009F5B95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B33EB">
              <w:rPr>
                <w:b/>
                <w:bCs/>
                <w:i/>
                <w:iCs/>
                <w:sz w:val="16"/>
                <w:szCs w:val="16"/>
              </w:rPr>
              <w:t>Дневной ходовой огонь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38EB5C" w14:textId="77777777" w:rsidR="00B43201" w:rsidRPr="00CB33EB" w:rsidRDefault="00B43201" w:rsidP="005C196F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B33EB">
              <w:rPr>
                <w:b/>
                <w:bCs/>
                <w:i/>
                <w:iCs/>
                <w:sz w:val="16"/>
                <w:szCs w:val="16"/>
              </w:rPr>
              <w:t>Минимальное значение силы света в кд (пункт 4.8.3.1 a))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A9FB98" w14:textId="36A815C8" w:rsidR="00B43201" w:rsidRPr="00CB33EB" w:rsidRDefault="00B43201" w:rsidP="009F5B95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B33EB">
              <w:rPr>
                <w:b/>
                <w:bCs/>
                <w:i/>
                <w:iCs/>
                <w:sz w:val="16"/>
                <w:szCs w:val="16"/>
              </w:rPr>
              <w:t>Минимальное значение силы света в кд при использовании в</w:t>
            </w: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>качестве (пункт 4.8.3.1 b))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187" w14:textId="77777777" w:rsidR="00B43201" w:rsidRPr="00CB33EB" w:rsidRDefault="00B43201" w:rsidP="009F5B95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B33EB">
              <w:rPr>
                <w:b/>
                <w:bCs/>
                <w:i/>
                <w:iCs/>
                <w:sz w:val="16"/>
                <w:szCs w:val="16"/>
              </w:rPr>
              <w:t>Стандартное распределение света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>(пункт 4.8.3.1 с))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7DFA36" w14:textId="316D9665" w:rsidR="00B43201" w:rsidRPr="00CB33EB" w:rsidRDefault="00B43201" w:rsidP="009F5B95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B33EB">
              <w:rPr>
                <w:b/>
                <w:bCs/>
                <w:i/>
                <w:iCs/>
                <w:sz w:val="16"/>
                <w:szCs w:val="16"/>
              </w:rPr>
              <w:t>Углы</w:t>
            </w:r>
            <w:r w:rsidR="00FA59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 xml:space="preserve">геометрической </w:t>
            </w:r>
            <w:r w:rsidR="00FA59EA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>видимости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>(пункт 4.8.3.1</w:t>
            </w:r>
            <w:r w:rsidRPr="00CB33EB">
              <w:rPr>
                <w:sz w:val="16"/>
                <w:szCs w:val="16"/>
              </w:rPr>
              <w:t xml:space="preserve"> </w:t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>d))</w:t>
            </w:r>
          </w:p>
        </w:tc>
      </w:tr>
      <w:tr w:rsidR="00B43201" w:rsidRPr="00CB33EB" w14:paraId="3CA26ACC" w14:textId="77777777" w:rsidTr="009F5B95">
        <w:trPr>
          <w:cantSplit/>
          <w:trHeight w:val="599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FE3C8F" w14:textId="77777777" w:rsidR="00B43201" w:rsidRPr="00CB33EB" w:rsidRDefault="00B43201" w:rsidP="009F5B95">
            <w:pPr>
              <w:pStyle w:val="Normale1"/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65FE5D" w14:textId="77777777" w:rsidR="00B43201" w:rsidRPr="00CB33EB" w:rsidRDefault="00B43201" w:rsidP="009F5B95">
            <w:pPr>
              <w:pStyle w:val="Normale1"/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DBE30B" w14:textId="77777777" w:rsidR="00B43201" w:rsidRPr="00CB33EB" w:rsidRDefault="00B43201" w:rsidP="009F5B95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B33EB">
              <w:rPr>
                <w:b/>
                <w:bCs/>
                <w:i/>
                <w:iCs/>
                <w:sz w:val="16"/>
                <w:szCs w:val="16"/>
              </w:rPr>
              <w:t>одиночного огня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A1EBBF" w14:textId="77777777" w:rsidR="00B43201" w:rsidRPr="00CB33EB" w:rsidRDefault="00B43201" w:rsidP="009F5B95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B33EB">
              <w:rPr>
                <w:b/>
                <w:bCs/>
                <w:i/>
                <w:iCs/>
                <w:sz w:val="16"/>
                <w:szCs w:val="16"/>
              </w:rPr>
              <w:t xml:space="preserve">огня 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 xml:space="preserve">маркировкой </w:t>
            </w:r>
            <w:r>
              <w:rPr>
                <w:b/>
                <w:bCs/>
                <w:i/>
                <w:iCs/>
                <w:sz w:val="16"/>
                <w:szCs w:val="16"/>
              </w:rPr>
              <w:t>«</w:t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>D</w:t>
            </w:r>
            <w:r>
              <w:rPr>
                <w:b/>
                <w:bCs/>
                <w:i/>
                <w:iCs/>
                <w:sz w:val="16"/>
                <w:szCs w:val="16"/>
              </w:rPr>
              <w:t>»</w:t>
            </w:r>
            <w:r w:rsidRPr="00CB33EB">
              <w:rPr>
                <w:b/>
                <w:bCs/>
                <w:i/>
                <w:iCs/>
                <w:sz w:val="16"/>
                <w:szCs w:val="16"/>
              </w:rPr>
              <w:t xml:space="preserve"> (пункт 3.3.2.5.2)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DD48E" w14:textId="77777777" w:rsidR="00B43201" w:rsidRPr="00CB33EB" w:rsidRDefault="00B43201" w:rsidP="009F5B95">
            <w:pPr>
              <w:pStyle w:val="Normale1"/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302115" w14:textId="77777777" w:rsidR="00B43201" w:rsidRPr="00CB33EB" w:rsidRDefault="00B43201" w:rsidP="009F5B95">
            <w:pPr>
              <w:pStyle w:val="Normale1"/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CB33EB">
              <w:rPr>
                <w:b/>
                <w:bCs/>
                <w:i/>
                <w:iCs/>
                <w:sz w:val="16"/>
                <w:szCs w:val="16"/>
                <w:lang w:val="ru-RU"/>
              </w:rPr>
              <w:t>определение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71DFC5" w14:textId="77777777" w:rsidR="00B43201" w:rsidRPr="00CB33EB" w:rsidRDefault="00B43201" w:rsidP="009F5B95">
            <w:pPr>
              <w:pStyle w:val="Normale1"/>
              <w:keepNext/>
              <w:spacing w:before="80" w:after="80" w:line="200" w:lineRule="exact"/>
              <w:jc w:val="center"/>
              <w:rPr>
                <w:rStyle w:val="Carpredefinitoparagrafo1"/>
                <w:b/>
                <w:bCs/>
                <w:i/>
                <w:iCs/>
                <w:sz w:val="16"/>
                <w:szCs w:val="16"/>
                <w:shd w:val="clear" w:color="auto" w:fill="FFFF00"/>
                <w:lang w:val="ru-RU"/>
              </w:rPr>
            </w:pPr>
            <w:r w:rsidRPr="00CB33EB">
              <w:rPr>
                <w:b/>
                <w:bCs/>
                <w:i/>
                <w:iCs/>
                <w:sz w:val="16"/>
                <w:szCs w:val="16"/>
                <w:lang w:val="ru-RU"/>
              </w:rPr>
              <w:t>минимальное значение силы света в кд</w:t>
            </w:r>
          </w:p>
        </w:tc>
      </w:tr>
      <w:tr w:rsidR="00B43201" w:rsidRPr="00DF60AE" w14:paraId="09FEF131" w14:textId="77777777" w:rsidTr="009F5B95">
        <w:trPr>
          <w:cantSplit/>
        </w:trPr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7F2F8" w14:textId="77777777" w:rsidR="00B43201" w:rsidRPr="00DF60AE" w:rsidRDefault="00B43201" w:rsidP="009F5B95">
            <w:pPr>
              <w:keepNext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RL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0EC4A" w14:textId="77777777" w:rsidR="00B43201" w:rsidRPr="00DF60AE" w:rsidRDefault="00B43201" w:rsidP="009F5B95">
            <w:pPr>
              <w:keepNext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4,00∙10</w:t>
            </w:r>
            <w:r w:rsidRPr="00DF60A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57E57" w14:textId="77777777" w:rsidR="00B43201" w:rsidRPr="00DF60AE" w:rsidRDefault="00B43201" w:rsidP="009F5B95">
            <w:pPr>
              <w:keepNext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1,20∙10</w:t>
            </w:r>
            <w:r w:rsidRPr="00DF60A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CB6EF" w14:textId="77777777" w:rsidR="00B43201" w:rsidRPr="00DF60AE" w:rsidRDefault="00B43201" w:rsidP="009F5B95">
            <w:pPr>
              <w:keepNext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6,00∙10</w:t>
            </w:r>
            <w:r w:rsidRPr="00DF60AE">
              <w:rPr>
                <w:sz w:val="18"/>
                <w:szCs w:val="18"/>
                <w:vertAlign w:val="superscript"/>
              </w:rPr>
              <w:t>²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2B4CF" w14:textId="77777777" w:rsidR="00B43201" w:rsidRPr="00DF60AE" w:rsidRDefault="00B43201" w:rsidP="009F5B95">
            <w:pPr>
              <w:keepNext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Рис. А3-II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F35B3" w14:textId="77777777" w:rsidR="00B43201" w:rsidRPr="00DF60AE" w:rsidRDefault="00B43201" w:rsidP="009F5B95">
            <w:pPr>
              <w:keepNext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Таблица А2-1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BFF54" w14:textId="77777777" w:rsidR="00B43201" w:rsidRPr="00DF60AE" w:rsidRDefault="00B43201" w:rsidP="009F5B95">
            <w:pPr>
              <w:keepNext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DF60AE">
              <w:rPr>
                <w:sz w:val="18"/>
                <w:szCs w:val="18"/>
              </w:rPr>
              <w:t>1,0∙10</w:t>
            </w:r>
            <w:r w:rsidRPr="00DF60AE">
              <w:rPr>
                <w:sz w:val="18"/>
                <w:szCs w:val="18"/>
                <w:vertAlign w:val="superscript"/>
              </w:rPr>
              <w:t>0</w:t>
            </w:r>
          </w:p>
        </w:tc>
      </w:tr>
    </w:tbl>
    <w:p w14:paraId="147796B5" w14:textId="77777777" w:rsidR="00B43201" w:rsidRPr="006E7922" w:rsidRDefault="00B43201" w:rsidP="00B43201">
      <w:pPr>
        <w:pStyle w:val="para"/>
        <w:spacing w:before="120"/>
        <w:rPr>
          <w:i/>
          <w:iCs/>
          <w:lang w:val="ru-RU"/>
        </w:rPr>
      </w:pPr>
      <w:r>
        <w:rPr>
          <w:b/>
          <w:bCs/>
          <w:lang w:val="ru-RU"/>
        </w:rPr>
        <w:t>5.4.1.1</w:t>
      </w:r>
      <w:r>
        <w:rPr>
          <w:lang w:val="ru-RU"/>
        </w:rPr>
        <w:tab/>
      </w:r>
      <w:r>
        <w:rPr>
          <w:b/>
          <w:bCs/>
          <w:lang w:val="ru-RU"/>
        </w:rPr>
        <w:t>Если предполагается уменьшить силу света дневного ходового огня, то уменьшенная расчетная максимальная сила света не должна превышать 1,40∙10</w:t>
      </w:r>
      <w:r>
        <w:rPr>
          <w:b/>
          <w:bCs/>
          <w:vertAlign w:val="superscript"/>
          <w:lang w:val="ru-RU"/>
        </w:rPr>
        <w:t>2</w:t>
      </w:r>
      <w:r>
        <w:rPr>
          <w:b/>
          <w:bCs/>
          <w:lang w:val="ru-RU"/>
        </w:rPr>
        <w:t xml:space="preserve"> кд.</w:t>
      </w:r>
      <w:r w:rsidRPr="00A93004">
        <w:rPr>
          <w:lang w:val="ru-RU"/>
        </w:rPr>
        <w:t>»</w:t>
      </w:r>
      <w:bookmarkStart w:id="1" w:name="_Hlk151641957"/>
      <w:bookmarkEnd w:id="0"/>
      <w:bookmarkEnd w:id="1"/>
      <w:r>
        <w:rPr>
          <w:lang w:val="ru-RU"/>
        </w:rPr>
        <w:t>.</w:t>
      </w:r>
    </w:p>
    <w:p w14:paraId="4ADD502E" w14:textId="77777777" w:rsidR="00B43201" w:rsidRPr="006E7922" w:rsidRDefault="00B43201" w:rsidP="00B43201">
      <w:pPr>
        <w:pStyle w:val="SingleTxtG"/>
        <w:rPr>
          <w:i/>
          <w:iCs/>
        </w:rPr>
      </w:pPr>
      <w:r>
        <w:rPr>
          <w:i/>
          <w:iCs/>
        </w:rPr>
        <w:t>Приложение 1</w:t>
      </w:r>
      <w:r>
        <w:t xml:space="preserve"> </w:t>
      </w:r>
    </w:p>
    <w:p w14:paraId="2759D7EB" w14:textId="77777777" w:rsidR="00B43201" w:rsidRPr="006E7922" w:rsidRDefault="00B43201" w:rsidP="00B43201">
      <w:pPr>
        <w:pStyle w:val="SingleTxtG"/>
      </w:pPr>
      <w:r>
        <w:rPr>
          <w:i/>
          <w:iCs/>
        </w:rPr>
        <w:t>Пункт 9.1.5</w:t>
      </w:r>
      <w:r>
        <w:t xml:space="preserve"> изменить следующим образом:</w:t>
      </w:r>
    </w:p>
    <w:p w14:paraId="3CBD18BB" w14:textId="77777777" w:rsidR="00B43201" w:rsidRPr="003377C0" w:rsidRDefault="00B43201" w:rsidP="00B43201">
      <w:pPr>
        <w:pStyle w:val="para"/>
        <w:rPr>
          <w:lang w:val="ru-RU"/>
        </w:rPr>
      </w:pPr>
      <w:r>
        <w:rPr>
          <w:lang w:val="ru-RU"/>
        </w:rPr>
        <w:t>«9.1.5</w:t>
      </w:r>
      <w:r>
        <w:rPr>
          <w:lang w:val="ru-RU"/>
        </w:rPr>
        <w:tab/>
        <w:t>Дневной ходовой огонь</w:t>
      </w:r>
    </w:p>
    <w:p w14:paraId="3D6A86EA" w14:textId="77777777" w:rsidR="00B43201" w:rsidRPr="003377C0" w:rsidRDefault="00B43201" w:rsidP="00B43201">
      <w:pPr>
        <w:pStyle w:val="para"/>
        <w:rPr>
          <w:b/>
          <w:bCs/>
          <w:lang w:val="ru-RU"/>
        </w:rPr>
      </w:pPr>
      <w:r>
        <w:rPr>
          <w:b/>
          <w:bCs/>
          <w:lang w:val="ru-RU"/>
        </w:rPr>
        <w:t>9.1.5.1</w:t>
      </w:r>
      <w:r>
        <w:rPr>
          <w:lang w:val="ru-RU"/>
        </w:rPr>
        <w:tab/>
        <w:t>Дневной ходовой огонь предназначен для установки исключительно на транспортных средствах категории L</w:t>
      </w:r>
      <w:r>
        <w:rPr>
          <w:vertAlign w:val="subscript"/>
          <w:lang w:val="ru-RU"/>
        </w:rPr>
        <w:t>3</w:t>
      </w:r>
      <w:r>
        <w:rPr>
          <w:lang w:val="ru-RU"/>
        </w:rPr>
        <w:t>, и его расчетная максимальная сила света не превышает 7,00∙10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кд: да/нет</w:t>
      </w:r>
      <w:r>
        <w:rPr>
          <w:vertAlign w:val="superscript"/>
          <w:lang w:val="ru-RU"/>
        </w:rPr>
        <w:t>2</w:t>
      </w:r>
    </w:p>
    <w:p w14:paraId="3AC695B3" w14:textId="321FC661" w:rsidR="00B43201" w:rsidRPr="000C195E" w:rsidRDefault="00B43201" w:rsidP="00B43201">
      <w:pPr>
        <w:pStyle w:val="para"/>
        <w:rPr>
          <w:lang w:val="ru-RU"/>
        </w:rPr>
      </w:pPr>
      <w:r>
        <w:rPr>
          <w:b/>
          <w:bCs/>
          <w:lang w:val="ru-RU"/>
        </w:rPr>
        <w:t>9.1.5.2</w:t>
      </w:r>
      <w:r>
        <w:rPr>
          <w:lang w:val="ru-RU"/>
        </w:rPr>
        <w:tab/>
      </w:r>
      <w:r>
        <w:rPr>
          <w:b/>
          <w:bCs/>
          <w:lang w:val="ru-RU"/>
        </w:rPr>
        <w:t xml:space="preserve">Сила света дневного ходового </w:t>
      </w:r>
      <w:r w:rsidR="005C196F">
        <w:rPr>
          <w:b/>
          <w:bCs/>
          <w:lang w:val="ru-RU"/>
        </w:rPr>
        <w:t>огня</w:t>
      </w:r>
      <w:r>
        <w:rPr>
          <w:b/>
          <w:bCs/>
          <w:lang w:val="ru-RU"/>
        </w:rPr>
        <w:t xml:space="preserve"> уменьшается, с тем чтобы максимальная сила света не превышала 1,4∙10</w:t>
      </w:r>
      <w:r>
        <w:rPr>
          <w:b/>
          <w:bCs/>
          <w:vertAlign w:val="superscript"/>
          <w:lang w:val="ru-RU"/>
        </w:rPr>
        <w:t>2</w:t>
      </w:r>
      <w:r>
        <w:rPr>
          <w:b/>
          <w:bCs/>
          <w:lang w:val="ru-RU"/>
        </w:rPr>
        <w:t xml:space="preserve"> кд: да/нет</w:t>
      </w:r>
      <w:r>
        <w:rPr>
          <w:b/>
          <w:bCs/>
          <w:vertAlign w:val="superscript"/>
          <w:lang w:val="ru-RU"/>
        </w:rPr>
        <w:t>2</w:t>
      </w:r>
      <w:r>
        <w:rPr>
          <w:b/>
          <w:bCs/>
          <w:lang w:val="ru-RU"/>
        </w:rPr>
        <w:t>.</w:t>
      </w:r>
      <w:r w:rsidRPr="000C195E">
        <w:rPr>
          <w:lang w:val="ru-RU"/>
        </w:rPr>
        <w:t>»</w:t>
      </w:r>
      <w:r>
        <w:rPr>
          <w:lang w:val="ru-RU"/>
        </w:rPr>
        <w:t>.</w:t>
      </w:r>
    </w:p>
    <w:p w14:paraId="6F69D3EF" w14:textId="77777777" w:rsidR="00B43201" w:rsidRPr="001A4FD9" w:rsidRDefault="00B43201" w:rsidP="00B43201">
      <w:pPr>
        <w:pStyle w:val="SingleTxtG"/>
      </w:pPr>
      <w:r>
        <w:rPr>
          <w:i/>
          <w:iCs/>
        </w:rPr>
        <w:t>Пункт 9.3</w:t>
      </w:r>
      <w:r>
        <w:t xml:space="preserve"> изменить следующим образом:</w:t>
      </w:r>
    </w:p>
    <w:p w14:paraId="49F464D8" w14:textId="77777777" w:rsidR="00B43201" w:rsidRPr="003377C0" w:rsidRDefault="00B43201" w:rsidP="00B43201">
      <w:pPr>
        <w:pStyle w:val="para"/>
        <w:rPr>
          <w:lang w:val="ru-RU"/>
        </w:rPr>
      </w:pPr>
      <w:r>
        <w:rPr>
          <w:lang w:val="ru-RU"/>
        </w:rPr>
        <w:t>«9.3</w:t>
      </w:r>
      <w:r>
        <w:rPr>
          <w:lang w:val="ru-RU"/>
        </w:rPr>
        <w:tab/>
        <w:t>Передний габаритный огонь</w:t>
      </w:r>
      <w:r>
        <w:rPr>
          <w:vertAlign w:val="superscript"/>
          <w:lang w:val="ru-RU"/>
        </w:rPr>
        <w:t>2</w:t>
      </w:r>
      <w:r>
        <w:rPr>
          <w:lang w:val="ru-RU"/>
        </w:rPr>
        <w:t>, задний габаритный огонь</w:t>
      </w:r>
      <w:r>
        <w:rPr>
          <w:vertAlign w:val="superscript"/>
          <w:lang w:val="ru-RU"/>
        </w:rPr>
        <w:t>2</w:t>
      </w:r>
      <w:r>
        <w:rPr>
          <w:lang w:val="ru-RU"/>
        </w:rPr>
        <w:t>, сигнал торможения</w:t>
      </w:r>
      <w:r>
        <w:rPr>
          <w:vertAlign w:val="superscript"/>
          <w:lang w:val="ru-RU"/>
        </w:rPr>
        <w:t>2</w:t>
      </w:r>
      <w:r>
        <w:rPr>
          <w:lang w:val="ru-RU"/>
        </w:rPr>
        <w:t>, контурный огонь</w:t>
      </w:r>
      <w:r>
        <w:rPr>
          <w:vertAlign w:val="superscript"/>
          <w:lang w:val="ru-RU"/>
        </w:rPr>
        <w:t>2</w:t>
      </w:r>
      <w:r>
        <w:rPr>
          <w:lang w:val="ru-RU"/>
        </w:rPr>
        <w:t>, дневной ходовой огонь</w:t>
      </w:r>
      <w:r>
        <w:rPr>
          <w:vertAlign w:val="superscript"/>
          <w:lang w:val="ru-RU"/>
        </w:rPr>
        <w:t>2</w:t>
      </w:r>
      <w:r>
        <w:rPr>
          <w:lang w:val="ru-RU"/>
        </w:rPr>
        <w:t>, стояночный огонь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задняя фара</w:t>
      </w:r>
      <w:r>
        <w:rPr>
          <w:b/>
          <w:bCs/>
          <w:vertAlign w:val="superscript"/>
          <w:lang w:val="ru-RU"/>
        </w:rPr>
        <w:t>2</w:t>
      </w:r>
      <w:r>
        <w:rPr>
          <w:lang w:val="ru-RU"/>
        </w:rPr>
        <w:t>,</w:t>
      </w:r>
      <w:r>
        <w:rPr>
          <w:b/>
          <w:bCs/>
          <w:lang w:val="ru-RU"/>
        </w:rPr>
        <w:t xml:space="preserve"> задний противотуманный огонь</w:t>
      </w:r>
      <w:r>
        <w:rPr>
          <w:b/>
          <w:bCs/>
          <w:vertAlign w:val="superscript"/>
          <w:lang w:val="ru-RU"/>
        </w:rPr>
        <w:t>2</w:t>
      </w:r>
      <w:r>
        <w:rPr>
          <w:b/>
          <w:bCs/>
          <w:lang w:val="ru-RU"/>
        </w:rPr>
        <w:t xml:space="preserve"> и боковой габаритный фонарь</w:t>
      </w:r>
      <w:r>
        <w:rPr>
          <w:b/>
          <w:bCs/>
          <w:vertAlign w:val="superscript"/>
          <w:lang w:val="ru-RU"/>
        </w:rPr>
        <w:t>2</w:t>
      </w:r>
      <w:r>
        <w:rPr>
          <w:lang w:val="ru-RU"/>
        </w:rPr>
        <w:t xml:space="preserve"> предназначены для использования только на транспортном средстве, оснащенном контрольным сигналом сбоя: да/нет</w:t>
      </w:r>
      <w:r w:rsidRPr="001A4FD9">
        <w:rPr>
          <w:vertAlign w:val="superscript"/>
          <w:lang w:val="ru-RU"/>
        </w:rPr>
        <w:t>2</w:t>
      </w:r>
      <w:bookmarkStart w:id="2" w:name="_Hlk134520964"/>
      <w:bookmarkEnd w:id="2"/>
      <w:r>
        <w:rPr>
          <w:lang w:val="ru-RU"/>
        </w:rPr>
        <w:t>».</w:t>
      </w:r>
    </w:p>
    <w:p w14:paraId="3FCD9766" w14:textId="77777777" w:rsidR="00B43201" w:rsidRPr="006E7922" w:rsidRDefault="00B43201" w:rsidP="00B43201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D35F13B" w14:textId="77777777" w:rsidR="00B43201" w:rsidRPr="006E7922" w:rsidRDefault="00B43201" w:rsidP="00B43201">
      <w:pPr>
        <w:pStyle w:val="SingleTxtG"/>
        <w:rPr>
          <w:i/>
          <w:iCs/>
        </w:rPr>
      </w:pPr>
      <w:r>
        <w:rPr>
          <w:i/>
          <w:iCs/>
        </w:rPr>
        <w:t>Пункт 5.4.1 и приложение 1, пункт 9.1.5</w:t>
      </w:r>
    </w:p>
    <w:p w14:paraId="297441B9" w14:textId="77777777" w:rsidR="00B43201" w:rsidRPr="006E7922" w:rsidRDefault="00B43201" w:rsidP="00B43201">
      <w:pPr>
        <w:pStyle w:val="SingleTxtG"/>
      </w:pPr>
      <w:r>
        <w:t>1.</w:t>
      </w:r>
      <w:r>
        <w:tab/>
        <w:t>В поправках серий 08 и 09 к Правилам № 48 ООН (пункты 6.19.7.6 и 6.19.7.7.2) содержится ссылка на указание в карточке сообщения в Правилах № 148 ООН того, уменьшена ли сила света дневного ходового огня в течение всего периода функционирования переднего указателя поворота до не более 140 кд.</w:t>
      </w:r>
    </w:p>
    <w:p w14:paraId="6C0A0F26" w14:textId="77777777" w:rsidR="00B43201" w:rsidRPr="006E7922" w:rsidRDefault="00B43201" w:rsidP="00B43201">
      <w:pPr>
        <w:pStyle w:val="SingleTxtG"/>
      </w:pPr>
      <w:r>
        <w:t>2.</w:t>
      </w:r>
      <w:r>
        <w:tab/>
        <w:t>Было отмечено, что в Правилах № 148 ООН в настоящее время не предусмотрено такого указания в соответствующей карточке сообщения. Для устранения этого пробела в карточку сообщения предлагается включить такое указание (пункт 9.1.5 приложения 1) и, добавив пункт 5.4.1.1, привести ее текст в соответствие с Правилами № 48 ООН.</w:t>
      </w:r>
    </w:p>
    <w:p w14:paraId="58F426CE" w14:textId="77777777" w:rsidR="00B43201" w:rsidRPr="006E7922" w:rsidRDefault="00B43201" w:rsidP="00B43201">
      <w:pPr>
        <w:pStyle w:val="SingleTxtG"/>
        <w:rPr>
          <w:i/>
          <w:iCs/>
        </w:rPr>
      </w:pPr>
      <w:r>
        <w:rPr>
          <w:i/>
          <w:iCs/>
        </w:rPr>
        <w:t>Приложение 1, пункт 9.3</w:t>
      </w:r>
    </w:p>
    <w:p w14:paraId="29818C5F" w14:textId="47DEEE4D" w:rsidR="00B43201" w:rsidRPr="006E7922" w:rsidRDefault="00B43201" w:rsidP="00B43201">
      <w:pPr>
        <w:pStyle w:val="SingleTxtG"/>
      </w:pPr>
      <w:r>
        <w:t>3.</w:t>
      </w:r>
      <w:r>
        <w:tab/>
        <w:t>Было выявлено несоответствие между основным текстом Правил № 148 ООН и карточкой сообщения (приложение 1). В пункте 4.6.1.2 b) содержится перечень всех предусмотренных в Правилах № 48 ООН функций, которые могут генерировать включение «контрольного сигнала сбоя», и отмечается, что в «этом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сбоя». Вместе с тем функции задней фары, заднего противотуманного фонаря и бокового указателя поворота в соответствующем пункте 9.3 приложения</w:t>
      </w:r>
      <w:r w:rsidR="00463866">
        <w:t> </w:t>
      </w:r>
      <w:r>
        <w:t xml:space="preserve">1 </w:t>
      </w:r>
      <w:r>
        <w:lastRenderedPageBreak/>
        <w:t xml:space="preserve">в настоящее время не указаны. В пункте 9.3 приложения 1 к поправкам серии 00 к Правилам № 148 ООН также отсутствует функция «стояночного огня». </w:t>
      </w:r>
    </w:p>
    <w:p w14:paraId="69F2E2B0" w14:textId="77777777" w:rsidR="00B43201" w:rsidRPr="006E7922" w:rsidRDefault="00B43201" w:rsidP="00B43201">
      <w:pPr>
        <w:pStyle w:val="SingleTxtG"/>
      </w:pPr>
      <w:r>
        <w:t>4.</w:t>
      </w:r>
      <w:r>
        <w:tab/>
        <w:t xml:space="preserve">Цель настоящего предложения состоит в том, чтобы включить эти недостающие функции в пункт 9.3 карточки сообщения (приложение 1). </w:t>
      </w:r>
    </w:p>
    <w:p w14:paraId="13D6B9DF" w14:textId="7A296DBD" w:rsidR="00E12C5F" w:rsidRPr="00B43201" w:rsidRDefault="00B43201" w:rsidP="00B43201">
      <w:pPr>
        <w:spacing w:before="120"/>
        <w:jc w:val="center"/>
        <w:rPr>
          <w:u w:val="single"/>
        </w:rPr>
      </w:pPr>
      <w:r w:rsidRPr="006E7922">
        <w:rPr>
          <w:u w:val="single"/>
        </w:rPr>
        <w:tab/>
      </w:r>
      <w:r w:rsidRPr="006E7922">
        <w:rPr>
          <w:u w:val="single"/>
        </w:rPr>
        <w:tab/>
      </w:r>
      <w:r w:rsidRPr="006E7922">
        <w:rPr>
          <w:u w:val="single"/>
        </w:rPr>
        <w:tab/>
      </w:r>
    </w:p>
    <w:sectPr w:rsidR="00E12C5F" w:rsidRPr="00B43201" w:rsidSect="00B43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4220" w14:textId="77777777" w:rsidR="006776F1" w:rsidRPr="00A312BC" w:rsidRDefault="006776F1" w:rsidP="00A312BC"/>
  </w:endnote>
  <w:endnote w:type="continuationSeparator" w:id="0">
    <w:p w14:paraId="2EE047B5" w14:textId="77777777" w:rsidR="006776F1" w:rsidRPr="00A312BC" w:rsidRDefault="006776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0BA6" w14:textId="20A18FB9" w:rsidR="00B43201" w:rsidRPr="00B43201" w:rsidRDefault="00B43201">
    <w:pPr>
      <w:pStyle w:val="a8"/>
    </w:pPr>
    <w:r w:rsidRPr="00B43201">
      <w:rPr>
        <w:b/>
        <w:sz w:val="18"/>
      </w:rPr>
      <w:fldChar w:fldCharType="begin"/>
    </w:r>
    <w:r w:rsidRPr="00B43201">
      <w:rPr>
        <w:b/>
        <w:sz w:val="18"/>
      </w:rPr>
      <w:instrText xml:space="preserve"> PAGE  \* MERGEFORMAT </w:instrText>
    </w:r>
    <w:r w:rsidRPr="00B43201">
      <w:rPr>
        <w:b/>
        <w:sz w:val="18"/>
      </w:rPr>
      <w:fldChar w:fldCharType="separate"/>
    </w:r>
    <w:r w:rsidRPr="00B43201">
      <w:rPr>
        <w:b/>
        <w:noProof/>
        <w:sz w:val="18"/>
      </w:rPr>
      <w:t>2</w:t>
    </w:r>
    <w:r w:rsidRPr="00B43201">
      <w:rPr>
        <w:b/>
        <w:sz w:val="18"/>
      </w:rPr>
      <w:fldChar w:fldCharType="end"/>
    </w:r>
    <w:r>
      <w:rPr>
        <w:b/>
        <w:sz w:val="18"/>
      </w:rPr>
      <w:tab/>
    </w:r>
    <w:r>
      <w:t>GE.24-02070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D246" w14:textId="33655693" w:rsidR="00B43201" w:rsidRPr="00B43201" w:rsidRDefault="00B43201" w:rsidP="00B43201">
    <w:pPr>
      <w:pStyle w:val="a8"/>
      <w:tabs>
        <w:tab w:val="clear" w:pos="9639"/>
        <w:tab w:val="right" w:pos="9638"/>
      </w:tabs>
      <w:rPr>
        <w:b/>
        <w:sz w:val="18"/>
      </w:rPr>
    </w:pPr>
    <w:r>
      <w:t>GE.24-02070</w:t>
    </w:r>
    <w:r>
      <w:tab/>
    </w:r>
    <w:r w:rsidRPr="00B43201">
      <w:rPr>
        <w:b/>
        <w:sz w:val="18"/>
      </w:rPr>
      <w:fldChar w:fldCharType="begin"/>
    </w:r>
    <w:r w:rsidRPr="00B43201">
      <w:rPr>
        <w:b/>
        <w:sz w:val="18"/>
      </w:rPr>
      <w:instrText xml:space="preserve"> PAGE  \* MERGEFORMAT </w:instrText>
    </w:r>
    <w:r w:rsidRPr="00B43201">
      <w:rPr>
        <w:b/>
        <w:sz w:val="18"/>
      </w:rPr>
      <w:fldChar w:fldCharType="separate"/>
    </w:r>
    <w:r w:rsidRPr="00B43201">
      <w:rPr>
        <w:b/>
        <w:noProof/>
        <w:sz w:val="18"/>
      </w:rPr>
      <w:t>3</w:t>
    </w:r>
    <w:r w:rsidRPr="00B432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45F" w14:textId="7FC6367D" w:rsidR="00042B72" w:rsidRPr="00B43201" w:rsidRDefault="00B43201" w:rsidP="00B4320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E67762" wp14:editId="6F35A16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02070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DEC559" wp14:editId="7954673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130224  140224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E622" w14:textId="77777777" w:rsidR="006776F1" w:rsidRPr="001075E9" w:rsidRDefault="006776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9F2B07" w14:textId="77777777" w:rsidR="006776F1" w:rsidRDefault="006776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2AD463" w14:textId="77777777" w:rsidR="00B43201" w:rsidRPr="00F4201F" w:rsidRDefault="00B43201" w:rsidP="00B43201">
      <w:pPr>
        <w:pStyle w:val="ad"/>
      </w:pPr>
      <w:r>
        <w:tab/>
      </w:r>
      <w:r w:rsidRPr="00AB0C23">
        <w:rPr>
          <w:bCs/>
          <w:sz w:val="20"/>
        </w:rPr>
        <w:t>*</w:t>
      </w:r>
      <w:r w:rsidRPr="00AB0C23">
        <w:rPr>
          <w:bCs/>
          <w:sz w:val="20"/>
        </w:rPr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rPr>
          <w:lang w:val="en-US"/>
        </w:rPr>
        <w:t> </w:t>
      </w:r>
      <w:r>
        <w:t>20.5),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>
        <w:rPr>
          <w:lang w:val="en-US"/>
        </w:rP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ADBD" w14:textId="57052077" w:rsidR="00B43201" w:rsidRPr="00B43201" w:rsidRDefault="00B43201">
    <w:pPr>
      <w:pStyle w:val="a5"/>
    </w:pPr>
    <w:fldSimple w:instr=" TITLE  \* MERGEFORMAT ">
      <w:r w:rsidR="00066AF6">
        <w:t>ECE/TRANS/WP.29/GRE/2024/6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9402" w14:textId="008D036E" w:rsidR="00B43201" w:rsidRPr="00B43201" w:rsidRDefault="00B43201" w:rsidP="00B43201">
    <w:pPr>
      <w:pStyle w:val="a5"/>
      <w:jc w:val="right"/>
    </w:pPr>
    <w:fldSimple w:instr=" TITLE  \* MERGEFORMAT ">
      <w:r w:rsidR="00066AF6">
        <w:t>ECE/TRANS/WP.29/GRE/2024/6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043" w14:textId="77777777" w:rsidR="00B43201" w:rsidRDefault="00B43201" w:rsidP="00B4320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F1"/>
    <w:rsid w:val="0000225A"/>
    <w:rsid w:val="00033EE1"/>
    <w:rsid w:val="00042B72"/>
    <w:rsid w:val="000558BD"/>
    <w:rsid w:val="00066AF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3866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2070"/>
    <w:rsid w:val="005C196F"/>
    <w:rsid w:val="005D7914"/>
    <w:rsid w:val="005E2B41"/>
    <w:rsid w:val="005F0B42"/>
    <w:rsid w:val="00617A43"/>
    <w:rsid w:val="006345DB"/>
    <w:rsid w:val="00640F49"/>
    <w:rsid w:val="006776F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7EE1"/>
    <w:rsid w:val="0086445C"/>
    <w:rsid w:val="00894693"/>
    <w:rsid w:val="008A08D7"/>
    <w:rsid w:val="008A37C8"/>
    <w:rsid w:val="008B6909"/>
    <w:rsid w:val="008D53B6"/>
    <w:rsid w:val="008D7BDD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7CDE"/>
    <w:rsid w:val="00A84021"/>
    <w:rsid w:val="00A84D35"/>
    <w:rsid w:val="00A917B3"/>
    <w:rsid w:val="00AB4B51"/>
    <w:rsid w:val="00B10CC7"/>
    <w:rsid w:val="00B36DF7"/>
    <w:rsid w:val="00B43201"/>
    <w:rsid w:val="00B539E7"/>
    <w:rsid w:val="00B62458"/>
    <w:rsid w:val="00B6253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673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D1A90"/>
    <w:rsid w:val="00EE142A"/>
    <w:rsid w:val="00EF1360"/>
    <w:rsid w:val="00EF3220"/>
    <w:rsid w:val="00F2523A"/>
    <w:rsid w:val="00F43903"/>
    <w:rsid w:val="00F73C9D"/>
    <w:rsid w:val="00F94155"/>
    <w:rsid w:val="00F963ED"/>
    <w:rsid w:val="00F9783F"/>
    <w:rsid w:val="00FA59E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B0D8"/>
  <w15:docId w15:val="{0C36074A-6AD4-4744-B510-8783DE1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B43201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qFormat/>
    <w:rsid w:val="00B43201"/>
    <w:rPr>
      <w:lang w:val="ru-RU" w:eastAsia="en-US"/>
    </w:rPr>
  </w:style>
  <w:style w:type="character" w:customStyle="1" w:styleId="HChGChar">
    <w:name w:val="_ H _Ch_G Char"/>
    <w:link w:val="HChG"/>
    <w:qFormat/>
    <w:rsid w:val="00B43201"/>
    <w:rPr>
      <w:b/>
      <w:sz w:val="28"/>
      <w:lang w:val="ru-RU" w:eastAsia="ru-RU"/>
    </w:rPr>
  </w:style>
  <w:style w:type="character" w:customStyle="1" w:styleId="paraChar">
    <w:name w:val="para Char"/>
    <w:link w:val="para"/>
    <w:rsid w:val="00B43201"/>
    <w:rPr>
      <w:snapToGrid w:val="0"/>
      <w:lang w:val="fr-FR" w:eastAsia="en-US"/>
    </w:rPr>
  </w:style>
  <w:style w:type="character" w:customStyle="1" w:styleId="H1GChar">
    <w:name w:val="_ H_1_G Char"/>
    <w:link w:val="H1G"/>
    <w:rsid w:val="00B43201"/>
    <w:rPr>
      <w:b/>
      <w:sz w:val="24"/>
      <w:lang w:val="ru-RU" w:eastAsia="ru-RU"/>
    </w:rPr>
  </w:style>
  <w:style w:type="character" w:customStyle="1" w:styleId="Carpredefinitoparagrafo1">
    <w:name w:val="Car. predefinito paragrafo1"/>
    <w:rsid w:val="00B43201"/>
  </w:style>
  <w:style w:type="paragraph" w:customStyle="1" w:styleId="Normale1">
    <w:name w:val="Normale1"/>
    <w:rsid w:val="00B43201"/>
    <w:pPr>
      <w:widowControl w:val="0"/>
      <w:suppressAutoHyphens/>
      <w:autoSpaceDN w:val="0"/>
      <w:textAlignment w:val="baseline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BC8B6-1816-418A-BA32-330038D541F7}"/>
</file>

<file path=customXml/itemProps2.xml><?xml version="1.0" encoding="utf-8"?>
<ds:datastoreItem xmlns:ds="http://schemas.openxmlformats.org/officeDocument/2006/customXml" ds:itemID="{A6C0CC7A-7F6C-43A0-8BB9-D9394A761D6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767</Words>
  <Characters>4842</Characters>
  <Application>Microsoft Office Word</Application>
  <DocSecurity>0</DocSecurity>
  <Lines>151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ECE/TRANS/WP.29/GRE/2024/6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2024-02-14T13:12:00Z</dcterms:created>
  <dcterms:modified xsi:type="dcterms:W3CDTF">2024-02-14T13:12:00Z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