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D01DBEB" w14:textId="77777777" w:rsidTr="00C97039">
        <w:trPr>
          <w:trHeight w:hRule="exact" w:val="851"/>
        </w:trPr>
        <w:tc>
          <w:tcPr>
            <w:tcW w:w="1276" w:type="dxa"/>
            <w:tcBorders>
              <w:bottom w:val="single" w:sz="4" w:space="0" w:color="auto"/>
            </w:tcBorders>
          </w:tcPr>
          <w:p w14:paraId="18BF57FC" w14:textId="77777777" w:rsidR="00F35BAF" w:rsidRPr="00DB58B5" w:rsidRDefault="00F35BAF" w:rsidP="00661212"/>
        </w:tc>
        <w:tc>
          <w:tcPr>
            <w:tcW w:w="2268" w:type="dxa"/>
            <w:tcBorders>
              <w:bottom w:val="single" w:sz="4" w:space="0" w:color="auto"/>
            </w:tcBorders>
            <w:vAlign w:val="bottom"/>
          </w:tcPr>
          <w:p w14:paraId="7F9F10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49C471" w14:textId="755B072F" w:rsidR="00F35BAF" w:rsidRPr="00DB58B5" w:rsidRDefault="00661212" w:rsidP="00661212">
            <w:pPr>
              <w:jc w:val="right"/>
            </w:pPr>
            <w:r w:rsidRPr="00661212">
              <w:rPr>
                <w:sz w:val="40"/>
              </w:rPr>
              <w:t>ECE</w:t>
            </w:r>
            <w:r>
              <w:t>/TRANS/WP.29/GRE/2024/6</w:t>
            </w:r>
          </w:p>
        </w:tc>
      </w:tr>
      <w:tr w:rsidR="00F35BAF" w:rsidRPr="00DB58B5" w14:paraId="52510A35" w14:textId="77777777" w:rsidTr="00C97039">
        <w:trPr>
          <w:trHeight w:hRule="exact" w:val="2835"/>
        </w:trPr>
        <w:tc>
          <w:tcPr>
            <w:tcW w:w="1276" w:type="dxa"/>
            <w:tcBorders>
              <w:top w:val="single" w:sz="4" w:space="0" w:color="auto"/>
              <w:bottom w:val="single" w:sz="12" w:space="0" w:color="auto"/>
            </w:tcBorders>
          </w:tcPr>
          <w:p w14:paraId="7B5EC166" w14:textId="77777777" w:rsidR="00F35BAF" w:rsidRPr="00DB58B5" w:rsidRDefault="00F35BAF" w:rsidP="00C97039">
            <w:pPr>
              <w:spacing w:before="120"/>
              <w:jc w:val="center"/>
            </w:pPr>
            <w:r>
              <w:rPr>
                <w:noProof/>
                <w:lang w:eastAsia="fr-CH"/>
              </w:rPr>
              <w:drawing>
                <wp:inline distT="0" distB="0" distL="0" distR="0" wp14:anchorId="19C123A3" wp14:editId="2180D2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2E702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047634" w14:textId="77777777" w:rsidR="00F35BAF" w:rsidRDefault="00661212" w:rsidP="00C97039">
            <w:pPr>
              <w:spacing w:before="240"/>
            </w:pPr>
            <w:r>
              <w:t>Distr. générale</w:t>
            </w:r>
          </w:p>
          <w:p w14:paraId="279BEF02" w14:textId="77777777" w:rsidR="00661212" w:rsidRDefault="00661212" w:rsidP="00661212">
            <w:pPr>
              <w:spacing w:line="240" w:lineRule="exact"/>
            </w:pPr>
            <w:r>
              <w:t>6 février 2024</w:t>
            </w:r>
          </w:p>
          <w:p w14:paraId="4891E9D7" w14:textId="77777777" w:rsidR="00661212" w:rsidRDefault="00661212" w:rsidP="00661212">
            <w:pPr>
              <w:spacing w:line="240" w:lineRule="exact"/>
            </w:pPr>
            <w:r>
              <w:t>Français</w:t>
            </w:r>
          </w:p>
          <w:p w14:paraId="799132A6" w14:textId="38B350AB" w:rsidR="00661212" w:rsidRPr="00DB58B5" w:rsidRDefault="00661212" w:rsidP="00661212">
            <w:pPr>
              <w:spacing w:line="240" w:lineRule="exact"/>
            </w:pPr>
            <w:r>
              <w:t>Original : anglais</w:t>
            </w:r>
          </w:p>
        </w:tc>
      </w:tr>
    </w:tbl>
    <w:p w14:paraId="0A016F7F" w14:textId="77777777" w:rsidR="007F20FA" w:rsidRPr="000312C0" w:rsidRDefault="007F20FA" w:rsidP="007F20FA">
      <w:pPr>
        <w:spacing w:before="120"/>
        <w:rPr>
          <w:b/>
          <w:sz w:val="28"/>
          <w:szCs w:val="28"/>
        </w:rPr>
      </w:pPr>
      <w:r w:rsidRPr="000312C0">
        <w:rPr>
          <w:b/>
          <w:sz w:val="28"/>
          <w:szCs w:val="28"/>
        </w:rPr>
        <w:t>Commission économique pour l’Europe</w:t>
      </w:r>
    </w:p>
    <w:p w14:paraId="741EFF40" w14:textId="77777777" w:rsidR="007F20FA" w:rsidRDefault="007F20FA" w:rsidP="007F20FA">
      <w:pPr>
        <w:spacing w:before="120"/>
        <w:rPr>
          <w:sz w:val="28"/>
          <w:szCs w:val="28"/>
        </w:rPr>
      </w:pPr>
      <w:r w:rsidRPr="00685843">
        <w:rPr>
          <w:sz w:val="28"/>
          <w:szCs w:val="28"/>
        </w:rPr>
        <w:t>Comité des transports intérieurs</w:t>
      </w:r>
    </w:p>
    <w:p w14:paraId="5CC0A4BB" w14:textId="77777777" w:rsidR="00661212" w:rsidRDefault="0066121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57C8CCC" w14:textId="77777777" w:rsidR="00661212" w:rsidRDefault="00661212" w:rsidP="00257168">
      <w:pPr>
        <w:spacing w:before="120" w:after="120" w:line="240" w:lineRule="exact"/>
        <w:rPr>
          <w:b/>
        </w:rPr>
      </w:pPr>
      <w:r>
        <w:rPr>
          <w:b/>
        </w:rPr>
        <w:t>Groupe de travail de l’éclairage et de la signalisation lumineuse</w:t>
      </w:r>
    </w:p>
    <w:p w14:paraId="003A2215" w14:textId="77777777" w:rsidR="00661212" w:rsidRPr="00DD215A" w:rsidRDefault="00661212" w:rsidP="00661212">
      <w:pPr>
        <w:ind w:right="1134"/>
        <w:rPr>
          <w:b/>
          <w:lang w:val="fr-FR"/>
        </w:rPr>
      </w:pPr>
      <w:r>
        <w:rPr>
          <w:b/>
          <w:bCs/>
          <w:lang w:val="fr-FR"/>
        </w:rPr>
        <w:t>Quatre-vingt-dixième session</w:t>
      </w:r>
    </w:p>
    <w:p w14:paraId="513A2983" w14:textId="77777777" w:rsidR="00661212" w:rsidRPr="00DD215A" w:rsidRDefault="00661212" w:rsidP="00661212">
      <w:pPr>
        <w:ind w:right="1134"/>
        <w:rPr>
          <w:lang w:val="fr-FR"/>
        </w:rPr>
      </w:pPr>
      <w:r>
        <w:rPr>
          <w:lang w:val="fr-FR"/>
        </w:rPr>
        <w:t>Genève, 29 avril-3 mai 2024</w:t>
      </w:r>
    </w:p>
    <w:p w14:paraId="3F577509" w14:textId="77777777" w:rsidR="00661212" w:rsidRPr="00DD215A" w:rsidRDefault="00661212" w:rsidP="00661212">
      <w:pPr>
        <w:ind w:right="1134"/>
        <w:rPr>
          <w:bCs/>
          <w:lang w:val="fr-FR"/>
        </w:rPr>
      </w:pPr>
      <w:r>
        <w:rPr>
          <w:lang w:val="fr-FR"/>
        </w:rPr>
        <w:t>Point 7 a) de l’ordre du jour provisoire</w:t>
      </w:r>
    </w:p>
    <w:p w14:paraId="1931B875" w14:textId="77777777" w:rsidR="00661212" w:rsidRPr="00DD215A" w:rsidRDefault="00661212" w:rsidP="00661212">
      <w:pPr>
        <w:ind w:right="1467"/>
        <w:rPr>
          <w:b/>
          <w:bCs/>
          <w:lang w:val="fr-FR"/>
        </w:rPr>
      </w:pPr>
      <w:r>
        <w:rPr>
          <w:b/>
          <w:bCs/>
          <w:lang w:val="fr-FR"/>
        </w:rPr>
        <w:t xml:space="preserve">Règlements ONU concernant les dispositifs : </w:t>
      </w:r>
      <w:r>
        <w:rPr>
          <w:b/>
          <w:bCs/>
          <w:lang w:val="fr-FR"/>
        </w:rPr>
        <w:br/>
        <w:t>Règlement ONU n</w:t>
      </w:r>
      <w:r>
        <w:rPr>
          <w:b/>
          <w:bCs/>
          <w:vertAlign w:val="superscript"/>
          <w:lang w:val="fr-FR"/>
        </w:rPr>
        <w:t>o</w:t>
      </w:r>
      <w:r>
        <w:rPr>
          <w:b/>
          <w:bCs/>
          <w:lang w:val="fr-FR"/>
        </w:rPr>
        <w:t> 148 (Dispositifs de signalisation lumineuse)</w:t>
      </w:r>
    </w:p>
    <w:p w14:paraId="237E2058" w14:textId="77777777" w:rsidR="00661212" w:rsidRPr="00DD215A" w:rsidRDefault="00661212" w:rsidP="00661212">
      <w:pPr>
        <w:pStyle w:val="HChG"/>
        <w:rPr>
          <w:lang w:val="fr-FR"/>
        </w:rPr>
      </w:pPr>
      <w:r>
        <w:rPr>
          <w:lang w:val="fr-FR"/>
        </w:rPr>
        <w:tab/>
      </w:r>
      <w:r>
        <w:rPr>
          <w:lang w:val="fr-FR"/>
        </w:rPr>
        <w:tab/>
        <w:t>Proposition de complément aux séries 00 et 01 d’amendements au Règlement ONU n</w:t>
      </w:r>
      <w:r>
        <w:rPr>
          <w:vertAlign w:val="superscript"/>
          <w:lang w:val="fr-FR"/>
        </w:rPr>
        <w:t>o</w:t>
      </w:r>
      <w:r>
        <w:rPr>
          <w:lang w:val="fr-FR"/>
        </w:rPr>
        <w:t> 148</w:t>
      </w:r>
    </w:p>
    <w:p w14:paraId="38ABA084" w14:textId="0A238C54" w:rsidR="00661212" w:rsidRPr="00DD215A" w:rsidRDefault="00661212" w:rsidP="00661212">
      <w:pPr>
        <w:pStyle w:val="H1G"/>
        <w:rPr>
          <w:szCs w:val="24"/>
          <w:lang w:val="fr-FR"/>
        </w:rPr>
      </w:pPr>
      <w:r>
        <w:rPr>
          <w:lang w:val="fr-FR"/>
        </w:rPr>
        <w:tab/>
      </w:r>
      <w:r>
        <w:rPr>
          <w:lang w:val="fr-FR"/>
        </w:rPr>
        <w:tab/>
        <w:t>Communication des experts du Groupe de travail « Bruxelles 1952 »</w:t>
      </w:r>
      <w:r w:rsidRPr="00661212">
        <w:rPr>
          <w:rStyle w:val="Appelnotedebasdep"/>
          <w:b w:val="0"/>
          <w:bCs/>
          <w:sz w:val="20"/>
          <w:vertAlign w:val="baseline"/>
        </w:rPr>
        <w:footnoteReference w:customMarkFollows="1" w:id="2"/>
        <w:t>*</w:t>
      </w:r>
    </w:p>
    <w:p w14:paraId="2B39CBE9" w14:textId="77777777" w:rsidR="00661212" w:rsidRPr="00DD215A" w:rsidRDefault="00661212" w:rsidP="00661212">
      <w:pPr>
        <w:pStyle w:val="SingleTxtG"/>
        <w:ind w:firstLine="567"/>
        <w:rPr>
          <w:lang w:val="fr-FR"/>
        </w:rPr>
      </w:pPr>
      <w:r>
        <w:rPr>
          <w:lang w:val="fr-FR"/>
        </w:rPr>
        <w:footnoteReference w:customMarkFollows="1" w:id="3"/>
        <w:t>Le texte ci-après, établi par les experts du Groupe de travail « Bruxelles 1952 » (GTB), vise à corriger et à clarifier la fiche de communication. Les modifications qu’il est proposé d’apporter au texte actuel du Règlement ONU n</w:t>
      </w:r>
      <w:r>
        <w:rPr>
          <w:vertAlign w:val="superscript"/>
          <w:lang w:val="fr-FR"/>
        </w:rPr>
        <w:t>o</w:t>
      </w:r>
      <w:r>
        <w:rPr>
          <w:lang w:val="fr-FR"/>
        </w:rPr>
        <w:t> 148 figurent en caractères gras pour les ajouts et biffés pour les suppressions.</w:t>
      </w:r>
    </w:p>
    <w:p w14:paraId="499FC372" w14:textId="6591725B" w:rsidR="00661212" w:rsidRDefault="00661212">
      <w:pPr>
        <w:suppressAutoHyphens w:val="0"/>
        <w:kinsoku/>
        <w:overflowPunct/>
        <w:autoSpaceDE/>
        <w:autoSpaceDN/>
        <w:adjustRightInd/>
        <w:snapToGrid/>
        <w:spacing w:after="200" w:line="276" w:lineRule="auto"/>
        <w:rPr>
          <w:lang w:val="fr-FR"/>
        </w:rPr>
      </w:pPr>
      <w:r>
        <w:rPr>
          <w:lang w:val="fr-FR"/>
        </w:rPr>
        <w:br w:type="page"/>
      </w:r>
    </w:p>
    <w:p w14:paraId="50282CD5" w14:textId="77777777" w:rsidR="00661212" w:rsidRPr="00DD215A" w:rsidRDefault="00661212" w:rsidP="00661212">
      <w:pPr>
        <w:pStyle w:val="HChG"/>
        <w:rPr>
          <w:lang w:val="fr-FR"/>
        </w:rPr>
      </w:pPr>
      <w:r>
        <w:rPr>
          <w:lang w:val="fr-FR"/>
        </w:rPr>
        <w:lastRenderedPageBreak/>
        <w:tab/>
        <w:t>I.</w:t>
      </w:r>
      <w:r>
        <w:rPr>
          <w:lang w:val="fr-FR"/>
        </w:rPr>
        <w:tab/>
        <w:t>Proposition</w:t>
      </w:r>
    </w:p>
    <w:p w14:paraId="304CBF0C" w14:textId="77777777" w:rsidR="00661212" w:rsidRPr="00DD215A" w:rsidRDefault="00661212" w:rsidP="00661212">
      <w:pPr>
        <w:pStyle w:val="H1G"/>
        <w:rPr>
          <w:rFonts w:eastAsia="SimSun"/>
          <w:lang w:val="fr-FR"/>
        </w:rPr>
      </w:pPr>
      <w:r>
        <w:rPr>
          <w:lang w:val="fr-FR"/>
        </w:rPr>
        <w:tab/>
        <w:t>A.</w:t>
      </w:r>
      <w:r>
        <w:rPr>
          <w:lang w:val="fr-FR"/>
        </w:rPr>
        <w:tab/>
        <w:t>Proposition de complément à la série 00 d’amendements au Règlement ONU n</w:t>
      </w:r>
      <w:r>
        <w:rPr>
          <w:vertAlign w:val="superscript"/>
          <w:lang w:val="fr-FR"/>
        </w:rPr>
        <w:t>o</w:t>
      </w:r>
      <w:r>
        <w:rPr>
          <w:lang w:val="fr-FR"/>
        </w:rPr>
        <w:t> 148</w:t>
      </w:r>
    </w:p>
    <w:p w14:paraId="0B49F6C5" w14:textId="77777777" w:rsidR="00661212" w:rsidRPr="00DD215A" w:rsidRDefault="00661212" w:rsidP="00661212">
      <w:pPr>
        <w:pStyle w:val="SingleTxtG"/>
        <w:rPr>
          <w:lang w:val="fr-FR"/>
        </w:rPr>
      </w:pPr>
      <w:r>
        <w:rPr>
          <w:i/>
          <w:iCs/>
          <w:lang w:val="fr-FR"/>
        </w:rPr>
        <w:t>Paragraphe 5.4.1</w:t>
      </w:r>
      <w:r>
        <w:rPr>
          <w:lang w:val="fr-FR"/>
        </w:rPr>
        <w:t>, lire :</w:t>
      </w:r>
    </w:p>
    <w:p w14:paraId="2F8C9B04" w14:textId="77777777" w:rsidR="00661212" w:rsidRPr="00EB77E9" w:rsidRDefault="00661212" w:rsidP="00661212">
      <w:pPr>
        <w:pStyle w:val="SingleTxtG"/>
        <w:ind w:left="2268" w:hanging="1134"/>
      </w:pPr>
      <w:r w:rsidRPr="00EB77E9">
        <w:t>« 5.4.1</w:t>
      </w:r>
      <w:r w:rsidRPr="00EB77E9">
        <w:tab/>
      </w:r>
      <w:r w:rsidRPr="00EB77E9">
        <w:tab/>
        <w:t xml:space="preserve">La lumière émise par chacun des deux feux fournis doit satisfaire aux prescriptions du tableau 6. </w:t>
      </w:r>
    </w:p>
    <w:p w14:paraId="4023ABD0" w14:textId="77777777" w:rsidR="00661212" w:rsidRPr="00DD215A" w:rsidRDefault="00661212" w:rsidP="00661212">
      <w:pPr>
        <w:pStyle w:val="Titre1"/>
        <w:spacing w:before="120" w:after="120"/>
        <w:rPr>
          <w:b/>
          <w:bCs/>
          <w:lang w:val="fr-FR"/>
        </w:rPr>
      </w:pPr>
      <w:r>
        <w:rPr>
          <w:lang w:val="fr-FR"/>
        </w:rPr>
        <w:tab/>
        <w:t>Tableau 6</w:t>
      </w:r>
      <w:r>
        <w:rPr>
          <w:lang w:val="fr-FR"/>
        </w:rPr>
        <w:br/>
      </w:r>
      <w:r>
        <w:rPr>
          <w:b/>
          <w:bCs/>
          <w:lang w:val="fr-FR"/>
        </w:rPr>
        <w:t>Intensité lumineuse des feux de circulation diurne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661212" w:rsidRPr="004447E8" w14:paraId="1315B83C" w14:textId="77777777" w:rsidTr="00E37BFB">
        <w:trPr>
          <w:trHeight w:val="357"/>
          <w:tblHeader/>
        </w:trPr>
        <w:tc>
          <w:tcPr>
            <w:tcW w:w="3123" w:type="dxa"/>
            <w:shd w:val="clear" w:color="auto" w:fill="auto"/>
            <w:vAlign w:val="bottom"/>
          </w:tcPr>
          <w:p w14:paraId="33832FB7" w14:textId="77777777" w:rsidR="00661212" w:rsidRPr="005B3598" w:rsidRDefault="00661212" w:rsidP="00E37BFB">
            <w:pPr>
              <w:keepNext/>
              <w:keepLines/>
              <w:suppressAutoHyphens w:val="0"/>
              <w:spacing w:before="80" w:after="80" w:line="200" w:lineRule="exact"/>
              <w:ind w:left="57" w:right="57"/>
              <w:rPr>
                <w:i/>
                <w:sz w:val="16"/>
                <w:szCs w:val="16"/>
                <w:lang w:val="fr-FR"/>
              </w:rPr>
            </w:pPr>
          </w:p>
        </w:tc>
        <w:tc>
          <w:tcPr>
            <w:tcW w:w="1559" w:type="dxa"/>
            <w:shd w:val="clear" w:color="auto" w:fill="auto"/>
            <w:vAlign w:val="bottom"/>
          </w:tcPr>
          <w:p w14:paraId="4ACA6190" w14:textId="77777777" w:rsidR="00661212" w:rsidRPr="005B3598" w:rsidRDefault="00661212" w:rsidP="00E37BFB">
            <w:pPr>
              <w:keepNext/>
              <w:keepLines/>
              <w:suppressAutoHyphens w:val="0"/>
              <w:spacing w:before="80" w:after="80" w:line="200" w:lineRule="exact"/>
              <w:ind w:left="57" w:right="57"/>
              <w:jc w:val="right"/>
              <w:rPr>
                <w:i/>
                <w:sz w:val="16"/>
                <w:szCs w:val="16"/>
                <w:lang w:val="fr-FR"/>
              </w:rPr>
            </w:pPr>
            <w:r w:rsidRPr="005B3598">
              <w:rPr>
                <w:i/>
                <w:iCs/>
                <w:sz w:val="16"/>
                <w:szCs w:val="16"/>
                <w:lang w:val="fr-FR"/>
              </w:rPr>
              <w:t xml:space="preserve">Intensité lumineuse minimale en HV </w:t>
            </w:r>
            <w:r>
              <w:rPr>
                <w:i/>
                <w:iCs/>
                <w:sz w:val="16"/>
                <w:szCs w:val="16"/>
                <w:lang w:val="fr-FR"/>
              </w:rPr>
              <w:br/>
            </w:r>
            <w:r w:rsidRPr="005B3598">
              <w:rPr>
                <w:i/>
                <w:iCs/>
                <w:sz w:val="16"/>
                <w:szCs w:val="16"/>
                <w:lang w:val="fr-FR"/>
              </w:rPr>
              <w:t>(valeurs en cd)</w:t>
            </w:r>
          </w:p>
        </w:tc>
        <w:tc>
          <w:tcPr>
            <w:tcW w:w="1553" w:type="dxa"/>
            <w:shd w:val="clear" w:color="auto" w:fill="auto"/>
            <w:vAlign w:val="bottom"/>
          </w:tcPr>
          <w:p w14:paraId="510DA23C" w14:textId="77777777" w:rsidR="00661212" w:rsidRPr="005B3598" w:rsidRDefault="00661212" w:rsidP="00E37BFB">
            <w:pPr>
              <w:keepNext/>
              <w:keepLines/>
              <w:suppressAutoHyphens w:val="0"/>
              <w:spacing w:before="80" w:after="80" w:line="200" w:lineRule="exact"/>
              <w:ind w:left="57" w:right="57"/>
              <w:jc w:val="right"/>
              <w:rPr>
                <w:i/>
                <w:sz w:val="16"/>
                <w:szCs w:val="16"/>
                <w:lang w:val="fr-FR"/>
              </w:rPr>
            </w:pPr>
            <w:r w:rsidRPr="005B3598">
              <w:rPr>
                <w:i/>
                <w:iCs/>
                <w:sz w:val="16"/>
                <w:szCs w:val="16"/>
                <w:lang w:val="fr-FR"/>
              </w:rPr>
              <w:t>Intensité lumineuse maximale dans toutes les directions (valeurs en cd)</w:t>
            </w:r>
          </w:p>
        </w:tc>
      </w:tr>
      <w:tr w:rsidR="00661212" w:rsidRPr="005B3598" w14:paraId="04ACF23F" w14:textId="77777777" w:rsidTr="00E37BFB">
        <w:trPr>
          <w:trHeight w:val="48"/>
        </w:trPr>
        <w:tc>
          <w:tcPr>
            <w:tcW w:w="3123" w:type="dxa"/>
            <w:shd w:val="clear" w:color="auto" w:fill="auto"/>
          </w:tcPr>
          <w:p w14:paraId="43498082" w14:textId="77777777" w:rsidR="00661212" w:rsidRPr="005B3598" w:rsidRDefault="00661212" w:rsidP="00E37BFB">
            <w:pPr>
              <w:suppressAutoHyphens w:val="0"/>
              <w:spacing w:before="40" w:after="40" w:line="220" w:lineRule="exact"/>
              <w:ind w:left="57" w:right="57"/>
              <w:rPr>
                <w:sz w:val="18"/>
                <w:szCs w:val="18"/>
              </w:rPr>
            </w:pPr>
            <w:r w:rsidRPr="005B3598">
              <w:rPr>
                <w:sz w:val="18"/>
                <w:szCs w:val="18"/>
                <w:lang w:val="fr-FR"/>
              </w:rPr>
              <w:t>Feux de circulation diurne</w:t>
            </w:r>
          </w:p>
        </w:tc>
        <w:tc>
          <w:tcPr>
            <w:tcW w:w="1559" w:type="dxa"/>
            <w:shd w:val="clear" w:color="auto" w:fill="auto"/>
            <w:vAlign w:val="bottom"/>
          </w:tcPr>
          <w:p w14:paraId="75D3C33B" w14:textId="77777777" w:rsidR="00661212" w:rsidRPr="005B3598" w:rsidRDefault="00661212" w:rsidP="00E37BFB">
            <w:pPr>
              <w:suppressAutoHyphens w:val="0"/>
              <w:spacing w:before="40" w:after="40" w:line="220" w:lineRule="exact"/>
              <w:ind w:left="57" w:right="57"/>
              <w:jc w:val="right"/>
              <w:rPr>
                <w:sz w:val="18"/>
                <w:szCs w:val="18"/>
              </w:rPr>
            </w:pPr>
            <w:r w:rsidRPr="005B3598">
              <w:rPr>
                <w:sz w:val="18"/>
                <w:szCs w:val="18"/>
                <w:lang w:val="fr-FR"/>
              </w:rPr>
              <w:t>400</w:t>
            </w:r>
          </w:p>
        </w:tc>
        <w:tc>
          <w:tcPr>
            <w:tcW w:w="1553" w:type="dxa"/>
            <w:shd w:val="clear" w:color="auto" w:fill="auto"/>
            <w:vAlign w:val="bottom"/>
          </w:tcPr>
          <w:p w14:paraId="57F59DA0" w14:textId="77777777" w:rsidR="00661212" w:rsidRPr="005B3598" w:rsidRDefault="00661212" w:rsidP="00E37BFB">
            <w:pPr>
              <w:suppressAutoHyphens w:val="0"/>
              <w:spacing w:before="40" w:after="40" w:line="220" w:lineRule="exact"/>
              <w:ind w:left="57" w:right="57"/>
              <w:jc w:val="right"/>
              <w:rPr>
                <w:sz w:val="18"/>
                <w:szCs w:val="18"/>
              </w:rPr>
            </w:pPr>
            <w:r w:rsidRPr="005B3598">
              <w:rPr>
                <w:sz w:val="18"/>
                <w:szCs w:val="18"/>
                <w:lang w:val="fr-FR"/>
              </w:rPr>
              <w:t>1 200</w:t>
            </w:r>
          </w:p>
        </w:tc>
      </w:tr>
    </w:tbl>
    <w:p w14:paraId="79D61CAC" w14:textId="77777777" w:rsidR="00661212" w:rsidRPr="004447E8" w:rsidRDefault="00661212" w:rsidP="00661212">
      <w:pPr>
        <w:pStyle w:val="SingleTxtG"/>
        <w:spacing w:before="240"/>
        <w:ind w:left="2268" w:hanging="1134"/>
        <w:rPr>
          <w:b/>
          <w:bCs/>
        </w:rPr>
      </w:pPr>
      <w:r w:rsidRPr="004447E8">
        <w:rPr>
          <w:b/>
          <w:bCs/>
        </w:rPr>
        <w:t>5.4.1.1</w:t>
      </w:r>
      <w:r w:rsidRPr="004447E8">
        <w:tab/>
      </w:r>
      <w:r w:rsidRPr="004447E8">
        <w:rPr>
          <w:b/>
          <w:bCs/>
        </w:rPr>
        <w:t>Si l’intensité lumineuse du feu de circulation diurne est destinée à être réduite, l’intensité lumineuse maximale théorique réduite ne doit pas dépasser 140 cd.</w:t>
      </w:r>
      <w:r w:rsidRPr="004447E8">
        <w:t> ».</w:t>
      </w:r>
    </w:p>
    <w:p w14:paraId="2616DEC2" w14:textId="77777777" w:rsidR="00661212" w:rsidRPr="00DD215A" w:rsidRDefault="00661212" w:rsidP="00661212">
      <w:pPr>
        <w:pStyle w:val="SingleTxtG"/>
        <w:rPr>
          <w:i/>
          <w:iCs/>
          <w:lang w:val="fr-FR"/>
        </w:rPr>
      </w:pPr>
      <w:r>
        <w:rPr>
          <w:i/>
          <w:iCs/>
          <w:lang w:val="fr-FR"/>
        </w:rPr>
        <w:t>Annexe 1,</w:t>
      </w:r>
    </w:p>
    <w:p w14:paraId="566C7E15" w14:textId="77777777" w:rsidR="00661212" w:rsidRPr="00DD215A" w:rsidRDefault="00661212" w:rsidP="00661212">
      <w:pPr>
        <w:pStyle w:val="SingleTxtG"/>
        <w:rPr>
          <w:lang w:val="fr-FR"/>
        </w:rPr>
      </w:pPr>
      <w:r>
        <w:rPr>
          <w:i/>
          <w:iCs/>
          <w:lang w:val="fr-FR"/>
        </w:rPr>
        <w:t>Point 9.1.5</w:t>
      </w:r>
      <w:r>
        <w:rPr>
          <w:lang w:val="fr-FR"/>
        </w:rPr>
        <w:t>, lire :</w:t>
      </w:r>
    </w:p>
    <w:p w14:paraId="1B2DE205" w14:textId="77777777" w:rsidR="00661212" w:rsidRPr="00170A11" w:rsidRDefault="00661212" w:rsidP="00661212">
      <w:pPr>
        <w:pStyle w:val="SingleTxtG"/>
        <w:ind w:left="2268" w:hanging="1134"/>
      </w:pPr>
      <w:r>
        <w:t>« 9.1.5</w:t>
      </w:r>
      <w:r>
        <w:tab/>
        <w:t>Un feu de circulation diurne</w:t>
      </w:r>
    </w:p>
    <w:p w14:paraId="4A448CFE" w14:textId="77777777" w:rsidR="00661212" w:rsidRPr="00EB77E9" w:rsidRDefault="00661212" w:rsidP="00661212">
      <w:pPr>
        <w:pStyle w:val="SingleTxtG"/>
        <w:ind w:left="2268" w:hanging="1134"/>
        <w:rPr>
          <w:b/>
          <w:bCs/>
        </w:rPr>
      </w:pPr>
      <w:r w:rsidRPr="00EB77E9">
        <w:rPr>
          <w:b/>
          <w:bCs/>
        </w:rPr>
        <w:t>9.1.5.1</w:t>
      </w:r>
      <w:r w:rsidRPr="00EB77E9">
        <w:tab/>
        <w:t>L’intensité lumineuse maximale ne dépasse pas 700 cd : oui/non</w:t>
      </w:r>
    </w:p>
    <w:p w14:paraId="42E1C86F" w14:textId="77777777" w:rsidR="00661212" w:rsidRPr="000424D9" w:rsidRDefault="00661212" w:rsidP="00661212">
      <w:pPr>
        <w:pStyle w:val="SingleTxtG"/>
        <w:ind w:left="2268" w:hanging="1134"/>
        <w:rPr>
          <w:i/>
          <w:iCs/>
        </w:rPr>
      </w:pPr>
      <w:r>
        <w:rPr>
          <w:b/>
          <w:bCs/>
        </w:rPr>
        <w:t>9.1.5.2</w:t>
      </w:r>
      <w:r>
        <w:tab/>
      </w:r>
      <w:r>
        <w:rPr>
          <w:b/>
          <w:bCs/>
        </w:rPr>
        <w:t>L’intensité lumineuse du feu de circulation diurne est destinée à être réduite de sorte que l’intensité lumineuse maximale ne dépasse pas 140 cd : oui/non</w:t>
      </w:r>
      <w:r>
        <w:rPr>
          <w:b/>
          <w:bCs/>
          <w:vertAlign w:val="superscript"/>
        </w:rPr>
        <w:t>2</w:t>
      </w:r>
      <w:r>
        <w:t> ».</w:t>
      </w:r>
    </w:p>
    <w:p w14:paraId="6AD33432" w14:textId="77777777" w:rsidR="00661212" w:rsidRPr="00DD215A" w:rsidRDefault="00661212" w:rsidP="00661212">
      <w:pPr>
        <w:pStyle w:val="SingleTxtG"/>
        <w:rPr>
          <w:lang w:val="fr-FR"/>
        </w:rPr>
      </w:pPr>
      <w:r>
        <w:rPr>
          <w:i/>
          <w:iCs/>
          <w:lang w:val="fr-FR"/>
        </w:rPr>
        <w:t>Point 9.3</w:t>
      </w:r>
      <w:r>
        <w:rPr>
          <w:lang w:val="fr-FR"/>
        </w:rPr>
        <w:t>, lire :</w:t>
      </w:r>
    </w:p>
    <w:p w14:paraId="43865541" w14:textId="0E4FC9FB" w:rsidR="00661212" w:rsidRPr="00DD215A" w:rsidRDefault="00661212" w:rsidP="00661212">
      <w:pPr>
        <w:pStyle w:val="SingleTxtG"/>
        <w:ind w:left="2268" w:hanging="1134"/>
        <w:rPr>
          <w:lang w:val="fr-FR"/>
        </w:rPr>
      </w:pPr>
      <w:r>
        <w:rPr>
          <w:lang w:val="fr-FR"/>
        </w:rPr>
        <w:t>« 9.3</w:t>
      </w:r>
      <w:r>
        <w:rPr>
          <w:lang w:val="fr-FR"/>
        </w:rPr>
        <w:tab/>
        <w:t>Les feux de position avant</w:t>
      </w:r>
      <w:r>
        <w:rPr>
          <w:vertAlign w:val="superscript"/>
          <w:lang w:val="fr-FR"/>
        </w:rPr>
        <w:t>2</w:t>
      </w:r>
      <w:r>
        <w:rPr>
          <w:lang w:val="fr-FR"/>
        </w:rPr>
        <w:t>, les feux de position arrière</w:t>
      </w:r>
      <w:r>
        <w:rPr>
          <w:vertAlign w:val="superscript"/>
          <w:lang w:val="fr-FR"/>
        </w:rPr>
        <w:t>2</w:t>
      </w:r>
      <w:r>
        <w:rPr>
          <w:lang w:val="fr-FR"/>
        </w:rPr>
        <w:t>, les feux</w:t>
      </w:r>
      <w:r>
        <w:rPr>
          <w:lang w:val="fr-FR"/>
        </w:rPr>
        <w:t>-</w:t>
      </w:r>
      <w:r>
        <w:rPr>
          <w:lang w:val="fr-FR"/>
        </w:rPr>
        <w:t>stop</w:t>
      </w:r>
      <w:r>
        <w:rPr>
          <w:vertAlign w:val="superscript"/>
          <w:lang w:val="fr-FR"/>
        </w:rPr>
        <w:t>2</w:t>
      </w:r>
      <w:r>
        <w:rPr>
          <w:lang w:val="fr-FR"/>
        </w:rPr>
        <w:t>, les feux d’encombrement</w:t>
      </w:r>
      <w:r>
        <w:rPr>
          <w:vertAlign w:val="superscript"/>
          <w:lang w:val="fr-FR"/>
        </w:rPr>
        <w:t>2</w:t>
      </w:r>
      <w:r>
        <w:rPr>
          <w:b/>
          <w:bCs/>
          <w:lang w:val="fr-FR"/>
        </w:rPr>
        <w:t>,</w:t>
      </w:r>
      <w:r>
        <w:rPr>
          <w:lang w:val="fr-FR"/>
        </w:rPr>
        <w:t xml:space="preserve"> </w:t>
      </w:r>
      <w:r>
        <w:rPr>
          <w:strike/>
          <w:lang w:val="fr-FR"/>
        </w:rPr>
        <w:t xml:space="preserve">et </w:t>
      </w:r>
      <w:r>
        <w:rPr>
          <w:lang w:val="fr-FR"/>
        </w:rPr>
        <w:t>les feux de circulation diurne</w:t>
      </w:r>
      <w:r>
        <w:rPr>
          <w:vertAlign w:val="superscript"/>
          <w:lang w:val="fr-FR"/>
        </w:rPr>
        <w:t>2</w:t>
      </w:r>
      <w:r>
        <w:rPr>
          <w:b/>
          <w:bCs/>
          <w:lang w:val="fr-FR"/>
        </w:rPr>
        <w:t>, les feux de stationnement</w:t>
      </w:r>
      <w:r>
        <w:rPr>
          <w:b/>
          <w:bCs/>
          <w:vertAlign w:val="superscript"/>
          <w:lang w:val="fr-FR"/>
        </w:rPr>
        <w:t>2</w:t>
      </w:r>
      <w:r>
        <w:rPr>
          <w:b/>
          <w:bCs/>
          <w:lang w:val="fr-FR"/>
        </w:rPr>
        <w:t>, les feux de marche arrière</w:t>
      </w:r>
      <w:r>
        <w:rPr>
          <w:b/>
          <w:bCs/>
          <w:vertAlign w:val="superscript"/>
          <w:lang w:val="fr-FR"/>
        </w:rPr>
        <w:t>2</w:t>
      </w:r>
      <w:r>
        <w:rPr>
          <w:b/>
          <w:bCs/>
          <w:lang w:val="fr-FR"/>
        </w:rPr>
        <w:t>, les feux de brouillard arrière</w:t>
      </w:r>
      <w:r>
        <w:rPr>
          <w:b/>
          <w:bCs/>
          <w:vertAlign w:val="superscript"/>
          <w:lang w:val="fr-FR"/>
        </w:rPr>
        <w:t>2</w:t>
      </w:r>
      <w:r>
        <w:rPr>
          <w:b/>
          <w:bCs/>
          <w:lang w:val="fr-FR"/>
        </w:rPr>
        <w:t xml:space="preserve"> et les feux de position latéraux</w:t>
      </w:r>
      <w:r>
        <w:rPr>
          <w:b/>
          <w:bCs/>
          <w:vertAlign w:val="superscript"/>
          <w:lang w:val="fr-FR"/>
        </w:rPr>
        <w:t>2</w:t>
      </w:r>
      <w:r>
        <w:rPr>
          <w:lang w:val="fr-FR"/>
        </w:rPr>
        <w:t xml:space="preserve"> sont réservés aux véhicules équipés d’un témoin de défaillance : oui/non</w:t>
      </w:r>
      <w:r>
        <w:rPr>
          <w:vertAlign w:val="superscript"/>
          <w:lang w:val="fr-FR"/>
        </w:rPr>
        <w:t>2</w:t>
      </w:r>
      <w:r>
        <w:rPr>
          <w:lang w:val="fr-FR"/>
        </w:rPr>
        <w:t> ».</w:t>
      </w:r>
    </w:p>
    <w:p w14:paraId="13817875" w14:textId="77777777" w:rsidR="00661212" w:rsidRPr="00DD215A" w:rsidRDefault="00661212" w:rsidP="00661212">
      <w:pPr>
        <w:pStyle w:val="H1G"/>
        <w:rPr>
          <w:rFonts w:eastAsia="SimSun"/>
          <w:lang w:val="fr-FR"/>
        </w:rPr>
      </w:pPr>
      <w:r>
        <w:rPr>
          <w:lang w:val="fr-FR"/>
        </w:rPr>
        <w:tab/>
        <w:t>B.</w:t>
      </w:r>
      <w:r>
        <w:rPr>
          <w:lang w:val="fr-FR"/>
        </w:rPr>
        <w:tab/>
        <w:t>Proposition de complément à la série 01 d’amendements au Règlement ONU n</w:t>
      </w:r>
      <w:r>
        <w:rPr>
          <w:vertAlign w:val="superscript"/>
          <w:lang w:val="fr-FR"/>
        </w:rPr>
        <w:t>o</w:t>
      </w:r>
      <w:r>
        <w:rPr>
          <w:lang w:val="fr-FR"/>
        </w:rPr>
        <w:t> 148</w:t>
      </w:r>
    </w:p>
    <w:p w14:paraId="68F6CBCF" w14:textId="77777777" w:rsidR="00661212" w:rsidRPr="00DD215A" w:rsidRDefault="00661212" w:rsidP="00661212">
      <w:pPr>
        <w:pStyle w:val="SingleTxtG"/>
        <w:rPr>
          <w:lang w:val="fr-FR"/>
        </w:rPr>
      </w:pPr>
      <w:r>
        <w:rPr>
          <w:i/>
          <w:iCs/>
          <w:lang w:val="fr-FR"/>
        </w:rPr>
        <w:t>Paragraphe 5.4.1</w:t>
      </w:r>
      <w:r>
        <w:rPr>
          <w:lang w:val="fr-FR"/>
        </w:rPr>
        <w:t>, lire :</w:t>
      </w:r>
    </w:p>
    <w:p w14:paraId="5EF5C3F3" w14:textId="77777777" w:rsidR="00661212" w:rsidRDefault="00661212" w:rsidP="00661212">
      <w:pPr>
        <w:pStyle w:val="SingleTxtG"/>
        <w:ind w:left="2268" w:hanging="1134"/>
      </w:pPr>
      <w:bookmarkStart w:id="0" w:name="_Hlk127515917"/>
      <w:r>
        <w:t>« 5.4.1</w:t>
      </w:r>
      <w:r>
        <w:tab/>
        <w:t xml:space="preserve">Intensité lumineuse et répartition normalisée de la lumière : </w:t>
      </w:r>
    </w:p>
    <w:p w14:paraId="156B35DE" w14:textId="77777777" w:rsidR="00661212" w:rsidRDefault="00661212" w:rsidP="00661212">
      <w:pPr>
        <w:pStyle w:val="para"/>
        <w:ind w:firstLine="0"/>
      </w:pPr>
      <w:r>
        <w:t xml:space="preserve">La lumière émise par chacun des deux échantillons fournis doit satisfaire aux prescriptions du tableau 6. </w:t>
      </w:r>
    </w:p>
    <w:p w14:paraId="4CFE5167" w14:textId="77777777" w:rsidR="00661212" w:rsidRPr="00DD215A" w:rsidRDefault="00661212" w:rsidP="00661212">
      <w:pPr>
        <w:pStyle w:val="Titre1"/>
        <w:spacing w:before="120" w:after="120"/>
        <w:ind w:left="0"/>
        <w:rPr>
          <w:rStyle w:val="Carpredefinitoparagrafo1"/>
          <w:b/>
          <w:bCs/>
          <w:lang w:val="fr-FR"/>
        </w:rPr>
      </w:pPr>
      <w:r>
        <w:rPr>
          <w:lang w:val="fr-FR"/>
        </w:rPr>
        <w:lastRenderedPageBreak/>
        <w:t>Tableau 6</w:t>
      </w:r>
      <w:r>
        <w:rPr>
          <w:lang w:val="fr-FR"/>
        </w:rPr>
        <w:br/>
      </w:r>
      <w:r>
        <w:rPr>
          <w:b/>
          <w:bCs/>
          <w:lang w:val="fr-FR"/>
        </w:rPr>
        <w:t>Intensité lumineuse des feux de circulation diurne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7"/>
        <w:gridCol w:w="1580"/>
        <w:gridCol w:w="1245"/>
        <w:gridCol w:w="1284"/>
        <w:gridCol w:w="1483"/>
        <w:gridCol w:w="1246"/>
        <w:gridCol w:w="1284"/>
      </w:tblGrid>
      <w:tr w:rsidR="00661212" w:rsidRPr="004447E8" w14:paraId="32F3CE6A" w14:textId="77777777" w:rsidTr="00E37BFB">
        <w:trPr>
          <w:cantSplit/>
        </w:trPr>
        <w:tc>
          <w:tcPr>
            <w:tcW w:w="1339" w:type="dxa"/>
            <w:vMerge w:val="restart"/>
            <w:shd w:val="clear" w:color="auto" w:fill="auto"/>
            <w:tcMar>
              <w:top w:w="0" w:type="dxa"/>
              <w:left w:w="0" w:type="dxa"/>
              <w:bottom w:w="0" w:type="dxa"/>
              <w:right w:w="0" w:type="dxa"/>
            </w:tcMar>
            <w:vAlign w:val="bottom"/>
          </w:tcPr>
          <w:p w14:paraId="5385A865" w14:textId="77777777" w:rsidR="00661212" w:rsidRPr="00225BC9" w:rsidRDefault="00661212" w:rsidP="00E37BFB">
            <w:pPr>
              <w:keepNext/>
              <w:spacing w:before="80" w:after="80" w:line="200" w:lineRule="exact"/>
              <w:ind w:left="57" w:right="57"/>
              <w:rPr>
                <w:b/>
                <w:bCs/>
                <w:i/>
                <w:iCs/>
                <w:sz w:val="16"/>
                <w:szCs w:val="16"/>
              </w:rPr>
            </w:pPr>
            <w:r w:rsidRPr="00225BC9">
              <w:rPr>
                <w:b/>
                <w:bCs/>
                <w:i/>
                <w:iCs/>
                <w:sz w:val="16"/>
                <w:szCs w:val="16"/>
                <w:lang w:val="fr-FR"/>
              </w:rPr>
              <w:t>Feu de circulation diurne</w:t>
            </w:r>
          </w:p>
        </w:tc>
        <w:tc>
          <w:tcPr>
            <w:tcW w:w="1396" w:type="dxa"/>
            <w:vMerge w:val="restart"/>
            <w:shd w:val="clear" w:color="auto" w:fill="auto"/>
            <w:vAlign w:val="bottom"/>
          </w:tcPr>
          <w:p w14:paraId="499A0B93" w14:textId="144704B8" w:rsidR="00661212" w:rsidRPr="00225BC9" w:rsidRDefault="00661212" w:rsidP="00E37BFB">
            <w:pPr>
              <w:keepNext/>
              <w:spacing w:before="80" w:after="80" w:line="200" w:lineRule="exact"/>
              <w:ind w:left="57" w:right="57"/>
              <w:jc w:val="right"/>
              <w:rPr>
                <w:b/>
                <w:bCs/>
                <w:i/>
                <w:iCs/>
                <w:sz w:val="16"/>
                <w:szCs w:val="16"/>
                <w:lang w:val="fr-FR"/>
              </w:rPr>
            </w:pPr>
            <w:r w:rsidRPr="00225BC9">
              <w:rPr>
                <w:b/>
                <w:bCs/>
                <w:i/>
                <w:iCs/>
                <w:sz w:val="16"/>
                <w:szCs w:val="16"/>
                <w:lang w:val="fr-FR"/>
              </w:rPr>
              <w:t xml:space="preserve">Intensité lumineuse minimale en cd </w:t>
            </w:r>
            <w:r>
              <w:rPr>
                <w:b/>
                <w:bCs/>
                <w:i/>
                <w:iCs/>
                <w:sz w:val="16"/>
                <w:szCs w:val="16"/>
                <w:lang w:val="fr-FR"/>
              </w:rPr>
              <w:br/>
            </w:r>
            <w:r w:rsidRPr="00225BC9">
              <w:rPr>
                <w:b/>
                <w:bCs/>
                <w:i/>
                <w:iCs/>
                <w:sz w:val="16"/>
                <w:szCs w:val="16"/>
                <w:lang w:val="fr-FR"/>
              </w:rPr>
              <w:t>(par. 4.8.3.1 a))</w:t>
            </w:r>
            <w:r w:rsidRPr="00225BC9">
              <w:rPr>
                <w:sz w:val="16"/>
                <w:szCs w:val="16"/>
                <w:lang w:val="fr-FR"/>
              </w:rPr>
              <w:t xml:space="preserve"> </w:t>
            </w:r>
          </w:p>
        </w:tc>
        <w:tc>
          <w:tcPr>
            <w:tcW w:w="2234" w:type="dxa"/>
            <w:gridSpan w:val="2"/>
            <w:shd w:val="clear" w:color="auto" w:fill="auto"/>
            <w:tcMar>
              <w:top w:w="0" w:type="dxa"/>
              <w:left w:w="0" w:type="dxa"/>
              <w:bottom w:w="0" w:type="dxa"/>
              <w:right w:w="0" w:type="dxa"/>
            </w:tcMar>
            <w:vAlign w:val="bottom"/>
          </w:tcPr>
          <w:p w14:paraId="35BADAEC" w14:textId="038CBC92" w:rsidR="00661212" w:rsidRPr="004447E8" w:rsidRDefault="00661212" w:rsidP="00E37BFB">
            <w:pPr>
              <w:keepNext/>
              <w:spacing w:before="80" w:after="80" w:line="200" w:lineRule="exact"/>
              <w:ind w:left="57" w:right="57"/>
              <w:jc w:val="center"/>
              <w:rPr>
                <w:b/>
                <w:bCs/>
                <w:i/>
                <w:iCs/>
                <w:sz w:val="16"/>
                <w:szCs w:val="16"/>
              </w:rPr>
            </w:pPr>
            <w:r w:rsidRPr="00225BC9">
              <w:rPr>
                <w:b/>
                <w:bCs/>
                <w:i/>
                <w:iCs/>
                <w:sz w:val="16"/>
                <w:szCs w:val="16"/>
                <w:lang w:val="fr-FR"/>
              </w:rPr>
              <w:t xml:space="preserve">Intensité lumineuse maximale </w:t>
            </w:r>
            <w:r>
              <w:rPr>
                <w:b/>
                <w:bCs/>
                <w:i/>
                <w:iCs/>
                <w:sz w:val="16"/>
                <w:szCs w:val="16"/>
                <w:lang w:val="fr-FR"/>
              </w:rPr>
              <w:br/>
            </w:r>
            <w:r w:rsidRPr="00225BC9">
              <w:rPr>
                <w:b/>
                <w:bCs/>
                <w:i/>
                <w:iCs/>
                <w:sz w:val="16"/>
                <w:szCs w:val="16"/>
                <w:lang w:val="fr-FR"/>
              </w:rPr>
              <w:t>(en cd) lorsque le feu est utilisé</w:t>
            </w:r>
            <w:r>
              <w:rPr>
                <w:b/>
                <w:bCs/>
                <w:i/>
                <w:iCs/>
                <w:sz w:val="16"/>
                <w:szCs w:val="16"/>
                <w:lang w:val="fr-FR"/>
              </w:rPr>
              <w:br/>
            </w:r>
            <w:r w:rsidRPr="00225BC9">
              <w:rPr>
                <w:b/>
                <w:bCs/>
                <w:i/>
                <w:iCs/>
                <w:sz w:val="16"/>
                <w:szCs w:val="16"/>
                <w:lang w:val="fr-FR"/>
              </w:rPr>
              <w:t>(par. 4.8.3.1 b))</w:t>
            </w:r>
          </w:p>
        </w:tc>
        <w:tc>
          <w:tcPr>
            <w:tcW w:w="1310" w:type="dxa"/>
            <w:vMerge w:val="restart"/>
            <w:shd w:val="clear" w:color="auto" w:fill="auto"/>
            <w:tcMar>
              <w:top w:w="0" w:type="dxa"/>
              <w:left w:w="0" w:type="dxa"/>
              <w:bottom w:w="0" w:type="dxa"/>
              <w:right w:w="0" w:type="dxa"/>
            </w:tcMar>
            <w:vAlign w:val="bottom"/>
          </w:tcPr>
          <w:p w14:paraId="5C6D6560" w14:textId="77777777" w:rsidR="00661212" w:rsidRPr="00225BC9" w:rsidRDefault="00661212" w:rsidP="00E37BFB">
            <w:pPr>
              <w:keepNext/>
              <w:spacing w:before="80" w:after="80" w:line="200" w:lineRule="exact"/>
              <w:ind w:left="57" w:right="57"/>
              <w:jc w:val="right"/>
              <w:rPr>
                <w:b/>
                <w:bCs/>
                <w:i/>
                <w:iCs/>
                <w:sz w:val="16"/>
                <w:szCs w:val="16"/>
                <w:lang w:val="fr-FR"/>
              </w:rPr>
            </w:pPr>
            <w:r w:rsidRPr="00225BC9">
              <w:rPr>
                <w:b/>
                <w:bCs/>
                <w:i/>
                <w:iCs/>
                <w:sz w:val="16"/>
                <w:szCs w:val="16"/>
                <w:lang w:val="fr-FR"/>
              </w:rPr>
              <w:t>Répartition normalisée de la lumière</w:t>
            </w:r>
            <w:r>
              <w:rPr>
                <w:b/>
                <w:bCs/>
                <w:i/>
                <w:iCs/>
                <w:sz w:val="16"/>
                <w:szCs w:val="16"/>
                <w:lang w:val="fr-FR"/>
              </w:rPr>
              <w:br/>
            </w:r>
            <w:r w:rsidRPr="00225BC9">
              <w:rPr>
                <w:b/>
                <w:bCs/>
                <w:i/>
                <w:iCs/>
                <w:sz w:val="16"/>
                <w:szCs w:val="16"/>
                <w:lang w:val="fr-FR"/>
              </w:rPr>
              <w:t>(par. 4.8.3.1 c))</w:t>
            </w:r>
            <w:r w:rsidRPr="00225BC9">
              <w:rPr>
                <w:sz w:val="16"/>
                <w:szCs w:val="16"/>
                <w:lang w:val="fr-FR"/>
              </w:rPr>
              <w:t xml:space="preserve"> </w:t>
            </w:r>
          </w:p>
        </w:tc>
        <w:tc>
          <w:tcPr>
            <w:tcW w:w="2235" w:type="dxa"/>
            <w:gridSpan w:val="2"/>
            <w:shd w:val="clear" w:color="auto" w:fill="auto"/>
            <w:tcMar>
              <w:top w:w="0" w:type="dxa"/>
              <w:left w:w="0" w:type="dxa"/>
              <w:bottom w:w="0" w:type="dxa"/>
              <w:right w:w="0" w:type="dxa"/>
            </w:tcMar>
            <w:vAlign w:val="bottom"/>
          </w:tcPr>
          <w:p w14:paraId="6BD70550" w14:textId="77777777" w:rsidR="00661212" w:rsidRPr="00225BC9" w:rsidRDefault="00661212" w:rsidP="00E37BFB">
            <w:pPr>
              <w:keepNext/>
              <w:spacing w:before="80" w:after="80" w:line="200" w:lineRule="exact"/>
              <w:ind w:left="57" w:right="57"/>
              <w:jc w:val="center"/>
              <w:rPr>
                <w:b/>
                <w:bCs/>
                <w:i/>
                <w:iCs/>
                <w:sz w:val="16"/>
                <w:szCs w:val="16"/>
                <w:lang w:val="fr-FR"/>
              </w:rPr>
            </w:pPr>
            <w:r w:rsidRPr="00225BC9">
              <w:rPr>
                <w:b/>
                <w:bCs/>
                <w:i/>
                <w:iCs/>
                <w:sz w:val="16"/>
                <w:szCs w:val="16"/>
                <w:lang w:val="fr-FR"/>
              </w:rPr>
              <w:t>Angles de visibilité géométrique</w:t>
            </w:r>
            <w:r>
              <w:rPr>
                <w:b/>
                <w:bCs/>
                <w:i/>
                <w:iCs/>
                <w:sz w:val="16"/>
                <w:szCs w:val="16"/>
                <w:lang w:val="fr-FR"/>
              </w:rPr>
              <w:br/>
            </w:r>
            <w:r w:rsidRPr="00225BC9">
              <w:rPr>
                <w:b/>
                <w:bCs/>
                <w:i/>
                <w:iCs/>
                <w:sz w:val="16"/>
                <w:szCs w:val="16"/>
                <w:lang w:val="fr-FR"/>
              </w:rPr>
              <w:t>(par. 4.8.3.1 d))</w:t>
            </w:r>
          </w:p>
        </w:tc>
      </w:tr>
      <w:tr w:rsidR="00661212" w:rsidRPr="004447E8" w14:paraId="26C37D48" w14:textId="77777777" w:rsidTr="00E37BFB">
        <w:trPr>
          <w:cantSplit/>
          <w:trHeight w:val="860"/>
        </w:trPr>
        <w:tc>
          <w:tcPr>
            <w:tcW w:w="1339" w:type="dxa"/>
            <w:vMerge/>
            <w:shd w:val="clear" w:color="auto" w:fill="auto"/>
            <w:tcMar>
              <w:top w:w="28" w:type="dxa"/>
              <w:left w:w="28" w:type="dxa"/>
              <w:bottom w:w="28" w:type="dxa"/>
              <w:right w:w="28" w:type="dxa"/>
            </w:tcMar>
            <w:vAlign w:val="center"/>
          </w:tcPr>
          <w:p w14:paraId="4E429831" w14:textId="77777777" w:rsidR="00661212" w:rsidRPr="00DD215A" w:rsidRDefault="00661212" w:rsidP="00E37BFB">
            <w:pPr>
              <w:pStyle w:val="Normale1"/>
              <w:keepNext/>
              <w:spacing w:before="80" w:after="80" w:line="200" w:lineRule="exact"/>
              <w:ind w:left="57" w:right="57"/>
              <w:jc w:val="center"/>
              <w:rPr>
                <w:b/>
                <w:bCs/>
                <w:i/>
                <w:iCs/>
                <w:sz w:val="18"/>
                <w:szCs w:val="18"/>
                <w:lang w:val="fr-FR"/>
              </w:rPr>
            </w:pPr>
          </w:p>
        </w:tc>
        <w:tc>
          <w:tcPr>
            <w:tcW w:w="1396" w:type="dxa"/>
            <w:vMerge/>
            <w:shd w:val="clear" w:color="auto" w:fill="auto"/>
            <w:vAlign w:val="center"/>
          </w:tcPr>
          <w:p w14:paraId="6BD567EA" w14:textId="77777777" w:rsidR="00661212" w:rsidRPr="00DD215A" w:rsidRDefault="00661212" w:rsidP="00E37BFB">
            <w:pPr>
              <w:pStyle w:val="Normale1"/>
              <w:keepNext/>
              <w:spacing w:before="80" w:after="80" w:line="200" w:lineRule="exact"/>
              <w:ind w:left="57" w:right="57"/>
              <w:jc w:val="center"/>
              <w:rPr>
                <w:b/>
                <w:bCs/>
                <w:i/>
                <w:iCs/>
                <w:sz w:val="18"/>
                <w:szCs w:val="18"/>
                <w:lang w:val="fr-FR"/>
              </w:rPr>
            </w:pPr>
          </w:p>
        </w:tc>
        <w:tc>
          <w:tcPr>
            <w:tcW w:w="1100" w:type="dxa"/>
            <w:shd w:val="clear" w:color="auto" w:fill="auto"/>
            <w:tcMar>
              <w:top w:w="0" w:type="dxa"/>
              <w:left w:w="0" w:type="dxa"/>
              <w:bottom w:w="0" w:type="dxa"/>
              <w:right w:w="0" w:type="dxa"/>
            </w:tcMar>
            <w:vAlign w:val="bottom"/>
          </w:tcPr>
          <w:p w14:paraId="75006D39" w14:textId="77777777" w:rsidR="00661212" w:rsidRPr="00225BC9" w:rsidRDefault="00661212" w:rsidP="00E37BFB">
            <w:pPr>
              <w:keepNext/>
              <w:spacing w:before="80" w:after="80" w:line="200" w:lineRule="exact"/>
              <w:ind w:left="57" w:right="57"/>
              <w:jc w:val="right"/>
              <w:rPr>
                <w:b/>
                <w:bCs/>
                <w:i/>
                <w:iCs/>
                <w:sz w:val="16"/>
                <w:szCs w:val="16"/>
              </w:rPr>
            </w:pPr>
            <w:r w:rsidRPr="00225BC9">
              <w:rPr>
                <w:b/>
                <w:bCs/>
                <w:i/>
                <w:iCs/>
                <w:sz w:val="16"/>
                <w:szCs w:val="16"/>
                <w:lang w:val="fr-FR"/>
              </w:rPr>
              <w:t>Comme feu simple</w:t>
            </w:r>
          </w:p>
        </w:tc>
        <w:tc>
          <w:tcPr>
            <w:tcW w:w="1134" w:type="dxa"/>
            <w:shd w:val="clear" w:color="auto" w:fill="auto"/>
            <w:tcMar>
              <w:top w:w="0" w:type="dxa"/>
              <w:left w:w="0" w:type="dxa"/>
              <w:bottom w:w="0" w:type="dxa"/>
              <w:right w:w="0" w:type="dxa"/>
            </w:tcMar>
            <w:vAlign w:val="bottom"/>
          </w:tcPr>
          <w:p w14:paraId="2C6B0F3B" w14:textId="77777777" w:rsidR="00661212" w:rsidRPr="00225BC9" w:rsidRDefault="00661212" w:rsidP="00E37BFB">
            <w:pPr>
              <w:keepNext/>
              <w:spacing w:before="80" w:after="80" w:line="200" w:lineRule="exact"/>
              <w:ind w:left="57" w:right="57"/>
              <w:jc w:val="right"/>
              <w:rPr>
                <w:b/>
                <w:bCs/>
                <w:i/>
                <w:iCs/>
                <w:sz w:val="16"/>
                <w:szCs w:val="16"/>
                <w:lang w:val="fr-FR"/>
              </w:rPr>
            </w:pPr>
            <w:r w:rsidRPr="00225BC9">
              <w:rPr>
                <w:b/>
                <w:bCs/>
                <w:i/>
                <w:iCs/>
                <w:sz w:val="16"/>
                <w:szCs w:val="16"/>
                <w:lang w:val="fr-FR"/>
              </w:rPr>
              <w:t>Comme feu portant la marque “D” (par. 3.3.2.5.2)</w:t>
            </w:r>
          </w:p>
        </w:tc>
        <w:tc>
          <w:tcPr>
            <w:tcW w:w="1310" w:type="dxa"/>
            <w:vMerge/>
            <w:shd w:val="clear" w:color="auto" w:fill="auto"/>
            <w:tcMar>
              <w:top w:w="28" w:type="dxa"/>
              <w:left w:w="28" w:type="dxa"/>
              <w:bottom w:w="28" w:type="dxa"/>
              <w:right w:w="28" w:type="dxa"/>
            </w:tcMar>
            <w:vAlign w:val="center"/>
          </w:tcPr>
          <w:p w14:paraId="22341716" w14:textId="77777777" w:rsidR="00661212" w:rsidRPr="00225BC9" w:rsidRDefault="00661212" w:rsidP="00E37BFB">
            <w:pPr>
              <w:pStyle w:val="Normale1"/>
              <w:keepNext/>
              <w:spacing w:before="80" w:after="80" w:line="200" w:lineRule="exact"/>
              <w:ind w:left="57" w:right="57"/>
              <w:jc w:val="center"/>
              <w:rPr>
                <w:b/>
                <w:bCs/>
                <w:i/>
                <w:iCs/>
                <w:sz w:val="16"/>
                <w:szCs w:val="16"/>
                <w:lang w:val="fr-FR"/>
              </w:rPr>
            </w:pPr>
          </w:p>
        </w:tc>
        <w:tc>
          <w:tcPr>
            <w:tcW w:w="1101" w:type="dxa"/>
            <w:shd w:val="clear" w:color="auto" w:fill="auto"/>
            <w:tcMar>
              <w:top w:w="0" w:type="dxa"/>
              <w:left w:w="0" w:type="dxa"/>
              <w:bottom w:w="0" w:type="dxa"/>
              <w:right w:w="0" w:type="dxa"/>
            </w:tcMar>
            <w:vAlign w:val="bottom"/>
          </w:tcPr>
          <w:p w14:paraId="436679DD" w14:textId="77777777" w:rsidR="00661212" w:rsidRPr="00225BC9" w:rsidRDefault="00661212" w:rsidP="00E37BFB">
            <w:pPr>
              <w:pStyle w:val="Normale1"/>
              <w:keepNext/>
              <w:spacing w:before="80" w:after="80" w:line="200" w:lineRule="exact"/>
              <w:ind w:left="57" w:right="57"/>
              <w:jc w:val="right"/>
              <w:rPr>
                <w:b/>
                <w:bCs/>
                <w:i/>
                <w:iCs/>
                <w:sz w:val="16"/>
                <w:szCs w:val="16"/>
              </w:rPr>
            </w:pPr>
            <w:r w:rsidRPr="00225BC9">
              <w:rPr>
                <w:b/>
                <w:bCs/>
                <w:i/>
                <w:iCs/>
                <w:sz w:val="16"/>
                <w:szCs w:val="16"/>
                <w:lang w:val="fr-FR"/>
              </w:rPr>
              <w:t>Définition</w:t>
            </w:r>
          </w:p>
        </w:tc>
        <w:tc>
          <w:tcPr>
            <w:tcW w:w="1134" w:type="dxa"/>
            <w:shd w:val="clear" w:color="auto" w:fill="auto"/>
            <w:tcMar>
              <w:top w:w="0" w:type="dxa"/>
              <w:left w:w="0" w:type="dxa"/>
              <w:bottom w:w="0" w:type="dxa"/>
              <w:right w:w="0" w:type="dxa"/>
            </w:tcMar>
            <w:vAlign w:val="bottom"/>
          </w:tcPr>
          <w:p w14:paraId="4D5DE914" w14:textId="77777777" w:rsidR="00661212" w:rsidRPr="00225BC9" w:rsidRDefault="00661212" w:rsidP="00E37BFB">
            <w:pPr>
              <w:pStyle w:val="Normale1"/>
              <w:keepNext/>
              <w:spacing w:before="80" w:after="80" w:line="200" w:lineRule="exact"/>
              <w:ind w:left="57" w:right="57"/>
              <w:jc w:val="right"/>
              <w:rPr>
                <w:rStyle w:val="Carpredefinitoparagrafo1"/>
                <w:b/>
                <w:bCs/>
                <w:i/>
                <w:iCs/>
                <w:sz w:val="16"/>
                <w:szCs w:val="16"/>
                <w:shd w:val="clear" w:color="auto" w:fill="FFFF00"/>
                <w:lang w:val="fr-FR"/>
              </w:rPr>
            </w:pPr>
            <w:r w:rsidRPr="00225BC9">
              <w:rPr>
                <w:b/>
                <w:bCs/>
                <w:i/>
                <w:iCs/>
                <w:sz w:val="16"/>
                <w:szCs w:val="16"/>
                <w:lang w:val="fr-FR"/>
              </w:rPr>
              <w:t>Intensité lumineuse minimale en cd</w:t>
            </w:r>
          </w:p>
        </w:tc>
      </w:tr>
      <w:tr w:rsidR="00661212" w:rsidRPr="004D7205" w14:paraId="5869D325" w14:textId="77777777" w:rsidTr="00E37BFB">
        <w:trPr>
          <w:cantSplit/>
        </w:trPr>
        <w:tc>
          <w:tcPr>
            <w:tcW w:w="1339" w:type="dxa"/>
            <w:shd w:val="clear" w:color="auto" w:fill="auto"/>
            <w:tcMar>
              <w:top w:w="0" w:type="dxa"/>
              <w:left w:w="0" w:type="dxa"/>
              <w:bottom w:w="0" w:type="dxa"/>
              <w:right w:w="0" w:type="dxa"/>
            </w:tcMar>
            <w:vAlign w:val="bottom"/>
          </w:tcPr>
          <w:p w14:paraId="34AA04E7" w14:textId="77777777" w:rsidR="00661212" w:rsidRPr="004D7205" w:rsidRDefault="00661212" w:rsidP="00E37BFB">
            <w:pPr>
              <w:keepNext/>
              <w:spacing w:before="120" w:after="120"/>
              <w:ind w:left="57" w:right="57"/>
              <w:rPr>
                <w:sz w:val="18"/>
                <w:szCs w:val="18"/>
              </w:rPr>
            </w:pPr>
            <w:r w:rsidRPr="004D7205">
              <w:rPr>
                <w:sz w:val="18"/>
                <w:szCs w:val="18"/>
                <w:lang w:val="fr-FR"/>
              </w:rPr>
              <w:t>RL</w:t>
            </w:r>
          </w:p>
        </w:tc>
        <w:tc>
          <w:tcPr>
            <w:tcW w:w="1396" w:type="dxa"/>
            <w:shd w:val="clear" w:color="auto" w:fill="auto"/>
            <w:tcMar>
              <w:top w:w="0" w:type="dxa"/>
              <w:left w:w="0" w:type="dxa"/>
              <w:bottom w:w="0" w:type="dxa"/>
              <w:right w:w="0" w:type="dxa"/>
            </w:tcMar>
            <w:vAlign w:val="bottom"/>
          </w:tcPr>
          <w:p w14:paraId="798AF246" w14:textId="77777777" w:rsidR="00661212" w:rsidRPr="004D7205" w:rsidRDefault="00661212" w:rsidP="00E37BFB">
            <w:pPr>
              <w:keepNext/>
              <w:spacing w:before="120" w:after="120"/>
              <w:ind w:left="57" w:right="57"/>
              <w:jc w:val="right"/>
              <w:rPr>
                <w:sz w:val="18"/>
                <w:szCs w:val="18"/>
              </w:rPr>
            </w:pPr>
            <w:r w:rsidRPr="004D7205">
              <w:rPr>
                <w:sz w:val="18"/>
                <w:szCs w:val="18"/>
                <w:lang w:val="fr-FR"/>
              </w:rPr>
              <w:t>4,00∙10</w:t>
            </w:r>
            <w:r w:rsidRPr="004D7205">
              <w:rPr>
                <w:sz w:val="18"/>
                <w:szCs w:val="18"/>
                <w:vertAlign w:val="superscript"/>
                <w:lang w:val="fr-FR"/>
              </w:rPr>
              <w:t>2</w:t>
            </w:r>
          </w:p>
        </w:tc>
        <w:tc>
          <w:tcPr>
            <w:tcW w:w="1100" w:type="dxa"/>
            <w:shd w:val="clear" w:color="auto" w:fill="auto"/>
            <w:tcMar>
              <w:top w:w="0" w:type="dxa"/>
              <w:left w:w="0" w:type="dxa"/>
              <w:bottom w:w="0" w:type="dxa"/>
              <w:right w:w="0" w:type="dxa"/>
            </w:tcMar>
            <w:vAlign w:val="bottom"/>
          </w:tcPr>
          <w:p w14:paraId="627D57E5" w14:textId="77777777" w:rsidR="00661212" w:rsidRPr="004D7205" w:rsidRDefault="00661212" w:rsidP="00E37BFB">
            <w:pPr>
              <w:keepNext/>
              <w:spacing w:before="120" w:after="120"/>
              <w:ind w:left="57" w:right="57"/>
              <w:jc w:val="right"/>
              <w:rPr>
                <w:sz w:val="18"/>
                <w:szCs w:val="18"/>
              </w:rPr>
            </w:pPr>
            <w:r w:rsidRPr="004D7205">
              <w:rPr>
                <w:sz w:val="18"/>
                <w:szCs w:val="18"/>
                <w:lang w:val="fr-FR"/>
              </w:rPr>
              <w:t>1,20∙10</w:t>
            </w:r>
            <w:r w:rsidRPr="004D7205">
              <w:rPr>
                <w:sz w:val="18"/>
                <w:szCs w:val="18"/>
                <w:vertAlign w:val="superscript"/>
                <w:lang w:val="fr-FR"/>
              </w:rPr>
              <w:t>3</w:t>
            </w:r>
          </w:p>
        </w:tc>
        <w:tc>
          <w:tcPr>
            <w:tcW w:w="1134" w:type="dxa"/>
            <w:shd w:val="clear" w:color="auto" w:fill="auto"/>
            <w:tcMar>
              <w:top w:w="0" w:type="dxa"/>
              <w:left w:w="0" w:type="dxa"/>
              <w:bottom w:w="0" w:type="dxa"/>
              <w:right w:w="0" w:type="dxa"/>
            </w:tcMar>
            <w:vAlign w:val="bottom"/>
          </w:tcPr>
          <w:p w14:paraId="7DA1DEC1" w14:textId="77777777" w:rsidR="00661212" w:rsidRPr="004D7205" w:rsidRDefault="00661212" w:rsidP="00E37BFB">
            <w:pPr>
              <w:keepNext/>
              <w:spacing w:before="120" w:after="120"/>
              <w:ind w:left="57" w:right="57"/>
              <w:jc w:val="right"/>
              <w:rPr>
                <w:sz w:val="18"/>
                <w:szCs w:val="18"/>
              </w:rPr>
            </w:pPr>
            <w:r w:rsidRPr="004D7205">
              <w:rPr>
                <w:sz w:val="18"/>
                <w:szCs w:val="18"/>
                <w:lang w:val="fr-FR"/>
              </w:rPr>
              <w:t>6,00∙10²</w:t>
            </w:r>
          </w:p>
        </w:tc>
        <w:tc>
          <w:tcPr>
            <w:tcW w:w="1310" w:type="dxa"/>
            <w:shd w:val="clear" w:color="auto" w:fill="auto"/>
            <w:tcMar>
              <w:top w:w="0" w:type="dxa"/>
              <w:left w:w="0" w:type="dxa"/>
              <w:bottom w:w="0" w:type="dxa"/>
              <w:right w:w="0" w:type="dxa"/>
            </w:tcMar>
            <w:vAlign w:val="bottom"/>
          </w:tcPr>
          <w:p w14:paraId="45EB87E7" w14:textId="77777777" w:rsidR="00661212" w:rsidRPr="004D7205" w:rsidRDefault="00661212" w:rsidP="00E37BFB">
            <w:pPr>
              <w:keepNext/>
              <w:spacing w:before="120" w:after="120"/>
              <w:ind w:left="57" w:right="57"/>
              <w:jc w:val="right"/>
              <w:rPr>
                <w:sz w:val="18"/>
                <w:szCs w:val="18"/>
              </w:rPr>
            </w:pPr>
            <w:r w:rsidRPr="004D7205">
              <w:rPr>
                <w:sz w:val="18"/>
                <w:szCs w:val="18"/>
                <w:lang w:val="fr-FR"/>
              </w:rPr>
              <w:t>Figure</w:t>
            </w:r>
            <w:r>
              <w:rPr>
                <w:sz w:val="18"/>
                <w:szCs w:val="18"/>
                <w:lang w:val="fr-FR"/>
              </w:rPr>
              <w:t> </w:t>
            </w:r>
            <w:r w:rsidRPr="004D7205">
              <w:rPr>
                <w:sz w:val="18"/>
                <w:szCs w:val="18"/>
                <w:lang w:val="fr-FR"/>
              </w:rPr>
              <w:t>A3-II</w:t>
            </w:r>
          </w:p>
        </w:tc>
        <w:tc>
          <w:tcPr>
            <w:tcW w:w="1101" w:type="dxa"/>
            <w:shd w:val="clear" w:color="auto" w:fill="auto"/>
            <w:tcMar>
              <w:top w:w="0" w:type="dxa"/>
              <w:left w:w="0" w:type="dxa"/>
              <w:bottom w:w="0" w:type="dxa"/>
              <w:right w:w="0" w:type="dxa"/>
            </w:tcMar>
            <w:vAlign w:val="bottom"/>
          </w:tcPr>
          <w:p w14:paraId="77C97112" w14:textId="77777777" w:rsidR="00661212" w:rsidRPr="004D7205" w:rsidRDefault="00661212" w:rsidP="00E37BFB">
            <w:pPr>
              <w:keepNext/>
              <w:spacing w:before="120" w:after="120"/>
              <w:ind w:left="57" w:right="57"/>
              <w:jc w:val="right"/>
              <w:rPr>
                <w:sz w:val="18"/>
                <w:szCs w:val="18"/>
              </w:rPr>
            </w:pPr>
            <w:r w:rsidRPr="004D7205">
              <w:rPr>
                <w:sz w:val="18"/>
                <w:szCs w:val="18"/>
                <w:lang w:val="fr-FR"/>
              </w:rPr>
              <w:t>Tableau</w:t>
            </w:r>
            <w:r>
              <w:rPr>
                <w:sz w:val="18"/>
                <w:szCs w:val="18"/>
                <w:lang w:val="fr-FR"/>
              </w:rPr>
              <w:t> </w:t>
            </w:r>
            <w:r w:rsidRPr="004D7205">
              <w:rPr>
                <w:sz w:val="18"/>
                <w:szCs w:val="18"/>
                <w:lang w:val="fr-FR"/>
              </w:rPr>
              <w:t>A2-1</w:t>
            </w:r>
          </w:p>
        </w:tc>
        <w:tc>
          <w:tcPr>
            <w:tcW w:w="1134" w:type="dxa"/>
            <w:shd w:val="clear" w:color="auto" w:fill="auto"/>
            <w:tcMar>
              <w:top w:w="0" w:type="dxa"/>
              <w:left w:w="0" w:type="dxa"/>
              <w:bottom w:w="0" w:type="dxa"/>
              <w:right w:w="0" w:type="dxa"/>
            </w:tcMar>
            <w:vAlign w:val="bottom"/>
          </w:tcPr>
          <w:p w14:paraId="0603BCAC" w14:textId="77777777" w:rsidR="00661212" w:rsidRPr="004D7205" w:rsidRDefault="00661212" w:rsidP="00E37BFB">
            <w:pPr>
              <w:keepNext/>
              <w:spacing w:before="120" w:after="120"/>
              <w:ind w:left="57" w:right="57"/>
              <w:jc w:val="right"/>
              <w:rPr>
                <w:sz w:val="18"/>
                <w:szCs w:val="18"/>
              </w:rPr>
            </w:pPr>
            <w:r w:rsidRPr="004D7205">
              <w:rPr>
                <w:sz w:val="18"/>
                <w:szCs w:val="18"/>
                <w:lang w:val="fr-FR"/>
              </w:rPr>
              <w:t>1,0∙10</w:t>
            </w:r>
            <w:r w:rsidRPr="004D7205">
              <w:rPr>
                <w:sz w:val="18"/>
                <w:szCs w:val="18"/>
                <w:vertAlign w:val="superscript"/>
                <w:lang w:val="fr-FR"/>
              </w:rPr>
              <w:t>0</w:t>
            </w:r>
          </w:p>
        </w:tc>
      </w:tr>
    </w:tbl>
    <w:p w14:paraId="6ED62946" w14:textId="77777777" w:rsidR="00661212" w:rsidRPr="004447E8" w:rsidRDefault="00661212" w:rsidP="00661212">
      <w:pPr>
        <w:pStyle w:val="SingleTxtG"/>
        <w:spacing w:before="240"/>
        <w:ind w:left="2268" w:hanging="1134"/>
        <w:rPr>
          <w:i/>
          <w:iCs/>
        </w:rPr>
      </w:pPr>
      <w:r w:rsidRPr="004447E8">
        <w:rPr>
          <w:b/>
          <w:bCs/>
        </w:rPr>
        <w:t>5.4.1.1</w:t>
      </w:r>
      <w:r w:rsidRPr="004447E8">
        <w:tab/>
      </w:r>
      <w:r w:rsidRPr="004447E8">
        <w:rPr>
          <w:b/>
          <w:bCs/>
        </w:rPr>
        <w:t>Si l’intensité lumineuse du feu de circulation diurne est destinée à être réduite, l’intensité lumineuse maximale théorique réduite ne doit pas dépasser 1,40∙10</w:t>
      </w:r>
      <w:r w:rsidRPr="004447E8">
        <w:rPr>
          <w:b/>
          <w:bCs/>
          <w:vertAlign w:val="superscript"/>
        </w:rPr>
        <w:t>2</w:t>
      </w:r>
      <w:r>
        <w:rPr>
          <w:b/>
          <w:bCs/>
        </w:rPr>
        <w:t> </w:t>
      </w:r>
      <w:r w:rsidRPr="004447E8">
        <w:rPr>
          <w:b/>
          <w:bCs/>
        </w:rPr>
        <w:t>cd.</w:t>
      </w:r>
      <w:r w:rsidRPr="004447E8">
        <w:t> ».</w:t>
      </w:r>
      <w:bookmarkStart w:id="1" w:name="_Hlk151641957"/>
      <w:bookmarkEnd w:id="0"/>
      <w:bookmarkEnd w:id="1"/>
    </w:p>
    <w:p w14:paraId="28FA65C8" w14:textId="77777777" w:rsidR="00661212" w:rsidRPr="00DD215A" w:rsidRDefault="00661212" w:rsidP="00661212">
      <w:pPr>
        <w:pStyle w:val="SingleTxtG"/>
        <w:rPr>
          <w:i/>
          <w:iCs/>
          <w:lang w:val="fr-FR"/>
        </w:rPr>
      </w:pPr>
      <w:r>
        <w:rPr>
          <w:i/>
          <w:iCs/>
          <w:lang w:val="fr-FR"/>
        </w:rPr>
        <w:t>Annexe 1,</w:t>
      </w:r>
      <w:r>
        <w:rPr>
          <w:lang w:val="fr-FR"/>
        </w:rPr>
        <w:t xml:space="preserve"> </w:t>
      </w:r>
    </w:p>
    <w:p w14:paraId="291F6D2B" w14:textId="77777777" w:rsidR="00661212" w:rsidRPr="00DD215A" w:rsidRDefault="00661212" w:rsidP="00661212">
      <w:pPr>
        <w:pStyle w:val="SingleTxtG"/>
        <w:rPr>
          <w:lang w:val="fr-FR"/>
        </w:rPr>
      </w:pPr>
      <w:r>
        <w:rPr>
          <w:i/>
          <w:iCs/>
          <w:lang w:val="fr-FR"/>
        </w:rPr>
        <w:t>Point 9.1.5</w:t>
      </w:r>
      <w:r>
        <w:rPr>
          <w:lang w:val="fr-FR"/>
        </w:rPr>
        <w:t>, lire :</w:t>
      </w:r>
    </w:p>
    <w:p w14:paraId="35ABD759" w14:textId="77777777" w:rsidR="00661212" w:rsidRPr="009B5DD0" w:rsidRDefault="00661212" w:rsidP="00661212">
      <w:pPr>
        <w:pStyle w:val="SingleTxtG"/>
        <w:ind w:left="2268" w:hanging="1134"/>
      </w:pPr>
      <w:r>
        <w:t>« 9.1.5</w:t>
      </w:r>
      <w:r>
        <w:tab/>
        <w:t>Feu de circulation diurne :</w:t>
      </w:r>
    </w:p>
    <w:p w14:paraId="1C714B2C" w14:textId="77777777" w:rsidR="00661212" w:rsidRPr="00EB77E9" w:rsidRDefault="00661212" w:rsidP="00661212">
      <w:pPr>
        <w:pStyle w:val="SingleTxtG"/>
        <w:ind w:left="2268" w:hanging="1134"/>
        <w:rPr>
          <w:b/>
          <w:bCs/>
        </w:rPr>
      </w:pPr>
      <w:r w:rsidRPr="00EB77E9">
        <w:rPr>
          <w:b/>
          <w:bCs/>
        </w:rPr>
        <w:t>9.1.5.1</w:t>
      </w:r>
      <w:r w:rsidRPr="00EB77E9">
        <w:tab/>
        <w:t>Le feu de circulation diurne est destiné à être monté exclusivement sur des véhicules de la catégorie L</w:t>
      </w:r>
      <w:r w:rsidRPr="00EB77E9">
        <w:rPr>
          <w:vertAlign w:val="subscript"/>
        </w:rPr>
        <w:t>3</w:t>
      </w:r>
      <w:r w:rsidRPr="00EB77E9">
        <w:t xml:space="preserve"> et son intensité lumineuse maximale théorique ne dépasse pas 7,00∙10</w:t>
      </w:r>
      <w:r w:rsidRPr="00EB77E9">
        <w:rPr>
          <w:vertAlign w:val="superscript"/>
        </w:rPr>
        <w:t>2</w:t>
      </w:r>
      <w:r w:rsidRPr="00EB77E9">
        <w:t> cd : oui/non</w:t>
      </w:r>
      <w:r w:rsidRPr="00EB77E9">
        <w:rPr>
          <w:vertAlign w:val="superscript"/>
        </w:rPr>
        <w:t>2</w:t>
      </w:r>
    </w:p>
    <w:p w14:paraId="415DA8A8" w14:textId="77777777" w:rsidR="00661212" w:rsidRPr="00EB77E9" w:rsidRDefault="00661212" w:rsidP="00661212">
      <w:pPr>
        <w:pStyle w:val="SingleTxtG"/>
        <w:ind w:left="2268" w:hanging="1134"/>
      </w:pPr>
      <w:r w:rsidRPr="00EB77E9">
        <w:rPr>
          <w:b/>
          <w:bCs/>
        </w:rPr>
        <w:t>9.1.5.2</w:t>
      </w:r>
      <w:r w:rsidRPr="00EB77E9">
        <w:tab/>
      </w:r>
      <w:r w:rsidRPr="00EB77E9">
        <w:rPr>
          <w:b/>
          <w:bCs/>
        </w:rPr>
        <w:t>L’intensité lumineuse du feu de circulation diurne est destinée à être réduite de sorte que l’intensité lumineuse maximale ne dépasse pas 1,4∙10</w:t>
      </w:r>
      <w:r w:rsidRPr="00EB77E9">
        <w:rPr>
          <w:vertAlign w:val="superscript"/>
        </w:rPr>
        <w:t>2</w:t>
      </w:r>
      <w:r w:rsidRPr="00EB77E9">
        <w:rPr>
          <w:b/>
          <w:bCs/>
        </w:rPr>
        <w:t> cd : oui/non</w:t>
      </w:r>
      <w:r w:rsidRPr="00EB77E9">
        <w:rPr>
          <w:vertAlign w:val="superscript"/>
        </w:rPr>
        <w:t>2</w:t>
      </w:r>
      <w:r w:rsidRPr="00EB77E9">
        <w:t> ».</w:t>
      </w:r>
    </w:p>
    <w:p w14:paraId="411C0E6C" w14:textId="77777777" w:rsidR="00661212" w:rsidRPr="00DD215A" w:rsidRDefault="00661212" w:rsidP="00661212">
      <w:pPr>
        <w:pStyle w:val="SingleTxtG"/>
        <w:rPr>
          <w:lang w:val="fr-FR"/>
        </w:rPr>
      </w:pPr>
      <w:r>
        <w:rPr>
          <w:i/>
          <w:iCs/>
          <w:lang w:val="fr-FR"/>
        </w:rPr>
        <w:t>Point 9.3</w:t>
      </w:r>
      <w:r>
        <w:rPr>
          <w:lang w:val="fr-FR"/>
        </w:rPr>
        <w:t>, lire :</w:t>
      </w:r>
    </w:p>
    <w:p w14:paraId="6C621375" w14:textId="77777777" w:rsidR="00661212" w:rsidRPr="00EB77E9" w:rsidRDefault="00661212" w:rsidP="00661212">
      <w:pPr>
        <w:pStyle w:val="SingleTxtG"/>
        <w:ind w:left="2268" w:hanging="1134"/>
      </w:pPr>
      <w:r w:rsidRPr="00EB77E9">
        <w:t>« 9.3</w:t>
      </w:r>
      <w:r w:rsidRPr="00EB77E9">
        <w:tab/>
        <w:t>Les feux de position avant</w:t>
      </w:r>
      <w:r w:rsidRPr="00EB77E9">
        <w:rPr>
          <w:vertAlign w:val="superscript"/>
        </w:rPr>
        <w:t>2</w:t>
      </w:r>
      <w:r w:rsidRPr="00EB77E9">
        <w:t>, les feux de position arrière</w:t>
      </w:r>
      <w:r w:rsidRPr="00EB77E9">
        <w:rPr>
          <w:vertAlign w:val="superscript"/>
        </w:rPr>
        <w:t>2</w:t>
      </w:r>
      <w:r w:rsidRPr="00EB77E9">
        <w:t>, les feux-stop</w:t>
      </w:r>
      <w:r w:rsidRPr="00EB77E9">
        <w:rPr>
          <w:vertAlign w:val="superscript"/>
        </w:rPr>
        <w:t>2</w:t>
      </w:r>
      <w:r w:rsidRPr="00EB77E9">
        <w:t>, les feux d’encombrement</w:t>
      </w:r>
      <w:r w:rsidRPr="00EB77E9">
        <w:rPr>
          <w:vertAlign w:val="superscript"/>
        </w:rPr>
        <w:t>2</w:t>
      </w:r>
      <w:r w:rsidRPr="00EB77E9">
        <w:t>, les feux de circulation diurne</w:t>
      </w:r>
      <w:r w:rsidRPr="00EB77E9">
        <w:rPr>
          <w:vertAlign w:val="superscript"/>
        </w:rPr>
        <w:t>2</w:t>
      </w:r>
      <w:r w:rsidRPr="00EB77E9">
        <w:rPr>
          <w:b/>
          <w:bCs/>
        </w:rPr>
        <w:t xml:space="preserve">, </w:t>
      </w:r>
      <w:r w:rsidRPr="00EB77E9">
        <w:rPr>
          <w:strike/>
        </w:rPr>
        <w:t xml:space="preserve">et </w:t>
      </w:r>
      <w:r w:rsidRPr="00EB77E9">
        <w:t>les feux de stationnement</w:t>
      </w:r>
      <w:r w:rsidRPr="00EB77E9">
        <w:rPr>
          <w:vertAlign w:val="superscript"/>
        </w:rPr>
        <w:t>2</w:t>
      </w:r>
      <w:r w:rsidRPr="00EB77E9">
        <w:rPr>
          <w:b/>
          <w:bCs/>
        </w:rPr>
        <w:t>, les feux de marche arrière</w:t>
      </w:r>
      <w:r w:rsidRPr="00EB77E9">
        <w:rPr>
          <w:b/>
          <w:bCs/>
          <w:vertAlign w:val="superscript"/>
        </w:rPr>
        <w:t>2</w:t>
      </w:r>
      <w:r w:rsidRPr="00EB77E9">
        <w:rPr>
          <w:b/>
          <w:bCs/>
        </w:rPr>
        <w:t>, les feux de brouillard arrière</w:t>
      </w:r>
      <w:r w:rsidRPr="00EB77E9">
        <w:rPr>
          <w:b/>
          <w:bCs/>
          <w:vertAlign w:val="superscript"/>
        </w:rPr>
        <w:t>2</w:t>
      </w:r>
      <w:r w:rsidRPr="00EB77E9">
        <w:rPr>
          <w:b/>
          <w:bCs/>
        </w:rPr>
        <w:t xml:space="preserve"> et les feux de position latéraux</w:t>
      </w:r>
      <w:r w:rsidRPr="00EB77E9">
        <w:rPr>
          <w:b/>
          <w:bCs/>
          <w:vertAlign w:val="superscript"/>
        </w:rPr>
        <w:t>2</w:t>
      </w:r>
      <w:r w:rsidRPr="00EB77E9">
        <w:rPr>
          <w:b/>
          <w:bCs/>
        </w:rPr>
        <w:t xml:space="preserve"> </w:t>
      </w:r>
      <w:r w:rsidRPr="00EB77E9">
        <w:t>sont réservés aux véhicules équipés d’un témoin de défaillance : oui/non</w:t>
      </w:r>
      <w:r w:rsidRPr="00EB77E9">
        <w:rPr>
          <w:vertAlign w:val="superscript"/>
        </w:rPr>
        <w:t>2</w:t>
      </w:r>
      <w:r w:rsidRPr="00EB77E9">
        <w:t> ».</w:t>
      </w:r>
      <w:bookmarkStart w:id="2" w:name="_Hlk134520964"/>
      <w:bookmarkEnd w:id="2"/>
    </w:p>
    <w:p w14:paraId="099161A0" w14:textId="77777777" w:rsidR="00661212" w:rsidRPr="00DD215A" w:rsidRDefault="00661212" w:rsidP="00661212">
      <w:pPr>
        <w:pStyle w:val="HChG"/>
        <w:rPr>
          <w:lang w:val="fr-FR"/>
        </w:rPr>
      </w:pPr>
      <w:r>
        <w:rPr>
          <w:lang w:val="fr-FR"/>
        </w:rPr>
        <w:tab/>
        <w:t>II.</w:t>
      </w:r>
      <w:r>
        <w:rPr>
          <w:lang w:val="fr-FR"/>
        </w:rPr>
        <w:tab/>
        <w:t>Justification</w:t>
      </w:r>
    </w:p>
    <w:p w14:paraId="295ADCD1" w14:textId="77777777" w:rsidR="00661212" w:rsidRPr="00DD215A" w:rsidRDefault="00661212" w:rsidP="00661212">
      <w:pPr>
        <w:pStyle w:val="SingleTxtG"/>
        <w:rPr>
          <w:i/>
          <w:iCs/>
          <w:lang w:val="fr-FR"/>
        </w:rPr>
      </w:pPr>
      <w:r>
        <w:rPr>
          <w:i/>
          <w:iCs/>
          <w:lang w:val="fr-FR"/>
        </w:rPr>
        <w:t>Paragraphe 5.4.1 et annexe 1, point 9.1.5</w:t>
      </w:r>
    </w:p>
    <w:p w14:paraId="1DD5FF6A" w14:textId="77777777" w:rsidR="00661212" w:rsidRPr="00DD215A" w:rsidRDefault="00661212" w:rsidP="00661212">
      <w:pPr>
        <w:pStyle w:val="SingleTxtG"/>
        <w:rPr>
          <w:lang w:val="fr-FR"/>
        </w:rPr>
      </w:pPr>
      <w:r>
        <w:rPr>
          <w:lang w:val="fr-FR"/>
        </w:rPr>
        <w:t>1.</w:t>
      </w:r>
      <w:r>
        <w:rPr>
          <w:lang w:val="fr-FR"/>
        </w:rPr>
        <w:tab/>
        <w:t>Dans les séries 08 et 09 d’amendements au Règlement ONU n</w:t>
      </w:r>
      <w:r>
        <w:rPr>
          <w:vertAlign w:val="superscript"/>
          <w:lang w:val="fr-FR"/>
        </w:rPr>
        <w:t>o</w:t>
      </w:r>
      <w:r>
        <w:rPr>
          <w:lang w:val="fr-FR"/>
        </w:rPr>
        <w:t> 48, les paragraphes 6.19.7.6 et 6.19.7.7.2 font référence à une indication dans la fiche de communication du Règlement ONU n</w:t>
      </w:r>
      <w:r>
        <w:rPr>
          <w:vertAlign w:val="superscript"/>
          <w:lang w:val="fr-FR"/>
        </w:rPr>
        <w:t>o</w:t>
      </w:r>
      <w:r>
        <w:rPr>
          <w:lang w:val="fr-FR"/>
        </w:rPr>
        <w:t> 148 (si l’intensité lumineuse d’un feu de circulation diurne est réduite pendant la totalité de la période de fonctionnement du feu indicateur de direction avant, pour atteindre 140 cd au maximum).</w:t>
      </w:r>
    </w:p>
    <w:p w14:paraId="35B455E8" w14:textId="77777777" w:rsidR="00661212" w:rsidRPr="00DD215A" w:rsidRDefault="00661212" w:rsidP="00661212">
      <w:pPr>
        <w:pStyle w:val="SingleTxtG"/>
        <w:rPr>
          <w:lang w:val="fr-FR"/>
        </w:rPr>
      </w:pPr>
      <w:r>
        <w:rPr>
          <w:lang w:val="fr-FR"/>
        </w:rPr>
        <w:t>2.</w:t>
      </w:r>
      <w:r>
        <w:rPr>
          <w:lang w:val="fr-FR"/>
        </w:rPr>
        <w:tab/>
        <w:t>On a remarqué qu’à l’heure actuelle, cette indication ne figurait pas dans la fiche de communication du Règlement ONU n</w:t>
      </w:r>
      <w:r>
        <w:rPr>
          <w:vertAlign w:val="superscript"/>
          <w:lang w:val="fr-FR"/>
        </w:rPr>
        <w:t>o</w:t>
      </w:r>
      <w:r>
        <w:rPr>
          <w:lang w:val="fr-FR"/>
        </w:rPr>
        <w:t> 148. Pour y remédier, il est proposé d’ajouter une indication à cet effet dans la fiche de communication (point 9.1.5 de l’annexe 1) et d’ajouter le paragraphe 5.4.1.1 pour que le texte soit cohérent avec celui du Règlement ONU n</w:t>
      </w:r>
      <w:r>
        <w:rPr>
          <w:vertAlign w:val="superscript"/>
          <w:lang w:val="fr-FR"/>
        </w:rPr>
        <w:t>o</w:t>
      </w:r>
      <w:r>
        <w:rPr>
          <w:lang w:val="fr-FR"/>
        </w:rPr>
        <w:t xml:space="preserve"> 48. </w:t>
      </w:r>
    </w:p>
    <w:p w14:paraId="62507B4C" w14:textId="77777777" w:rsidR="00661212" w:rsidRPr="00DD215A" w:rsidRDefault="00661212" w:rsidP="00661212">
      <w:pPr>
        <w:pStyle w:val="SingleTxtG"/>
        <w:rPr>
          <w:i/>
          <w:iCs/>
          <w:lang w:val="fr-FR"/>
        </w:rPr>
      </w:pPr>
      <w:r>
        <w:rPr>
          <w:i/>
          <w:iCs/>
          <w:lang w:val="fr-FR"/>
        </w:rPr>
        <w:t>Annexe 1, point 9.3</w:t>
      </w:r>
    </w:p>
    <w:p w14:paraId="44970087" w14:textId="77777777" w:rsidR="00661212" w:rsidRPr="00DD215A" w:rsidRDefault="00661212" w:rsidP="00661212">
      <w:pPr>
        <w:pStyle w:val="SingleTxtG"/>
        <w:rPr>
          <w:lang w:val="fr-FR"/>
        </w:rPr>
      </w:pPr>
      <w:r>
        <w:rPr>
          <w:lang w:val="fr-FR"/>
        </w:rPr>
        <w:t>3.</w:t>
      </w:r>
      <w:r>
        <w:rPr>
          <w:lang w:val="fr-FR"/>
        </w:rPr>
        <w:tab/>
        <w:t>On a repéré un problème de concordance entre le corps du Règlement ONU n</w:t>
      </w:r>
      <w:r>
        <w:rPr>
          <w:vertAlign w:val="superscript"/>
          <w:lang w:val="fr-FR"/>
        </w:rPr>
        <w:t>o</w:t>
      </w:r>
      <w:r>
        <w:rPr>
          <w:lang w:val="fr-FR"/>
        </w:rPr>
        <w:t> 148 et la fiche de communication (annexe 1). L’alinéa b) du paragraphe 4.6.1.2 comporte une liste de toutes les fonctions prévues dans le Règlement ONU n</w:t>
      </w:r>
      <w:r>
        <w:rPr>
          <w:vertAlign w:val="superscript"/>
          <w:lang w:val="fr-FR"/>
        </w:rPr>
        <w:t>o</w:t>
      </w:r>
      <w:r>
        <w:rPr>
          <w:lang w:val="fr-FR"/>
        </w:rPr>
        <w:t xml:space="preserve"> 48 pour lesquelles un signal d’activation d’un « témoin de défaillance » peut être émis et dispose que « dans ce cas, il est précisé dans la fiche de communication que le feu ne doit être utilisé que sur un véhicule équipé d’un témoin de défaillance ». Or, les fonctions « feux de marche arrière », « feux de brouillard arrière » et « feux de position latéraux » ne sont actuellement pas mentionnées au point 9.3 de l’annexe 1, correspondant à cette indication. Dans la série 00 d’amendements au </w:t>
      </w:r>
      <w:r>
        <w:rPr>
          <w:lang w:val="fr-FR"/>
        </w:rPr>
        <w:lastRenderedPageBreak/>
        <w:t>Règlement ONU n</w:t>
      </w:r>
      <w:r>
        <w:rPr>
          <w:vertAlign w:val="superscript"/>
          <w:lang w:val="fr-FR"/>
        </w:rPr>
        <w:t>o</w:t>
      </w:r>
      <w:r>
        <w:rPr>
          <w:lang w:val="fr-FR"/>
        </w:rPr>
        <w:t xml:space="preserve"> 148, la fonction « feux de stationnement » est également manquante au point 9.3 de l’annexe 1. </w:t>
      </w:r>
    </w:p>
    <w:p w14:paraId="6FFC26CA" w14:textId="77777777" w:rsidR="00661212" w:rsidRPr="00DD215A" w:rsidRDefault="00661212" w:rsidP="00661212">
      <w:pPr>
        <w:pStyle w:val="SingleTxtG"/>
        <w:rPr>
          <w:lang w:val="fr-FR"/>
        </w:rPr>
      </w:pPr>
      <w:r>
        <w:rPr>
          <w:lang w:val="fr-FR"/>
        </w:rPr>
        <w:t>4.</w:t>
      </w:r>
      <w:r>
        <w:rPr>
          <w:lang w:val="fr-FR"/>
        </w:rPr>
        <w:tab/>
        <w:t xml:space="preserve">La présente proposition vise à rajouter ces fonctions manquantes au point 9.3 de la fiche de communication (annexe 1). </w:t>
      </w:r>
    </w:p>
    <w:p w14:paraId="17DCF703" w14:textId="5ED7BB30" w:rsidR="00F9573C" w:rsidRPr="00661212" w:rsidRDefault="00661212" w:rsidP="00661212">
      <w:pPr>
        <w:spacing w:before="120"/>
        <w:jc w:val="center"/>
        <w:rPr>
          <w:u w:val="single"/>
          <w:lang w:val="fr-FR"/>
        </w:rPr>
      </w:pPr>
      <w:r w:rsidRPr="00DD215A">
        <w:rPr>
          <w:u w:val="single"/>
          <w:lang w:val="fr-FR"/>
        </w:rPr>
        <w:tab/>
      </w:r>
      <w:r w:rsidRPr="00DD215A">
        <w:rPr>
          <w:u w:val="single"/>
          <w:lang w:val="fr-FR"/>
        </w:rPr>
        <w:tab/>
      </w:r>
      <w:r w:rsidRPr="00DD215A">
        <w:rPr>
          <w:u w:val="single"/>
          <w:lang w:val="fr-FR"/>
        </w:rPr>
        <w:tab/>
      </w:r>
    </w:p>
    <w:sectPr w:rsidR="00F9573C" w:rsidRPr="00661212" w:rsidSect="006612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EC34" w14:textId="77777777" w:rsidR="00840530" w:rsidRDefault="00840530" w:rsidP="00F95C08">
      <w:pPr>
        <w:spacing w:line="240" w:lineRule="auto"/>
      </w:pPr>
    </w:p>
  </w:endnote>
  <w:endnote w:type="continuationSeparator" w:id="0">
    <w:p w14:paraId="1C3EB26F" w14:textId="77777777" w:rsidR="00840530" w:rsidRPr="00AC3823" w:rsidRDefault="00840530" w:rsidP="00AC3823">
      <w:pPr>
        <w:pStyle w:val="Pieddepage"/>
      </w:pPr>
    </w:p>
  </w:endnote>
  <w:endnote w:type="continuationNotice" w:id="1">
    <w:p w14:paraId="180EBF5E" w14:textId="77777777" w:rsidR="00840530" w:rsidRDefault="008405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57D6" w14:textId="4B4BB354" w:rsidR="00661212" w:rsidRPr="00661212" w:rsidRDefault="00661212" w:rsidP="00661212">
    <w:pPr>
      <w:pStyle w:val="Pieddepage"/>
      <w:tabs>
        <w:tab w:val="right" w:pos="9638"/>
      </w:tabs>
    </w:pPr>
    <w:r w:rsidRPr="00661212">
      <w:rPr>
        <w:b/>
        <w:sz w:val="18"/>
      </w:rPr>
      <w:fldChar w:fldCharType="begin"/>
    </w:r>
    <w:r w:rsidRPr="00661212">
      <w:rPr>
        <w:b/>
        <w:sz w:val="18"/>
      </w:rPr>
      <w:instrText xml:space="preserve"> PAGE  \* MERGEFORMAT </w:instrText>
    </w:r>
    <w:r w:rsidRPr="00661212">
      <w:rPr>
        <w:b/>
        <w:sz w:val="18"/>
      </w:rPr>
      <w:fldChar w:fldCharType="separate"/>
    </w:r>
    <w:r w:rsidRPr="00661212">
      <w:rPr>
        <w:b/>
        <w:noProof/>
        <w:sz w:val="18"/>
      </w:rPr>
      <w:t>2</w:t>
    </w:r>
    <w:r w:rsidRPr="00661212">
      <w:rPr>
        <w:b/>
        <w:sz w:val="18"/>
      </w:rPr>
      <w:fldChar w:fldCharType="end"/>
    </w:r>
    <w:r>
      <w:rPr>
        <w:b/>
        <w:sz w:val="18"/>
      </w:rPr>
      <w:tab/>
    </w:r>
    <w:r>
      <w:t>GE.24-02070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FD2" w14:textId="432785BF" w:rsidR="00661212" w:rsidRPr="00661212" w:rsidRDefault="00661212" w:rsidP="00661212">
    <w:pPr>
      <w:pStyle w:val="Pieddepage"/>
      <w:tabs>
        <w:tab w:val="right" w:pos="9638"/>
      </w:tabs>
      <w:rPr>
        <w:b/>
        <w:sz w:val="18"/>
      </w:rPr>
    </w:pPr>
    <w:r>
      <w:t>GE.24-02070</w:t>
    </w:r>
    <w:r>
      <w:tab/>
    </w:r>
    <w:r w:rsidRPr="00661212">
      <w:rPr>
        <w:b/>
        <w:sz w:val="18"/>
      </w:rPr>
      <w:fldChar w:fldCharType="begin"/>
    </w:r>
    <w:r w:rsidRPr="00661212">
      <w:rPr>
        <w:b/>
        <w:sz w:val="18"/>
      </w:rPr>
      <w:instrText xml:space="preserve"> PAGE  \* MERGEFORMAT </w:instrText>
    </w:r>
    <w:r w:rsidRPr="00661212">
      <w:rPr>
        <w:b/>
        <w:sz w:val="18"/>
      </w:rPr>
      <w:fldChar w:fldCharType="separate"/>
    </w:r>
    <w:r w:rsidRPr="00661212">
      <w:rPr>
        <w:b/>
        <w:noProof/>
        <w:sz w:val="18"/>
      </w:rPr>
      <w:t>3</w:t>
    </w:r>
    <w:r w:rsidRPr="006612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4A62" w14:textId="6544BE37" w:rsidR="007F20FA" w:rsidRPr="00661212" w:rsidRDefault="00661212" w:rsidP="0066121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AC49F1" wp14:editId="760DDA8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24-02070  (F)</w:t>
    </w:r>
    <w:r>
      <w:rPr>
        <w:noProof/>
        <w:sz w:val="20"/>
      </w:rPr>
      <w:drawing>
        <wp:anchor distT="0" distB="0" distL="114300" distR="114300" simplePos="0" relativeHeight="251660288" behindDoc="0" locked="0" layoutInCell="1" allowOverlap="1" wp14:anchorId="2A42FF50" wp14:editId="07A55AB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260224    270224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5B1E" w14:textId="77777777" w:rsidR="00840530" w:rsidRPr="00AC3823" w:rsidRDefault="00840530" w:rsidP="00AC3823">
      <w:pPr>
        <w:pStyle w:val="Pieddepage"/>
        <w:tabs>
          <w:tab w:val="right" w:pos="2155"/>
        </w:tabs>
        <w:spacing w:after="80" w:line="240" w:lineRule="atLeast"/>
        <w:ind w:left="680"/>
        <w:rPr>
          <w:u w:val="single"/>
        </w:rPr>
      </w:pPr>
      <w:r>
        <w:rPr>
          <w:u w:val="single"/>
        </w:rPr>
        <w:tab/>
      </w:r>
    </w:p>
  </w:footnote>
  <w:footnote w:type="continuationSeparator" w:id="0">
    <w:p w14:paraId="694EFD48" w14:textId="77777777" w:rsidR="00840530" w:rsidRPr="00AC3823" w:rsidRDefault="00840530" w:rsidP="00AC3823">
      <w:pPr>
        <w:pStyle w:val="Pieddepage"/>
        <w:tabs>
          <w:tab w:val="right" w:pos="2155"/>
        </w:tabs>
        <w:spacing w:after="80" w:line="240" w:lineRule="atLeast"/>
        <w:ind w:left="680"/>
        <w:rPr>
          <w:u w:val="single"/>
        </w:rPr>
      </w:pPr>
      <w:r>
        <w:rPr>
          <w:u w:val="single"/>
        </w:rPr>
        <w:tab/>
      </w:r>
    </w:p>
  </w:footnote>
  <w:footnote w:type="continuationNotice" w:id="1">
    <w:p w14:paraId="3A2D3FC4" w14:textId="77777777" w:rsidR="00840530" w:rsidRPr="00AC3823" w:rsidRDefault="00840530">
      <w:pPr>
        <w:spacing w:line="240" w:lineRule="auto"/>
        <w:rPr>
          <w:sz w:val="2"/>
          <w:szCs w:val="2"/>
        </w:rPr>
      </w:pPr>
    </w:p>
  </w:footnote>
  <w:footnote w:id="2">
    <w:p w14:paraId="1908CCC2" w14:textId="085EAB48" w:rsidR="00661212" w:rsidRPr="00661212" w:rsidRDefault="00661212">
      <w:pPr>
        <w:pStyle w:val="Notedebasdepage"/>
      </w:pPr>
      <w:r>
        <w:rPr>
          <w:rStyle w:val="Appelnotedebasdep"/>
        </w:rPr>
        <w:tab/>
      </w:r>
      <w:r w:rsidRPr="00661212">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intérieurs pour 2024 tel qu’il figure dans le </w:t>
      </w:r>
      <w:r w:rsidRPr="00661212">
        <w:t>projet</w:t>
      </w:r>
      <w:r>
        <w:rPr>
          <w:lang w:val="fr-FR"/>
        </w:rPr>
        <w:t xml:space="preserve">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35068F5" w14:textId="236EEAD8" w:rsidR="00661212" w:rsidRPr="00DD215A" w:rsidRDefault="00661212" w:rsidP="00661212">
      <w:pPr>
        <w:pStyle w:val="Notedebasdepage"/>
        <w:ind w:left="0" w:firstLine="0"/>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67F" w14:textId="0296E7FB" w:rsidR="00661212" w:rsidRPr="00661212" w:rsidRDefault="00661212">
    <w:pPr>
      <w:pStyle w:val="En-tte"/>
    </w:pPr>
    <w:fldSimple w:instr=" TITLE  \* MERGEFORMAT ">
      <w:r>
        <w:t>ECE/TRANS/WP.29/GRE/2024/6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6BA4" w14:textId="7B701442" w:rsidR="00661212" w:rsidRPr="00661212" w:rsidRDefault="00661212" w:rsidP="00661212">
    <w:pPr>
      <w:pStyle w:val="En-tte"/>
      <w:jc w:val="right"/>
    </w:pPr>
    <w:fldSimple w:instr=" TITLE  \* MERGEFORMAT ">
      <w:r>
        <w:t>ECE/TRANS/WP.29/GRE/2024/6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81111826">
    <w:abstractNumId w:val="12"/>
  </w:num>
  <w:num w:numId="2" w16cid:durableId="1225027101">
    <w:abstractNumId w:val="11"/>
  </w:num>
  <w:num w:numId="3" w16cid:durableId="481314022">
    <w:abstractNumId w:val="10"/>
  </w:num>
  <w:num w:numId="4" w16cid:durableId="86315087">
    <w:abstractNumId w:val="8"/>
  </w:num>
  <w:num w:numId="5" w16cid:durableId="1989359033">
    <w:abstractNumId w:val="3"/>
  </w:num>
  <w:num w:numId="6" w16cid:durableId="1577746082">
    <w:abstractNumId w:val="2"/>
  </w:num>
  <w:num w:numId="7" w16cid:durableId="1910000947">
    <w:abstractNumId w:val="1"/>
  </w:num>
  <w:num w:numId="8" w16cid:durableId="1523781133">
    <w:abstractNumId w:val="0"/>
  </w:num>
  <w:num w:numId="9" w16cid:durableId="1106847084">
    <w:abstractNumId w:val="9"/>
  </w:num>
  <w:num w:numId="10" w16cid:durableId="656032127">
    <w:abstractNumId w:val="7"/>
  </w:num>
  <w:num w:numId="11" w16cid:durableId="1920291716">
    <w:abstractNumId w:val="6"/>
  </w:num>
  <w:num w:numId="12" w16cid:durableId="826438410">
    <w:abstractNumId w:val="5"/>
  </w:num>
  <w:num w:numId="13" w16cid:durableId="1080837056">
    <w:abstractNumId w:val="4"/>
  </w:num>
  <w:num w:numId="14" w16cid:durableId="708644727">
    <w:abstractNumId w:val="12"/>
  </w:num>
  <w:num w:numId="15" w16cid:durableId="507334084">
    <w:abstractNumId w:val="11"/>
  </w:num>
  <w:num w:numId="16" w16cid:durableId="374473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3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61212"/>
    <w:rsid w:val="0071601D"/>
    <w:rsid w:val="007A62E6"/>
    <w:rsid w:val="007F20FA"/>
    <w:rsid w:val="0080684C"/>
    <w:rsid w:val="00840530"/>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7628"/>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73CF"/>
  <w15:docId w15:val="{E13928D5-0540-4972-9442-355A2FFE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61212"/>
    <w:rPr>
      <w:rFonts w:ascii="Times New Roman" w:eastAsiaTheme="minorHAnsi" w:hAnsi="Times New Roman" w:cs="Times New Roman"/>
      <w:sz w:val="20"/>
      <w:szCs w:val="20"/>
      <w:lang w:eastAsia="en-US"/>
    </w:rPr>
  </w:style>
  <w:style w:type="character" w:customStyle="1" w:styleId="HChGChar">
    <w:name w:val="_ H _Ch_G Char"/>
    <w:link w:val="HChG"/>
    <w:qFormat/>
    <w:rsid w:val="00661212"/>
    <w:rPr>
      <w:rFonts w:ascii="Times New Roman" w:eastAsiaTheme="minorHAnsi" w:hAnsi="Times New Roman" w:cs="Times New Roman"/>
      <w:b/>
      <w:sz w:val="28"/>
      <w:szCs w:val="20"/>
      <w:lang w:eastAsia="en-US"/>
    </w:rPr>
  </w:style>
  <w:style w:type="character" w:customStyle="1" w:styleId="H1GChar">
    <w:name w:val="_ H_1_G Char"/>
    <w:link w:val="H1G"/>
    <w:rsid w:val="00661212"/>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661212"/>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661212"/>
    <w:rPr>
      <w:rFonts w:ascii="Times New Roman" w:hAnsi="Times New Roman" w:cs="Times New Roman"/>
      <w:snapToGrid w:val="0"/>
      <w:sz w:val="20"/>
      <w:szCs w:val="20"/>
      <w:lang w:val="fr-FR" w:eastAsia="en-US"/>
    </w:rPr>
  </w:style>
  <w:style w:type="character" w:customStyle="1" w:styleId="Carpredefinitoparagrafo1">
    <w:name w:val="Car. predefinito paragrafo1"/>
    <w:rsid w:val="00661212"/>
  </w:style>
  <w:style w:type="paragraph" w:customStyle="1" w:styleId="Normale1">
    <w:name w:val="Normale1"/>
    <w:rsid w:val="00661212"/>
    <w:pPr>
      <w:widowControl w:val="0"/>
      <w:suppressAutoHyphens/>
      <w:autoSpaceDN w:val="0"/>
      <w:spacing w:after="0" w:line="240" w:lineRule="auto"/>
      <w:textAlignment w:val="baseline"/>
    </w:pPr>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1A1F-1032-496F-A935-602B1980C5D6}"/>
</file>

<file path=customXml/itemProps2.xml><?xml version="1.0" encoding="utf-8"?>
<ds:datastoreItem xmlns:ds="http://schemas.openxmlformats.org/officeDocument/2006/customXml" ds:itemID="{FA70AD27-D0B3-4560-AC3C-57C6928BCB70}"/>
</file>

<file path=docProps/app.xml><?xml version="1.0" encoding="utf-8"?>
<Properties xmlns="http://schemas.openxmlformats.org/officeDocument/2006/extended-properties" xmlns:vt="http://schemas.openxmlformats.org/officeDocument/2006/docPropsVTypes">
  <Template>ECE_TRANS.dotm</Template>
  <TotalTime>1</TotalTime>
  <Pages>4</Pages>
  <Words>734</Words>
  <Characters>5145</Characters>
  <Application>Microsoft Office Word</Application>
  <DocSecurity>0</DocSecurity>
  <Lines>428</Lines>
  <Paragraphs>235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ECE/TRANS/WP.29/GRE/2024/6</dc:title>
  <dc:subject/>
  <dc:creator>Sandrine CLERE</dc:creator>
  <cp:keywords/>
  <cp:lastModifiedBy>Sandrine Clere</cp:lastModifiedBy>
  <cp:revision>2</cp:revision>
  <cp:lastPrinted>2014-05-14T10:59:00Z</cp:lastPrinted>
  <dcterms:created xsi:type="dcterms:W3CDTF">2024-02-27T06:54:00Z</dcterms:created>
  <dcterms:modified xsi:type="dcterms:W3CDTF">2024-02-27T06:54:00Z</dcterms:modified>
</cp:coreProperties>
</file>