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F67D17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F67D17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67D1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05794F55" w:rsidR="003F1AB4" w:rsidRPr="00F67D17" w:rsidRDefault="003F1AB4" w:rsidP="003F1AB4">
            <w:pPr>
              <w:jc w:val="right"/>
            </w:pPr>
            <w:r w:rsidRPr="00F67D17">
              <w:rPr>
                <w:sz w:val="40"/>
              </w:rPr>
              <w:t>ECE</w:t>
            </w:r>
            <w:r w:rsidRPr="00F67D17">
              <w:t>/TRANS/WP.29/GRE/202</w:t>
            </w:r>
            <w:r w:rsidR="008850E2" w:rsidRPr="00F67D17">
              <w:t>4</w:t>
            </w:r>
            <w:r w:rsidRPr="00F67D17">
              <w:t>/</w:t>
            </w:r>
            <w:r w:rsidR="00F67D17" w:rsidRPr="00F67D17">
              <w:t>6</w:t>
            </w:r>
          </w:p>
        </w:tc>
      </w:tr>
      <w:tr w:rsidR="003F1AB4" w:rsidRPr="00F67D17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F67D17" w:rsidRDefault="003F1AB4" w:rsidP="003F1AB4">
            <w:pPr>
              <w:spacing w:before="120"/>
            </w:pPr>
            <w:r w:rsidRPr="00F67D17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F67D17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F67D1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F67D17" w:rsidRDefault="003F1AB4" w:rsidP="003F1AB4">
            <w:pPr>
              <w:spacing w:before="240" w:line="240" w:lineRule="exact"/>
            </w:pPr>
            <w:r w:rsidRPr="00F67D17">
              <w:t>Distr.: General</w:t>
            </w:r>
          </w:p>
          <w:p w14:paraId="2ACA1E89" w14:textId="57C5B1BB" w:rsidR="000A0737" w:rsidRPr="00F67D17" w:rsidRDefault="00A627A0" w:rsidP="000A0737">
            <w:pPr>
              <w:spacing w:line="240" w:lineRule="exact"/>
            </w:pPr>
            <w:r>
              <w:t>6</w:t>
            </w:r>
            <w:r w:rsidR="000A0737" w:rsidRPr="00F67D17">
              <w:t xml:space="preserve"> </w:t>
            </w:r>
            <w:r w:rsidR="008850E2" w:rsidRPr="00F67D17">
              <w:t>February</w:t>
            </w:r>
            <w:r w:rsidR="000A0737" w:rsidRPr="00F67D17">
              <w:t xml:space="preserve"> 202</w:t>
            </w:r>
            <w:r w:rsidR="008850E2" w:rsidRPr="00F67D17">
              <w:t>4</w:t>
            </w:r>
          </w:p>
          <w:p w14:paraId="5FF26AE7" w14:textId="77777777" w:rsidR="003F1AB4" w:rsidRPr="00F67D17" w:rsidRDefault="003F1AB4" w:rsidP="003F1AB4">
            <w:pPr>
              <w:spacing w:line="240" w:lineRule="exact"/>
            </w:pPr>
          </w:p>
          <w:p w14:paraId="71FBFBB4" w14:textId="0CC13DCC" w:rsidR="000A0737" w:rsidRPr="00F67D17" w:rsidRDefault="003F1AB4" w:rsidP="003427A2">
            <w:pPr>
              <w:spacing w:line="240" w:lineRule="exact"/>
            </w:pPr>
            <w:r w:rsidRPr="00F67D17">
              <w:t>Original: English</w:t>
            </w:r>
          </w:p>
        </w:tc>
      </w:tr>
    </w:tbl>
    <w:p w14:paraId="32D3E06F" w14:textId="394FCE03" w:rsidR="00732AD2" w:rsidRPr="00F67D17" w:rsidRDefault="00732AD2" w:rsidP="00732AD2">
      <w:pPr>
        <w:spacing w:before="120"/>
        <w:rPr>
          <w:b/>
          <w:sz w:val="28"/>
          <w:szCs w:val="28"/>
        </w:rPr>
      </w:pPr>
      <w:r w:rsidRPr="00F67D17">
        <w:rPr>
          <w:b/>
          <w:sz w:val="28"/>
          <w:szCs w:val="28"/>
        </w:rPr>
        <w:t>Economic Commission for Europe</w:t>
      </w:r>
    </w:p>
    <w:p w14:paraId="0555DAE5" w14:textId="77777777" w:rsidR="00732AD2" w:rsidRPr="00F67D17" w:rsidRDefault="00732AD2" w:rsidP="00732AD2">
      <w:pPr>
        <w:spacing w:before="120"/>
        <w:rPr>
          <w:sz w:val="28"/>
          <w:szCs w:val="28"/>
        </w:rPr>
      </w:pPr>
      <w:r w:rsidRPr="00F67D17">
        <w:rPr>
          <w:sz w:val="28"/>
          <w:szCs w:val="28"/>
        </w:rPr>
        <w:t>Inland Transport Committee</w:t>
      </w:r>
    </w:p>
    <w:p w14:paraId="49BB2B21" w14:textId="77777777" w:rsidR="00732AD2" w:rsidRPr="00F67D17" w:rsidRDefault="00732AD2" w:rsidP="00732AD2">
      <w:pPr>
        <w:spacing w:before="120"/>
        <w:rPr>
          <w:b/>
          <w:sz w:val="24"/>
          <w:szCs w:val="24"/>
        </w:rPr>
      </w:pPr>
      <w:r w:rsidRPr="00F67D17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F67D17" w:rsidRDefault="00732AD2" w:rsidP="00732AD2">
      <w:pPr>
        <w:spacing w:before="120" w:after="120"/>
        <w:rPr>
          <w:b/>
          <w:bCs/>
        </w:rPr>
      </w:pPr>
      <w:r w:rsidRPr="00F67D17">
        <w:rPr>
          <w:b/>
          <w:bCs/>
        </w:rPr>
        <w:t>Working Party on Lighting and Light-Signalling</w:t>
      </w:r>
    </w:p>
    <w:p w14:paraId="15CBE644" w14:textId="39421E63" w:rsidR="000A0737" w:rsidRPr="00F67D17" w:rsidRDefault="002B7088" w:rsidP="000A0737">
      <w:pPr>
        <w:ind w:right="1134"/>
        <w:rPr>
          <w:b/>
        </w:rPr>
      </w:pPr>
      <w:r w:rsidRPr="00F67D17">
        <w:rPr>
          <w:b/>
        </w:rPr>
        <w:t xml:space="preserve">Ninetieth </w:t>
      </w:r>
      <w:r w:rsidR="000A0737" w:rsidRPr="00F67D17">
        <w:rPr>
          <w:b/>
        </w:rPr>
        <w:t>session</w:t>
      </w:r>
    </w:p>
    <w:p w14:paraId="4A4D8D9A" w14:textId="68A9C0B5" w:rsidR="000A0737" w:rsidRPr="00F67D17" w:rsidRDefault="000A0737" w:rsidP="000A0737">
      <w:pPr>
        <w:ind w:right="1134"/>
      </w:pPr>
      <w:r w:rsidRPr="00F67D17">
        <w:t>Geneva, 2</w:t>
      </w:r>
      <w:r w:rsidR="002B7088" w:rsidRPr="00F67D17">
        <w:t xml:space="preserve">9 April – 3 May </w:t>
      </w:r>
      <w:r w:rsidRPr="00F67D17">
        <w:t>202</w:t>
      </w:r>
      <w:r w:rsidR="002B7088" w:rsidRPr="00F67D17">
        <w:t>4</w:t>
      </w:r>
    </w:p>
    <w:p w14:paraId="1C3E310D" w14:textId="7AAFE0C0" w:rsidR="000A0737" w:rsidRPr="00F61414" w:rsidRDefault="000A0737" w:rsidP="000A0737">
      <w:pPr>
        <w:ind w:right="1134"/>
        <w:rPr>
          <w:bCs/>
        </w:rPr>
      </w:pPr>
      <w:r w:rsidRPr="00F67D17">
        <w:rPr>
          <w:bCs/>
        </w:rPr>
        <w:t xml:space="preserve">Item </w:t>
      </w:r>
      <w:r w:rsidR="00F67D17" w:rsidRPr="00F67D17">
        <w:rPr>
          <w:bCs/>
        </w:rPr>
        <w:t xml:space="preserve">7 (a) </w:t>
      </w:r>
      <w:r w:rsidRPr="00F67D17">
        <w:rPr>
          <w:bCs/>
        </w:rPr>
        <w:t>of the provisional agenda</w:t>
      </w:r>
    </w:p>
    <w:p w14:paraId="18EC8CFA" w14:textId="32AD9ED1" w:rsidR="000A0737" w:rsidRPr="005C0062" w:rsidRDefault="000424D9" w:rsidP="000A0737">
      <w:pPr>
        <w:ind w:right="1467"/>
        <w:rPr>
          <w:b/>
          <w:bCs/>
        </w:rPr>
      </w:pPr>
      <w:r w:rsidRPr="000424D9">
        <w:rPr>
          <w:b/>
          <w:bCs/>
        </w:rPr>
        <w:t>Device UN Regulations</w:t>
      </w:r>
      <w:r>
        <w:rPr>
          <w:b/>
          <w:bCs/>
        </w:rPr>
        <w:t>:</w:t>
      </w:r>
      <w:r w:rsidRPr="000424D9">
        <w:rPr>
          <w:b/>
          <w:bCs/>
        </w:rPr>
        <w:t xml:space="preserve"> </w:t>
      </w:r>
      <w:r w:rsidR="00330090">
        <w:rPr>
          <w:b/>
          <w:bCs/>
        </w:rPr>
        <w:t xml:space="preserve">UN </w:t>
      </w:r>
      <w:r w:rsidR="00330090" w:rsidRPr="00DC35BB">
        <w:rPr>
          <w:b/>
          <w:bCs/>
        </w:rPr>
        <w:t xml:space="preserve">Regulation No. </w:t>
      </w:r>
      <w:r w:rsidR="000D6070">
        <w:rPr>
          <w:b/>
          <w:bCs/>
        </w:rPr>
        <w:t>1</w:t>
      </w:r>
      <w:r w:rsidR="00330090">
        <w:rPr>
          <w:b/>
          <w:bCs/>
        </w:rPr>
        <w:t>4</w:t>
      </w:r>
      <w:r w:rsidR="002B7088">
        <w:rPr>
          <w:b/>
          <w:bCs/>
        </w:rPr>
        <w:t>8</w:t>
      </w:r>
      <w:r w:rsidR="00330090" w:rsidRPr="00DC35BB">
        <w:rPr>
          <w:b/>
          <w:bCs/>
        </w:rPr>
        <w:t xml:space="preserve"> (</w:t>
      </w:r>
      <w:r w:rsidR="000D6070">
        <w:rPr>
          <w:b/>
          <w:bCs/>
        </w:rPr>
        <w:t xml:space="preserve">Light-signalling </w:t>
      </w:r>
      <w:r w:rsidR="00082F82">
        <w:rPr>
          <w:b/>
          <w:bCs/>
        </w:rPr>
        <w:t>devices</w:t>
      </w:r>
      <w:r w:rsidR="00330090">
        <w:rPr>
          <w:b/>
          <w:bCs/>
        </w:rPr>
        <w:t>)</w:t>
      </w:r>
    </w:p>
    <w:p w14:paraId="1BE1B729" w14:textId="7663385F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330090">
        <w:t xml:space="preserve">Proposal for a Supplement to the </w:t>
      </w:r>
      <w:r w:rsidR="006D3902">
        <w:t xml:space="preserve">00 and 01 </w:t>
      </w:r>
      <w:r w:rsidR="00E66D37">
        <w:t>series of amendments to UN Regulation No. </w:t>
      </w:r>
      <w:r w:rsidR="006D3902">
        <w:t>1</w:t>
      </w:r>
      <w:r w:rsidR="00082F82">
        <w:t>48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12D4E6AC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</w:t>
      </w:r>
      <w:r w:rsidR="00330090" w:rsidRPr="001B0BAA">
        <w:t xml:space="preserve">with the aim to </w:t>
      </w:r>
      <w:r w:rsidR="00546A2F">
        <w:t>correct and clarify the communication form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2C4E47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0ACCDB5" w14:textId="13037E9F" w:rsidR="009265AA" w:rsidRPr="00CB28A9" w:rsidRDefault="009265AA" w:rsidP="00CB28A9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19F1137B" w14:textId="64D8785A" w:rsidR="00CD1236" w:rsidRDefault="00CD1236" w:rsidP="00CD1236">
      <w:pPr>
        <w:pStyle w:val="H1G"/>
        <w:ind w:hanging="425"/>
        <w:jc w:val="both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>Proposal for a Supplement to the 0</w:t>
      </w:r>
      <w:r w:rsidR="00823A67">
        <w:rPr>
          <w:rFonts w:eastAsia="SimSun"/>
        </w:rPr>
        <w:t>0</w:t>
      </w:r>
      <w:r>
        <w:rPr>
          <w:rFonts w:eastAsia="SimSun"/>
        </w:rPr>
        <w:t xml:space="preserve"> series of amendments to UN Regulation No. </w:t>
      </w:r>
      <w:r w:rsidR="00823A67">
        <w:rPr>
          <w:rFonts w:eastAsia="SimSun"/>
        </w:rPr>
        <w:t>1</w:t>
      </w:r>
      <w:r>
        <w:rPr>
          <w:rFonts w:eastAsia="SimSun"/>
        </w:rPr>
        <w:t>48</w:t>
      </w:r>
    </w:p>
    <w:p w14:paraId="3EE205A0" w14:textId="77777777" w:rsidR="00823A67" w:rsidRPr="00823A67" w:rsidRDefault="00823A67" w:rsidP="00823A67">
      <w:pPr>
        <w:pStyle w:val="SingleTxtG"/>
      </w:pPr>
      <w:r w:rsidRPr="00823A67">
        <w:rPr>
          <w:i/>
          <w:iCs/>
        </w:rPr>
        <w:t xml:space="preserve">Paragraph 5.4.1., </w:t>
      </w:r>
      <w:r w:rsidRPr="00823A67">
        <w:t>amend to read:</w:t>
      </w:r>
    </w:p>
    <w:p w14:paraId="7FFE924E" w14:textId="42C221FE" w:rsidR="00823A67" w:rsidRDefault="00823A67" w:rsidP="00823A67">
      <w:pPr>
        <w:pStyle w:val="para0"/>
        <w:rPr>
          <w:lang w:val="en-US"/>
        </w:rPr>
      </w:pPr>
      <w:r>
        <w:rPr>
          <w:lang w:val="en-US"/>
        </w:rPr>
        <w:t>“</w:t>
      </w:r>
      <w:r w:rsidRPr="00DE1DBA">
        <w:rPr>
          <w:lang w:val="en-US"/>
        </w:rPr>
        <w:t>5.4.1.</w:t>
      </w:r>
      <w:r>
        <w:rPr>
          <w:lang w:val="en-US"/>
        </w:rPr>
        <w:tab/>
      </w:r>
      <w:r w:rsidR="00732CF6" w:rsidRPr="00DF55D3">
        <w:rPr>
          <w:lang w:val="en-US"/>
        </w:rPr>
        <w:tab/>
        <w:t>The light emitted by each of the two lamps supplied shall meet the requirements in Table 6</w:t>
      </w:r>
      <w:r w:rsidRPr="00DE1DBA">
        <w:rPr>
          <w:lang w:val="en-US"/>
        </w:rPr>
        <w:t xml:space="preserve">. </w:t>
      </w:r>
    </w:p>
    <w:p w14:paraId="4FA11106" w14:textId="77777777" w:rsidR="00732CF6" w:rsidRDefault="00823A67" w:rsidP="00A627A0">
      <w:pPr>
        <w:pStyle w:val="Heading1"/>
        <w:spacing w:before="120"/>
        <w:ind w:left="1134"/>
      </w:pPr>
      <w:r>
        <w:rPr>
          <w:lang w:val="en-US"/>
        </w:rPr>
        <w:tab/>
      </w:r>
      <w:r w:rsidR="00732CF6">
        <w:t xml:space="preserve">Table 6 </w:t>
      </w:r>
    </w:p>
    <w:p w14:paraId="7116F2C9" w14:textId="77777777" w:rsidR="00732CF6" w:rsidRPr="00666928" w:rsidRDefault="00732CF6" w:rsidP="00732CF6">
      <w:pPr>
        <w:pStyle w:val="Heading1"/>
        <w:spacing w:after="120"/>
        <w:ind w:left="1134"/>
        <w:rPr>
          <w:b/>
          <w:bCs/>
        </w:rPr>
      </w:pPr>
      <w:r w:rsidRPr="00666928">
        <w:rPr>
          <w:b/>
          <w:bCs/>
        </w:rPr>
        <w:t xml:space="preserve">Luminous intensities for daytime running </w:t>
      </w:r>
      <w:proofErr w:type="gramStart"/>
      <w:r w:rsidRPr="00666928">
        <w:rPr>
          <w:b/>
          <w:bCs/>
        </w:rPr>
        <w:t>lamps</w:t>
      </w:r>
      <w:proofErr w:type="gramEnd"/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43"/>
        <w:gridCol w:w="1836"/>
      </w:tblGrid>
      <w:tr w:rsidR="00732CF6" w:rsidRPr="004E2AF7" w14:paraId="35300416" w14:textId="77777777" w:rsidTr="008D65B0">
        <w:trPr>
          <w:trHeight w:val="357"/>
          <w:tblHeader/>
        </w:trPr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6D0088" w14:textId="77777777" w:rsidR="00732CF6" w:rsidRPr="004E2AF7" w:rsidRDefault="00732CF6" w:rsidP="008D65B0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BA3075" w14:textId="77777777" w:rsidR="00732CF6" w:rsidRPr="004E2AF7" w:rsidRDefault="00732CF6" w:rsidP="008D65B0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4E2AF7">
              <w:rPr>
                <w:bCs/>
                <w:i/>
                <w:sz w:val="16"/>
                <w:szCs w:val="16"/>
              </w:rPr>
              <w:t xml:space="preserve">Minimum luminous intensity in </w:t>
            </w:r>
            <w:r>
              <w:rPr>
                <w:bCs/>
                <w:i/>
                <w:sz w:val="16"/>
                <w:szCs w:val="16"/>
              </w:rPr>
              <w:t xml:space="preserve">H-V </w:t>
            </w:r>
            <w:r>
              <w:rPr>
                <w:bCs/>
                <w:i/>
                <w:sz w:val="16"/>
              </w:rPr>
              <w:t xml:space="preserve">(values in </w:t>
            </w:r>
            <w:r w:rsidRPr="00933B96">
              <w:rPr>
                <w:i/>
                <w:sz w:val="16"/>
              </w:rPr>
              <w:t>cd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E1C42F" w14:textId="77777777" w:rsidR="00732CF6" w:rsidRPr="004E2AF7" w:rsidRDefault="00732CF6" w:rsidP="008D65B0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4E2AF7">
              <w:rPr>
                <w:i/>
                <w:sz w:val="16"/>
                <w:szCs w:val="16"/>
              </w:rPr>
              <w:t xml:space="preserve">Maximum luminous intensity in </w:t>
            </w:r>
            <w:r>
              <w:rPr>
                <w:i/>
                <w:sz w:val="16"/>
                <w:szCs w:val="16"/>
              </w:rPr>
              <w:t xml:space="preserve">any direction </w:t>
            </w:r>
            <w:r>
              <w:rPr>
                <w:bCs/>
                <w:i/>
                <w:sz w:val="16"/>
              </w:rPr>
              <w:t>(values in </w:t>
            </w:r>
            <w:r w:rsidRPr="00933B96">
              <w:rPr>
                <w:i/>
                <w:sz w:val="16"/>
              </w:rPr>
              <w:t>cd</w:t>
            </w:r>
            <w:r>
              <w:rPr>
                <w:i/>
                <w:sz w:val="16"/>
              </w:rPr>
              <w:t>)</w:t>
            </w:r>
            <w:r w:rsidRPr="004E2AF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32CF6" w:rsidRPr="004E2AF7" w14:paraId="3634EB29" w14:textId="77777777" w:rsidTr="008D65B0">
        <w:trPr>
          <w:trHeight w:val="48"/>
        </w:trPr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197EA3" w14:textId="77777777" w:rsidR="00732CF6" w:rsidRPr="004E2AF7" w:rsidRDefault="00732CF6" w:rsidP="008D65B0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E2AF7">
              <w:rPr>
                <w:sz w:val="18"/>
              </w:rPr>
              <w:t>Daytime running lamps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1BE100" w14:textId="77777777" w:rsidR="00732CF6" w:rsidRPr="004E2AF7" w:rsidRDefault="00732CF6" w:rsidP="008D65B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E2AF7">
              <w:rPr>
                <w:sz w:val="18"/>
              </w:rPr>
              <w:t>400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936FCD" w14:textId="77777777" w:rsidR="00732CF6" w:rsidRPr="004E2AF7" w:rsidRDefault="00732CF6" w:rsidP="008D65B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E2AF7">
              <w:rPr>
                <w:bCs/>
                <w:sz w:val="18"/>
              </w:rPr>
              <w:t>1200</w:t>
            </w:r>
          </w:p>
        </w:tc>
      </w:tr>
    </w:tbl>
    <w:p w14:paraId="795A6F1B" w14:textId="2C9ED5CE" w:rsidR="00823A67" w:rsidRDefault="00823A67" w:rsidP="00732CF6">
      <w:pPr>
        <w:pStyle w:val="para0"/>
        <w:spacing w:before="120"/>
        <w:rPr>
          <w:b/>
          <w:bCs/>
          <w:lang w:val="en-US"/>
        </w:rPr>
      </w:pPr>
      <w:r w:rsidRPr="008F578F">
        <w:rPr>
          <w:b/>
          <w:bCs/>
          <w:lang w:val="en-US"/>
        </w:rPr>
        <w:t>5.4.1.</w:t>
      </w:r>
      <w:r>
        <w:rPr>
          <w:b/>
          <w:bCs/>
          <w:lang w:val="en-US"/>
        </w:rPr>
        <w:t>1</w:t>
      </w:r>
      <w:r w:rsidRPr="008F578F">
        <w:rPr>
          <w:b/>
          <w:bCs/>
          <w:lang w:val="en-US"/>
        </w:rPr>
        <w:t>.</w:t>
      </w:r>
      <w:r w:rsidRPr="008F578F">
        <w:rPr>
          <w:b/>
          <w:bCs/>
          <w:lang w:val="en-US"/>
        </w:rPr>
        <w:tab/>
        <w:t xml:space="preserve">In </w:t>
      </w:r>
      <w:r w:rsidRPr="00732CF6">
        <w:rPr>
          <w:b/>
          <w:bCs/>
          <w:lang w:val="en-US"/>
        </w:rPr>
        <w:t xml:space="preserve">case the luminous intensity of the daytime running lamp is intended to be reduced, </w:t>
      </w:r>
      <w:r w:rsidRPr="008F578F">
        <w:rPr>
          <w:b/>
          <w:bCs/>
          <w:lang w:val="en-US"/>
        </w:rPr>
        <w:t xml:space="preserve">the reduced designed maximum luminous intensity shall not exceed </w:t>
      </w:r>
      <w:r>
        <w:rPr>
          <w:b/>
          <w:bCs/>
          <w:lang w:val="en-US"/>
        </w:rPr>
        <w:t>140</w:t>
      </w:r>
      <w:r w:rsidRPr="008F578F">
        <w:rPr>
          <w:b/>
          <w:bCs/>
          <w:lang w:val="en-US"/>
        </w:rPr>
        <w:t xml:space="preserve"> cd.</w:t>
      </w:r>
      <w:r>
        <w:rPr>
          <w:b/>
          <w:bCs/>
          <w:lang w:val="en-US"/>
        </w:rPr>
        <w:t>”</w:t>
      </w:r>
    </w:p>
    <w:p w14:paraId="3575CD2D" w14:textId="77777777" w:rsidR="00E601BA" w:rsidRDefault="00823A67" w:rsidP="00823A67">
      <w:pPr>
        <w:pStyle w:val="SingleTxtG"/>
        <w:rPr>
          <w:i/>
          <w:iCs/>
        </w:rPr>
      </w:pPr>
      <w:r w:rsidRPr="00823A67">
        <w:rPr>
          <w:i/>
          <w:iCs/>
        </w:rPr>
        <w:t>Annex 1,</w:t>
      </w:r>
    </w:p>
    <w:p w14:paraId="51CD4C5C" w14:textId="72545499" w:rsidR="00823A67" w:rsidRPr="00823A67" w:rsidRDefault="00E601BA" w:rsidP="00823A67">
      <w:pPr>
        <w:pStyle w:val="SingleTxtG"/>
      </w:pPr>
      <w:r>
        <w:rPr>
          <w:i/>
          <w:iCs/>
        </w:rPr>
        <w:t>I</w:t>
      </w:r>
      <w:r w:rsidR="00823A67" w:rsidRPr="00823A67">
        <w:rPr>
          <w:i/>
          <w:iCs/>
        </w:rPr>
        <w:t>tem 9.1.5.</w:t>
      </w:r>
      <w:r w:rsidR="00823A67" w:rsidRPr="00823A67">
        <w:t>, amend to read:</w:t>
      </w:r>
    </w:p>
    <w:p w14:paraId="4BF74E2C" w14:textId="77777777" w:rsidR="00823A67" w:rsidRPr="00170A11" w:rsidRDefault="00823A67" w:rsidP="00823A67">
      <w:pPr>
        <w:pStyle w:val="para0"/>
        <w:rPr>
          <w:lang w:val="en-US"/>
        </w:rPr>
      </w:pPr>
      <w:r w:rsidRPr="00DE1DBA">
        <w:rPr>
          <w:lang w:val="en-US"/>
        </w:rPr>
        <w:t>“9.</w:t>
      </w:r>
      <w:r w:rsidRPr="00C331A8">
        <w:rPr>
          <w:lang w:val="en-US"/>
        </w:rPr>
        <w:t>1.5.</w:t>
      </w:r>
      <w:r w:rsidRPr="00C331A8">
        <w:rPr>
          <w:lang w:val="en-US"/>
        </w:rPr>
        <w:tab/>
      </w:r>
      <w:r w:rsidRPr="00170A11">
        <w:rPr>
          <w:lang w:val="en-US"/>
        </w:rPr>
        <w:t xml:space="preserve">A daytime running </w:t>
      </w:r>
      <w:proofErr w:type="gramStart"/>
      <w:r w:rsidRPr="00170A11">
        <w:rPr>
          <w:lang w:val="en-US"/>
        </w:rPr>
        <w:t>lamp</w:t>
      </w:r>
      <w:proofErr w:type="gramEnd"/>
    </w:p>
    <w:p w14:paraId="697EC546" w14:textId="0AC0FF9F" w:rsidR="00823A67" w:rsidRPr="00170A11" w:rsidRDefault="00823A67" w:rsidP="00823A67">
      <w:pPr>
        <w:pStyle w:val="para0"/>
        <w:rPr>
          <w:b/>
          <w:bCs/>
          <w:lang w:val="en-US"/>
        </w:rPr>
      </w:pPr>
      <w:r w:rsidRPr="00170A11">
        <w:rPr>
          <w:b/>
          <w:bCs/>
          <w:lang w:val="en-US"/>
        </w:rPr>
        <w:t>9.1.5.1.</w:t>
      </w:r>
      <w:r w:rsidRPr="00170A11">
        <w:rPr>
          <w:b/>
          <w:bCs/>
          <w:lang w:val="en-US"/>
        </w:rPr>
        <w:tab/>
      </w:r>
      <w:r w:rsidR="00B358CA" w:rsidRPr="00170A11">
        <w:rPr>
          <w:b/>
          <w:bCs/>
          <w:lang w:val="en-US"/>
        </w:rPr>
        <w:t xml:space="preserve">The </w:t>
      </w:r>
      <w:r w:rsidR="00B358CA" w:rsidRPr="00170A11">
        <w:rPr>
          <w:lang w:val="en-US"/>
        </w:rPr>
        <w:t>m</w:t>
      </w:r>
      <w:r w:rsidRPr="00170A11">
        <w:rPr>
          <w:lang w:val="en-US"/>
        </w:rPr>
        <w:t>aximum luminous intensity does not exceed 700 cd: yes/no</w:t>
      </w:r>
    </w:p>
    <w:p w14:paraId="6AAA3573" w14:textId="3F16AC3B" w:rsidR="005E27BD" w:rsidRPr="000424D9" w:rsidRDefault="00823A67" w:rsidP="003215B3">
      <w:pPr>
        <w:pStyle w:val="para0"/>
        <w:rPr>
          <w:i/>
          <w:iCs/>
          <w:lang w:val="en-US"/>
        </w:rPr>
      </w:pPr>
      <w:r w:rsidRPr="00170A11">
        <w:rPr>
          <w:b/>
          <w:bCs/>
          <w:lang w:val="en-US"/>
        </w:rPr>
        <w:t>9.1.5.2.</w:t>
      </w:r>
      <w:r w:rsidRPr="00170A11">
        <w:rPr>
          <w:b/>
          <w:bCs/>
          <w:lang w:val="en-US"/>
        </w:rPr>
        <w:tab/>
      </w:r>
      <w:r w:rsidR="00B358CA" w:rsidRPr="00170A11">
        <w:rPr>
          <w:b/>
          <w:bCs/>
          <w:lang w:val="en-US"/>
        </w:rPr>
        <w:t>The daytime running lamp i</w:t>
      </w:r>
      <w:r w:rsidRPr="00170A11">
        <w:rPr>
          <w:b/>
          <w:bCs/>
          <w:lang w:val="en-US"/>
        </w:rPr>
        <w:t>s intended to be reduced so that the maximum luminous intensity does not exceed 140 cd:</w:t>
      </w:r>
      <w:r w:rsidR="009B5DD0" w:rsidRPr="00170A11">
        <w:rPr>
          <w:b/>
          <w:bCs/>
          <w:lang w:val="en-US"/>
        </w:rPr>
        <w:t xml:space="preserve"> </w:t>
      </w:r>
      <w:r w:rsidRPr="00170A11">
        <w:rPr>
          <w:b/>
          <w:bCs/>
          <w:lang w:val="en-US"/>
        </w:rPr>
        <w:t>yes/</w:t>
      </w:r>
      <w:proofErr w:type="gramStart"/>
      <w:r w:rsidRPr="00170A11">
        <w:rPr>
          <w:b/>
          <w:bCs/>
          <w:lang w:val="en-US"/>
        </w:rPr>
        <w:t>no</w:t>
      </w:r>
      <w:r w:rsidRPr="00170A11">
        <w:rPr>
          <w:b/>
          <w:bCs/>
          <w:vertAlign w:val="superscript"/>
          <w:lang w:val="en-US"/>
        </w:rPr>
        <w:t>2</w:t>
      </w:r>
      <w:proofErr w:type="gramEnd"/>
      <w:r w:rsidRPr="00170A11">
        <w:rPr>
          <w:b/>
          <w:bCs/>
          <w:lang w:val="en-US"/>
        </w:rPr>
        <w:t>”</w:t>
      </w:r>
    </w:p>
    <w:p w14:paraId="619237F3" w14:textId="2FE73177" w:rsidR="001E4BBB" w:rsidRPr="00170A11" w:rsidRDefault="00E601BA" w:rsidP="001E4BBB">
      <w:pPr>
        <w:pStyle w:val="SingleTxtG"/>
      </w:pPr>
      <w:r>
        <w:rPr>
          <w:i/>
          <w:iCs/>
        </w:rPr>
        <w:t>I</w:t>
      </w:r>
      <w:r w:rsidR="001E4BBB" w:rsidRPr="00170A11">
        <w:rPr>
          <w:i/>
          <w:iCs/>
        </w:rPr>
        <w:t>tem 9.3.,</w:t>
      </w:r>
      <w:r w:rsidR="001E4BBB" w:rsidRPr="00170A11">
        <w:t xml:space="preserve"> amend to read:</w:t>
      </w:r>
    </w:p>
    <w:p w14:paraId="58B360FA" w14:textId="4322953B" w:rsidR="005E27BD" w:rsidRDefault="001E4BBB" w:rsidP="003215B3">
      <w:pPr>
        <w:pStyle w:val="SingleTxtG"/>
        <w:ind w:left="2268" w:hanging="1134"/>
        <w:rPr>
          <w:lang w:val="en-US"/>
        </w:rPr>
      </w:pPr>
      <w:r w:rsidRPr="00170A11">
        <w:rPr>
          <w:lang w:val="en-US"/>
        </w:rPr>
        <w:t>“9.3.</w:t>
      </w:r>
      <w:r w:rsidRPr="00170A11">
        <w:rPr>
          <w:lang w:val="en-US"/>
        </w:rPr>
        <w:tab/>
        <w:t>The front position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rear position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stop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end-outline marker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daytime running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 xml:space="preserve">, </w:t>
      </w:r>
      <w:r w:rsidRPr="00170A11">
        <w:rPr>
          <w:b/>
          <w:bCs/>
          <w:lang w:val="en-US"/>
        </w:rPr>
        <w:t>parking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>, reversing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>, rear fog lamp</w:t>
      </w:r>
      <w:r w:rsidRPr="00170A11">
        <w:rPr>
          <w:b/>
          <w:bCs/>
          <w:vertAlign w:val="superscript"/>
          <w:lang w:val="en-US"/>
        </w:rPr>
        <w:t xml:space="preserve">2 </w:t>
      </w:r>
      <w:r w:rsidRPr="00170A11">
        <w:rPr>
          <w:b/>
          <w:bCs/>
          <w:lang w:val="en-US"/>
        </w:rPr>
        <w:t>and side marker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 xml:space="preserve"> </w:t>
      </w:r>
      <w:r w:rsidRPr="00170A11">
        <w:rPr>
          <w:lang w:val="en-US"/>
        </w:rPr>
        <w:t>is only for use on a vehicle fitted with a tell-tale indicating failure: yes/</w:t>
      </w:r>
      <w:proofErr w:type="gramStart"/>
      <w:r w:rsidRPr="00170A11">
        <w:rPr>
          <w:lang w:val="en-US"/>
        </w:rPr>
        <w:t>no</w:t>
      </w:r>
      <w:r w:rsidRPr="00170A11">
        <w:rPr>
          <w:vertAlign w:val="superscript"/>
          <w:lang w:val="en-US"/>
        </w:rPr>
        <w:t>2</w:t>
      </w:r>
      <w:proofErr w:type="gramEnd"/>
      <w:r w:rsidRPr="00170A11">
        <w:rPr>
          <w:lang w:val="en-US"/>
        </w:rPr>
        <w:t>”</w:t>
      </w:r>
    </w:p>
    <w:p w14:paraId="3A4CA6FB" w14:textId="58F64862" w:rsidR="00CD1236" w:rsidRDefault="00CD1236" w:rsidP="00CD1236">
      <w:pPr>
        <w:pStyle w:val="H1G"/>
        <w:ind w:hanging="425"/>
        <w:jc w:val="both"/>
        <w:rPr>
          <w:rFonts w:eastAsia="SimSun"/>
        </w:rPr>
      </w:pPr>
      <w:r>
        <w:rPr>
          <w:rFonts w:eastAsia="SimSun"/>
        </w:rPr>
        <w:t>B.</w:t>
      </w:r>
      <w:r>
        <w:rPr>
          <w:rFonts w:eastAsia="SimSun"/>
        </w:rPr>
        <w:tab/>
      </w:r>
      <w:r w:rsidR="00823A67">
        <w:rPr>
          <w:rFonts w:eastAsia="SimSun"/>
        </w:rPr>
        <w:t>Proposal for a Supplement to the 01 series of amendments to UN Regulation No. 148</w:t>
      </w:r>
    </w:p>
    <w:p w14:paraId="69AFB76F" w14:textId="77777777" w:rsidR="003978C1" w:rsidRPr="003978C1" w:rsidRDefault="003978C1" w:rsidP="003978C1">
      <w:pPr>
        <w:pStyle w:val="SingleTxtG"/>
      </w:pPr>
      <w:r w:rsidRPr="003978C1">
        <w:rPr>
          <w:i/>
          <w:iCs/>
        </w:rPr>
        <w:t>Paragraph 5.4.1.</w:t>
      </w:r>
      <w:r w:rsidRPr="003978C1">
        <w:t>, amend to read:</w:t>
      </w:r>
    </w:p>
    <w:p w14:paraId="474779F2" w14:textId="0E35810D" w:rsidR="00C331A8" w:rsidRDefault="003978C1" w:rsidP="003978C1">
      <w:pPr>
        <w:pStyle w:val="para0"/>
        <w:rPr>
          <w:lang w:val="en-US"/>
        </w:rPr>
      </w:pPr>
      <w:bookmarkStart w:id="0" w:name="_Hlk127515917"/>
      <w:r>
        <w:rPr>
          <w:lang w:val="en-US"/>
        </w:rPr>
        <w:t>“</w:t>
      </w:r>
      <w:r w:rsidRPr="00DE1DBA">
        <w:rPr>
          <w:lang w:val="en-US"/>
        </w:rPr>
        <w:t>5.4.1.</w:t>
      </w:r>
      <w:r>
        <w:rPr>
          <w:lang w:val="en-US"/>
        </w:rPr>
        <w:tab/>
      </w:r>
      <w:r w:rsidRPr="00DE1DBA">
        <w:rPr>
          <w:lang w:val="en-US"/>
        </w:rPr>
        <w:t xml:space="preserve">Luminous intensity and standard light distribution: </w:t>
      </w:r>
    </w:p>
    <w:p w14:paraId="151D02A1" w14:textId="7F3249D5" w:rsidR="003978C1" w:rsidRDefault="003978C1" w:rsidP="00C331A8">
      <w:pPr>
        <w:pStyle w:val="para0"/>
        <w:ind w:firstLine="0"/>
        <w:rPr>
          <w:lang w:val="en-US"/>
        </w:rPr>
      </w:pPr>
      <w:r w:rsidRPr="00DE1DBA">
        <w:rPr>
          <w:lang w:val="en-US"/>
        </w:rPr>
        <w:t xml:space="preserve">The light emitted by each of the two samples supplied shall meet the requirements in Table 6. </w:t>
      </w:r>
    </w:p>
    <w:p w14:paraId="2966729A" w14:textId="22E313C2" w:rsidR="00C331A8" w:rsidRPr="007C4B85" w:rsidRDefault="003978C1" w:rsidP="009B5DD0">
      <w:pPr>
        <w:keepNext/>
        <w:spacing w:line="240" w:lineRule="auto"/>
        <w:ind w:left="2268" w:right="1134"/>
        <w:jc w:val="both"/>
        <w:rPr>
          <w:rStyle w:val="Carpredefinitoparagrafo1"/>
          <w:bCs/>
        </w:rPr>
      </w:pPr>
      <w:r>
        <w:rPr>
          <w:lang w:val="en-US"/>
        </w:rPr>
        <w:lastRenderedPageBreak/>
        <w:tab/>
      </w:r>
      <w:r w:rsidR="00C331A8" w:rsidRPr="007C4B85">
        <w:rPr>
          <w:rStyle w:val="Carpredefinitoparagrafo1"/>
          <w:bCs/>
        </w:rPr>
        <w:t>Table 6</w:t>
      </w:r>
    </w:p>
    <w:p w14:paraId="5A474FEA" w14:textId="77777777" w:rsidR="00C331A8" w:rsidRPr="007C4B85" w:rsidRDefault="00C331A8" w:rsidP="009B5DD0">
      <w:pPr>
        <w:keepNext/>
        <w:spacing w:after="120" w:line="240" w:lineRule="auto"/>
        <w:ind w:left="2268" w:right="849"/>
        <w:rPr>
          <w:rStyle w:val="Carpredefinitoparagrafo1"/>
          <w:b/>
          <w:bCs/>
        </w:rPr>
      </w:pPr>
      <w:r w:rsidRPr="007C4B85">
        <w:rPr>
          <w:rStyle w:val="Carpredefinitoparagrafo1"/>
          <w:b/>
          <w:bCs/>
        </w:rPr>
        <w:t xml:space="preserve">Luminous intensities for daytime running </w:t>
      </w:r>
      <w:proofErr w:type="gramStart"/>
      <w:r w:rsidRPr="007C4B85">
        <w:rPr>
          <w:rStyle w:val="Carpredefinitoparagrafo1"/>
          <w:b/>
          <w:bCs/>
        </w:rPr>
        <w:t>lamps</w:t>
      </w:r>
      <w:proofErr w:type="gramEnd"/>
    </w:p>
    <w:tbl>
      <w:tblPr>
        <w:tblW w:w="8514" w:type="dxa"/>
        <w:tblInd w:w="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308"/>
        <w:gridCol w:w="1100"/>
        <w:gridCol w:w="1134"/>
        <w:gridCol w:w="1310"/>
        <w:gridCol w:w="1101"/>
        <w:gridCol w:w="1134"/>
      </w:tblGrid>
      <w:tr w:rsidR="00C331A8" w:rsidRPr="007C4B85" w14:paraId="568295A2" w14:textId="77777777" w:rsidTr="00EA131D">
        <w:trPr>
          <w:cantSplit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B944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Daytime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running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lamp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702C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fr-CH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luminous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intensity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in cd (Par. 4.8.3.1. (</w:t>
            </w:r>
            <w:proofErr w:type="gram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a</w:t>
            </w:r>
            <w:proofErr w:type="gram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))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5153C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Maximum luminous intensity in cd when used as</w:t>
            </w:r>
          </w:p>
          <w:p w14:paraId="068C830E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(b))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C64E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Standard light distribution</w:t>
            </w:r>
          </w:p>
          <w:p w14:paraId="40081AA8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(c))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37AF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Angles of</w:t>
            </w:r>
          </w:p>
          <w:p w14:paraId="44C15110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geometric visibility</w:t>
            </w:r>
          </w:p>
          <w:p w14:paraId="474FABE7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(d))</w:t>
            </w:r>
          </w:p>
        </w:tc>
      </w:tr>
      <w:tr w:rsidR="00C331A8" w:rsidRPr="007C4B85" w14:paraId="0600A4D6" w14:textId="77777777" w:rsidTr="00EA131D">
        <w:trPr>
          <w:cantSplit/>
          <w:trHeight w:val="860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34416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F0D5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F0A5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 single lamp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CD29F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 lamp marked "D" (Par. 3.3.2.5.2.)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8F2E1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88C3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en-GB"/>
              </w:rPr>
              <w:t>Definition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97AD" w14:textId="77777777" w:rsidR="00C331A8" w:rsidRPr="007C526E" w:rsidRDefault="00C331A8" w:rsidP="00EA131D">
            <w:pPr>
              <w:pStyle w:val="Normale1"/>
              <w:keepNext/>
              <w:jc w:val="center"/>
              <w:rPr>
                <w:rStyle w:val="Carpredefinitoparagrafo1"/>
                <w:b/>
                <w:bCs/>
                <w:i/>
                <w:iCs/>
                <w:sz w:val="18"/>
                <w:szCs w:val="18"/>
                <w:shd w:val="clear" w:color="auto" w:fill="FFFF00"/>
                <w:lang w:val="en-GB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en-GB"/>
              </w:rPr>
              <w:t>Minimum luminous intensity in cd</w:t>
            </w:r>
          </w:p>
        </w:tc>
      </w:tr>
      <w:tr w:rsidR="00C331A8" w:rsidRPr="007C4B85" w14:paraId="18A65AC9" w14:textId="77777777" w:rsidTr="00EA131D">
        <w:trPr>
          <w:cantSplit/>
        </w:trPr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0692D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RL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FCF78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4.00∙10</w:t>
            </w:r>
            <w:r w:rsidRPr="00885C0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70C8F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1.20∙10</w:t>
            </w:r>
            <w:r w:rsidRPr="00885C0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974E1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6.00∙10²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5DF03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Figure A3-II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96476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Table A2-1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FCBB2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1.0∙10</w:t>
            </w:r>
            <w:r w:rsidRPr="00885C09">
              <w:rPr>
                <w:sz w:val="18"/>
                <w:szCs w:val="18"/>
                <w:vertAlign w:val="superscript"/>
              </w:rPr>
              <w:t>0</w:t>
            </w:r>
          </w:p>
        </w:tc>
      </w:tr>
    </w:tbl>
    <w:p w14:paraId="626760E0" w14:textId="75E5E1ED" w:rsidR="005E27BD" w:rsidRDefault="003978C1" w:rsidP="00E601BA">
      <w:pPr>
        <w:pStyle w:val="para0"/>
        <w:spacing w:before="120"/>
        <w:rPr>
          <w:i/>
          <w:iCs/>
          <w:lang w:val="en-US" w:eastAsia="zh-CN"/>
        </w:rPr>
      </w:pPr>
      <w:r w:rsidRPr="008F578F">
        <w:rPr>
          <w:b/>
          <w:bCs/>
          <w:lang w:val="en-US"/>
        </w:rPr>
        <w:t>5.4.1.</w:t>
      </w:r>
      <w:r>
        <w:rPr>
          <w:b/>
          <w:bCs/>
          <w:lang w:val="en-US"/>
        </w:rPr>
        <w:t>1</w:t>
      </w:r>
      <w:r w:rsidRPr="008F578F">
        <w:rPr>
          <w:b/>
          <w:bCs/>
          <w:lang w:val="en-US"/>
        </w:rPr>
        <w:t>.</w:t>
      </w:r>
      <w:r w:rsidRPr="008F578F">
        <w:rPr>
          <w:b/>
          <w:bCs/>
          <w:lang w:val="en-US"/>
        </w:rPr>
        <w:tab/>
      </w:r>
      <w:bookmarkStart w:id="1" w:name="_Hlk151641957"/>
      <w:r w:rsidRPr="008F578F">
        <w:rPr>
          <w:b/>
          <w:bCs/>
          <w:lang w:val="en-US"/>
        </w:rPr>
        <w:t xml:space="preserve">In </w:t>
      </w:r>
      <w:r w:rsidRPr="00C331A8">
        <w:rPr>
          <w:b/>
          <w:bCs/>
          <w:lang w:val="en-US"/>
        </w:rPr>
        <w:t>case the luminous intensity of the daytime running lamp is intended to be reduced, the reduced designed maximum luminous intensity shall not exceed 1.40∙10</w:t>
      </w:r>
      <w:r w:rsidRPr="00C331A8">
        <w:rPr>
          <w:b/>
          <w:bCs/>
          <w:vertAlign w:val="superscript"/>
          <w:lang w:val="en-US"/>
        </w:rPr>
        <w:t>2</w:t>
      </w:r>
      <w:r w:rsidRPr="00C331A8">
        <w:rPr>
          <w:b/>
          <w:bCs/>
          <w:lang w:val="en-US"/>
        </w:rPr>
        <w:t xml:space="preserve"> cd.”</w:t>
      </w:r>
      <w:bookmarkEnd w:id="0"/>
      <w:bookmarkEnd w:id="1"/>
    </w:p>
    <w:p w14:paraId="5A04BCB3" w14:textId="77777777" w:rsidR="00E601BA" w:rsidRDefault="003978C1" w:rsidP="003978C1">
      <w:pPr>
        <w:pStyle w:val="SingleTxtG"/>
        <w:rPr>
          <w:i/>
          <w:iCs/>
          <w:lang w:val="en-US" w:eastAsia="zh-CN"/>
        </w:rPr>
      </w:pPr>
      <w:r w:rsidRPr="009B5DD0">
        <w:rPr>
          <w:i/>
          <w:iCs/>
          <w:lang w:val="en-US" w:eastAsia="zh-CN"/>
        </w:rPr>
        <w:t xml:space="preserve">Annex 1, </w:t>
      </w:r>
    </w:p>
    <w:p w14:paraId="64CCB584" w14:textId="4C4CF233" w:rsidR="003978C1" w:rsidRPr="009B5DD0" w:rsidRDefault="00E601BA" w:rsidP="003978C1">
      <w:pPr>
        <w:pStyle w:val="SingleTxtG"/>
        <w:rPr>
          <w:lang w:val="en-US" w:eastAsia="zh-CN"/>
        </w:rPr>
      </w:pPr>
      <w:r>
        <w:rPr>
          <w:i/>
          <w:iCs/>
          <w:lang w:val="en-US" w:eastAsia="zh-CN"/>
        </w:rPr>
        <w:t>I</w:t>
      </w:r>
      <w:r w:rsidR="003978C1" w:rsidRPr="009B5DD0">
        <w:rPr>
          <w:i/>
          <w:iCs/>
          <w:lang w:val="en-US" w:eastAsia="zh-CN"/>
        </w:rPr>
        <w:t>tem 9.1.5.,</w:t>
      </w:r>
      <w:r w:rsidR="003978C1" w:rsidRPr="009B5DD0">
        <w:rPr>
          <w:lang w:val="en-US" w:eastAsia="zh-CN"/>
        </w:rPr>
        <w:t xml:space="preserve"> amend to read:</w:t>
      </w:r>
    </w:p>
    <w:p w14:paraId="1C5C7B72" w14:textId="77777777" w:rsidR="003978C1" w:rsidRPr="009B5DD0" w:rsidRDefault="003978C1" w:rsidP="003978C1">
      <w:pPr>
        <w:pStyle w:val="para0"/>
        <w:rPr>
          <w:lang w:val="en-US" w:eastAsia="zh-CN"/>
        </w:rPr>
      </w:pPr>
      <w:r w:rsidRPr="009B5DD0">
        <w:rPr>
          <w:lang w:val="en-US" w:eastAsia="zh-CN"/>
        </w:rPr>
        <w:t>“9.1.5.</w:t>
      </w:r>
      <w:r w:rsidRPr="009B5DD0">
        <w:rPr>
          <w:lang w:val="en-US" w:eastAsia="zh-CN"/>
        </w:rPr>
        <w:tab/>
        <w:t xml:space="preserve">A daytime running </w:t>
      </w:r>
      <w:proofErr w:type="gramStart"/>
      <w:r w:rsidRPr="009B5DD0">
        <w:rPr>
          <w:lang w:val="en-US" w:eastAsia="zh-CN"/>
        </w:rPr>
        <w:t>lamp</w:t>
      </w:r>
      <w:proofErr w:type="gramEnd"/>
    </w:p>
    <w:p w14:paraId="22F88CDF" w14:textId="69620BC6" w:rsidR="003978C1" w:rsidRPr="00170A11" w:rsidRDefault="003978C1" w:rsidP="003978C1">
      <w:pPr>
        <w:pStyle w:val="para0"/>
        <w:rPr>
          <w:b/>
          <w:bCs/>
          <w:lang w:val="en-US"/>
        </w:rPr>
      </w:pPr>
      <w:r w:rsidRPr="009B5DD0">
        <w:rPr>
          <w:b/>
          <w:bCs/>
          <w:lang w:val="en-US"/>
        </w:rPr>
        <w:t>9.1.5.1.</w:t>
      </w:r>
      <w:r w:rsidRPr="009B5DD0">
        <w:rPr>
          <w:b/>
          <w:bCs/>
          <w:lang w:val="en-US"/>
        </w:rPr>
        <w:tab/>
      </w:r>
      <w:r w:rsidR="009B5DD0" w:rsidRPr="00DF55D3">
        <w:rPr>
          <w:lang w:val="en-US"/>
        </w:rPr>
        <w:t>The daytime running lamp is</w:t>
      </w:r>
      <w:r w:rsidRPr="009B5DD0">
        <w:rPr>
          <w:lang w:val="en-US"/>
        </w:rPr>
        <w:t xml:space="preserve"> intended exclusively for installation on vehicles of category L</w:t>
      </w:r>
      <w:r w:rsidRPr="009B5DD0">
        <w:rPr>
          <w:vertAlign w:val="subscript"/>
          <w:lang w:val="en-US"/>
        </w:rPr>
        <w:t>3</w:t>
      </w:r>
      <w:r w:rsidRPr="009B5DD0">
        <w:rPr>
          <w:lang w:val="en-US"/>
        </w:rPr>
        <w:t>, and its designed maximum luminous intensity does not exceed 7.</w:t>
      </w:r>
      <w:r w:rsidRPr="00170A11">
        <w:rPr>
          <w:lang w:val="en-US"/>
        </w:rPr>
        <w:t>00∙10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 xml:space="preserve"> cd: yes/</w:t>
      </w:r>
      <w:proofErr w:type="gramStart"/>
      <w:r w:rsidRPr="00170A11">
        <w:rPr>
          <w:lang w:val="en-US"/>
        </w:rPr>
        <w:t>no</w:t>
      </w:r>
      <w:r w:rsidRPr="00170A11">
        <w:rPr>
          <w:vertAlign w:val="superscript"/>
          <w:lang w:val="en-US"/>
        </w:rPr>
        <w:t>2</w:t>
      </w:r>
      <w:proofErr w:type="gramEnd"/>
    </w:p>
    <w:p w14:paraId="307580FA" w14:textId="6FED6152" w:rsidR="003978C1" w:rsidRPr="009B5DD0" w:rsidRDefault="003978C1" w:rsidP="00E601BA">
      <w:pPr>
        <w:pStyle w:val="para0"/>
        <w:rPr>
          <w:lang w:val="en-US" w:eastAsia="zh-CN"/>
        </w:rPr>
      </w:pPr>
      <w:r w:rsidRPr="00170A11">
        <w:rPr>
          <w:b/>
          <w:bCs/>
          <w:lang w:val="en-US"/>
        </w:rPr>
        <w:t>9.1.5.2.</w:t>
      </w:r>
      <w:r w:rsidRPr="00170A11">
        <w:rPr>
          <w:b/>
          <w:bCs/>
          <w:lang w:val="en-US"/>
        </w:rPr>
        <w:tab/>
      </w:r>
      <w:r w:rsidR="00572BF6" w:rsidRPr="00170A11">
        <w:rPr>
          <w:b/>
          <w:bCs/>
          <w:lang w:val="en-US"/>
        </w:rPr>
        <w:t>The daytime running lamp is</w:t>
      </w:r>
      <w:r w:rsidRPr="00170A11">
        <w:rPr>
          <w:b/>
          <w:bCs/>
          <w:lang w:val="en-US"/>
        </w:rPr>
        <w:t xml:space="preserve"> intended</w:t>
      </w:r>
      <w:r w:rsidRPr="009B5DD0">
        <w:rPr>
          <w:b/>
          <w:bCs/>
          <w:lang w:val="en-US"/>
        </w:rPr>
        <w:t xml:space="preserve"> to be reduced so that the maximum luminous intensity does not exceed 1.4∙10</w:t>
      </w:r>
      <w:r w:rsidRPr="009B5DD0">
        <w:rPr>
          <w:b/>
          <w:bCs/>
          <w:vertAlign w:val="superscript"/>
          <w:lang w:val="en-US"/>
        </w:rPr>
        <w:t>2</w:t>
      </w:r>
      <w:r w:rsidRPr="009B5DD0">
        <w:rPr>
          <w:b/>
          <w:bCs/>
          <w:lang w:val="en-US"/>
        </w:rPr>
        <w:t xml:space="preserve"> cd:</w:t>
      </w:r>
      <w:r w:rsidR="009B5DD0">
        <w:rPr>
          <w:b/>
          <w:bCs/>
          <w:lang w:val="en-US"/>
        </w:rPr>
        <w:t xml:space="preserve"> </w:t>
      </w:r>
      <w:r w:rsidRPr="009B5DD0">
        <w:rPr>
          <w:b/>
          <w:bCs/>
          <w:lang w:val="en-US"/>
        </w:rPr>
        <w:t>yes/</w:t>
      </w:r>
      <w:proofErr w:type="gramStart"/>
      <w:r w:rsidRPr="009B5DD0">
        <w:rPr>
          <w:b/>
          <w:bCs/>
          <w:lang w:val="en-US"/>
        </w:rPr>
        <w:t>no</w:t>
      </w:r>
      <w:r w:rsidRPr="009B5DD0">
        <w:rPr>
          <w:b/>
          <w:bCs/>
          <w:vertAlign w:val="superscript"/>
          <w:lang w:val="en-US"/>
        </w:rPr>
        <w:t>2</w:t>
      </w:r>
      <w:proofErr w:type="gramEnd"/>
      <w:r w:rsidRPr="009B5DD0">
        <w:rPr>
          <w:b/>
          <w:bCs/>
          <w:lang w:val="en-US"/>
        </w:rPr>
        <w:t>”</w:t>
      </w:r>
    </w:p>
    <w:p w14:paraId="0D6D3C27" w14:textId="6064265C" w:rsidR="001E4BBB" w:rsidRPr="001E4BBB" w:rsidRDefault="00E601BA" w:rsidP="001E4BBB">
      <w:pPr>
        <w:pStyle w:val="SingleTxtG"/>
        <w:rPr>
          <w:lang w:val="en-US"/>
        </w:rPr>
      </w:pPr>
      <w:r>
        <w:rPr>
          <w:i/>
          <w:iCs/>
          <w:lang w:val="en-US"/>
        </w:rPr>
        <w:t>I</w:t>
      </w:r>
      <w:r w:rsidR="001E4BBB" w:rsidRPr="001E4BBB">
        <w:rPr>
          <w:i/>
          <w:iCs/>
          <w:lang w:val="en-US"/>
        </w:rPr>
        <w:t>tem 9.3.,</w:t>
      </w:r>
      <w:r w:rsidR="001E4BBB" w:rsidRPr="001E4BBB">
        <w:rPr>
          <w:lang w:val="en-US"/>
        </w:rPr>
        <w:t xml:space="preserve"> amend to read:</w:t>
      </w:r>
    </w:p>
    <w:p w14:paraId="1725A8E4" w14:textId="4D8D82B8" w:rsidR="003978C1" w:rsidRDefault="001E4BBB" w:rsidP="00E601BA">
      <w:pPr>
        <w:pStyle w:val="para0"/>
        <w:rPr>
          <w:lang w:val="en-US"/>
        </w:rPr>
      </w:pPr>
      <w:r>
        <w:rPr>
          <w:lang w:val="en-US"/>
        </w:rPr>
        <w:t>“</w:t>
      </w:r>
      <w:r w:rsidRPr="002256FE">
        <w:rPr>
          <w:lang w:val="en-US"/>
        </w:rPr>
        <w:t>9.3.</w:t>
      </w:r>
      <w:r>
        <w:rPr>
          <w:lang w:val="en-US"/>
        </w:rPr>
        <w:tab/>
      </w:r>
      <w:r w:rsidRPr="002256FE">
        <w:rPr>
          <w:lang w:val="en-US"/>
        </w:rPr>
        <w:t>The front position lamp</w:t>
      </w:r>
      <w:bookmarkStart w:id="2" w:name="_Hlk134520964"/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</w:t>
      </w:r>
      <w:bookmarkEnd w:id="2"/>
      <w:r w:rsidRPr="002256FE">
        <w:rPr>
          <w:lang w:val="en-US"/>
        </w:rPr>
        <w:t xml:space="preserve"> rear position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stop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end-outline marker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daytime running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parking lamp</w:t>
      </w:r>
      <w:r w:rsidRPr="002256FE">
        <w:rPr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>, reversing lamp</w:t>
      </w:r>
      <w:r w:rsidRPr="002256FE">
        <w:rPr>
          <w:b/>
          <w:bCs/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>, rear fog lamp</w:t>
      </w:r>
      <w:r w:rsidRPr="002256FE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 xml:space="preserve"> a</w:t>
      </w:r>
      <w:r w:rsidRPr="002256FE">
        <w:rPr>
          <w:b/>
          <w:bCs/>
          <w:lang w:val="en-US"/>
        </w:rPr>
        <w:t>nd side marker lamp</w:t>
      </w:r>
      <w:r w:rsidRPr="002256FE">
        <w:rPr>
          <w:b/>
          <w:bCs/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 xml:space="preserve"> </w:t>
      </w:r>
      <w:r w:rsidRPr="002256FE">
        <w:rPr>
          <w:lang w:val="en-US"/>
        </w:rPr>
        <w:t>is only for use on a vehicle fitted with a tell-tale indicating failure: yes/</w:t>
      </w:r>
      <w:proofErr w:type="gramStart"/>
      <w:r w:rsidRPr="002256FE">
        <w:rPr>
          <w:lang w:val="en-US"/>
        </w:rPr>
        <w:t>no</w:t>
      </w:r>
      <w:r w:rsidRPr="002256FE">
        <w:rPr>
          <w:vertAlign w:val="superscript"/>
          <w:lang w:val="en-US"/>
        </w:rPr>
        <w:t>2</w:t>
      </w:r>
      <w:proofErr w:type="gramEnd"/>
      <w:r>
        <w:rPr>
          <w:lang w:val="en-US"/>
        </w:rPr>
        <w:t>”</w:t>
      </w: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50852AE9" w14:textId="22CCDC7B" w:rsidR="00552B3C" w:rsidRPr="00FA25C4" w:rsidRDefault="00552B3C" w:rsidP="00C848B7">
      <w:pPr>
        <w:pStyle w:val="SingleTxtG"/>
        <w:rPr>
          <w:i/>
          <w:iCs/>
        </w:rPr>
      </w:pPr>
      <w:r w:rsidRPr="00FA25C4">
        <w:rPr>
          <w:i/>
          <w:iCs/>
        </w:rPr>
        <w:t>Paragraph 5.4.1. and Annex 1, item 9.1.5.</w:t>
      </w:r>
    </w:p>
    <w:p w14:paraId="342CB30A" w14:textId="3F1D203F" w:rsidR="00C848B7" w:rsidRPr="001E343E" w:rsidRDefault="00C848B7" w:rsidP="00C848B7">
      <w:pPr>
        <w:pStyle w:val="SingleTxtG"/>
      </w:pPr>
      <w:r>
        <w:t>1.</w:t>
      </w:r>
      <w:r>
        <w:tab/>
      </w:r>
      <w:r w:rsidRPr="001E343E">
        <w:t xml:space="preserve">In </w:t>
      </w:r>
      <w:r w:rsidR="00680A41">
        <w:t xml:space="preserve">the 08 and 09 series of amendments to </w:t>
      </w:r>
      <w:r w:rsidRPr="001E343E">
        <w:t>UN</w:t>
      </w:r>
      <w:r>
        <w:t xml:space="preserve"> </w:t>
      </w:r>
      <w:r w:rsidRPr="001E343E">
        <w:t>Regulation No. 48</w:t>
      </w:r>
      <w:r w:rsidR="00680A41">
        <w:t xml:space="preserve"> (paragraphs </w:t>
      </w:r>
      <w:r w:rsidR="00680A41" w:rsidRPr="001E343E">
        <w:t>6.19.7.6. and 6.19.7.7.2.</w:t>
      </w:r>
      <w:r w:rsidR="00680A41">
        <w:t>)</w:t>
      </w:r>
      <w:r w:rsidRPr="001E343E">
        <w:t xml:space="preserve"> there is a reference to an indication in the communication form of UN</w:t>
      </w:r>
      <w:r>
        <w:t xml:space="preserve"> </w:t>
      </w:r>
      <w:r w:rsidRPr="001E343E">
        <w:t>Regulation No.</w:t>
      </w:r>
      <w:r>
        <w:t xml:space="preserve"> </w:t>
      </w:r>
      <w:r w:rsidRPr="001E343E">
        <w:t>148 (if a</w:t>
      </w:r>
      <w:r w:rsidR="003939AB">
        <w:t xml:space="preserve"> daytime running lamp (</w:t>
      </w:r>
      <w:r w:rsidRPr="001E343E">
        <w:t>DRL</w:t>
      </w:r>
      <w:r w:rsidR="003939AB">
        <w:t>)</w:t>
      </w:r>
      <w:r w:rsidRPr="001E343E">
        <w:t xml:space="preserve"> is reduced during the entire perio</w:t>
      </w:r>
      <w:r>
        <w:t>d</w:t>
      </w:r>
      <w:r w:rsidRPr="001E343E">
        <w:t xml:space="preserve"> of operation of the front direction</w:t>
      </w:r>
      <w:r w:rsidR="00680A41">
        <w:t>-</w:t>
      </w:r>
      <w:r w:rsidRPr="001E343E">
        <w:t>indicator</w:t>
      </w:r>
      <w:r>
        <w:t>,</w:t>
      </w:r>
      <w:r w:rsidRPr="001E343E">
        <w:t xml:space="preserve"> to attain not more than 140</w:t>
      </w:r>
      <w:r>
        <w:t xml:space="preserve"> </w:t>
      </w:r>
      <w:r w:rsidRPr="001E343E">
        <w:t>cd).</w:t>
      </w:r>
    </w:p>
    <w:p w14:paraId="105E4696" w14:textId="2DA87419" w:rsidR="00C848B7" w:rsidRDefault="00C848B7" w:rsidP="00C848B7">
      <w:pPr>
        <w:pStyle w:val="SingleTxtG"/>
      </w:pPr>
      <w:r>
        <w:t>2.</w:t>
      </w:r>
      <w:r>
        <w:tab/>
      </w:r>
      <w:r w:rsidRPr="001E343E">
        <w:t>It was noticed that in UN</w:t>
      </w:r>
      <w:r>
        <w:t xml:space="preserve"> </w:t>
      </w:r>
      <w:r w:rsidRPr="001E343E">
        <w:t xml:space="preserve">Regulation No. 148, there is currently no such indication in the related communication form. </w:t>
      </w:r>
      <w:r w:rsidR="00552B3C">
        <w:t>To</w:t>
      </w:r>
      <w:r w:rsidRPr="001E343E">
        <w:t xml:space="preserve"> close this gap, it </w:t>
      </w:r>
      <w:r w:rsidR="00552B3C">
        <w:t xml:space="preserve">is proposed </w:t>
      </w:r>
      <w:r w:rsidRPr="001E343E">
        <w:t>to insert such an indication in the communication form</w:t>
      </w:r>
      <w:r>
        <w:t xml:space="preserve"> </w:t>
      </w:r>
      <w:r w:rsidR="008D656F">
        <w:t>(</w:t>
      </w:r>
      <w:r w:rsidR="00680A41">
        <w:t xml:space="preserve">item 9.1.5. of </w:t>
      </w:r>
      <w:r>
        <w:t>Annex 1</w:t>
      </w:r>
      <w:r w:rsidR="008D656F">
        <w:t>)</w:t>
      </w:r>
      <w:r>
        <w:t xml:space="preserve"> and</w:t>
      </w:r>
      <w:r w:rsidR="00680A41">
        <w:t xml:space="preserve">, by adding paragraph </w:t>
      </w:r>
      <w:r>
        <w:t>5.4.1.1.</w:t>
      </w:r>
      <w:r w:rsidR="00680A41">
        <w:t>,</w:t>
      </w:r>
      <w:r w:rsidRPr="001E343E">
        <w:t xml:space="preserve"> t</w:t>
      </w:r>
      <w:r w:rsidR="00680A41">
        <w:t xml:space="preserve">o make </w:t>
      </w:r>
      <w:r w:rsidR="005920F4">
        <w:t>the</w:t>
      </w:r>
      <w:r w:rsidRPr="001E343E">
        <w:t xml:space="preserve"> text consistent with UN</w:t>
      </w:r>
      <w:r w:rsidR="005920F4">
        <w:t xml:space="preserve"> </w:t>
      </w:r>
      <w:r w:rsidRPr="001E343E">
        <w:t>Regulation No. 48.</w:t>
      </w:r>
    </w:p>
    <w:p w14:paraId="0BC6A7F6" w14:textId="55FEEF9E" w:rsidR="00C848B7" w:rsidRPr="00FA25C4" w:rsidRDefault="008D656F" w:rsidP="00C848B7">
      <w:pPr>
        <w:pStyle w:val="SingleTxtG"/>
        <w:rPr>
          <w:i/>
          <w:iCs/>
        </w:rPr>
      </w:pPr>
      <w:r w:rsidRPr="00FA25C4">
        <w:rPr>
          <w:i/>
          <w:iCs/>
        </w:rPr>
        <w:t>Annex 1, item 9.3.</w:t>
      </w:r>
    </w:p>
    <w:p w14:paraId="4058B2C8" w14:textId="20756453" w:rsidR="001E4BBB" w:rsidRPr="00633BCD" w:rsidRDefault="008D656F" w:rsidP="008D656F">
      <w:pPr>
        <w:pStyle w:val="SingleTxtG"/>
      </w:pPr>
      <w:r>
        <w:t>3.</w:t>
      </w:r>
      <w:r>
        <w:tab/>
      </w:r>
      <w:r w:rsidR="004467CA">
        <w:t xml:space="preserve">A </w:t>
      </w:r>
      <w:r w:rsidR="001E4BBB" w:rsidRPr="008D656F">
        <w:t xml:space="preserve">mismatch </w:t>
      </w:r>
      <w:r w:rsidR="004467CA">
        <w:t xml:space="preserve">has been identified </w:t>
      </w:r>
      <w:r w:rsidR="001E4BBB" w:rsidRPr="008D656F">
        <w:t xml:space="preserve">between the </w:t>
      </w:r>
      <w:proofErr w:type="spellStart"/>
      <w:r w:rsidR="001E4BBB" w:rsidRPr="008D656F">
        <w:t>bodytext</w:t>
      </w:r>
      <w:proofErr w:type="spellEnd"/>
      <w:r w:rsidR="001E4BBB" w:rsidRPr="008D656F">
        <w:t xml:space="preserve"> of UN</w:t>
      </w:r>
      <w:r>
        <w:t xml:space="preserve"> </w:t>
      </w:r>
      <w:r w:rsidR="001E4BBB" w:rsidRPr="008D656F">
        <w:t>Regulation No. 148</w:t>
      </w:r>
      <w:r>
        <w:t xml:space="preserve"> </w:t>
      </w:r>
      <w:r w:rsidR="001E4BBB" w:rsidRPr="008D656F">
        <w:t>and the communication form (Annex 1).</w:t>
      </w:r>
      <w:r>
        <w:t xml:space="preserve"> </w:t>
      </w:r>
      <w:r w:rsidR="001E4BBB" w:rsidRPr="008D656F">
        <w:t xml:space="preserve">Paragraph 4.6.1.2. (b) </w:t>
      </w:r>
      <w:r w:rsidR="004467CA">
        <w:t xml:space="preserve">provides a list of </w:t>
      </w:r>
      <w:r w:rsidR="001E4BBB" w:rsidRPr="008D656F">
        <w:t>all functions of UN</w:t>
      </w:r>
      <w:r w:rsidR="004467CA">
        <w:t xml:space="preserve"> Regulation No. </w:t>
      </w:r>
      <w:r w:rsidR="001E4BBB" w:rsidRPr="008D656F">
        <w:t xml:space="preserve">48 which may produce a signal for activation of a </w:t>
      </w:r>
      <w:r w:rsidR="004467CA">
        <w:t>“</w:t>
      </w:r>
      <w:r w:rsidR="001E4BBB" w:rsidRPr="008D656F">
        <w:t>tell-tale indicating failure</w:t>
      </w:r>
      <w:r w:rsidR="004467CA">
        <w:t>”</w:t>
      </w:r>
      <w:r w:rsidR="001E4BBB" w:rsidRPr="008D656F">
        <w:t xml:space="preserve"> and requests that “in this case a note in the communication form states that the lamp is only for use on a vehicle fitted with a tell-tale indicating failure”</w:t>
      </w:r>
      <w:r>
        <w:t xml:space="preserve">. </w:t>
      </w:r>
      <w:r w:rsidR="001E4BBB" w:rsidRPr="008D656F">
        <w:t xml:space="preserve">However, </w:t>
      </w:r>
      <w:r w:rsidR="002C3B8E" w:rsidRPr="008D656F">
        <w:t xml:space="preserve">the functions of reversing lamp, </w:t>
      </w:r>
      <w:r w:rsidR="002C3B8E" w:rsidRPr="00170A11">
        <w:t xml:space="preserve">rear fog lamp and side marker lamp are currently missing in </w:t>
      </w:r>
      <w:r w:rsidR="001E4BBB" w:rsidRPr="00170A11">
        <w:t xml:space="preserve">the relevant item 9.3. of </w:t>
      </w:r>
      <w:r w:rsidR="004467CA" w:rsidRPr="00170A11">
        <w:t>A</w:t>
      </w:r>
      <w:r w:rsidR="001E4BBB" w:rsidRPr="00170A11">
        <w:t>nnex 1.</w:t>
      </w:r>
      <w:r w:rsidR="006C2290" w:rsidRPr="00170A11">
        <w:t xml:space="preserve"> In the 00 series of amendments to UN Regulation No. 148, also the function “parking lamp” is missing in item 9.3. of Annex 1.</w:t>
      </w:r>
    </w:p>
    <w:p w14:paraId="25CF7AEC" w14:textId="70B6A45C" w:rsidR="001E4BBB" w:rsidRPr="00633BCD" w:rsidRDefault="008D656F" w:rsidP="008D656F">
      <w:pPr>
        <w:pStyle w:val="SingleTxtG"/>
      </w:pPr>
      <w:r>
        <w:rPr>
          <w:bCs/>
        </w:rPr>
        <w:t>4.</w:t>
      </w:r>
      <w:r>
        <w:rPr>
          <w:bCs/>
        </w:rPr>
        <w:tab/>
      </w:r>
      <w:r w:rsidR="001E4BBB" w:rsidRPr="00633BCD">
        <w:rPr>
          <w:bCs/>
        </w:rPr>
        <w:t xml:space="preserve">This proposal </w:t>
      </w:r>
      <w:r>
        <w:rPr>
          <w:bCs/>
        </w:rPr>
        <w:t xml:space="preserve">intends </w:t>
      </w:r>
      <w:r w:rsidR="001E4BBB" w:rsidRPr="00633BCD">
        <w:rPr>
          <w:bCs/>
        </w:rPr>
        <w:t xml:space="preserve">to insert these missing functions in </w:t>
      </w:r>
      <w:r w:rsidR="001E4BBB">
        <w:rPr>
          <w:bCs/>
        </w:rPr>
        <w:t xml:space="preserve">item 9.3. of </w:t>
      </w:r>
      <w:r w:rsidR="001E4BBB" w:rsidRPr="00633BCD">
        <w:rPr>
          <w:bCs/>
        </w:rPr>
        <w:t>the communication form</w:t>
      </w:r>
      <w:r w:rsidR="001E4BBB">
        <w:rPr>
          <w:bCs/>
        </w:rPr>
        <w:t xml:space="preserve"> </w:t>
      </w:r>
      <w:r>
        <w:rPr>
          <w:bCs/>
        </w:rPr>
        <w:t>(A</w:t>
      </w:r>
      <w:r w:rsidR="001E4BBB">
        <w:rPr>
          <w:bCs/>
        </w:rPr>
        <w:t>nnex 1</w:t>
      </w:r>
      <w:r>
        <w:rPr>
          <w:bCs/>
        </w:rPr>
        <w:t>)</w:t>
      </w:r>
      <w:r w:rsidR="001E4BBB" w:rsidRPr="00633BCD">
        <w:rPr>
          <w:bCs/>
        </w:rPr>
        <w:t>.</w:t>
      </w:r>
    </w:p>
    <w:p w14:paraId="111A7DCC" w14:textId="21E27243" w:rsidR="001E4BBB" w:rsidRPr="00601C88" w:rsidRDefault="00601C88" w:rsidP="00601C88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4BBB" w:rsidRPr="00601C88" w:rsidSect="002C4E47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C4DD" w14:textId="77777777" w:rsidR="00B826E9" w:rsidRDefault="00B826E9"/>
  </w:endnote>
  <w:endnote w:type="continuationSeparator" w:id="0">
    <w:p w14:paraId="31158C0E" w14:textId="77777777" w:rsidR="00B826E9" w:rsidRDefault="00B826E9"/>
  </w:endnote>
  <w:endnote w:type="continuationNotice" w:id="1">
    <w:p w14:paraId="0BC8E32E" w14:textId="77777777" w:rsidR="00B826E9" w:rsidRDefault="00B82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FBD" w14:textId="0C208B87" w:rsidR="00935C5D" w:rsidRDefault="00935C5D" w:rsidP="00935C5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5D2586" wp14:editId="17755A9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57084" w14:textId="7DBB5527" w:rsidR="00935C5D" w:rsidRPr="00935C5D" w:rsidRDefault="00935C5D" w:rsidP="00935C5D">
    <w:pPr>
      <w:pStyle w:val="Footer"/>
      <w:ind w:right="1134"/>
      <w:rPr>
        <w:sz w:val="20"/>
      </w:rPr>
    </w:pPr>
    <w:r>
      <w:rPr>
        <w:sz w:val="20"/>
      </w:rPr>
      <w:t>GE.24-02070(E)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BDD06A" wp14:editId="75B3BA1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8BE4" w14:textId="77777777" w:rsidR="00B826E9" w:rsidRPr="000B175B" w:rsidRDefault="00B826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85610A" w14:textId="77777777" w:rsidR="00B826E9" w:rsidRPr="00FC68B7" w:rsidRDefault="00B826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9D4E49" w14:textId="77777777" w:rsidR="00B826E9" w:rsidRDefault="00B826E9"/>
  </w:footnote>
  <w:footnote w:id="2">
    <w:p w14:paraId="26469265" w14:textId="728358BD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5F4B65">
        <w:rPr>
          <w:szCs w:val="18"/>
          <w:lang w:val="en-US"/>
        </w:rPr>
        <w:t>In accordance with the programme of work of the Inland Transport Committee for 202</w:t>
      </w:r>
      <w:r w:rsidR="00DF55D3">
        <w:rPr>
          <w:szCs w:val="18"/>
          <w:lang w:val="en-US"/>
        </w:rPr>
        <w:t>4</w:t>
      </w:r>
      <w:r w:rsidR="005F4B65">
        <w:rPr>
          <w:szCs w:val="18"/>
          <w:lang w:val="en-US"/>
        </w:rPr>
        <w:t xml:space="preserve"> as outlined in proposed programme budget for 2024 (</w:t>
      </w:r>
      <w:r w:rsidR="005F4B65">
        <w:rPr>
          <w:lang w:val="en-US"/>
        </w:rPr>
        <w:t>A/78/6 (Sect. 20), table 20.5</w:t>
      </w:r>
      <w:r w:rsidR="005F4B65">
        <w:rPr>
          <w:szCs w:val="18"/>
          <w:lang w:val="en-US"/>
        </w:rPr>
        <w:t xml:space="preserve">), the World Forum will develop, </w:t>
      </w:r>
      <w:proofErr w:type="gramStart"/>
      <w:r w:rsidR="005F4B65">
        <w:rPr>
          <w:szCs w:val="18"/>
          <w:lang w:val="en-US"/>
        </w:rPr>
        <w:t>harmonize</w:t>
      </w:r>
      <w:proofErr w:type="gramEnd"/>
      <w:r w:rsidR="005F4B65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 w:rsidR="0002472C" w:rsidRPr="00AB708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7345083E" w:rsidR="00C740F6" w:rsidRPr="00A6183A" w:rsidRDefault="003B7D85" w:rsidP="00A6183A">
    <w:pPr>
      <w:pStyle w:val="Header"/>
    </w:pPr>
    <w:r w:rsidRPr="003B7D85">
      <w:t>ECE/TRANS/WP.29/GRE/2024/</w:t>
    </w:r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45A8FA15" w:rsidR="00C740F6" w:rsidRPr="00A6183A" w:rsidRDefault="00D92174" w:rsidP="00D92174">
    <w:pPr>
      <w:pStyle w:val="Header"/>
      <w:jc w:val="right"/>
    </w:pPr>
    <w:r w:rsidRPr="00D92174">
      <w:t>ECE/TRANS/WP.29/GRE/2024/</w:t>
    </w: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29661C"/>
    <w:multiLevelType w:val="hybridMultilevel"/>
    <w:tmpl w:val="410C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9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8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1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2"/>
  </w:num>
  <w:num w:numId="18" w16cid:durableId="391275985">
    <w:abstractNumId w:val="11"/>
  </w:num>
  <w:num w:numId="19" w16cid:durableId="1399790029">
    <w:abstractNumId w:val="20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 w:numId="23" w16cid:durableId="211782615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4D9"/>
    <w:rsid w:val="00042A0F"/>
    <w:rsid w:val="000432BE"/>
    <w:rsid w:val="000434A5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6070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2796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A11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BBB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15A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3B8E"/>
    <w:rsid w:val="002C4714"/>
    <w:rsid w:val="002C4A7C"/>
    <w:rsid w:val="002C4CCA"/>
    <w:rsid w:val="002C4DE6"/>
    <w:rsid w:val="002C4E47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0ED5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5B3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9AB"/>
    <w:rsid w:val="00393D72"/>
    <w:rsid w:val="00394564"/>
    <w:rsid w:val="00394B0F"/>
    <w:rsid w:val="0039511C"/>
    <w:rsid w:val="00396F88"/>
    <w:rsid w:val="00397205"/>
    <w:rsid w:val="003972E0"/>
    <w:rsid w:val="003978C1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B7D85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7CA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3A6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A2F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B3C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BF6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0F4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7BD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88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6A2C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56909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0A41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4BF"/>
    <w:rsid w:val="006B6D99"/>
    <w:rsid w:val="006B7036"/>
    <w:rsid w:val="006B7A22"/>
    <w:rsid w:val="006B7BA0"/>
    <w:rsid w:val="006C0979"/>
    <w:rsid w:val="006C09C2"/>
    <w:rsid w:val="006C17D5"/>
    <w:rsid w:val="006C2290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3902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CF6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A67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56F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5C5D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1E3B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5DD0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27A0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8CA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1FC"/>
    <w:rsid w:val="00B50074"/>
    <w:rsid w:val="00B500EA"/>
    <w:rsid w:val="00B51357"/>
    <w:rsid w:val="00B51527"/>
    <w:rsid w:val="00B51E35"/>
    <w:rsid w:val="00B52166"/>
    <w:rsid w:val="00B534BB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6E9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494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31A8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48B7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38F1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04CE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174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3B43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228"/>
    <w:rsid w:val="00DF55D3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971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B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31D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0D54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17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5C4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A7F50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C331A8"/>
  </w:style>
  <w:style w:type="paragraph" w:customStyle="1" w:styleId="Normale1">
    <w:name w:val="Normale1"/>
    <w:rsid w:val="00C331A8"/>
    <w:pPr>
      <w:widowControl w:val="0"/>
      <w:suppressAutoHyphens/>
      <w:autoSpaceDN w:val="0"/>
      <w:textAlignment w:val="baseline"/>
    </w:pPr>
    <w:rPr>
      <w:lang w:val="en-US" w:eastAsia="en-US"/>
    </w:rPr>
  </w:style>
  <w:style w:type="character" w:customStyle="1" w:styleId="FootnoteCharacters">
    <w:name w:val="Footnote Characters"/>
    <w:uiPriority w:val="99"/>
    <w:qFormat/>
    <w:rsid w:val="00BA2494"/>
    <w:rPr>
      <w:rFonts w:ascii="Times New Roman" w:eastAsia="Times New Roman" w:hAnsi="Times New Roman" w:cs="Times New Roman"/>
      <w:position w:val="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7F3F2-237C-4F1D-A099-377A4882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9772E-B9F7-4560-AACF-2D2F4B02323B}">
  <ds:schemaRefs>
    <ds:schemaRef ds:uri="http://purl.org/dc/terms/"/>
    <ds:schemaRef ds:uri="http://purl.org/dc/dcmitype/"/>
    <ds:schemaRef ds:uri="http://schemas.microsoft.com/office/2006/documentManagement/types"/>
    <ds:schemaRef ds:uri="4b4a1c0d-4a69-4996-a84a-fc699b9f49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845</Words>
  <Characters>4401</Characters>
  <Application>Microsoft Office Word</Application>
  <DocSecurity>0</DocSecurity>
  <Lines>140</Lines>
  <Paragraphs>77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5190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ECE/TRANS/WP.29/GRE/2024/6</dc:title>
  <dc:subject>2402070</dc:subject>
  <dc:creator>AFTER JUNE</dc:creator>
  <cp:keywords/>
  <dc:description/>
  <cp:lastModifiedBy>Pauline Anne Escalante</cp:lastModifiedBy>
  <cp:revision>2</cp:revision>
  <cp:lastPrinted>2022-07-26T12:04:00Z</cp:lastPrinted>
  <dcterms:created xsi:type="dcterms:W3CDTF">2024-02-06T09:49:00Z</dcterms:created>
  <dcterms:modified xsi:type="dcterms:W3CDTF">2024-02-06T09:49:00Z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