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2A3EC1" w14:textId="77777777" w:rsidTr="00B20551">
        <w:trPr>
          <w:cantSplit/>
          <w:trHeight w:hRule="exact" w:val="851"/>
        </w:trPr>
        <w:tc>
          <w:tcPr>
            <w:tcW w:w="1276" w:type="dxa"/>
            <w:tcBorders>
              <w:bottom w:val="single" w:sz="4" w:space="0" w:color="auto"/>
            </w:tcBorders>
            <w:vAlign w:val="bottom"/>
          </w:tcPr>
          <w:p w14:paraId="46FB7A3C" w14:textId="77777777" w:rsidR="009E6CB7" w:rsidRDefault="009E6CB7" w:rsidP="00B20551">
            <w:pPr>
              <w:spacing w:after="80"/>
            </w:pPr>
          </w:p>
        </w:tc>
        <w:tc>
          <w:tcPr>
            <w:tcW w:w="2268" w:type="dxa"/>
            <w:tcBorders>
              <w:bottom w:val="single" w:sz="4" w:space="0" w:color="auto"/>
            </w:tcBorders>
            <w:vAlign w:val="bottom"/>
          </w:tcPr>
          <w:p w14:paraId="388D259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E7EADF" w14:textId="2A9F949E" w:rsidR="009E6CB7" w:rsidRPr="00D47EEA" w:rsidRDefault="0005529E" w:rsidP="0005529E">
            <w:pPr>
              <w:jc w:val="right"/>
            </w:pPr>
            <w:r w:rsidRPr="0005529E">
              <w:rPr>
                <w:sz w:val="40"/>
              </w:rPr>
              <w:t>ECE</w:t>
            </w:r>
            <w:r>
              <w:t>/TRANS/2024/3</w:t>
            </w:r>
          </w:p>
        </w:tc>
      </w:tr>
      <w:tr w:rsidR="009E6CB7" w14:paraId="4F4EB48D" w14:textId="77777777" w:rsidTr="00B20551">
        <w:trPr>
          <w:cantSplit/>
          <w:trHeight w:hRule="exact" w:val="2835"/>
        </w:trPr>
        <w:tc>
          <w:tcPr>
            <w:tcW w:w="1276" w:type="dxa"/>
            <w:tcBorders>
              <w:top w:val="single" w:sz="4" w:space="0" w:color="auto"/>
              <w:bottom w:val="single" w:sz="12" w:space="0" w:color="auto"/>
            </w:tcBorders>
          </w:tcPr>
          <w:p w14:paraId="7CB678D5" w14:textId="77777777" w:rsidR="009E6CB7" w:rsidRDefault="00686A48" w:rsidP="00B20551">
            <w:pPr>
              <w:spacing w:before="120"/>
            </w:pPr>
            <w:r>
              <w:rPr>
                <w:noProof/>
                <w:lang w:val="fr-CH" w:eastAsia="fr-CH"/>
              </w:rPr>
              <w:drawing>
                <wp:inline distT="0" distB="0" distL="0" distR="0" wp14:anchorId="64F0E64E" wp14:editId="08C022E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4673F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F6F4E1" w14:textId="77777777" w:rsidR="009E6CB7" w:rsidRDefault="0005529E" w:rsidP="0005529E">
            <w:pPr>
              <w:spacing w:before="240" w:line="240" w:lineRule="exact"/>
            </w:pPr>
            <w:r>
              <w:t>Distr.: General</w:t>
            </w:r>
          </w:p>
          <w:p w14:paraId="48911FC0" w14:textId="611A5D18" w:rsidR="0005529E" w:rsidRDefault="00544BC3" w:rsidP="0005529E">
            <w:pPr>
              <w:spacing w:line="240" w:lineRule="exact"/>
            </w:pPr>
            <w:r>
              <w:t xml:space="preserve">9 </w:t>
            </w:r>
            <w:r w:rsidR="004B75F1">
              <w:t xml:space="preserve">February </w:t>
            </w:r>
            <w:r w:rsidR="0005529E">
              <w:t>202</w:t>
            </w:r>
            <w:r>
              <w:t>4</w:t>
            </w:r>
          </w:p>
          <w:p w14:paraId="641E1EA2" w14:textId="77777777" w:rsidR="0005529E" w:rsidRDefault="0005529E" w:rsidP="0005529E">
            <w:pPr>
              <w:spacing w:line="240" w:lineRule="exact"/>
            </w:pPr>
          </w:p>
          <w:p w14:paraId="4CDCD7C6" w14:textId="728A07BD" w:rsidR="0005529E" w:rsidRDefault="0005529E" w:rsidP="0005529E">
            <w:pPr>
              <w:spacing w:line="240" w:lineRule="exact"/>
            </w:pPr>
            <w:r>
              <w:t>Original: English</w:t>
            </w:r>
          </w:p>
        </w:tc>
      </w:tr>
    </w:tbl>
    <w:p w14:paraId="19715519" w14:textId="77777777" w:rsidR="00943748" w:rsidRPr="007D68EB" w:rsidRDefault="00943748" w:rsidP="00943748">
      <w:pPr>
        <w:spacing w:before="120"/>
        <w:rPr>
          <w:b/>
          <w:bCs/>
          <w:sz w:val="28"/>
          <w:szCs w:val="28"/>
        </w:rPr>
      </w:pPr>
      <w:r w:rsidRPr="007D68EB">
        <w:rPr>
          <w:b/>
          <w:bCs/>
          <w:sz w:val="28"/>
          <w:szCs w:val="28"/>
        </w:rPr>
        <w:t>Economic Commission for Europe</w:t>
      </w:r>
    </w:p>
    <w:p w14:paraId="2BDA6BB0" w14:textId="77777777" w:rsidR="00943748" w:rsidRPr="007D68EB" w:rsidRDefault="00943748" w:rsidP="00943748">
      <w:pPr>
        <w:spacing w:before="120"/>
        <w:rPr>
          <w:sz w:val="28"/>
          <w:szCs w:val="28"/>
        </w:rPr>
      </w:pPr>
      <w:r w:rsidRPr="007D68EB">
        <w:rPr>
          <w:sz w:val="28"/>
          <w:szCs w:val="28"/>
        </w:rPr>
        <w:t>Inland Transport Committee</w:t>
      </w:r>
    </w:p>
    <w:p w14:paraId="5FE10D4B" w14:textId="77777777" w:rsidR="0005529E" w:rsidRDefault="0005529E" w:rsidP="0005529E">
      <w:pPr>
        <w:spacing w:before="120"/>
        <w:rPr>
          <w:b/>
          <w:bCs/>
          <w:lang w:val="en-US"/>
        </w:rPr>
      </w:pPr>
      <w:r>
        <w:rPr>
          <w:b/>
          <w:bCs/>
          <w:lang w:val="en-US"/>
        </w:rPr>
        <w:t>Eighty-sixth session</w:t>
      </w:r>
    </w:p>
    <w:p w14:paraId="57C7E4EA" w14:textId="77777777" w:rsidR="0005529E" w:rsidRDefault="0005529E" w:rsidP="0005529E">
      <w:r>
        <w:t>Geneva, 20-23 February 2024</w:t>
      </w:r>
    </w:p>
    <w:p w14:paraId="2AA5C9B7" w14:textId="27222441" w:rsidR="0005529E" w:rsidRDefault="0005529E" w:rsidP="0005529E">
      <w:r>
        <w:t xml:space="preserve">Item </w:t>
      </w:r>
      <w:r w:rsidR="00AD0D64">
        <w:t>4</w:t>
      </w:r>
      <w:r>
        <w:t xml:space="preserve"> of the provisional agenda</w:t>
      </w:r>
    </w:p>
    <w:p w14:paraId="5352CE53" w14:textId="77777777" w:rsidR="00E81AF2" w:rsidRPr="00C206D6" w:rsidRDefault="00E81AF2" w:rsidP="00E81AF2">
      <w:pPr>
        <w:rPr>
          <w:b/>
          <w:bCs/>
        </w:rPr>
      </w:pPr>
      <w:r>
        <w:rPr>
          <w:b/>
          <w:bCs/>
        </w:rPr>
        <w:t>Meeting on the adoption of the</w:t>
      </w:r>
      <w:r>
        <w:rPr>
          <w:b/>
          <w:bCs/>
        </w:rPr>
        <w:br/>
        <w:t>Inland Transport Committee Strategy for Reducing</w:t>
      </w:r>
      <w:r>
        <w:rPr>
          <w:b/>
          <w:bCs/>
        </w:rPr>
        <w:br/>
        <w:t>Greenhouse Gas Emissions from Inland Transport</w:t>
      </w:r>
      <w:r>
        <w:rPr>
          <w:b/>
          <w:bCs/>
        </w:rPr>
        <w:br/>
        <w:t>for Government Delegates only with the Participation</w:t>
      </w:r>
      <w:r>
        <w:rPr>
          <w:b/>
          <w:bCs/>
        </w:rPr>
        <w:br/>
        <w:t>of the Chairs of the Committee’s Subsidiary Bodies</w:t>
      </w:r>
    </w:p>
    <w:p w14:paraId="339C51C5" w14:textId="77777777" w:rsidR="00861753" w:rsidRDefault="00861753" w:rsidP="00861753">
      <w:pPr>
        <w:pStyle w:val="HChG"/>
      </w:pPr>
      <w:r>
        <w:tab/>
      </w:r>
      <w:r>
        <w:tab/>
      </w:r>
      <w:r>
        <w:rPr>
          <w:rStyle w:val="ui-provider"/>
        </w:rPr>
        <w:t>Draft Inland Transport Committee Strategy on Reducing Greenhouse Gas Emissions from Inland Transport</w:t>
      </w:r>
    </w:p>
    <w:p w14:paraId="0EF9CAAF" w14:textId="77777777" w:rsidR="00861753" w:rsidRPr="00926A1B" w:rsidRDefault="00861753" w:rsidP="00861753">
      <w:pPr>
        <w:pStyle w:val="H1G"/>
        <w:rPr>
          <w:sz w:val="20"/>
        </w:rPr>
      </w:pPr>
      <w:r>
        <w:tab/>
      </w:r>
      <w:r>
        <w:tab/>
      </w:r>
      <w:r w:rsidRPr="000C53F7">
        <w:t>Note by the secretariat</w:t>
      </w:r>
      <w:r>
        <w:rPr>
          <w:rStyle w:val="FootnoteReferenc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861753" w:rsidRPr="00EA328A" w14:paraId="25234F0C" w14:textId="77777777" w:rsidTr="0047139C">
        <w:trPr>
          <w:jc w:val="center"/>
        </w:trPr>
        <w:tc>
          <w:tcPr>
            <w:tcW w:w="9628" w:type="dxa"/>
            <w:shd w:val="clear" w:color="auto" w:fill="auto"/>
          </w:tcPr>
          <w:p w14:paraId="1FE1666E" w14:textId="77777777" w:rsidR="00861753" w:rsidRPr="00EA328A" w:rsidRDefault="00861753" w:rsidP="0047139C">
            <w:pPr>
              <w:spacing w:before="240" w:after="120"/>
              <w:ind w:left="255"/>
              <w:rPr>
                <w:i/>
                <w:sz w:val="24"/>
              </w:rPr>
            </w:pPr>
            <w:r w:rsidRPr="00EA328A">
              <w:rPr>
                <w:i/>
                <w:sz w:val="24"/>
              </w:rPr>
              <w:t>Summary</w:t>
            </w:r>
          </w:p>
        </w:tc>
      </w:tr>
      <w:tr w:rsidR="00861753" w:rsidRPr="00EA328A" w14:paraId="1B773ADA" w14:textId="77777777" w:rsidTr="0047139C">
        <w:trPr>
          <w:jc w:val="center"/>
        </w:trPr>
        <w:tc>
          <w:tcPr>
            <w:tcW w:w="9628" w:type="dxa"/>
            <w:shd w:val="clear" w:color="auto" w:fill="auto"/>
          </w:tcPr>
          <w:p w14:paraId="569C44F7" w14:textId="77777777" w:rsidR="00861753" w:rsidRDefault="00861753" w:rsidP="0047139C">
            <w:pPr>
              <w:pStyle w:val="SingleTxtG"/>
              <w:suppressAutoHyphens/>
            </w:pPr>
            <w:r>
              <w:t>1.</w:t>
            </w:r>
            <w:r>
              <w:tab/>
              <w:t xml:space="preserve">The present document contains the draft Inland Transport Committee (ITC) Strategy on Reducing Greenhouse Gas Emissions from Inland Transport, which was developed by the secretariat in close </w:t>
            </w:r>
            <w:r w:rsidRPr="00300EC4">
              <w:rPr>
                <w:rFonts w:eastAsiaTheme="minorEastAsia"/>
                <w:lang w:eastAsia="zh-CN"/>
              </w:rPr>
              <w:t>cooperation</w:t>
            </w:r>
            <w:r>
              <w:t xml:space="preserve"> with the Committee’s subsidiary bodies and the ITC Bureau, in response to a request by the Committee at its eighty-fifth session (ECE/TRANS/328, para. 60(a)).</w:t>
            </w:r>
          </w:p>
          <w:p w14:paraId="440EAE1E" w14:textId="77777777" w:rsidR="00861753" w:rsidRDefault="00861753" w:rsidP="0047139C">
            <w:pPr>
              <w:pStyle w:val="SingleTxtG"/>
              <w:suppressAutoHyphens/>
            </w:pPr>
            <w:r>
              <w:t>2.</w:t>
            </w:r>
            <w:r>
              <w:tab/>
              <w:t>The draft integrates the contributions from the Committee’s subsidiary bodies. O</w:t>
            </w:r>
            <w:r w:rsidRPr="00A24B09">
              <w:t xml:space="preserve">n 6 September </w:t>
            </w:r>
            <w:r w:rsidRPr="00300EC4">
              <w:rPr>
                <w:rFonts w:eastAsiaTheme="minorEastAsia"/>
                <w:lang w:eastAsia="zh-CN"/>
              </w:rPr>
              <w:t>2023,</w:t>
            </w:r>
            <w:r w:rsidRPr="00A24B09">
              <w:t xml:space="preserve"> a thematic discussion was held under the auspices of the Working Party on Transport Trends and Economics (WP.5), which gathered </w:t>
            </w:r>
            <w:r>
              <w:t>informal</w:t>
            </w:r>
            <w:r w:rsidRPr="00A24B09">
              <w:t xml:space="preserve"> views by </w:t>
            </w:r>
            <w:r>
              <w:t xml:space="preserve">experts from </w:t>
            </w:r>
            <w:r w:rsidRPr="00A24B09">
              <w:t>member States, intergovernmental and non-governmental organizations.</w:t>
            </w:r>
            <w:r>
              <w:t xml:space="preserve"> At the initiative of the Committee’s Chair, an informal online meeting was held on 11 September 2023, with the Chairs and Vice-Chairs of the Committee’s subsidiary bodies, to support information exchange and encourage the provision of contributions. The pre-zero draft was also shared with the United Nations Framework Convention on Climate Change (UNFCCC) for review and comments and was reviewed by the ITC </w:t>
            </w:r>
            <w:r w:rsidRPr="00ED30A9">
              <w:t xml:space="preserve">Bureau. </w:t>
            </w:r>
            <w:r w:rsidRPr="004245DB">
              <w:t>The zero draft was shared with Member States for comments, which have been incorporated in draft</w:t>
            </w:r>
            <w:r>
              <w:t xml:space="preserve"> 1</w:t>
            </w:r>
            <w:r w:rsidRPr="004245DB">
              <w:t>.</w:t>
            </w:r>
            <w:r>
              <w:t xml:space="preserve"> The present draft was finalized following another round of consultation with Member States. </w:t>
            </w:r>
            <w:r w:rsidRPr="004245DB">
              <w:t xml:space="preserve"> </w:t>
            </w:r>
          </w:p>
          <w:p w14:paraId="023A8E71" w14:textId="77777777" w:rsidR="00861753" w:rsidRPr="00EA328A" w:rsidRDefault="00861753" w:rsidP="0047139C">
            <w:pPr>
              <w:pStyle w:val="SingleTxtG"/>
              <w:suppressAutoHyphens/>
              <w:spacing w:after="0"/>
            </w:pPr>
            <w:r w:rsidRPr="00EA328A">
              <w:t>3.</w:t>
            </w:r>
            <w:r w:rsidRPr="00EA328A">
              <w:tab/>
            </w:r>
            <w:r>
              <w:t xml:space="preserve">The Committee is invited to </w:t>
            </w:r>
            <w:r w:rsidRPr="004245DB">
              <w:rPr>
                <w:b/>
                <w:bCs/>
              </w:rPr>
              <w:t>welcome and adopt</w:t>
            </w:r>
            <w:r>
              <w:t xml:space="preserve"> the Strategy.</w:t>
            </w:r>
          </w:p>
        </w:tc>
      </w:tr>
      <w:tr w:rsidR="00861753" w:rsidRPr="00EA328A" w14:paraId="156B837D" w14:textId="77777777" w:rsidTr="0047139C">
        <w:trPr>
          <w:jc w:val="center"/>
        </w:trPr>
        <w:tc>
          <w:tcPr>
            <w:tcW w:w="9628" w:type="dxa"/>
            <w:shd w:val="clear" w:color="auto" w:fill="auto"/>
          </w:tcPr>
          <w:p w14:paraId="481980B5" w14:textId="77777777" w:rsidR="00861753" w:rsidRPr="00EA328A" w:rsidRDefault="00861753" w:rsidP="0047139C"/>
        </w:tc>
      </w:tr>
    </w:tbl>
    <w:p w14:paraId="589FFCD2" w14:textId="77777777" w:rsidR="00861753" w:rsidRPr="00E03EEE" w:rsidRDefault="00861753" w:rsidP="00861753">
      <w:pPr>
        <w:pStyle w:val="HChG"/>
        <w:rPr>
          <w:lang w:val="en-US"/>
        </w:rPr>
      </w:pPr>
      <w:r>
        <w:lastRenderedPageBreak/>
        <w:tab/>
        <w:t xml:space="preserve">I. </w:t>
      </w:r>
      <w:r>
        <w:tab/>
      </w:r>
      <w:r>
        <w:tab/>
        <w:t>Inland transport and climate</w:t>
      </w:r>
    </w:p>
    <w:p w14:paraId="0CB2D6CA" w14:textId="77777777" w:rsidR="00861753" w:rsidRDefault="00861753" w:rsidP="00861753">
      <w:pPr>
        <w:pStyle w:val="SingleTxtG"/>
      </w:pPr>
      <w:r>
        <w:t>1.</w:t>
      </w:r>
      <w:r>
        <w:tab/>
        <w:t>In 2019, Inland transport accounted for 72 per cent of global transport greenhouse gas (GHG) emissions, with 69 per cent originating from road transport, two per cent from inland shipping and one per cent from rail.</w:t>
      </w:r>
      <w:r>
        <w:rPr>
          <w:rStyle w:val="FootnoteReference"/>
          <w:rFonts w:cstheme="majorBidi"/>
        </w:rPr>
        <w:footnoteReference w:id="3"/>
      </w:r>
      <w:r>
        <w:t xml:space="preserve"> The inland transport sector as the main contributor to GHG emissions from transport thus bears a unique responsibility for reducing emissions and contributing to climate change mitigation</w:t>
      </w:r>
      <w:r w:rsidRPr="4411F4EF">
        <w:t>.</w:t>
      </w:r>
    </w:p>
    <w:p w14:paraId="43E6B656" w14:textId="77777777" w:rsidR="00861753" w:rsidRPr="001B7639" w:rsidRDefault="00861753" w:rsidP="00861753">
      <w:pPr>
        <w:pStyle w:val="SingleTxtG"/>
      </w:pPr>
      <w:r w:rsidRPr="3CD756DC">
        <w:t>2.</w:t>
      </w:r>
      <w:r>
        <w:tab/>
        <w:t>Passenger demand is projected to increase by 79 per cent by 2050 compared to 2019, while freight demand will roughly double.</w:t>
      </w:r>
      <w:r>
        <w:rPr>
          <w:rStyle w:val="FootnoteReference"/>
          <w:rFonts w:cstheme="majorBidi"/>
        </w:rPr>
        <w:footnoteReference w:id="4"/>
      </w:r>
      <w:r>
        <w:t xml:space="preserve"> With growing transport demand in the years to come, without rapid and ambitious climate action, transport emissions will not fall fast enough.</w:t>
      </w:r>
      <w:r>
        <w:rPr>
          <w:rStyle w:val="FootnoteReference"/>
          <w:rFonts w:cstheme="majorBidi"/>
        </w:rPr>
        <w:footnoteReference w:id="5"/>
      </w:r>
      <w:r>
        <w:t xml:space="preserve"> Meeting the goal</w:t>
      </w:r>
      <w:r w:rsidRPr="3CD756DC">
        <w:t xml:space="preserve"> </w:t>
      </w:r>
      <w:r w:rsidRPr="00586539">
        <w:t>of the Paris Agreement</w:t>
      </w:r>
      <w:r>
        <w:t xml:space="preserve">  to pursue “efforts to limit the </w:t>
      </w:r>
      <w:r w:rsidRPr="00384B2E">
        <w:t>temperature increase to 1.5 degrees C</w:t>
      </w:r>
      <w:r>
        <w:t>elsius</w:t>
      </w:r>
      <w:r w:rsidRPr="00384B2E">
        <w:t xml:space="preserve"> above pre-industrial levels</w:t>
      </w:r>
      <w:r>
        <w:t>,”</w:t>
      </w:r>
      <w:r w:rsidRPr="00586539">
        <w:t xml:space="preserve"> </w:t>
      </w:r>
      <w:r>
        <w:t>a</w:t>
      </w:r>
      <w:r w:rsidRPr="004D23D2">
        <w:t xml:space="preserve">ccording to the </w:t>
      </w:r>
      <w:r>
        <w:t>Intergovernmental Panel on Climate Change (</w:t>
      </w:r>
      <w:r w:rsidRPr="004D23D2">
        <w:t>IPCC</w:t>
      </w:r>
      <w:r>
        <w:t>)</w:t>
      </w:r>
      <w:r w:rsidRPr="004D23D2">
        <w:t xml:space="preserve">, will require global </w:t>
      </w:r>
      <w:r>
        <w:t>GHG</w:t>
      </w:r>
      <w:r w:rsidRPr="004D23D2">
        <w:t xml:space="preserve"> emissions to </w:t>
      </w:r>
      <w:r w:rsidRPr="000D0ACB">
        <w:t>peak before 2025 and be reduced by 43</w:t>
      </w:r>
      <w:r>
        <w:t xml:space="preserve"> per cent</w:t>
      </w:r>
      <w:r w:rsidRPr="000D0ACB">
        <w:t xml:space="preserve"> by 2030.</w:t>
      </w:r>
      <w:r w:rsidRPr="000D0ACB">
        <w:rPr>
          <w:rStyle w:val="FootnoteReference"/>
          <w:rFonts w:cstheme="majorBidi"/>
        </w:rPr>
        <w:footnoteReference w:id="6"/>
      </w:r>
      <w:r w:rsidRPr="000D0ACB">
        <w:t xml:space="preserve"> </w:t>
      </w:r>
      <w:r w:rsidRPr="00062454">
        <w:t>The outcomes of the 28</w:t>
      </w:r>
      <w:r w:rsidRPr="00062454">
        <w:rPr>
          <w:vertAlign w:val="superscript"/>
        </w:rPr>
        <w:t>th</w:t>
      </w:r>
      <w:r w:rsidRPr="00062454">
        <w:t xml:space="preserve"> UN Climate Change Conference included a call upon countries to contribute, in a nationally determined manner, to accelerating the reduction of emissions from road transport and to transitioning away from fossil fuels in energy systems, in a just, orderly and equitable manner, accelerating action in this critical decade, so as to achieve net zero by 2050 in keeping with the science, taking into account the Paris Agreement and their different national circumstances, pathways and approaches</w:t>
      </w:r>
      <w:r w:rsidRPr="00062454">
        <w:rPr>
          <w:rStyle w:val="FootnoteReference"/>
        </w:rPr>
        <w:footnoteReference w:id="7"/>
      </w:r>
      <w:r w:rsidRPr="00062454">
        <w:t>.</w:t>
      </w:r>
      <w:r w:rsidRPr="00141520">
        <w:rPr>
          <w:color w:val="FF0000"/>
        </w:rPr>
        <w:t xml:space="preserve"> </w:t>
      </w:r>
      <w:r w:rsidRPr="000D0ACB">
        <w:t xml:space="preserve">In addition, urgent action is needed to accelerate </w:t>
      </w:r>
      <w:r>
        <w:t xml:space="preserve">achieving the Sustainable Development Goals. As </w:t>
      </w:r>
      <w:r w:rsidRPr="3CD756DC">
        <w:t>of</w:t>
      </w:r>
      <w:r w:rsidRPr="000D0ACB">
        <w:t xml:space="preserve"> </w:t>
      </w:r>
      <w:r w:rsidRPr="4C6671A7">
        <w:rPr>
          <w:rFonts w:cs="Tms Rmn"/>
          <w:color w:val="000000"/>
          <w:lang w:bidi="th-TH"/>
        </w:rPr>
        <w:t>2023, 88</w:t>
      </w:r>
      <w:r w:rsidRPr="000D0ACB">
        <w:t xml:space="preserve"> per cent of the </w:t>
      </w:r>
      <w:r w:rsidRPr="000E2065">
        <w:t>Sustainable Development Goals</w:t>
      </w:r>
      <w:r w:rsidRPr="000E2065" w:rsidDel="000E2065">
        <w:t xml:space="preserve"> </w:t>
      </w:r>
      <w:r w:rsidRPr="000D0ACB">
        <w:t xml:space="preserve">targets are not on track, including </w:t>
      </w:r>
      <w:r w:rsidRPr="000E2065">
        <w:t>Sustainable Development Goal</w:t>
      </w:r>
      <w:r w:rsidRPr="000E2065" w:rsidDel="000E2065">
        <w:t xml:space="preserve"> </w:t>
      </w:r>
      <w:r w:rsidRPr="000D0ACB">
        <w:t>13 (climate action).</w:t>
      </w:r>
    </w:p>
    <w:p w14:paraId="04EDC881" w14:textId="77777777" w:rsidR="00861753" w:rsidRPr="00586539" w:rsidRDefault="00861753" w:rsidP="00861753">
      <w:pPr>
        <w:pStyle w:val="SingleTxtG"/>
      </w:pPr>
      <w:r>
        <w:t>3.</w:t>
      </w:r>
      <w:r>
        <w:tab/>
        <w:t xml:space="preserve">Meeting the 1.5-degree goal and progressing towards achieving the </w:t>
      </w:r>
      <w:r w:rsidRPr="000E2065">
        <w:t>Sustainable Development Goals</w:t>
      </w:r>
      <w:r w:rsidRPr="000E2065" w:rsidDel="000E2065">
        <w:t xml:space="preserve"> </w:t>
      </w:r>
      <w:r w:rsidRPr="00342F80">
        <w:t xml:space="preserve">implies a radical transformation of mobility and transport systems and for these to be </w:t>
      </w:r>
      <w:r w:rsidRPr="4C6671A7">
        <w:t>prioritized</w:t>
      </w:r>
      <w:r w:rsidRPr="00342F80">
        <w:t xml:space="preserve"> in policy, regulatory and fiscal frameworks.</w:t>
      </w:r>
      <w:r>
        <w:t xml:space="preserve"> The United Nations Secretary-General remarked, at the opening of the </w:t>
      </w:r>
      <w:r w:rsidRPr="009C0351">
        <w:t>second United Nations Global Sustainable Transport Conference</w:t>
      </w:r>
      <w:r>
        <w:t xml:space="preserve"> (</w:t>
      </w:r>
      <w:r w:rsidRPr="009C0351">
        <w:t>Beijing,</w:t>
      </w:r>
      <w:r>
        <w:t xml:space="preserve"> </w:t>
      </w:r>
      <w:r w:rsidRPr="009C0351">
        <w:t xml:space="preserve">14 to 16 October </w:t>
      </w:r>
      <w:r>
        <w:t xml:space="preserve">2021) </w:t>
      </w:r>
      <w:r w:rsidRPr="009C0351">
        <w:t>that</w:t>
      </w:r>
      <w:r>
        <w:t xml:space="preserve"> “</w:t>
      </w:r>
      <w:r w:rsidRPr="00342F80">
        <w:t>Transport, which accounts for </w:t>
      </w:r>
      <w:r w:rsidRPr="004D23D2">
        <w:t>more than one quarter of global greenhouse gases</w:t>
      </w:r>
      <w:r w:rsidRPr="002E5DE6">
        <w:t>, is key to getting on track. We must decarbonize all means of transport, in order to get to net-zero emissions by 2050 globally.”</w:t>
      </w:r>
      <w:r>
        <w:rPr>
          <w:rStyle w:val="FootnoteReference"/>
          <w:rFonts w:cstheme="majorBidi"/>
        </w:rPr>
        <w:footnoteReference w:id="8"/>
      </w:r>
    </w:p>
    <w:p w14:paraId="3131A660" w14:textId="77777777" w:rsidR="00861753" w:rsidRPr="005530B8" w:rsidRDefault="00861753" w:rsidP="00861753">
      <w:pPr>
        <w:pStyle w:val="SingleTxtG"/>
      </w:pPr>
      <w:r>
        <w:t>4.</w:t>
      </w:r>
      <w:r>
        <w:tab/>
        <w:t>This Strategy aims to support the inland transport sector to take urgent climate action, following the prior adoption of climate change mitigation strategies for the shipping sector by the International Maritime Organization (IMO),</w:t>
      </w:r>
      <w:r>
        <w:rPr>
          <w:rStyle w:val="FootnoteReference"/>
        </w:rPr>
        <w:footnoteReference w:id="9"/>
      </w:r>
      <w:r>
        <w:t xml:space="preserve"> and the setting of aspirational goals for the aviation sector by the International Civil Aviation Organization (ICAO)</w:t>
      </w:r>
      <w:r>
        <w:rPr>
          <w:rStyle w:val="FootnoteReference"/>
        </w:rPr>
        <w:footnoteReference w:id="10"/>
      </w:r>
      <w:r>
        <w:rPr>
          <w:color w:val="FF0000"/>
        </w:rPr>
        <w:t>.</w:t>
      </w:r>
      <w:r>
        <w:t xml:space="preserve"> It responds to the </w:t>
      </w:r>
      <w:r w:rsidRPr="005530B8">
        <w:t>Inland Transport Committee</w:t>
      </w:r>
      <w:r>
        <w:t xml:space="preserve"> (ITC)</w:t>
      </w:r>
      <w:r w:rsidRPr="005530B8">
        <w:t>’s r</w:t>
      </w:r>
      <w:r>
        <w:t>equest</w:t>
      </w:r>
      <w:r w:rsidRPr="004D23D2">
        <w:rPr>
          <w:lang w:val="en-US"/>
        </w:rPr>
        <w:t xml:space="preserve"> at its </w:t>
      </w:r>
      <w:r>
        <w:rPr>
          <w:lang w:val="en-US"/>
        </w:rPr>
        <w:t>eighty-fifth</w:t>
      </w:r>
      <w:r w:rsidRPr="004D23D2">
        <w:rPr>
          <w:lang w:val="en-US"/>
        </w:rPr>
        <w:t xml:space="preserve"> session </w:t>
      </w:r>
      <w:r w:rsidRPr="005530B8">
        <w:rPr>
          <w:lang w:val="en-US"/>
        </w:rPr>
        <w:t>to</w:t>
      </w:r>
      <w:r w:rsidRPr="004D23D2">
        <w:rPr>
          <w:lang w:val="en-US"/>
        </w:rPr>
        <w:t xml:space="preserve"> </w:t>
      </w:r>
      <w:r w:rsidRPr="005530B8">
        <w:rPr>
          <w:lang w:val="en-US"/>
        </w:rPr>
        <w:t xml:space="preserve">develop an </w:t>
      </w:r>
      <w:r w:rsidRPr="00DC1189">
        <w:rPr>
          <w:lang w:val="en-US"/>
        </w:rPr>
        <w:t>ambitious</w:t>
      </w:r>
      <w:r w:rsidRPr="004D23D2">
        <w:rPr>
          <w:lang w:val="en-US"/>
        </w:rPr>
        <w:t xml:space="preserve"> strategy document for reducing GHG emissions in inland transport</w:t>
      </w:r>
      <w:r w:rsidRPr="005530B8">
        <w:rPr>
          <w:lang w:val="en-US"/>
        </w:rPr>
        <w:t xml:space="preserve"> based on international United Nations legal instruments under the Committee’s purview </w:t>
      </w:r>
      <w:r w:rsidRPr="00DC1189">
        <w:rPr>
          <w:lang w:val="en-US"/>
        </w:rPr>
        <w:t xml:space="preserve">with priority actions for the ITC and all its relevant subsidiary bodies, supported by a strong action plan </w:t>
      </w:r>
      <w:r w:rsidRPr="00DC1189">
        <w:rPr>
          <w:lang w:val="en-US"/>
        </w:rPr>
        <w:lastRenderedPageBreak/>
        <w:t>with milestones</w:t>
      </w:r>
      <w:r w:rsidRPr="005530B8">
        <w:rPr>
          <w:lang w:val="en-US"/>
        </w:rPr>
        <w:t xml:space="preserve">, for consideration and adoption by the Committee at its </w:t>
      </w:r>
      <w:r>
        <w:rPr>
          <w:lang w:val="en-US"/>
        </w:rPr>
        <w:t>eighty-sixth</w:t>
      </w:r>
      <w:r w:rsidRPr="005530B8">
        <w:rPr>
          <w:lang w:val="en-US"/>
        </w:rPr>
        <w:t> plenary session (</w:t>
      </w:r>
      <w:r>
        <w:rPr>
          <w:lang w:val="en-US"/>
        </w:rPr>
        <w:t>ECE/TRAN/328, para. 60(a))</w:t>
      </w:r>
      <w:r w:rsidRPr="005530B8">
        <w:rPr>
          <w:lang w:val="en-US"/>
        </w:rPr>
        <w:t>.</w:t>
      </w:r>
    </w:p>
    <w:p w14:paraId="58C87C7A" w14:textId="77777777" w:rsidR="00861753" w:rsidRDefault="00861753" w:rsidP="00861753">
      <w:pPr>
        <w:pStyle w:val="SingleTxtG"/>
      </w:pPr>
      <w:r>
        <w:t>5.</w:t>
      </w:r>
      <w:r>
        <w:tab/>
        <w:t xml:space="preserve">The Strategy builds on the </w:t>
      </w:r>
      <w:r w:rsidRPr="00310A83">
        <w:t>ITC Strategy</w:t>
      </w:r>
      <w:r>
        <w:t xml:space="preserve"> until 2030 </w:t>
      </w:r>
      <w:r w:rsidRPr="006B6815">
        <w:t>(ECE/TRANS/288/Add.2)</w:t>
      </w:r>
      <w:r>
        <w:t xml:space="preserve">, adopted by the Committee in 2019, which considers climate change as a cross-cutting issue, and </w:t>
      </w:r>
      <w:r w:rsidRPr="00310A83">
        <w:t xml:space="preserve">the </w:t>
      </w:r>
      <w:r>
        <w:t xml:space="preserve">Committee’s revised </w:t>
      </w:r>
      <w:r w:rsidRPr="00310A83">
        <w:t xml:space="preserve">Terms of Reference endorsed by ECOSOC </w:t>
      </w:r>
      <w:r>
        <w:t xml:space="preserve">in 2022 </w:t>
      </w:r>
      <w:r w:rsidRPr="00310A83">
        <w:t>(E/RES/2022/2)</w:t>
      </w:r>
      <w:r>
        <w:t xml:space="preserve">. It </w:t>
      </w:r>
      <w:r w:rsidRPr="000E5805">
        <w:t>takes account of actions</w:t>
      </w:r>
      <w:r>
        <w:t xml:space="preserve"> which </w:t>
      </w:r>
      <w:r w:rsidRPr="000B4E61">
        <w:rPr>
          <w:color w:val="FF0000"/>
        </w:rPr>
        <w:t xml:space="preserve"> </w:t>
      </w:r>
      <w:r>
        <w:t>have been committed to by adopting, and noting, respectively, Ministerial declarations at the Committee’s eighty-fourth and eighty-fifth sessions.</w:t>
      </w:r>
      <w:r>
        <w:rPr>
          <w:rStyle w:val="FootnoteReference"/>
        </w:rPr>
        <w:footnoteReference w:id="11"/>
      </w:r>
      <w:r>
        <w:t xml:space="preserve"> By endorsing the Ministerial Declaration “Harnessing the full potential of inland transport solutions in the global fight against climate change” at the last session, Ministers and Heads of Delegations declared </w:t>
      </w:r>
      <w:r w:rsidRPr="003141BB">
        <w:t xml:space="preserve">their </w:t>
      </w:r>
      <w:r w:rsidRPr="002A2151">
        <w:t>steadfast support for the goals and objectives of the 2030 Agenda for Sustainable Development, the UNFCCC and the Paris Agreement, to accelerate the transition to decarbonized mobility and net zero or low emissions in the inland transport sector.</w:t>
      </w:r>
    </w:p>
    <w:p w14:paraId="1E5C38BA" w14:textId="77777777" w:rsidR="00861753" w:rsidRPr="00731EC3" w:rsidRDefault="00861753" w:rsidP="00861753">
      <w:pPr>
        <w:pStyle w:val="SingleTxtG"/>
      </w:pPr>
      <w:r>
        <w:t>6.</w:t>
      </w:r>
      <w:r>
        <w:tab/>
        <w:t>I</w:t>
      </w:r>
      <w:r w:rsidRPr="00F27308">
        <w:t xml:space="preserve">n line with </w:t>
      </w:r>
      <w:r>
        <w:t xml:space="preserve">the Committee’s </w:t>
      </w:r>
      <w:r w:rsidRPr="00F27308">
        <w:t xml:space="preserve">mandate, </w:t>
      </w:r>
      <w:r>
        <w:t xml:space="preserve">this Strategy </w:t>
      </w:r>
      <w:r w:rsidRPr="00F27308">
        <w:t xml:space="preserve">is focused </w:t>
      </w:r>
      <w:r>
        <w:t xml:space="preserve">primarily </w:t>
      </w:r>
      <w:r w:rsidRPr="00F27308">
        <w:t>on climate change mitigation,</w:t>
      </w:r>
      <w:r>
        <w:t xml:space="preserve"> </w:t>
      </w:r>
      <w:r w:rsidRPr="00786459">
        <w:rPr>
          <w:rFonts w:eastAsiaTheme="minorEastAsia"/>
        </w:rPr>
        <w:t xml:space="preserve">recognizing – in line with the Paris Agreement – that limiting temperature rise in line with its objectives would significantly reduce the risks and impacts of climate change. </w:t>
      </w:r>
      <w:r w:rsidRPr="00B33718">
        <w:t xml:space="preserve">Key infrastructure systems including transport will be increasingly vulnerable if changing climate conditions </w:t>
      </w:r>
      <w:r>
        <w:t>are</w:t>
      </w:r>
      <w:r w:rsidRPr="00B33718">
        <w:t xml:space="preserve"> not taken into account</w:t>
      </w:r>
      <w:r>
        <w:t>.</w:t>
      </w:r>
      <w:r w:rsidRPr="00B33718">
        <w:t xml:space="preserve"> Adaptation will become progressively less effective when extreme weather events increasingly overwhelm transport and economic systems.</w:t>
      </w:r>
      <w:r w:rsidRPr="00786459">
        <w:t xml:space="preserve"> </w:t>
      </w:r>
      <w:r>
        <w:t>This dynamic may worsen if urgent action is not taken today.</w:t>
      </w:r>
      <w:r w:rsidRPr="00786459">
        <w:t xml:space="preserve"> </w:t>
      </w:r>
      <w:r>
        <w:t>As the resulting social and economic costs of devastating climate-related calamities mount, their impacts on the lives of present and future generations will become more and more disruptive</w:t>
      </w:r>
      <w:r w:rsidRPr="00786459">
        <w:t xml:space="preserve">. </w:t>
      </w:r>
      <w:r>
        <w:t xml:space="preserve">At the same time, the present Strategy recognizes the importance of simultaneously pushing efforts to </w:t>
      </w:r>
      <w:r w:rsidRPr="00F27308">
        <w:t>adapt</w:t>
      </w:r>
      <w:r>
        <w:t xml:space="preserve"> to climate change</w:t>
      </w:r>
      <w:r w:rsidRPr="00F27308">
        <w:t xml:space="preserve"> </w:t>
      </w:r>
      <w:r>
        <w:t>and continuing to strengthen the resilience of transportation systems and operations through the work of the ITC and its subsidiary bodies.</w:t>
      </w:r>
      <w:r>
        <w:rPr>
          <w:rStyle w:val="FootnoteReference"/>
        </w:rPr>
        <w:footnoteReference w:id="12"/>
      </w:r>
    </w:p>
    <w:p w14:paraId="52F8FA55" w14:textId="77777777" w:rsidR="00861753" w:rsidRDefault="00861753" w:rsidP="00861753">
      <w:pPr>
        <w:pStyle w:val="HChG"/>
      </w:pPr>
      <w:r>
        <w:tab/>
        <w:t xml:space="preserve">II. </w:t>
      </w:r>
      <w:r>
        <w:tab/>
      </w:r>
      <w:r>
        <w:tab/>
        <w:t>ITC vision and mission for climate action</w:t>
      </w:r>
    </w:p>
    <w:p w14:paraId="34A862A6" w14:textId="77777777" w:rsidR="00861753" w:rsidRPr="004D23D2" w:rsidRDefault="00861753" w:rsidP="00861753">
      <w:pPr>
        <w:pStyle w:val="SingleTxtG"/>
        <w:rPr>
          <w:lang w:bidi="th-TH"/>
        </w:rPr>
      </w:pPr>
      <w:r>
        <w:rPr>
          <w:lang w:bidi="th-TH"/>
        </w:rPr>
        <w:t>7.</w:t>
      </w:r>
      <w:r>
        <w:rPr>
          <w:lang w:bidi="th-TH"/>
        </w:rPr>
        <w:tab/>
      </w:r>
      <w:r w:rsidRPr="004D23D2">
        <w:rPr>
          <w:lang w:bidi="th-TH"/>
        </w:rPr>
        <w:t xml:space="preserve">The Inland Transport Committee’s </w:t>
      </w:r>
      <w:r w:rsidRPr="004D23D2">
        <w:rPr>
          <w:b/>
          <w:bCs/>
          <w:lang w:bidi="th-TH"/>
        </w:rPr>
        <w:t>vision</w:t>
      </w:r>
      <w:r w:rsidRPr="004D23D2">
        <w:rPr>
          <w:lang w:bidi="th-TH"/>
        </w:rPr>
        <w:t xml:space="preserve"> for climate action is as follows: </w:t>
      </w:r>
    </w:p>
    <w:p w14:paraId="3ADD56FE" w14:textId="77777777" w:rsidR="00861753" w:rsidRDefault="00861753" w:rsidP="00861753">
      <w:pPr>
        <w:pStyle w:val="SingleTxtG"/>
        <w:rPr>
          <w:b/>
          <w:bCs/>
          <w:i/>
          <w:iCs/>
          <w:lang w:bidi="th-TH"/>
        </w:rPr>
      </w:pPr>
      <w:r>
        <w:rPr>
          <w:b/>
          <w:bCs/>
          <w:lang w:bidi="th-TH"/>
        </w:rPr>
        <w:t>The Inland Transport Committee and its subsidiary bodies</w:t>
      </w:r>
      <w:r>
        <w:rPr>
          <w:rStyle w:val="FootnoteReference"/>
          <w:rFonts w:cs="Tms Rmn"/>
          <w:bCs/>
          <w:color w:val="000000" w:themeColor="text1"/>
          <w:lang w:bidi="th-TH"/>
        </w:rPr>
        <w:footnoteReference w:id="13"/>
      </w:r>
      <w:r>
        <w:rPr>
          <w:b/>
          <w:bCs/>
          <w:lang w:bidi="th-TH"/>
        </w:rPr>
        <w:t xml:space="preserve"> take urgent action to assist its member States </w:t>
      </w:r>
      <w:r w:rsidRPr="00FA122C">
        <w:rPr>
          <w:b/>
          <w:bCs/>
          <w:lang w:bidi="th-TH"/>
        </w:rPr>
        <w:t>and C</w:t>
      </w:r>
      <w:r>
        <w:rPr>
          <w:b/>
          <w:bCs/>
          <w:lang w:bidi="th-TH"/>
        </w:rPr>
        <w:t>ontracting Parties</w:t>
      </w:r>
      <w:r w:rsidRPr="00FA122C">
        <w:rPr>
          <w:b/>
          <w:bCs/>
          <w:lang w:bidi="th-TH"/>
        </w:rPr>
        <w:t xml:space="preserve"> to </w:t>
      </w:r>
      <w:r>
        <w:rPr>
          <w:b/>
          <w:bCs/>
          <w:lang w:bidi="th-TH"/>
        </w:rPr>
        <w:t xml:space="preserve">United </w:t>
      </w:r>
      <w:r w:rsidRPr="00FA122C">
        <w:rPr>
          <w:b/>
          <w:bCs/>
          <w:lang w:bidi="th-TH"/>
        </w:rPr>
        <w:t>N</w:t>
      </w:r>
      <w:r>
        <w:rPr>
          <w:b/>
          <w:bCs/>
          <w:lang w:bidi="th-TH"/>
        </w:rPr>
        <w:t>ations</w:t>
      </w:r>
      <w:r w:rsidRPr="00FA122C">
        <w:rPr>
          <w:b/>
          <w:bCs/>
          <w:lang w:bidi="th-TH"/>
        </w:rPr>
        <w:t xml:space="preserve"> legal instruments</w:t>
      </w:r>
      <w:r>
        <w:rPr>
          <w:b/>
          <w:bCs/>
          <w:lang w:bidi="th-TH"/>
        </w:rPr>
        <w:t xml:space="preserve"> under its purview</w:t>
      </w:r>
      <w:r w:rsidRPr="00461406">
        <w:rPr>
          <w:b/>
          <w:bCs/>
          <w:lang w:bidi="th-TH"/>
        </w:rPr>
        <w:t xml:space="preserve"> </w:t>
      </w:r>
      <w:r>
        <w:rPr>
          <w:b/>
          <w:bCs/>
          <w:lang w:bidi="th-TH"/>
        </w:rPr>
        <w:t>in achieving the aspirational goal of net zero GHG emissions from inland transport by 2050.</w:t>
      </w:r>
    </w:p>
    <w:p w14:paraId="585F1C33" w14:textId="77777777" w:rsidR="00861753" w:rsidRPr="00A62C7C" w:rsidRDefault="00861753" w:rsidP="00861753">
      <w:pPr>
        <w:pStyle w:val="SingleTxtG"/>
        <w:rPr>
          <w:b/>
          <w:bCs/>
          <w:color w:val="000000" w:themeColor="text1"/>
          <w:lang w:bidi="th-TH"/>
        </w:rPr>
      </w:pPr>
      <w:r w:rsidRPr="69A7295C">
        <w:rPr>
          <w:color w:val="000000" w:themeColor="text1"/>
          <w:lang w:bidi="th-TH"/>
        </w:rPr>
        <w:t>8.</w:t>
      </w:r>
      <w:r>
        <w:tab/>
      </w:r>
      <w:r w:rsidRPr="2F6FA53A" w:rsidDel="00BA6C0E">
        <w:rPr>
          <w:b/>
          <w:bCs/>
          <w:color w:val="000000" w:themeColor="text1"/>
          <w:lang w:bidi="th-TH"/>
        </w:rPr>
        <w:t xml:space="preserve">ITC’s </w:t>
      </w:r>
      <w:r w:rsidRPr="69A7295C" w:rsidDel="00BA6C0E">
        <w:rPr>
          <w:b/>
          <w:bCs/>
          <w:color w:val="000000" w:themeColor="text1"/>
          <w:lang w:bidi="th-TH"/>
        </w:rPr>
        <w:t>mission</w:t>
      </w:r>
      <w:r w:rsidRPr="2F6FA53A" w:rsidDel="00BA6C0E">
        <w:rPr>
          <w:b/>
          <w:bCs/>
          <w:color w:val="000000" w:themeColor="text1"/>
          <w:lang w:bidi="th-TH"/>
        </w:rPr>
        <w:t xml:space="preserve"> is to </w:t>
      </w:r>
      <w:r w:rsidRPr="2F6FA53A">
        <w:rPr>
          <w:b/>
          <w:bCs/>
          <w:color w:val="000000" w:themeColor="text1"/>
          <w:lang w:bidi="th-TH"/>
        </w:rPr>
        <w:t xml:space="preserve">contribute to </w:t>
      </w:r>
      <w:r w:rsidRPr="00150FAD">
        <w:rPr>
          <w:b/>
          <w:bCs/>
          <w:color w:val="000000" w:themeColor="text1"/>
          <w:lang w:bidi="th-TH"/>
        </w:rPr>
        <w:t>decarbonization of</w:t>
      </w:r>
      <w:r w:rsidRPr="5AD9B9E6">
        <w:rPr>
          <w:b/>
          <w:bCs/>
          <w:color w:val="000000" w:themeColor="text1"/>
          <w:lang w:bidi="th-TH"/>
        </w:rPr>
        <w:t xml:space="preserve"> inland transport </w:t>
      </w:r>
      <w:r w:rsidRPr="2F6FA53A">
        <w:rPr>
          <w:b/>
          <w:bCs/>
          <w:color w:val="000000" w:themeColor="text1"/>
          <w:lang w:bidi="th-TH"/>
        </w:rPr>
        <w:t xml:space="preserve">by </w:t>
      </w:r>
      <w:r w:rsidRPr="001949EA">
        <w:rPr>
          <w:b/>
          <w:bCs/>
          <w:color w:val="000000" w:themeColor="text1"/>
          <w:lang w:bidi="th-TH"/>
        </w:rPr>
        <w:t>its member</w:t>
      </w:r>
      <w:r>
        <w:rPr>
          <w:b/>
          <w:bCs/>
          <w:color w:val="000000" w:themeColor="text1"/>
          <w:lang w:bidi="th-TH"/>
        </w:rPr>
        <w:t xml:space="preserve"> State</w:t>
      </w:r>
      <w:r w:rsidRPr="001949EA">
        <w:rPr>
          <w:b/>
          <w:bCs/>
          <w:color w:val="000000" w:themeColor="text1"/>
          <w:lang w:bidi="th-TH"/>
        </w:rPr>
        <w:t xml:space="preserve">s and </w:t>
      </w:r>
      <w:r>
        <w:rPr>
          <w:b/>
          <w:bCs/>
          <w:color w:val="000000" w:themeColor="text1"/>
          <w:lang w:bidi="th-TH"/>
        </w:rPr>
        <w:t>C</w:t>
      </w:r>
      <w:r w:rsidRPr="001949EA">
        <w:rPr>
          <w:b/>
          <w:bCs/>
          <w:color w:val="000000" w:themeColor="text1"/>
          <w:lang w:bidi="th-TH"/>
        </w:rPr>
        <w:t xml:space="preserve">ontracting </w:t>
      </w:r>
      <w:r>
        <w:rPr>
          <w:b/>
          <w:bCs/>
          <w:color w:val="000000" w:themeColor="text1"/>
          <w:lang w:bidi="th-TH"/>
        </w:rPr>
        <w:t>P</w:t>
      </w:r>
      <w:r w:rsidRPr="001949EA">
        <w:rPr>
          <w:b/>
          <w:bCs/>
          <w:color w:val="000000" w:themeColor="text1"/>
          <w:lang w:bidi="th-TH"/>
        </w:rPr>
        <w:t xml:space="preserve">arties to United Nations legal instruments </w:t>
      </w:r>
      <w:r>
        <w:rPr>
          <w:b/>
          <w:bCs/>
          <w:color w:val="000000" w:themeColor="text1"/>
          <w:lang w:bidi="th-TH"/>
        </w:rPr>
        <w:t xml:space="preserve">under ITC’s purview </w:t>
      </w:r>
      <w:r w:rsidRPr="001949EA">
        <w:rPr>
          <w:b/>
          <w:bCs/>
          <w:color w:val="000000" w:themeColor="text1"/>
          <w:lang w:bidi="th-TH"/>
        </w:rPr>
        <w:t xml:space="preserve">through enhanced regulatory support, </w:t>
      </w:r>
      <w:r w:rsidRPr="1A2650C7">
        <w:rPr>
          <w:b/>
          <w:bCs/>
          <w:color w:val="000000" w:themeColor="text1"/>
          <w:lang w:bidi="th-TH"/>
        </w:rPr>
        <w:t xml:space="preserve">intergovernmental </w:t>
      </w:r>
      <w:r w:rsidRPr="39710B4B">
        <w:rPr>
          <w:b/>
          <w:bCs/>
          <w:color w:val="000000" w:themeColor="text1"/>
          <w:lang w:bidi="th-TH"/>
        </w:rPr>
        <w:t xml:space="preserve">policy </w:t>
      </w:r>
      <w:r w:rsidRPr="405BC251">
        <w:rPr>
          <w:b/>
          <w:bCs/>
          <w:color w:val="000000" w:themeColor="text1"/>
          <w:lang w:bidi="th-TH"/>
        </w:rPr>
        <w:t>dialogue</w:t>
      </w:r>
      <w:r w:rsidRPr="5E44F281">
        <w:rPr>
          <w:b/>
          <w:bCs/>
          <w:color w:val="000000" w:themeColor="text1"/>
          <w:lang w:bidi="th-TH"/>
        </w:rPr>
        <w:t xml:space="preserve">, </w:t>
      </w:r>
      <w:r w:rsidRPr="6993C1FD">
        <w:rPr>
          <w:b/>
          <w:bCs/>
          <w:color w:val="000000" w:themeColor="text1"/>
          <w:lang w:bidi="th-TH"/>
        </w:rPr>
        <w:t xml:space="preserve">and increased coordination and </w:t>
      </w:r>
      <w:r w:rsidRPr="6ED7FA1A">
        <w:rPr>
          <w:b/>
          <w:bCs/>
          <w:color w:val="000000" w:themeColor="text1"/>
          <w:lang w:bidi="th-TH"/>
        </w:rPr>
        <w:t xml:space="preserve">partnership </w:t>
      </w:r>
      <w:r>
        <w:rPr>
          <w:b/>
          <w:bCs/>
          <w:color w:val="000000" w:themeColor="text1"/>
          <w:lang w:bidi="th-TH"/>
        </w:rPr>
        <w:t xml:space="preserve">among </w:t>
      </w:r>
      <w:r w:rsidRPr="6ED7FA1A">
        <w:rPr>
          <w:b/>
          <w:bCs/>
          <w:color w:val="000000" w:themeColor="text1"/>
          <w:lang w:bidi="th-TH"/>
        </w:rPr>
        <w:t xml:space="preserve">all relevant stakeholders. </w:t>
      </w:r>
    </w:p>
    <w:p w14:paraId="53C9A6C5" w14:textId="77777777" w:rsidR="00861753" w:rsidRPr="00012615" w:rsidRDefault="00861753" w:rsidP="00861753">
      <w:pPr>
        <w:pStyle w:val="SingleTxtG"/>
        <w:rPr>
          <w:b/>
          <w:bCs/>
          <w:color w:val="000000" w:themeColor="text1"/>
          <w:lang w:bidi="th-TH"/>
        </w:rPr>
      </w:pPr>
      <w:r w:rsidRPr="0077564D">
        <w:rPr>
          <w:color w:val="000000" w:themeColor="text1"/>
          <w:lang w:bidi="th-TH"/>
        </w:rPr>
        <w:t>9.</w:t>
      </w:r>
      <w:r>
        <w:rPr>
          <w:b/>
          <w:bCs/>
          <w:color w:val="000000" w:themeColor="text1"/>
          <w:lang w:bidi="th-TH"/>
        </w:rPr>
        <w:tab/>
        <w:t>In doing so, the ITC draws from a broad decarbonization framework that draws on avoid-shift-improve measures</w:t>
      </w:r>
      <w:r w:rsidRPr="39EC80CD">
        <w:rPr>
          <w:b/>
          <w:bCs/>
          <w:color w:val="000000" w:themeColor="text1"/>
          <w:lang w:bidi="th-TH"/>
        </w:rPr>
        <w:t xml:space="preserve"> </w:t>
      </w:r>
      <w:r>
        <w:rPr>
          <w:b/>
          <w:bCs/>
          <w:color w:val="000000" w:themeColor="text1"/>
          <w:lang w:bidi="th-TH"/>
        </w:rPr>
        <w:t xml:space="preserve">which Member States </w:t>
      </w:r>
      <w:r w:rsidRPr="707090CE">
        <w:rPr>
          <w:b/>
          <w:bCs/>
          <w:color w:val="000000" w:themeColor="text1"/>
          <w:lang w:bidi="th-TH"/>
        </w:rPr>
        <w:t>may</w:t>
      </w:r>
      <w:r w:rsidRPr="39EC80CD">
        <w:rPr>
          <w:b/>
          <w:bCs/>
          <w:color w:val="000000" w:themeColor="text1"/>
          <w:lang w:bidi="th-TH"/>
        </w:rPr>
        <w:t xml:space="preserve"> </w:t>
      </w:r>
      <w:r>
        <w:rPr>
          <w:b/>
          <w:bCs/>
          <w:color w:val="000000" w:themeColor="text1"/>
          <w:lang w:bidi="th-TH"/>
        </w:rPr>
        <w:t xml:space="preserve">implement </w:t>
      </w:r>
      <w:r w:rsidRPr="39EC80CD">
        <w:rPr>
          <w:b/>
          <w:bCs/>
          <w:color w:val="000000" w:themeColor="text1"/>
          <w:lang w:bidi="th-TH"/>
        </w:rPr>
        <w:t xml:space="preserve">in any </w:t>
      </w:r>
      <w:r>
        <w:rPr>
          <w:b/>
          <w:bCs/>
          <w:color w:val="000000" w:themeColor="text1"/>
          <w:lang w:bidi="th-TH"/>
        </w:rPr>
        <w:t xml:space="preserve">of </w:t>
      </w:r>
      <w:r w:rsidRPr="5793573F">
        <w:rPr>
          <w:b/>
          <w:bCs/>
          <w:color w:val="000000" w:themeColor="text1"/>
          <w:lang w:bidi="th-TH"/>
        </w:rPr>
        <w:t xml:space="preserve">or </w:t>
      </w:r>
      <w:r>
        <w:rPr>
          <w:b/>
          <w:bCs/>
          <w:color w:val="000000" w:themeColor="text1"/>
          <w:lang w:bidi="th-TH"/>
        </w:rPr>
        <w:t xml:space="preserve">across </w:t>
      </w:r>
      <w:r w:rsidRPr="39EC80CD">
        <w:rPr>
          <w:b/>
          <w:bCs/>
          <w:color w:val="000000" w:themeColor="text1"/>
          <w:lang w:bidi="th-TH"/>
        </w:rPr>
        <w:t xml:space="preserve">the </w:t>
      </w:r>
      <w:r w:rsidRPr="5793573F">
        <w:rPr>
          <w:b/>
          <w:bCs/>
          <w:color w:val="000000" w:themeColor="text1"/>
          <w:lang w:bidi="th-TH"/>
        </w:rPr>
        <w:t>following</w:t>
      </w:r>
      <w:r w:rsidRPr="39EC80CD">
        <w:rPr>
          <w:b/>
          <w:bCs/>
          <w:color w:val="000000" w:themeColor="text1"/>
          <w:lang w:bidi="th-TH"/>
        </w:rPr>
        <w:t xml:space="preserve"> areas:</w:t>
      </w:r>
    </w:p>
    <w:p w14:paraId="7A0FB006" w14:textId="616813DD" w:rsidR="00861753" w:rsidRPr="009713E3" w:rsidRDefault="005D3325" w:rsidP="00861753">
      <w:pPr>
        <w:pStyle w:val="SingleTxtG"/>
        <w:rPr>
          <w:color w:val="8064A2" w:themeColor="accent4"/>
          <w:lang w:bidi="th-TH"/>
        </w:rPr>
      </w:pPr>
      <w:r>
        <w:rPr>
          <w:b/>
          <w:bCs/>
          <w:lang w:bidi="th-TH"/>
        </w:rPr>
        <w:tab/>
      </w:r>
      <w:r w:rsidR="00861753" w:rsidRPr="001771B2">
        <w:rPr>
          <w:b/>
          <w:bCs/>
          <w:lang w:bidi="th-TH"/>
        </w:rPr>
        <w:t>(a)</w:t>
      </w:r>
      <w:r w:rsidR="00861753" w:rsidRPr="001771B2">
        <w:rPr>
          <w:b/>
          <w:bCs/>
          <w:lang w:bidi="th-TH"/>
        </w:rPr>
        <w:tab/>
      </w:r>
      <w:r w:rsidR="00861753" w:rsidRPr="00062454">
        <w:rPr>
          <w:b/>
          <w:bCs/>
          <w:u w:val="single"/>
          <w:lang w:bidi="th-TH"/>
        </w:rPr>
        <w:t>Avoid</w:t>
      </w:r>
      <w:r w:rsidR="00861753" w:rsidRPr="00062454">
        <w:rPr>
          <w:b/>
          <w:bCs/>
          <w:lang w:bidi="th-TH"/>
        </w:rPr>
        <w:t xml:space="preserve"> unnecessary vehicle kilometres through compact development, increasing accessibility to services, and reducing the need to travel as much as we do today.</w:t>
      </w:r>
      <w:r w:rsidR="00861753" w:rsidRPr="00062454" w:rsidDel="00526A97">
        <w:rPr>
          <w:lang w:bidi="th-TH"/>
        </w:rPr>
        <w:t xml:space="preserve"> </w:t>
      </w:r>
    </w:p>
    <w:p w14:paraId="46E0DBED" w14:textId="70CEE052" w:rsidR="00861753" w:rsidRPr="004D23D2" w:rsidRDefault="005D3325" w:rsidP="00861753">
      <w:pPr>
        <w:pStyle w:val="SingleTxtG"/>
        <w:rPr>
          <w:b/>
          <w:bCs/>
          <w:color w:val="000000"/>
          <w:lang w:bidi="th-TH"/>
        </w:rPr>
      </w:pPr>
      <w:r>
        <w:rPr>
          <w:b/>
          <w:bCs/>
          <w:color w:val="000000"/>
          <w:lang w:bidi="th-TH"/>
        </w:rPr>
        <w:tab/>
      </w:r>
      <w:r w:rsidR="00861753" w:rsidRPr="001771B2">
        <w:rPr>
          <w:b/>
          <w:bCs/>
          <w:color w:val="000000"/>
          <w:lang w:bidi="th-TH"/>
        </w:rPr>
        <w:t xml:space="preserve">(b) </w:t>
      </w:r>
      <w:r w:rsidR="00861753" w:rsidRPr="001771B2">
        <w:rPr>
          <w:b/>
          <w:bCs/>
          <w:color w:val="000000"/>
          <w:lang w:bidi="th-TH"/>
        </w:rPr>
        <w:tab/>
      </w:r>
      <w:r w:rsidR="00861753" w:rsidRPr="004D23D2">
        <w:rPr>
          <w:b/>
          <w:bCs/>
          <w:color w:val="000000"/>
          <w:u w:val="single"/>
          <w:lang w:bidi="th-TH"/>
        </w:rPr>
        <w:t>Shift</w:t>
      </w:r>
      <w:r w:rsidR="00861753" w:rsidRPr="004D23D2">
        <w:rPr>
          <w:b/>
          <w:bCs/>
          <w:color w:val="000000"/>
          <w:lang w:bidi="th-TH"/>
        </w:rPr>
        <w:t xml:space="preserve"> to low </w:t>
      </w:r>
      <w:r w:rsidR="00861753">
        <w:rPr>
          <w:b/>
          <w:bCs/>
          <w:color w:val="000000"/>
          <w:lang w:bidi="th-TH"/>
        </w:rPr>
        <w:t xml:space="preserve">and zero </w:t>
      </w:r>
      <w:r w:rsidR="00861753" w:rsidRPr="004D23D2">
        <w:rPr>
          <w:b/>
          <w:bCs/>
          <w:color w:val="000000"/>
          <w:lang w:bidi="th-TH"/>
        </w:rPr>
        <w:t>carbon, sustainable transport modes and</w:t>
      </w:r>
      <w:r w:rsidR="00861753">
        <w:rPr>
          <w:b/>
          <w:bCs/>
          <w:color w:val="000000"/>
          <w:lang w:bidi="th-TH"/>
        </w:rPr>
        <w:t>/or</w:t>
      </w:r>
      <w:r w:rsidR="00861753" w:rsidRPr="004D23D2">
        <w:rPr>
          <w:b/>
          <w:bCs/>
          <w:color w:val="000000"/>
          <w:lang w:bidi="th-TH"/>
        </w:rPr>
        <w:t xml:space="preserve"> operations</w:t>
      </w:r>
      <w:r w:rsidR="00861753">
        <w:rPr>
          <w:b/>
          <w:bCs/>
          <w:color w:val="000000"/>
          <w:lang w:bidi="th-TH"/>
        </w:rPr>
        <w:t>;</w:t>
      </w:r>
      <w:r w:rsidR="00861753" w:rsidRPr="004D23D2">
        <w:rPr>
          <w:b/>
          <w:bCs/>
          <w:color w:val="000000"/>
          <w:lang w:bidi="th-TH"/>
        </w:rPr>
        <w:t xml:space="preserve"> and </w:t>
      </w:r>
    </w:p>
    <w:p w14:paraId="3B61F5C7" w14:textId="4B809E3A" w:rsidR="00861753" w:rsidRPr="004D23D2" w:rsidRDefault="005D3325" w:rsidP="00861753">
      <w:pPr>
        <w:pStyle w:val="SingleTxtG"/>
        <w:rPr>
          <w:b/>
          <w:bCs/>
          <w:color w:val="000000"/>
          <w:lang w:bidi="th-TH"/>
        </w:rPr>
      </w:pPr>
      <w:r>
        <w:rPr>
          <w:b/>
          <w:bCs/>
          <w:lang w:bidi="th-TH"/>
        </w:rPr>
        <w:tab/>
      </w:r>
      <w:r w:rsidR="00861753" w:rsidRPr="001771B2">
        <w:rPr>
          <w:b/>
          <w:bCs/>
          <w:lang w:bidi="th-TH"/>
        </w:rPr>
        <w:t>(c)</w:t>
      </w:r>
      <w:r w:rsidR="00861753" w:rsidRPr="001771B2">
        <w:rPr>
          <w:b/>
          <w:bCs/>
          <w:lang w:bidi="th-TH"/>
        </w:rPr>
        <w:tab/>
      </w:r>
      <w:r w:rsidR="00861753" w:rsidRPr="3CD756DC">
        <w:rPr>
          <w:b/>
          <w:bCs/>
          <w:u w:val="single"/>
          <w:lang w:bidi="th-TH"/>
        </w:rPr>
        <w:t>Improve</w:t>
      </w:r>
      <w:r w:rsidR="00861753" w:rsidRPr="3CD756DC">
        <w:rPr>
          <w:b/>
          <w:bCs/>
          <w:lang w:bidi="th-TH"/>
        </w:rPr>
        <w:t xml:space="preserve"> vehicles, infrastructure</w:t>
      </w:r>
      <w:r w:rsidR="00861753">
        <w:rPr>
          <w:b/>
          <w:bCs/>
          <w:lang w:bidi="th-TH"/>
        </w:rPr>
        <w:t>,</w:t>
      </w:r>
      <w:r w:rsidR="00861753" w:rsidRPr="3CD756DC">
        <w:rPr>
          <w:b/>
          <w:bCs/>
          <w:lang w:bidi="th-TH"/>
        </w:rPr>
        <w:t xml:space="preserve"> and operations. </w:t>
      </w:r>
    </w:p>
    <w:p w14:paraId="381EB59A" w14:textId="77777777" w:rsidR="00861753" w:rsidRDefault="00861753" w:rsidP="00861753">
      <w:pPr>
        <w:pStyle w:val="SingleTxtG"/>
        <w:rPr>
          <w:lang w:bidi="th-TH"/>
        </w:rPr>
      </w:pPr>
      <w:r>
        <w:rPr>
          <w:lang w:bidi="th-TH"/>
        </w:rPr>
        <w:lastRenderedPageBreak/>
        <w:t>10.</w:t>
      </w:r>
      <w:r>
        <w:rPr>
          <w:lang w:bidi="th-TH"/>
        </w:rPr>
        <w:tab/>
        <w:t xml:space="preserve">There is no one-size-fits-all prescription on which decarbonization action and in which area, or combination of areas, helps to achieve most progress. This would depend on a number of variables including individual context, </w:t>
      </w:r>
      <w:r w:rsidRPr="00062454">
        <w:rPr>
          <w:lang w:bidi="th-TH"/>
        </w:rPr>
        <w:t>economic imperatives of developing countries,</w:t>
      </w:r>
      <w:r w:rsidRPr="004F3DEF">
        <w:rPr>
          <w:color w:val="FF0000"/>
          <w:lang w:bidi="th-TH"/>
        </w:rPr>
        <w:t xml:space="preserve"> </w:t>
      </w:r>
      <w:r>
        <w:rPr>
          <w:lang w:bidi="th-TH"/>
        </w:rPr>
        <w:t>availability of strategies and action taken in the past on the basis of which the right mix of sectoral but also cross-sectoral measures is selected for the future.</w:t>
      </w:r>
    </w:p>
    <w:p w14:paraId="0D29946A" w14:textId="77777777" w:rsidR="00861753" w:rsidRPr="00A62C7C" w:rsidRDefault="00861753" w:rsidP="00861753">
      <w:pPr>
        <w:pStyle w:val="SingleTxtG"/>
        <w:rPr>
          <w:lang w:bidi="th-TH"/>
        </w:rPr>
      </w:pPr>
      <w:r w:rsidRPr="00FD1AAB">
        <w:rPr>
          <w:lang w:bidi="th-TH"/>
        </w:rPr>
        <w:t>11.</w:t>
      </w:r>
      <w:r>
        <w:rPr>
          <w:lang w:bidi="th-TH"/>
        </w:rPr>
        <w:tab/>
      </w:r>
      <w:r w:rsidRPr="52214873">
        <w:rPr>
          <w:lang w:bidi="th-TH"/>
        </w:rPr>
        <w:t xml:space="preserve">The </w:t>
      </w:r>
      <w:r>
        <w:rPr>
          <w:lang w:bidi="th-TH"/>
        </w:rPr>
        <w:t xml:space="preserve">inland </w:t>
      </w:r>
      <w:r w:rsidRPr="52214873">
        <w:rPr>
          <w:lang w:bidi="th-TH"/>
        </w:rPr>
        <w:t xml:space="preserve">transport sector </w:t>
      </w:r>
      <w:r>
        <w:rPr>
          <w:lang w:bidi="th-TH"/>
        </w:rPr>
        <w:t>has the potential to look for solutions to minimize certain travel such as</w:t>
      </w:r>
      <w:r w:rsidRPr="0015734D">
        <w:rPr>
          <w:lang w:bidi="th-TH"/>
        </w:rPr>
        <w:t>,</w:t>
      </w:r>
      <w:r w:rsidRPr="52214873">
        <w:rPr>
          <w:lang w:bidi="th-TH"/>
        </w:rPr>
        <w:t xml:space="preserve"> empty runs </w:t>
      </w:r>
      <w:r>
        <w:rPr>
          <w:lang w:bidi="th-TH"/>
        </w:rPr>
        <w:t xml:space="preserve">and in this way avoid it. </w:t>
      </w:r>
      <w:r w:rsidRPr="0015734D">
        <w:rPr>
          <w:lang w:bidi="th-TH"/>
        </w:rPr>
        <w:t>It is not only a question of reducing or avoiding journeys deemed unnecessary (for example by supporting teleworking), but also of optimising or reducing the resources used to ensure decarbonised transport.</w:t>
      </w:r>
      <w:r w:rsidRPr="00E9511C">
        <w:rPr>
          <w:color w:val="FF0000"/>
          <w:lang w:bidi="th-TH"/>
        </w:rPr>
        <w:t xml:space="preserve">  </w:t>
      </w:r>
      <w:r>
        <w:rPr>
          <w:lang w:bidi="th-TH"/>
        </w:rPr>
        <w:t xml:space="preserve">At the same time, the potential </w:t>
      </w:r>
      <w:r w:rsidRPr="0015734D" w:rsidDel="00C82175">
        <w:rPr>
          <w:lang w:val="en-US" w:bidi="th-TH"/>
        </w:rPr>
        <w:t>of more efficient transport</w:t>
      </w:r>
      <w:r w:rsidRPr="00307FD7">
        <w:rPr>
          <w:color w:val="FF0000"/>
          <w:lang w:val="en-US" w:bidi="th-TH"/>
        </w:rPr>
        <w:t xml:space="preserve"> </w:t>
      </w:r>
      <w:r>
        <w:rPr>
          <w:lang w:bidi="th-TH"/>
        </w:rPr>
        <w:t xml:space="preserve">often may lie in cross-sectoral solutions and the inland transport sector </w:t>
      </w:r>
      <w:r w:rsidRPr="0015734D">
        <w:rPr>
          <w:lang w:bidi="th-TH"/>
        </w:rPr>
        <w:t>could</w:t>
      </w:r>
      <w:r w:rsidRPr="003A5E18">
        <w:rPr>
          <w:color w:val="FF0000"/>
          <w:lang w:bidi="th-TH"/>
        </w:rPr>
        <w:t xml:space="preserve"> </w:t>
      </w:r>
      <w:r>
        <w:rPr>
          <w:lang w:bidi="th-TH"/>
        </w:rPr>
        <w:t xml:space="preserve">be open to collaboration with other sectors, to address, among others, spatial and </w:t>
      </w:r>
      <w:r w:rsidRPr="52214873">
        <w:rPr>
          <w:lang w:bidi="th-TH"/>
        </w:rPr>
        <w:t>land-use planning</w:t>
      </w:r>
      <w:r>
        <w:rPr>
          <w:lang w:bidi="th-TH"/>
        </w:rPr>
        <w:t xml:space="preserve">, or </w:t>
      </w:r>
      <w:r w:rsidRPr="52214873">
        <w:rPr>
          <w:lang w:bidi="th-TH"/>
        </w:rPr>
        <w:t>reorganis</w:t>
      </w:r>
      <w:r>
        <w:rPr>
          <w:lang w:bidi="th-TH"/>
        </w:rPr>
        <w:t>ation of</w:t>
      </w:r>
      <w:r w:rsidRPr="52214873">
        <w:rPr>
          <w:lang w:bidi="th-TH"/>
        </w:rPr>
        <w:t xml:space="preserve"> supply chains, </w:t>
      </w:r>
      <w:r>
        <w:rPr>
          <w:lang w:bidi="th-TH"/>
        </w:rPr>
        <w:t>for example</w:t>
      </w:r>
      <w:r w:rsidRPr="52214873">
        <w:rPr>
          <w:lang w:bidi="th-TH"/>
        </w:rPr>
        <w:t>, from global to regional sourcing</w:t>
      </w:r>
      <w:r w:rsidRPr="0015734D">
        <w:rPr>
          <w:lang w:bidi="th-TH"/>
        </w:rPr>
        <w:t>.</w:t>
      </w:r>
      <w:r w:rsidRPr="003A5E18">
        <w:rPr>
          <w:color w:val="FF0000"/>
          <w:lang w:bidi="th-TH"/>
        </w:rPr>
        <w:t xml:space="preserve"> </w:t>
      </w:r>
      <w:r w:rsidRPr="0015734D">
        <w:rPr>
          <w:lang w:bidi="th-TH"/>
        </w:rPr>
        <w:t>Mobility management may help improve mobility services before developing new infrastructure.</w:t>
      </w:r>
      <w:r w:rsidRPr="003A5E18">
        <w:rPr>
          <w:color w:val="FF0000"/>
          <w:lang w:bidi="th-TH"/>
        </w:rPr>
        <w:t xml:space="preserve"> </w:t>
      </w:r>
      <w:r>
        <w:rPr>
          <w:lang w:bidi="th-TH"/>
        </w:rPr>
        <w:t xml:space="preserve">Work on developing and implementing sustainable or national urban mobility plans (SUMPs and NUMPs) can be a good example of achieving the necessary results by ensuring synergies between spatial planning and smart mobility solutions where equity and environmental justice in taken into account to provide better access to goods and services with less travel and where public engagement in this process is </w:t>
      </w:r>
      <w:r w:rsidRPr="00DD3A6B">
        <w:rPr>
          <w:lang w:bidi="th-TH"/>
        </w:rPr>
        <w:t>realized.</w:t>
      </w:r>
    </w:p>
    <w:p w14:paraId="0F2F5438" w14:textId="77777777" w:rsidR="00861753" w:rsidRDefault="00861753" w:rsidP="00861753">
      <w:pPr>
        <w:pStyle w:val="SingleTxtG"/>
        <w:rPr>
          <w:lang w:bidi="th-TH"/>
        </w:rPr>
      </w:pPr>
      <w:r w:rsidRPr="00DD3A6B">
        <w:rPr>
          <w:lang w:bidi="th-TH"/>
        </w:rPr>
        <w:t>12.</w:t>
      </w:r>
      <w:r w:rsidRPr="00DD3A6B">
        <w:rPr>
          <w:lang w:bidi="th-TH"/>
        </w:rPr>
        <w:tab/>
        <w:t xml:space="preserve">By shifting to low- and zero-carbon </w:t>
      </w:r>
      <w:r w:rsidRPr="00FD1AAB">
        <w:rPr>
          <w:lang w:bidi="th-TH"/>
        </w:rPr>
        <w:t>and sustainable</w:t>
      </w:r>
      <w:r w:rsidRPr="00DD3A6B">
        <w:rPr>
          <w:lang w:bidi="th-TH"/>
        </w:rPr>
        <w:t xml:space="preserve"> modes of operations, </w:t>
      </w:r>
      <w:r w:rsidRPr="00FD1AAB">
        <w:rPr>
          <w:lang w:bidi="th-TH"/>
        </w:rPr>
        <w:t>transport will make</w:t>
      </w:r>
      <w:r w:rsidRPr="00DD3A6B">
        <w:rPr>
          <w:lang w:bidi="th-TH"/>
        </w:rPr>
        <w:t xml:space="preserve"> the best use of existing low carbon modes and operations. This could</w:t>
      </w:r>
      <w:r w:rsidRPr="00FD1AAB">
        <w:rPr>
          <w:lang w:bidi="th-TH"/>
        </w:rPr>
        <w:t xml:space="preserve"> </w:t>
      </w:r>
      <w:r w:rsidRPr="00DD3A6B">
        <w:rPr>
          <w:lang w:bidi="th-TH"/>
        </w:rPr>
        <w:t xml:space="preserve">comprise prioritizing intermodal or multimodal transport for both freight and passengers at different </w:t>
      </w:r>
      <w:r w:rsidRPr="52214873">
        <w:rPr>
          <w:lang w:bidi="th-TH"/>
        </w:rPr>
        <w:t>levels - international, national, regional or local</w:t>
      </w:r>
      <w:r>
        <w:rPr>
          <w:lang w:bidi="th-TH"/>
        </w:rPr>
        <w:t>, where appropriate</w:t>
      </w:r>
      <w:r w:rsidRPr="52214873">
        <w:rPr>
          <w:lang w:bidi="th-TH"/>
        </w:rPr>
        <w:t xml:space="preserve">. This </w:t>
      </w:r>
      <w:r>
        <w:rPr>
          <w:lang w:bidi="th-TH"/>
        </w:rPr>
        <w:t>c</w:t>
      </w:r>
      <w:r w:rsidRPr="52214873">
        <w:rPr>
          <w:lang w:bidi="th-TH"/>
        </w:rPr>
        <w:t>ould mean shifting long-distance passenger transport from road to rail and freight transport from road to rail or waterways</w:t>
      </w:r>
      <w:r>
        <w:rPr>
          <w:lang w:bidi="th-TH"/>
        </w:rPr>
        <w:t xml:space="preserve"> or enabling intermodal transport while recognizing equity and public support to this action</w:t>
      </w:r>
      <w:r w:rsidRPr="52214873">
        <w:rPr>
          <w:lang w:bidi="th-TH"/>
        </w:rPr>
        <w:t xml:space="preserve">. </w:t>
      </w:r>
      <w:r w:rsidRPr="00304F99">
        <w:rPr>
          <w:lang w:bidi="th-TH"/>
        </w:rPr>
        <w:t xml:space="preserve">At the regional and local level, this </w:t>
      </w:r>
      <w:r w:rsidRPr="0015734D">
        <w:rPr>
          <w:lang w:bidi="th-TH"/>
        </w:rPr>
        <w:t>could</w:t>
      </w:r>
      <w:r>
        <w:rPr>
          <w:color w:val="FF0000"/>
          <w:lang w:bidi="th-TH"/>
        </w:rPr>
        <w:t xml:space="preserve"> </w:t>
      </w:r>
      <w:r w:rsidRPr="52214873">
        <w:rPr>
          <w:lang w:bidi="th-TH"/>
        </w:rPr>
        <w:t xml:space="preserve">mean giving priority </w:t>
      </w:r>
      <w:r>
        <w:rPr>
          <w:lang w:bidi="th-TH"/>
        </w:rPr>
        <w:t xml:space="preserve">to public transport in combination with </w:t>
      </w:r>
      <w:r w:rsidRPr="52214873">
        <w:rPr>
          <w:lang w:bidi="th-TH"/>
        </w:rPr>
        <w:t>cycling and walking</w:t>
      </w:r>
      <w:r>
        <w:rPr>
          <w:lang w:bidi="th-TH"/>
        </w:rPr>
        <w:t xml:space="preserve"> </w:t>
      </w:r>
      <w:r w:rsidRPr="52214873">
        <w:rPr>
          <w:lang w:bidi="th-TH"/>
        </w:rPr>
        <w:t>for passenger transport and enabling</w:t>
      </w:r>
      <w:r>
        <w:rPr>
          <w:lang w:bidi="th-TH"/>
        </w:rPr>
        <w:t xml:space="preserve"> new approaches to urban freight solutions again realizing it with full public support.</w:t>
      </w:r>
    </w:p>
    <w:p w14:paraId="25BE942E" w14:textId="77777777" w:rsidR="00861753" w:rsidRDefault="00861753" w:rsidP="00861753">
      <w:pPr>
        <w:pStyle w:val="SingleTxtG"/>
        <w:rPr>
          <w:lang w:bidi="th-TH"/>
        </w:rPr>
      </w:pPr>
      <w:r>
        <w:rPr>
          <w:lang w:bidi="th-TH"/>
        </w:rPr>
        <w:t>13.</w:t>
      </w:r>
      <w:r>
        <w:rPr>
          <w:lang w:bidi="th-TH"/>
        </w:rPr>
        <w:tab/>
        <w:t>By improving vehicles, infrastructure and operations, including border crossing operations, inland transport sector will become more efficient. Targeting improve measures is expected to spur innovation to decouple transport use from GHG emissions.</w:t>
      </w:r>
    </w:p>
    <w:p w14:paraId="1B476628" w14:textId="77777777" w:rsidR="00861753" w:rsidRDefault="00861753" w:rsidP="00861753">
      <w:pPr>
        <w:pStyle w:val="SingleTxtG"/>
        <w:rPr>
          <w:lang w:bidi="th-TH"/>
        </w:rPr>
      </w:pPr>
      <w:r>
        <w:rPr>
          <w:lang w:bidi="th-TH"/>
        </w:rPr>
        <w:t>14.</w:t>
      </w:r>
      <w:r>
        <w:rPr>
          <w:lang w:bidi="th-TH"/>
        </w:rPr>
        <w:tab/>
        <w:t xml:space="preserve">The inland </w:t>
      </w:r>
      <w:r w:rsidRPr="005C08D1">
        <w:rPr>
          <w:lang w:bidi="th-TH"/>
        </w:rPr>
        <w:t xml:space="preserve">transport sector </w:t>
      </w:r>
      <w:r w:rsidRPr="0015734D">
        <w:rPr>
          <w:lang w:bidi="th-TH"/>
        </w:rPr>
        <w:t>may</w:t>
      </w:r>
      <w:r w:rsidRPr="002B1089">
        <w:rPr>
          <w:color w:val="FF0000"/>
          <w:lang w:bidi="th-TH"/>
        </w:rPr>
        <w:t xml:space="preserve"> </w:t>
      </w:r>
      <w:r>
        <w:rPr>
          <w:lang w:bidi="th-TH"/>
        </w:rPr>
        <w:t>also</w:t>
      </w:r>
      <w:r w:rsidRPr="005C08D1">
        <w:rPr>
          <w:lang w:bidi="th-TH"/>
        </w:rPr>
        <w:t xml:space="preserve"> ensure that </w:t>
      </w:r>
      <w:r>
        <w:rPr>
          <w:lang w:bidi="th-TH"/>
        </w:rPr>
        <w:t xml:space="preserve">the </w:t>
      </w:r>
      <w:r w:rsidRPr="005C08D1">
        <w:rPr>
          <w:lang w:bidi="th-TH"/>
        </w:rPr>
        <w:t xml:space="preserve">work </w:t>
      </w:r>
      <w:r>
        <w:rPr>
          <w:lang w:bidi="th-TH"/>
        </w:rPr>
        <w:t>within</w:t>
      </w:r>
      <w:r w:rsidRPr="005C08D1">
        <w:rPr>
          <w:lang w:bidi="th-TH"/>
        </w:rPr>
        <w:t xml:space="preserve"> </w:t>
      </w:r>
      <w:r>
        <w:rPr>
          <w:lang w:bidi="th-TH"/>
        </w:rPr>
        <w:t xml:space="preserve">the </w:t>
      </w:r>
      <w:r w:rsidRPr="00AC7439">
        <w:t>decarbonization</w:t>
      </w:r>
      <w:r>
        <w:rPr>
          <w:lang w:bidi="th-TH"/>
        </w:rPr>
        <w:t xml:space="preserve"> </w:t>
      </w:r>
      <w:r w:rsidRPr="005C08D1">
        <w:rPr>
          <w:lang w:bidi="th-TH"/>
        </w:rPr>
        <w:t>framework is intrinsically linked with making transport system</w:t>
      </w:r>
      <w:r>
        <w:rPr>
          <w:lang w:bidi="th-TH"/>
        </w:rPr>
        <w:t>s</w:t>
      </w:r>
      <w:r w:rsidRPr="005C08D1">
        <w:rPr>
          <w:lang w:bidi="th-TH"/>
        </w:rPr>
        <w:t xml:space="preserve"> resilient (</w:t>
      </w:r>
      <w:r>
        <w:rPr>
          <w:lang w:bidi="th-TH"/>
        </w:rPr>
        <w:t>‘</w:t>
      </w:r>
      <w:r w:rsidRPr="005C08D1">
        <w:rPr>
          <w:lang w:bidi="th-TH"/>
        </w:rPr>
        <w:t>adapted</w:t>
      </w:r>
      <w:r>
        <w:rPr>
          <w:lang w:bidi="th-TH"/>
        </w:rPr>
        <w:t>’</w:t>
      </w:r>
      <w:r w:rsidRPr="005C08D1">
        <w:rPr>
          <w:lang w:bidi="th-TH"/>
        </w:rPr>
        <w:t xml:space="preserve">) to </w:t>
      </w:r>
      <w:r>
        <w:rPr>
          <w:lang w:bidi="th-TH"/>
        </w:rPr>
        <w:t xml:space="preserve">the </w:t>
      </w:r>
      <w:r w:rsidRPr="005C08D1">
        <w:rPr>
          <w:lang w:bidi="th-TH"/>
        </w:rPr>
        <w:t xml:space="preserve">risks of climate change. This </w:t>
      </w:r>
      <w:r>
        <w:rPr>
          <w:lang w:bidi="th-TH"/>
        </w:rPr>
        <w:t>will</w:t>
      </w:r>
      <w:r w:rsidRPr="005C08D1">
        <w:rPr>
          <w:lang w:bidi="th-TH"/>
        </w:rPr>
        <w:t xml:space="preserve"> </w:t>
      </w:r>
      <w:r>
        <w:rPr>
          <w:lang w:bidi="th-TH"/>
        </w:rPr>
        <w:t xml:space="preserve">prevent </w:t>
      </w:r>
      <w:r w:rsidRPr="005C08D1">
        <w:rPr>
          <w:lang w:bidi="th-TH"/>
        </w:rPr>
        <w:t xml:space="preserve">situations </w:t>
      </w:r>
      <w:r>
        <w:rPr>
          <w:lang w:bidi="th-TH"/>
        </w:rPr>
        <w:t>where</w:t>
      </w:r>
      <w:r w:rsidRPr="005C08D1">
        <w:rPr>
          <w:lang w:bidi="th-TH"/>
        </w:rPr>
        <w:t xml:space="preserve"> transport adaptation investment</w:t>
      </w:r>
      <w:r>
        <w:rPr>
          <w:lang w:bidi="th-TH"/>
        </w:rPr>
        <w:t>s</w:t>
      </w:r>
      <w:r w:rsidRPr="005C08D1">
        <w:rPr>
          <w:lang w:bidi="th-TH"/>
        </w:rPr>
        <w:t xml:space="preserve"> </w:t>
      </w:r>
      <w:r>
        <w:rPr>
          <w:lang w:bidi="th-TH"/>
        </w:rPr>
        <w:t>are made in support of operations or modes whose use may be targeted for reduction under the climate change mitigation effort</w:t>
      </w:r>
      <w:r w:rsidRPr="009E7ADB">
        <w:rPr>
          <w:lang w:bidi="th-TH"/>
        </w:rPr>
        <w:t>, where such a reduction is relevant/appropriate for Member States</w:t>
      </w:r>
      <w:r>
        <w:rPr>
          <w:lang w:bidi="th-TH"/>
        </w:rPr>
        <w:t>.</w:t>
      </w:r>
    </w:p>
    <w:p w14:paraId="1D26BDE9" w14:textId="77777777" w:rsidR="00861753" w:rsidRDefault="00861753" w:rsidP="00861753">
      <w:pPr>
        <w:pStyle w:val="SingleTxtG"/>
        <w:rPr>
          <w:color w:val="000000"/>
          <w:lang w:bidi="th-TH"/>
        </w:rPr>
      </w:pPr>
      <w:r>
        <w:rPr>
          <w:lang w:bidi="th-TH"/>
        </w:rPr>
        <w:t>15.</w:t>
      </w:r>
      <w:r>
        <w:rPr>
          <w:lang w:bidi="th-TH"/>
        </w:rPr>
        <w:tab/>
        <w:t xml:space="preserve">Against the above background, </w:t>
      </w:r>
      <w:r w:rsidRPr="1F6C96FD">
        <w:rPr>
          <w:lang w:bidi="th-TH"/>
        </w:rPr>
        <w:t xml:space="preserve">ITC will </w:t>
      </w:r>
      <w:r>
        <w:rPr>
          <w:lang w:bidi="th-TH"/>
        </w:rPr>
        <w:t>drive</w:t>
      </w:r>
      <w:r w:rsidRPr="1F6C96FD">
        <w:rPr>
          <w:lang w:bidi="th-TH"/>
        </w:rPr>
        <w:t xml:space="preserve"> change</w:t>
      </w:r>
      <w:r>
        <w:rPr>
          <w:lang w:bidi="th-TH"/>
        </w:rPr>
        <w:t xml:space="preserve"> in the transport</w:t>
      </w:r>
      <w:r w:rsidRPr="1F6C96FD">
        <w:rPr>
          <w:lang w:bidi="th-TH"/>
        </w:rPr>
        <w:t xml:space="preserve"> </w:t>
      </w:r>
      <w:r>
        <w:rPr>
          <w:lang w:bidi="th-TH"/>
        </w:rPr>
        <w:t xml:space="preserve">sector </w:t>
      </w:r>
      <w:r w:rsidRPr="1F6C96FD">
        <w:rPr>
          <w:lang w:bidi="th-TH"/>
        </w:rPr>
        <w:t xml:space="preserve">and put </w:t>
      </w:r>
      <w:r>
        <w:rPr>
          <w:lang w:bidi="th-TH"/>
        </w:rPr>
        <w:t>it</w:t>
      </w:r>
      <w:r w:rsidRPr="1F6C96FD">
        <w:rPr>
          <w:lang w:bidi="th-TH"/>
        </w:rPr>
        <w:t xml:space="preserve"> on the trajectory towards net zero.</w:t>
      </w:r>
    </w:p>
    <w:p w14:paraId="72506204" w14:textId="77777777" w:rsidR="00861753" w:rsidRPr="002520ED" w:rsidRDefault="00861753" w:rsidP="00861753">
      <w:pPr>
        <w:pStyle w:val="SingleTxtG"/>
        <w:rPr>
          <w:color w:val="000000"/>
          <w:lang w:bidi="th-TH"/>
        </w:rPr>
      </w:pPr>
      <w:r>
        <w:rPr>
          <w:lang w:bidi="th-TH"/>
        </w:rPr>
        <w:t>16.</w:t>
      </w:r>
      <w:r>
        <w:rPr>
          <w:lang w:bidi="th-TH"/>
        </w:rPr>
        <w:tab/>
      </w:r>
      <w:r w:rsidRPr="2DAED039">
        <w:rPr>
          <w:lang w:bidi="th-TH"/>
        </w:rPr>
        <w:t xml:space="preserve">In doing so, ITC will </w:t>
      </w:r>
      <w:r>
        <w:rPr>
          <w:lang w:bidi="th-TH"/>
        </w:rPr>
        <w:t xml:space="preserve">engage in </w:t>
      </w:r>
      <w:r w:rsidRPr="2DAED039">
        <w:rPr>
          <w:lang w:bidi="th-TH"/>
        </w:rPr>
        <w:t>improv</w:t>
      </w:r>
      <w:r>
        <w:rPr>
          <w:lang w:bidi="th-TH"/>
        </w:rPr>
        <w:t>ing</w:t>
      </w:r>
      <w:r w:rsidRPr="2DAED039">
        <w:rPr>
          <w:lang w:bidi="th-TH"/>
        </w:rPr>
        <w:t xml:space="preserve"> the inland transport regulatory framework, promot</w:t>
      </w:r>
      <w:r>
        <w:rPr>
          <w:lang w:bidi="th-TH"/>
        </w:rPr>
        <w:t>ing</w:t>
      </w:r>
      <w:r w:rsidRPr="2DAED039">
        <w:rPr>
          <w:lang w:bidi="th-TH"/>
        </w:rPr>
        <w:t xml:space="preserve"> innovative policy instruments </w:t>
      </w:r>
      <w:r w:rsidRPr="269AA875">
        <w:rPr>
          <w:lang w:bidi="th-TH"/>
        </w:rPr>
        <w:t>and</w:t>
      </w:r>
      <w:r w:rsidRPr="2DAED039">
        <w:rPr>
          <w:lang w:bidi="th-TH"/>
        </w:rPr>
        <w:t xml:space="preserve"> provid</w:t>
      </w:r>
      <w:r>
        <w:rPr>
          <w:lang w:bidi="th-TH"/>
        </w:rPr>
        <w:t>ing</w:t>
      </w:r>
      <w:r w:rsidRPr="2DAED039">
        <w:rPr>
          <w:lang w:bidi="th-TH"/>
        </w:rPr>
        <w:t xml:space="preserve"> and develop</w:t>
      </w:r>
      <w:r>
        <w:rPr>
          <w:lang w:bidi="th-TH"/>
        </w:rPr>
        <w:t>ing</w:t>
      </w:r>
      <w:r w:rsidRPr="2DAED039">
        <w:rPr>
          <w:lang w:bidi="th-TH"/>
        </w:rPr>
        <w:t xml:space="preserve"> necessary guiding material and handbooks as well as </w:t>
      </w:r>
      <w:r w:rsidRPr="269AA875">
        <w:rPr>
          <w:lang w:bidi="th-TH"/>
        </w:rPr>
        <w:t>provid</w:t>
      </w:r>
      <w:r>
        <w:rPr>
          <w:lang w:bidi="th-TH"/>
        </w:rPr>
        <w:t>ing</w:t>
      </w:r>
      <w:r w:rsidRPr="2DAED039">
        <w:rPr>
          <w:lang w:bidi="th-TH"/>
        </w:rPr>
        <w:t xml:space="preserve"> targeted, demand driven, technical assistance to </w:t>
      </w:r>
      <w:r w:rsidRPr="269AA875">
        <w:rPr>
          <w:lang w:bidi="th-TH"/>
        </w:rPr>
        <w:t>enable</w:t>
      </w:r>
      <w:r w:rsidRPr="2DAED039">
        <w:rPr>
          <w:lang w:bidi="th-TH"/>
        </w:rPr>
        <w:t xml:space="preserve"> behavioural </w:t>
      </w:r>
      <w:r w:rsidRPr="269AA875">
        <w:rPr>
          <w:lang w:bidi="th-TH"/>
        </w:rPr>
        <w:t>change</w:t>
      </w:r>
      <w:r w:rsidRPr="2DAED039">
        <w:rPr>
          <w:lang w:bidi="th-TH"/>
        </w:rPr>
        <w:t xml:space="preserve"> towards low-</w:t>
      </w:r>
      <w:r>
        <w:rPr>
          <w:lang w:bidi="th-TH"/>
        </w:rPr>
        <w:t xml:space="preserve"> and zero-</w:t>
      </w:r>
      <w:r w:rsidRPr="2DAED039">
        <w:rPr>
          <w:lang w:bidi="th-TH"/>
        </w:rPr>
        <w:t>carbon, sustainable mobility. ITC will support the adoption of new technologies and innovations, including Intelligent Transport Systems (ITS</w:t>
      </w:r>
      <w:r w:rsidRPr="269AA875">
        <w:rPr>
          <w:lang w:bidi="th-TH"/>
        </w:rPr>
        <w:t>)</w:t>
      </w:r>
      <w:r w:rsidRPr="2DAED039">
        <w:rPr>
          <w:lang w:bidi="th-TH"/>
        </w:rPr>
        <w:t xml:space="preserve"> and digital solutions. </w:t>
      </w:r>
    </w:p>
    <w:p w14:paraId="10CD3382" w14:textId="77777777" w:rsidR="00861753" w:rsidRDefault="00861753" w:rsidP="00861753">
      <w:pPr>
        <w:pStyle w:val="HChG"/>
      </w:pPr>
      <w:r>
        <w:tab/>
        <w:t>III.</w:t>
      </w:r>
      <w:r>
        <w:tab/>
      </w:r>
      <w:r>
        <w:tab/>
        <w:t>Strategic objectives</w:t>
      </w:r>
    </w:p>
    <w:p w14:paraId="2B3DC60A" w14:textId="77777777" w:rsidR="00861753" w:rsidRDefault="00861753" w:rsidP="00861753">
      <w:pPr>
        <w:pStyle w:val="H1G"/>
      </w:pPr>
      <w:r>
        <w:tab/>
        <w:t xml:space="preserve">A. </w:t>
      </w:r>
      <w:r>
        <w:tab/>
      </w:r>
      <w:r>
        <w:tab/>
        <w:t>Strategic objectives for the ITC and its subsidiary bodies</w:t>
      </w:r>
    </w:p>
    <w:p w14:paraId="7BE32FDE" w14:textId="77777777" w:rsidR="00861753" w:rsidRPr="00DC1189" w:rsidRDefault="00861753" w:rsidP="00861753">
      <w:pPr>
        <w:pStyle w:val="SingleTxtG"/>
        <w:rPr>
          <w:lang w:bidi="th-TH"/>
        </w:rPr>
      </w:pPr>
      <w:r>
        <w:rPr>
          <w:lang w:bidi="th-TH"/>
        </w:rPr>
        <w:t>17</w:t>
      </w:r>
      <w:r w:rsidRPr="00DC1189">
        <w:rPr>
          <w:lang w:bidi="th-TH"/>
        </w:rPr>
        <w:t>.</w:t>
      </w:r>
      <w:r w:rsidRPr="00DC1189">
        <w:rPr>
          <w:lang w:bidi="th-TH"/>
        </w:rPr>
        <w:tab/>
        <w:t xml:space="preserve">ITC, through its unique intergovernmental framework, provides comprehensive support to its members and </w:t>
      </w:r>
      <w:r>
        <w:rPr>
          <w:lang w:bidi="th-TH"/>
        </w:rPr>
        <w:t>C</w:t>
      </w:r>
      <w:r w:rsidRPr="00DC1189">
        <w:rPr>
          <w:lang w:bidi="th-TH"/>
        </w:rPr>
        <w:t xml:space="preserve">ontracting </w:t>
      </w:r>
      <w:r>
        <w:rPr>
          <w:lang w:bidi="th-TH"/>
        </w:rPr>
        <w:t>P</w:t>
      </w:r>
      <w:r w:rsidRPr="00DC1189">
        <w:rPr>
          <w:lang w:bidi="th-TH"/>
        </w:rPr>
        <w:t>arties to United Nations inland transport legal instruments for amplified action to reduce GHG emissions from inland transport, making use, as necessary</w:t>
      </w:r>
      <w:r>
        <w:rPr>
          <w:lang w:bidi="th-TH"/>
        </w:rPr>
        <w:t xml:space="preserve"> and where possible</w:t>
      </w:r>
      <w:r w:rsidRPr="00DC1189">
        <w:rPr>
          <w:lang w:bidi="th-TH"/>
        </w:rPr>
        <w:t xml:space="preserve">, of the full range of available </w:t>
      </w:r>
      <w:r w:rsidRPr="00AC7439">
        <w:rPr>
          <w:lang w:bidi="th-TH"/>
        </w:rPr>
        <w:t>decarbonization</w:t>
      </w:r>
      <w:r w:rsidRPr="00DC1189">
        <w:rPr>
          <w:color w:val="000000" w:themeColor="text1"/>
          <w:lang w:bidi="th-TH"/>
        </w:rPr>
        <w:t xml:space="preserve"> options</w:t>
      </w:r>
      <w:r w:rsidRPr="00DC1189">
        <w:rPr>
          <w:lang w:bidi="th-TH"/>
        </w:rPr>
        <w:t xml:space="preserve">, resulting in: </w:t>
      </w:r>
    </w:p>
    <w:p w14:paraId="66AEB464" w14:textId="4334E7FD" w:rsidR="00861753" w:rsidRPr="00E6185D" w:rsidRDefault="005D3325" w:rsidP="005D3325">
      <w:pPr>
        <w:pStyle w:val="SingleTxtG"/>
        <w:rPr>
          <w:color w:val="000000"/>
          <w:lang w:bidi="th-TH"/>
        </w:rPr>
      </w:pPr>
      <w:r>
        <w:rPr>
          <w:lang w:bidi="th-TH"/>
        </w:rPr>
        <w:lastRenderedPageBreak/>
        <w:tab/>
      </w:r>
      <w:r w:rsidR="00861753">
        <w:rPr>
          <w:lang w:bidi="th-TH"/>
        </w:rPr>
        <w:t>(a)</w:t>
      </w:r>
      <w:r w:rsidR="00861753">
        <w:rPr>
          <w:lang w:bidi="th-TH"/>
        </w:rPr>
        <w:tab/>
      </w:r>
      <w:r w:rsidR="00861753" w:rsidRPr="1F86D38D">
        <w:rPr>
          <w:lang w:bidi="th-TH"/>
        </w:rPr>
        <w:t xml:space="preserve">Increased inter- and intra-regional governance </w:t>
      </w:r>
    </w:p>
    <w:p w14:paraId="574B58F6" w14:textId="06A9595D" w:rsidR="00861753" w:rsidRPr="004C03A4" w:rsidRDefault="005D3325" w:rsidP="005D3325">
      <w:pPr>
        <w:pStyle w:val="SingleTxtG"/>
        <w:rPr>
          <w:color w:val="000000"/>
          <w:lang w:bidi="th-TH"/>
        </w:rPr>
      </w:pPr>
      <w:r>
        <w:rPr>
          <w:lang w:bidi="th-TH"/>
        </w:rPr>
        <w:tab/>
      </w:r>
      <w:r w:rsidR="00861753">
        <w:rPr>
          <w:lang w:bidi="th-TH"/>
        </w:rPr>
        <w:t>S</w:t>
      </w:r>
      <w:r w:rsidR="00861753" w:rsidRPr="000D71CE">
        <w:rPr>
          <w:lang w:bidi="th-TH"/>
        </w:rPr>
        <w:t>trengthening and, where relevant, further elaborating the inland transport regulatory framework.</w:t>
      </w:r>
      <w:r w:rsidR="00861753" w:rsidRPr="1F86D38D">
        <w:rPr>
          <w:lang w:bidi="th-TH"/>
        </w:rPr>
        <w:t xml:space="preserve"> This may include </w:t>
      </w:r>
      <w:r w:rsidR="00861753">
        <w:rPr>
          <w:lang w:bidi="th-TH"/>
        </w:rPr>
        <w:t xml:space="preserve">updating </w:t>
      </w:r>
      <w:r w:rsidR="00861753" w:rsidRPr="1F86D38D">
        <w:rPr>
          <w:lang w:bidi="th-TH"/>
        </w:rPr>
        <w:t xml:space="preserve">the international legal instruments under ITC’s purview and </w:t>
      </w:r>
      <w:r w:rsidR="00861753">
        <w:rPr>
          <w:lang w:bidi="th-TH"/>
        </w:rPr>
        <w:t xml:space="preserve">developing </w:t>
      </w:r>
      <w:r w:rsidR="00861753" w:rsidRPr="1F86D38D">
        <w:rPr>
          <w:lang w:bidi="th-TH"/>
        </w:rPr>
        <w:t xml:space="preserve">additional legal instruments </w:t>
      </w:r>
      <w:r w:rsidR="00861753">
        <w:rPr>
          <w:lang w:bidi="th-TH"/>
        </w:rPr>
        <w:t>to</w:t>
      </w:r>
      <w:r w:rsidR="00861753" w:rsidRPr="1F86D38D">
        <w:rPr>
          <w:lang w:bidi="th-TH"/>
        </w:rPr>
        <w:t xml:space="preserve"> </w:t>
      </w:r>
      <w:r w:rsidR="00861753">
        <w:rPr>
          <w:lang w:bidi="th-TH"/>
        </w:rPr>
        <w:t>incorporate</w:t>
      </w:r>
      <w:r w:rsidR="00861753" w:rsidRPr="1F86D38D">
        <w:rPr>
          <w:lang w:bidi="th-TH"/>
        </w:rPr>
        <w:t xml:space="preserve"> the decarbonization of the inland transport sector</w:t>
      </w:r>
      <w:r w:rsidR="00861753">
        <w:rPr>
          <w:lang w:bidi="th-TH"/>
        </w:rPr>
        <w:t xml:space="preserve"> already at design and planning of inland transport systems at any level</w:t>
      </w:r>
      <w:r w:rsidR="00861753" w:rsidRPr="1F86D38D">
        <w:rPr>
          <w:lang w:bidi="th-TH"/>
        </w:rPr>
        <w:t>.</w:t>
      </w:r>
    </w:p>
    <w:p w14:paraId="00A0C025" w14:textId="5FB4AE26" w:rsidR="00861753" w:rsidRDefault="005D3325" w:rsidP="005D3325">
      <w:pPr>
        <w:pStyle w:val="SingleTxtG"/>
        <w:rPr>
          <w:lang w:bidi="th-TH"/>
        </w:rPr>
      </w:pPr>
      <w:r>
        <w:rPr>
          <w:lang w:bidi="th-TH"/>
        </w:rPr>
        <w:tab/>
      </w:r>
      <w:r w:rsidR="00861753">
        <w:rPr>
          <w:lang w:bidi="th-TH"/>
        </w:rPr>
        <w:t>(b)</w:t>
      </w:r>
      <w:r w:rsidR="00861753">
        <w:rPr>
          <w:lang w:bidi="th-TH"/>
        </w:rPr>
        <w:tab/>
      </w:r>
      <w:r w:rsidR="00861753" w:rsidRPr="004C03A4">
        <w:rPr>
          <w:lang w:bidi="th-TH"/>
        </w:rPr>
        <w:t>Enhanced and more coordinated climate actions by and among ITC subsidiary bodies</w:t>
      </w:r>
    </w:p>
    <w:p w14:paraId="31F7F8B3" w14:textId="29D5F69D" w:rsidR="00861753" w:rsidRPr="006309A6" w:rsidRDefault="005D3325" w:rsidP="005D3325">
      <w:pPr>
        <w:pStyle w:val="SingleTxtG"/>
        <w:rPr>
          <w:lang w:bidi="th-TH"/>
        </w:rPr>
      </w:pPr>
      <w:r>
        <w:rPr>
          <w:lang w:bidi="th-TH"/>
        </w:rPr>
        <w:tab/>
      </w:r>
      <w:r w:rsidR="00861753">
        <w:rPr>
          <w:lang w:bidi="th-TH"/>
        </w:rPr>
        <w:t>P</w:t>
      </w:r>
      <w:r w:rsidR="00861753" w:rsidRPr="004C03A4">
        <w:rPr>
          <w:lang w:bidi="th-TH"/>
        </w:rPr>
        <w:t>roviding enhanced support to their membership in climate change abatement, based on a regular assessment and reporting of their contribution to implementing this Strategy</w:t>
      </w:r>
      <w:r w:rsidR="00861753">
        <w:rPr>
          <w:lang w:bidi="th-TH"/>
        </w:rPr>
        <w:t>, by informing ITC on the progress to deliver on the actions set by this strategy (on a biennial basis)</w:t>
      </w:r>
      <w:r w:rsidR="00861753" w:rsidRPr="004C03A4">
        <w:rPr>
          <w:lang w:bidi="th-TH"/>
        </w:rPr>
        <w:t xml:space="preserve">. ITC provides guidance and direction on areas </w:t>
      </w:r>
      <w:r w:rsidR="00861753">
        <w:rPr>
          <w:lang w:bidi="th-TH"/>
        </w:rPr>
        <w:t>that benefit</w:t>
      </w:r>
      <w:r w:rsidR="00861753" w:rsidRPr="004C03A4">
        <w:rPr>
          <w:lang w:bidi="th-TH"/>
        </w:rPr>
        <w:t xml:space="preserve"> from enhanced cooperation, and by developing partnerships with other international, inter- and non-governmental organizations, academic institutions and the private sector to join forces, reap synergies and support multiplied climate action.</w:t>
      </w:r>
    </w:p>
    <w:p w14:paraId="110CB9C8" w14:textId="3189CE75" w:rsidR="00861753" w:rsidRPr="00E6185D" w:rsidRDefault="005D3325" w:rsidP="005D3325">
      <w:pPr>
        <w:pStyle w:val="SingleTxtG"/>
        <w:rPr>
          <w:color w:val="000000"/>
          <w:lang w:bidi="th-TH"/>
        </w:rPr>
      </w:pPr>
      <w:r>
        <w:rPr>
          <w:lang w:bidi="th-TH"/>
        </w:rPr>
        <w:tab/>
      </w:r>
      <w:r w:rsidR="00861753">
        <w:rPr>
          <w:lang w:bidi="th-TH"/>
        </w:rPr>
        <w:t>(c)</w:t>
      </w:r>
      <w:r w:rsidR="00861753">
        <w:rPr>
          <w:lang w:bidi="th-TH"/>
        </w:rPr>
        <w:tab/>
      </w:r>
      <w:r w:rsidR="00861753" w:rsidRPr="68DD9299">
        <w:rPr>
          <w:lang w:bidi="th-TH"/>
        </w:rPr>
        <w:t>Increased intergovernmental support</w:t>
      </w:r>
      <w:r w:rsidR="00861753">
        <w:rPr>
          <w:lang w:bidi="th-TH"/>
        </w:rPr>
        <w:t xml:space="preserve"> for climate change mitigation and adaptation</w:t>
      </w:r>
    </w:p>
    <w:p w14:paraId="303FE8F7" w14:textId="7A49E1FE" w:rsidR="00861753" w:rsidRPr="005D3325" w:rsidRDefault="00861753" w:rsidP="005D3325">
      <w:pPr>
        <w:pStyle w:val="Bullet1G"/>
      </w:pPr>
      <w:r w:rsidRPr="005D3325">
        <w:t>Fostering regular policy dialogue to promote cooperation among member States and Contracting Parties to the United Nations inland transport legal instruments;</w:t>
      </w:r>
    </w:p>
    <w:p w14:paraId="1ED90983" w14:textId="7EB1D87F" w:rsidR="00861753" w:rsidRPr="005D3325" w:rsidRDefault="00861753" w:rsidP="005D3325">
      <w:pPr>
        <w:pStyle w:val="Bullet1G"/>
      </w:pPr>
      <w:r w:rsidRPr="005D3325">
        <w:t>monitoring progress on the decarbonization of inland transport globally;</w:t>
      </w:r>
    </w:p>
    <w:p w14:paraId="074EA426" w14:textId="2335B04E" w:rsidR="00861753" w:rsidRPr="005D3325" w:rsidRDefault="00861753" w:rsidP="005D3325">
      <w:pPr>
        <w:pStyle w:val="Bullet1G"/>
      </w:pPr>
      <w:r w:rsidRPr="005D3325">
        <w:t>providing technical assistance and advisory services, including awareness-raising, technical support, workshops, training and projects in support of climate change abatement including at transport system design and planning phase; and</w:t>
      </w:r>
    </w:p>
    <w:p w14:paraId="6EFBEE73" w14:textId="2D1B5E58" w:rsidR="00861753" w:rsidRPr="005D3325" w:rsidRDefault="00861753" w:rsidP="005D3325">
      <w:pPr>
        <w:pStyle w:val="Bullet1G"/>
      </w:pPr>
      <w:r w:rsidRPr="005D3325">
        <w:t>providing analytical support.</w:t>
      </w:r>
    </w:p>
    <w:p w14:paraId="51F7B384" w14:textId="4E131603" w:rsidR="00861753" w:rsidRDefault="00861753" w:rsidP="00861753">
      <w:pPr>
        <w:pStyle w:val="H1G"/>
        <w:jc w:val="both"/>
      </w:pPr>
      <w:r>
        <w:tab/>
        <w:t>B.</w:t>
      </w:r>
      <w:r>
        <w:tab/>
        <w:t>Strategic objectives for the implementation of the strategy by inland transport sector</w:t>
      </w:r>
    </w:p>
    <w:p w14:paraId="26AEA93E" w14:textId="77777777" w:rsidR="00861753" w:rsidRPr="001D4975" w:rsidRDefault="00861753" w:rsidP="00861753">
      <w:pPr>
        <w:pStyle w:val="SingleTxtG"/>
        <w:rPr>
          <w:lang w:bidi="th-TH"/>
        </w:rPr>
      </w:pPr>
      <w:r>
        <w:rPr>
          <w:lang w:bidi="th-TH"/>
        </w:rPr>
        <w:t>18.</w:t>
      </w:r>
      <w:r>
        <w:rPr>
          <w:lang w:bidi="th-TH"/>
        </w:rPr>
        <w:tab/>
      </w:r>
      <w:r w:rsidRPr="00990DA3">
        <w:rPr>
          <w:lang w:bidi="th-TH"/>
        </w:rPr>
        <w:t>ITC</w:t>
      </w:r>
      <w:r>
        <w:rPr>
          <w:lang w:bidi="th-TH"/>
        </w:rPr>
        <w:t>’s</w:t>
      </w:r>
      <w:r w:rsidRPr="00990DA3">
        <w:rPr>
          <w:lang w:bidi="th-TH"/>
        </w:rPr>
        <w:t xml:space="preserve"> work will support achieving the strategic objectives of the inland transport sector which encompass:</w:t>
      </w:r>
    </w:p>
    <w:p w14:paraId="159F84A5" w14:textId="7FB1CF55" w:rsidR="00861753" w:rsidRPr="004D23D2" w:rsidRDefault="005D3325" w:rsidP="005D3325">
      <w:pPr>
        <w:pStyle w:val="SingleTxtG"/>
        <w:rPr>
          <w:rFonts w:cs="Tms Rmn"/>
          <w:color w:val="000000"/>
          <w:lang w:bidi="th-TH"/>
        </w:rPr>
      </w:pPr>
      <w:r>
        <w:rPr>
          <w:lang w:bidi="th-TH"/>
        </w:rPr>
        <w:tab/>
      </w:r>
      <w:r w:rsidR="00861753">
        <w:rPr>
          <w:lang w:bidi="th-TH"/>
        </w:rPr>
        <w:t>(a)</w:t>
      </w:r>
      <w:r w:rsidR="00861753">
        <w:rPr>
          <w:lang w:bidi="th-TH"/>
        </w:rPr>
        <w:tab/>
      </w:r>
      <w:r w:rsidR="00861753" w:rsidRPr="005E69A1">
        <w:rPr>
          <w:lang w:bidi="th-TH"/>
        </w:rPr>
        <w:t xml:space="preserve">Develop and enhance </w:t>
      </w:r>
      <w:r w:rsidR="00861753" w:rsidRPr="004D23D2">
        <w:rPr>
          <w:lang w:bidi="th-TH"/>
        </w:rPr>
        <w:t>policies, legislation and measures</w:t>
      </w:r>
      <w:r w:rsidR="00861753" w:rsidRPr="000F4F09">
        <w:rPr>
          <w:lang w:bidi="th-TH"/>
        </w:rPr>
        <w:t xml:space="preserve"> </w:t>
      </w:r>
      <w:r w:rsidR="00861753">
        <w:rPr>
          <w:lang w:bidi="th-TH"/>
        </w:rPr>
        <w:t xml:space="preserve">and their monitoring, </w:t>
      </w:r>
      <w:r w:rsidR="00861753" w:rsidRPr="000F4F09">
        <w:rPr>
          <w:lang w:bidi="th-TH"/>
        </w:rPr>
        <w:t xml:space="preserve">covering </w:t>
      </w:r>
      <w:r w:rsidR="00861753">
        <w:rPr>
          <w:lang w:bidi="th-TH"/>
        </w:rPr>
        <w:t>any combination (depending on national/regional circumstances)</w:t>
      </w:r>
      <w:r w:rsidR="00861753" w:rsidRPr="004D23D2">
        <w:rPr>
          <w:lang w:bidi="th-TH"/>
        </w:rPr>
        <w:t xml:space="preserve"> of </w:t>
      </w:r>
      <w:r w:rsidR="00861753" w:rsidRPr="2DAED039">
        <w:rPr>
          <w:lang w:bidi="th-TH"/>
        </w:rPr>
        <w:t xml:space="preserve">the </w:t>
      </w:r>
      <w:r w:rsidR="00861753" w:rsidRPr="00AC7439">
        <w:rPr>
          <w:lang w:bidi="th-TH"/>
        </w:rPr>
        <w:t>decarbonization</w:t>
      </w:r>
      <w:r w:rsidR="00861753" w:rsidRPr="001D4975">
        <w:rPr>
          <w:color w:val="FF0000"/>
          <w:lang w:bidi="th-TH"/>
        </w:rPr>
        <w:t xml:space="preserve"> </w:t>
      </w:r>
      <w:r w:rsidR="00861753">
        <w:rPr>
          <w:lang w:bidi="th-TH"/>
        </w:rPr>
        <w:t xml:space="preserve">measures. Countries and inland transport sector practitioners could support </w:t>
      </w:r>
      <w:r w:rsidR="00861753" w:rsidRPr="00AC7439">
        <w:rPr>
          <w:lang w:bidi="th-TH"/>
        </w:rPr>
        <w:t>on a voluntary basis</w:t>
      </w:r>
      <w:r w:rsidR="00861753" w:rsidRPr="001D4975">
        <w:rPr>
          <w:color w:val="FF0000"/>
          <w:lang w:bidi="th-TH"/>
        </w:rPr>
        <w:t xml:space="preserve"> </w:t>
      </w:r>
      <w:r w:rsidR="00861753">
        <w:rPr>
          <w:lang w:bidi="th-TH"/>
        </w:rPr>
        <w:t>the deployment, where appropriate, of a range of measures that cover</w:t>
      </w:r>
      <w:r w:rsidR="00861753" w:rsidRPr="000F4F09">
        <w:rPr>
          <w:lang w:bidi="th-TH"/>
        </w:rPr>
        <w:t xml:space="preserve"> passenger and freight, </w:t>
      </w:r>
      <w:r w:rsidR="00861753">
        <w:rPr>
          <w:lang w:bidi="th-TH"/>
        </w:rPr>
        <w:t>strengthening the implementation of</w:t>
      </w:r>
      <w:r w:rsidR="00861753" w:rsidRPr="00503D9B">
        <w:rPr>
          <w:lang w:bidi="th-TH"/>
        </w:rPr>
        <w:t xml:space="preserve"> the </w:t>
      </w:r>
      <w:r w:rsidR="00861753">
        <w:rPr>
          <w:lang w:bidi="th-TH"/>
        </w:rPr>
        <w:t xml:space="preserve">United Nations </w:t>
      </w:r>
      <w:r w:rsidR="00861753" w:rsidRPr="00503D9B">
        <w:rPr>
          <w:lang w:bidi="th-TH"/>
        </w:rPr>
        <w:t>inland transport legal instruments</w:t>
      </w:r>
      <w:r w:rsidR="00861753" w:rsidRPr="2DAED039">
        <w:rPr>
          <w:lang w:bidi="th-TH"/>
        </w:rPr>
        <w:t xml:space="preserve"> by</w:t>
      </w:r>
      <w:r w:rsidR="00861753" w:rsidRPr="00503D9B">
        <w:rPr>
          <w:lang w:bidi="th-TH"/>
        </w:rPr>
        <w:t>:</w:t>
      </w:r>
    </w:p>
    <w:p w14:paraId="23B06E9B" w14:textId="27980513" w:rsidR="00861753" w:rsidRPr="005D3325" w:rsidRDefault="00861753" w:rsidP="005D3325">
      <w:pPr>
        <w:pStyle w:val="Bullet1G"/>
      </w:pPr>
      <w:r w:rsidRPr="005D3325">
        <w:t>Where not yet existing, perform preliminary tasks to assess the feasibility and potential benefits to develop national strategies and setting inland transport GHG emission reduction targets for the short-, medium- and long-terms and communicating these in the format of designated “inland transport decarbonization action plans” to the ITC. Depending on the outcome of these feasibility exercises, and in respect of each participating Party, closely align with the UNFCCC Nationally Determined Contributions (NDCs) processes, if applicable, and its long-term low GHG emission development strategy (LTS), if it has submitted one, to avoid duplication of efforts where not needed;</w:t>
      </w:r>
    </w:p>
    <w:p w14:paraId="429000C8" w14:textId="5141C29A" w:rsidR="00861753" w:rsidRPr="005D3325" w:rsidRDefault="00861753" w:rsidP="005D3325">
      <w:pPr>
        <w:pStyle w:val="Bullet1G"/>
      </w:pPr>
      <w:r w:rsidRPr="005D3325">
        <w:t>Amplifying efforts to fully implement the United Nations inland transport legal instruments and actively engaging with Contracting Parties in improving and amending relevant legal instruments to support timely achievement of the targets, commitments and solutions on climate change;</w:t>
      </w:r>
    </w:p>
    <w:p w14:paraId="297AD5A5" w14:textId="61C30CE4" w:rsidR="00861753" w:rsidRPr="005D3325" w:rsidRDefault="00861753" w:rsidP="005D3325">
      <w:pPr>
        <w:pStyle w:val="Bullet1G"/>
      </w:pPr>
      <w:r w:rsidRPr="005D3325">
        <w:t xml:space="preserve">Continuing efforts to deploy carbon neutral technologies through, inter alia, investing in the expansion of needed infrastructure as a key enabler for decarbonization, ensuring that regulations, standards and protocols are harmonized across borders, for </w:t>
      </w:r>
      <w:r w:rsidRPr="005D3325">
        <w:lastRenderedPageBreak/>
        <w:t>both vehicles and infrastructure, using energy that is clean and renewable, enabling</w:t>
      </w:r>
      <w:r w:rsidRPr="005D3325" w:rsidDel="004C28D9">
        <w:t xml:space="preserve"> </w:t>
      </w:r>
      <w:r w:rsidRPr="005D3325">
        <w:t>balanced energy consumption, considering the capacity of the energy network;</w:t>
      </w:r>
    </w:p>
    <w:p w14:paraId="6862DE60" w14:textId="2D689F8F" w:rsidR="00861753" w:rsidRPr="005D3325" w:rsidRDefault="00861753" w:rsidP="005D3325">
      <w:pPr>
        <w:pStyle w:val="Bullet1G"/>
      </w:pPr>
      <w:r w:rsidRPr="005D3325">
        <w:t>Facilitating modal shift, along with setting targets for countries, as appropriate to them, to shift passengers and freight from road to rail and inland waterways as well as to multimodal mobility, where appropriate, and by supporting corresponding infrastructure development;</w:t>
      </w:r>
    </w:p>
    <w:p w14:paraId="33F9F4FF" w14:textId="11C7E388" w:rsidR="00861753" w:rsidRPr="005D3325" w:rsidRDefault="00861753" w:rsidP="005D3325">
      <w:pPr>
        <w:pStyle w:val="Bullet1G"/>
      </w:pPr>
      <w:r w:rsidRPr="005D3325">
        <w:t>Promoting, in particular in urban and suburban environments, public transport as well as shared or active mobility options including through setting targets for countries, as appropriate for them;</w:t>
      </w:r>
    </w:p>
    <w:p w14:paraId="1738B89A" w14:textId="48A9E11F" w:rsidR="00861753" w:rsidRPr="005D3325" w:rsidRDefault="00861753" w:rsidP="005D3325">
      <w:pPr>
        <w:pStyle w:val="Bullet1G"/>
      </w:pPr>
      <w:r w:rsidRPr="005D3325">
        <w:t>Easing the adoption of zero to low-carbon modes of transport by end-users via policy measures;</w:t>
      </w:r>
    </w:p>
    <w:p w14:paraId="760E96E0" w14:textId="61291E97" w:rsidR="00861753" w:rsidRPr="005D3325" w:rsidRDefault="00861753" w:rsidP="005D3325">
      <w:pPr>
        <w:pStyle w:val="Bullet1G"/>
      </w:pPr>
      <w:r w:rsidRPr="005D3325">
        <w:t>Promoting data collection, for example on active mobility and baseline data on travel patterns to guide policy design and objectives;</w:t>
      </w:r>
    </w:p>
    <w:p w14:paraId="3FA9480A" w14:textId="46A9E021" w:rsidR="00E23734" w:rsidRPr="005D3325" w:rsidRDefault="00861753" w:rsidP="00E23734">
      <w:pPr>
        <w:pStyle w:val="Bullet1G"/>
        <w:numPr>
          <w:ilvl w:val="0"/>
          <w:numId w:val="0"/>
        </w:numPr>
        <w:ind w:left="1701"/>
      </w:pPr>
      <w:r w:rsidRPr="005D3325">
        <w:t>Encouraging the use of globally harmonized indicators to monitor progress of inland transport decarbonization; member States are invited to support the development and use of the following recommended indicators and actions to effectively assess progress and support the implementation of the strategy. Key indicators and actions could include, but are not limited to:</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861753" w:rsidRPr="00697CC6" w14:paraId="344901CE" w14:textId="77777777" w:rsidTr="0047139C">
        <w:trPr>
          <w:tblHeader/>
        </w:trPr>
        <w:tc>
          <w:tcPr>
            <w:tcW w:w="7370" w:type="dxa"/>
            <w:tcBorders>
              <w:top w:val="single" w:sz="4" w:space="0" w:color="auto"/>
              <w:bottom w:val="single" w:sz="12" w:space="0" w:color="auto"/>
            </w:tcBorders>
            <w:shd w:val="clear" w:color="auto" w:fill="auto"/>
            <w:noWrap/>
            <w:vAlign w:val="bottom"/>
          </w:tcPr>
          <w:p w14:paraId="0F0B0199" w14:textId="77777777" w:rsidR="00861753" w:rsidRPr="00575815" w:rsidRDefault="00861753" w:rsidP="0047139C">
            <w:pPr>
              <w:tabs>
                <w:tab w:val="left" w:pos="1871"/>
              </w:tabs>
              <w:spacing w:before="80" w:after="80" w:line="200" w:lineRule="exact"/>
              <w:ind w:right="113"/>
              <w:rPr>
                <w:i/>
                <w:sz w:val="16"/>
              </w:rPr>
            </w:pPr>
            <w:r w:rsidRPr="00575815">
              <w:rPr>
                <w:i/>
                <w:sz w:val="16"/>
              </w:rPr>
              <w:t>Recommended key performance indicators for inland transport sector to monitor GHG emissions and its drivers</w:t>
            </w:r>
          </w:p>
        </w:tc>
      </w:tr>
      <w:tr w:rsidR="00861753" w:rsidRPr="007F31F6" w14:paraId="28A6C830" w14:textId="77777777" w:rsidTr="0047139C">
        <w:trPr>
          <w:trHeight w:hRule="exact" w:val="113"/>
        </w:trPr>
        <w:tc>
          <w:tcPr>
            <w:tcW w:w="7370" w:type="dxa"/>
            <w:tcBorders>
              <w:top w:val="single" w:sz="12" w:space="0" w:color="auto"/>
            </w:tcBorders>
            <w:shd w:val="clear" w:color="auto" w:fill="auto"/>
            <w:noWrap/>
          </w:tcPr>
          <w:p w14:paraId="6FD710A7" w14:textId="77777777" w:rsidR="00861753" w:rsidRPr="007F31F6" w:rsidRDefault="00861753" w:rsidP="0047139C">
            <w:pPr>
              <w:spacing w:before="40" w:after="120"/>
              <w:ind w:right="113"/>
            </w:pPr>
          </w:p>
        </w:tc>
      </w:tr>
      <w:tr w:rsidR="00861753" w:rsidRPr="00594B11" w14:paraId="2AF0B244" w14:textId="77777777" w:rsidTr="0047139C">
        <w:tc>
          <w:tcPr>
            <w:tcW w:w="7370" w:type="dxa"/>
            <w:shd w:val="clear" w:color="auto" w:fill="auto"/>
            <w:noWrap/>
          </w:tcPr>
          <w:p w14:paraId="215A941C" w14:textId="77777777" w:rsidR="00861753" w:rsidRPr="000D71CE" w:rsidRDefault="00861753" w:rsidP="0047139C">
            <w:pPr>
              <w:spacing w:before="40" w:after="120"/>
              <w:ind w:right="113"/>
            </w:pPr>
            <w:r>
              <w:t>GHG emissions from inland transport (tCO2eq by mode)</w:t>
            </w:r>
          </w:p>
        </w:tc>
      </w:tr>
      <w:tr w:rsidR="00861753" w:rsidRPr="00697CC6" w14:paraId="1484DFA4" w14:textId="77777777" w:rsidTr="0047139C">
        <w:tc>
          <w:tcPr>
            <w:tcW w:w="7370" w:type="dxa"/>
            <w:shd w:val="clear" w:color="auto" w:fill="auto"/>
            <w:noWrap/>
          </w:tcPr>
          <w:p w14:paraId="6EF3A81A" w14:textId="77777777" w:rsidR="00861753" w:rsidRPr="00697CC6" w:rsidRDefault="00861753" w:rsidP="0047139C">
            <w:pPr>
              <w:spacing w:before="40" w:after="120"/>
              <w:ind w:right="113"/>
            </w:pPr>
            <w:r>
              <w:t>Traffic activity (</w:t>
            </w:r>
            <w:r w:rsidRPr="00DE7007">
              <w:t>total t, total p,</w:t>
            </w:r>
            <w:r>
              <w:t xml:space="preserve"> v.km, p.km, t.km by mode)</w:t>
            </w:r>
            <w:r>
              <w:rPr>
                <w:color w:val="0070C0"/>
              </w:rPr>
              <w:t xml:space="preserve"> </w:t>
            </w:r>
          </w:p>
        </w:tc>
      </w:tr>
      <w:tr w:rsidR="00861753" w:rsidRPr="00697CC6" w14:paraId="151158A9" w14:textId="77777777" w:rsidTr="0047139C">
        <w:tc>
          <w:tcPr>
            <w:tcW w:w="7370" w:type="dxa"/>
            <w:shd w:val="clear" w:color="auto" w:fill="auto"/>
            <w:noWrap/>
          </w:tcPr>
          <w:p w14:paraId="48844329" w14:textId="77777777" w:rsidR="00861753" w:rsidRPr="00697CC6" w:rsidDel="006A7920" w:rsidRDefault="00861753" w:rsidP="0047139C">
            <w:pPr>
              <w:spacing w:before="40" w:after="120"/>
              <w:ind w:right="113"/>
            </w:pPr>
            <w:r>
              <w:t xml:space="preserve">Carbon intensity </w:t>
            </w:r>
            <w:r w:rsidRPr="009148AE">
              <w:t>(</w:t>
            </w:r>
            <w:r w:rsidRPr="00DE7007">
              <w:t>gCO2/</w:t>
            </w:r>
            <w:proofErr w:type="spellStart"/>
            <w:r w:rsidRPr="00DE7007">
              <w:t>tkm</w:t>
            </w:r>
            <w:proofErr w:type="spellEnd"/>
            <w:r>
              <w:t>,</w:t>
            </w:r>
            <w:r w:rsidRPr="00AC3C2F">
              <w:rPr>
                <w:color w:val="FF0000"/>
              </w:rPr>
              <w:t xml:space="preserve"> </w:t>
            </w:r>
            <w:r w:rsidRPr="00DE7007">
              <w:t>gCO2/</w:t>
            </w:r>
            <w:proofErr w:type="spellStart"/>
            <w:r w:rsidRPr="00DE7007">
              <w:t>pkm</w:t>
            </w:r>
            <w:proofErr w:type="spellEnd"/>
            <w:r>
              <w:t xml:space="preserve"> by mode)</w:t>
            </w:r>
          </w:p>
        </w:tc>
      </w:tr>
      <w:tr w:rsidR="00861753" w:rsidRPr="00697CC6" w14:paraId="1CBACB39" w14:textId="77777777" w:rsidTr="0047139C">
        <w:tc>
          <w:tcPr>
            <w:tcW w:w="7370" w:type="dxa"/>
            <w:shd w:val="clear" w:color="auto" w:fill="auto"/>
            <w:noWrap/>
          </w:tcPr>
          <w:p w14:paraId="5582F9ED" w14:textId="77777777" w:rsidR="00861753" w:rsidRPr="002E7B85" w:rsidRDefault="00861753" w:rsidP="0047139C">
            <w:pPr>
              <w:spacing w:before="40" w:after="120"/>
              <w:ind w:right="113"/>
              <w:rPr>
                <w:color w:val="FF0000"/>
              </w:rPr>
            </w:pPr>
            <w:bookmarkStart w:id="0" w:name="_Hlk152058164"/>
            <w:r>
              <w:t xml:space="preserve">Existing and new transport </w:t>
            </w:r>
            <w:r w:rsidRPr="00B450C8">
              <w:t xml:space="preserve">and </w:t>
            </w:r>
            <w:proofErr w:type="gramStart"/>
            <w:r w:rsidRPr="00B450C8">
              <w:t>digital</w:t>
            </w:r>
            <w:r w:rsidRPr="009148AE">
              <w:rPr>
                <w:color w:val="FF0000"/>
              </w:rPr>
              <w:t xml:space="preserve">  </w:t>
            </w:r>
            <w:r>
              <w:t>infrastructure</w:t>
            </w:r>
            <w:proofErr w:type="gramEnd"/>
            <w:r>
              <w:t xml:space="preserve"> (km by infrastructure type</w:t>
            </w:r>
            <w:r w:rsidRPr="00B450C8">
              <w:t>, also by class if necessary</w:t>
            </w:r>
            <w:bookmarkEnd w:id="0"/>
            <w:r w:rsidRPr="00A91DDE">
              <w:t>)</w:t>
            </w:r>
          </w:p>
        </w:tc>
      </w:tr>
      <w:tr w:rsidR="00861753" w:rsidRPr="00697CC6" w14:paraId="22BA9568" w14:textId="77777777" w:rsidTr="0047139C">
        <w:tc>
          <w:tcPr>
            <w:tcW w:w="7370" w:type="dxa"/>
            <w:shd w:val="clear" w:color="auto" w:fill="auto"/>
            <w:noWrap/>
          </w:tcPr>
          <w:p w14:paraId="4513002E" w14:textId="77777777" w:rsidR="00861753" w:rsidRDefault="00861753" w:rsidP="0047139C">
            <w:pPr>
              <w:spacing w:before="40" w:after="120"/>
              <w:ind w:right="113"/>
              <w:rPr>
                <w:color w:val="0070C0"/>
              </w:rPr>
            </w:pPr>
            <w:r>
              <w:t xml:space="preserve">Counts, location and power (where relevant) of public energy supply infrastructure for inland transport (by mode and energy type) </w:t>
            </w:r>
            <w:r w:rsidRPr="00B450C8">
              <w:t>/number and transport performance (supra-regional transport) or to the number of vehicles (regional/urban development)</w:t>
            </w:r>
            <w:r>
              <w:rPr>
                <w:color w:val="FF0000"/>
              </w:rPr>
              <w:t xml:space="preserve"> </w:t>
            </w:r>
          </w:p>
          <w:p w14:paraId="04FAC094" w14:textId="77777777" w:rsidR="00861753" w:rsidRDefault="00861753" w:rsidP="0047139C">
            <w:pPr>
              <w:spacing w:before="40" w:after="120"/>
              <w:ind w:right="113"/>
            </w:pPr>
            <w:r w:rsidRPr="00B450C8">
              <w:t xml:space="preserve">Registered </w:t>
            </w:r>
            <w:proofErr w:type="gramStart"/>
            <w:r w:rsidRPr="00B450C8">
              <w:t>number</w:t>
            </w:r>
            <w:proofErr w:type="gramEnd"/>
            <w:r w:rsidRPr="00B450C8">
              <w:t xml:space="preserve"> of cars/number of inhabitants</w:t>
            </w:r>
          </w:p>
        </w:tc>
      </w:tr>
    </w:tbl>
    <w:p w14:paraId="6B026DA0" w14:textId="77777777" w:rsidR="00861753" w:rsidRDefault="00861753" w:rsidP="00861753"/>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861753" w:rsidRPr="00697CC6" w14:paraId="16CB51DA" w14:textId="77777777" w:rsidTr="0047139C">
        <w:trPr>
          <w:tblHeader/>
        </w:trPr>
        <w:tc>
          <w:tcPr>
            <w:tcW w:w="7370" w:type="dxa"/>
            <w:tcBorders>
              <w:top w:val="single" w:sz="4" w:space="0" w:color="auto"/>
              <w:bottom w:val="single" w:sz="12" w:space="0" w:color="auto"/>
            </w:tcBorders>
            <w:shd w:val="clear" w:color="auto" w:fill="auto"/>
            <w:noWrap/>
            <w:vAlign w:val="bottom"/>
          </w:tcPr>
          <w:p w14:paraId="573491D4" w14:textId="77777777" w:rsidR="00861753" w:rsidRPr="00DC1189" w:rsidRDefault="00861753" w:rsidP="0047139C">
            <w:pPr>
              <w:spacing w:before="80" w:after="80" w:line="200" w:lineRule="exact"/>
              <w:ind w:right="113"/>
              <w:rPr>
                <w:i/>
                <w:sz w:val="16"/>
              </w:rPr>
            </w:pPr>
            <w:r w:rsidRPr="00DC1189">
              <w:rPr>
                <w:i/>
                <w:sz w:val="16"/>
              </w:rPr>
              <w:t>Desired actions by inland transport sector to ensure ITC and its legal instruments promote and deliver on low-</w:t>
            </w:r>
            <w:r>
              <w:rPr>
                <w:i/>
                <w:sz w:val="16"/>
              </w:rPr>
              <w:t>and zero-</w:t>
            </w:r>
            <w:r w:rsidRPr="00DC1189">
              <w:rPr>
                <w:i/>
                <w:sz w:val="16"/>
              </w:rPr>
              <w:t>carbon mobility</w:t>
            </w:r>
          </w:p>
        </w:tc>
      </w:tr>
      <w:tr w:rsidR="00861753" w:rsidRPr="007F31F6" w14:paraId="27D9E214" w14:textId="77777777" w:rsidTr="0047139C">
        <w:trPr>
          <w:trHeight w:hRule="exact" w:val="113"/>
        </w:trPr>
        <w:tc>
          <w:tcPr>
            <w:tcW w:w="7370" w:type="dxa"/>
            <w:tcBorders>
              <w:top w:val="single" w:sz="12" w:space="0" w:color="auto"/>
            </w:tcBorders>
            <w:shd w:val="clear" w:color="auto" w:fill="auto"/>
            <w:noWrap/>
          </w:tcPr>
          <w:p w14:paraId="110FD7E3" w14:textId="77777777" w:rsidR="00861753" w:rsidRPr="007F31F6" w:rsidRDefault="00861753" w:rsidP="0047139C">
            <w:pPr>
              <w:spacing w:before="40" w:after="120"/>
              <w:ind w:right="113"/>
            </w:pPr>
          </w:p>
        </w:tc>
      </w:tr>
      <w:tr w:rsidR="00861753" w:rsidRPr="00697CC6" w14:paraId="0AF5A704" w14:textId="77777777" w:rsidTr="0047139C">
        <w:tc>
          <w:tcPr>
            <w:tcW w:w="7370" w:type="dxa"/>
            <w:shd w:val="clear" w:color="auto" w:fill="auto"/>
            <w:noWrap/>
          </w:tcPr>
          <w:p w14:paraId="6CC2DF19" w14:textId="77777777" w:rsidR="00861753" w:rsidRPr="00697CC6" w:rsidRDefault="00861753" w:rsidP="0047139C">
            <w:pPr>
              <w:spacing w:before="40" w:after="120"/>
              <w:ind w:right="113"/>
            </w:pPr>
            <w:r>
              <w:t>Inland transport decarbonization plan prepared according to ITC guidelines, aligned with UNFCCC processes</w:t>
            </w:r>
          </w:p>
        </w:tc>
      </w:tr>
      <w:tr w:rsidR="00861753" w:rsidRPr="00697CC6" w14:paraId="76954CDB" w14:textId="77777777" w:rsidTr="0047139C">
        <w:tc>
          <w:tcPr>
            <w:tcW w:w="7370" w:type="dxa"/>
            <w:shd w:val="clear" w:color="auto" w:fill="auto"/>
            <w:noWrap/>
          </w:tcPr>
          <w:p w14:paraId="0D14EB58" w14:textId="77777777" w:rsidR="00861753" w:rsidRPr="00697CC6" w:rsidRDefault="00861753" w:rsidP="0047139C">
            <w:pPr>
              <w:spacing w:before="40" w:after="120"/>
              <w:ind w:right="113"/>
            </w:pPr>
            <w:r>
              <w:t xml:space="preserve">Number of ITC guidelines, tools, </w:t>
            </w:r>
            <w:r w:rsidRPr="00FA5C2F">
              <w:t>c</w:t>
            </w:r>
            <w:r w:rsidRPr="004E57DA">
              <w:t>ourses</w:t>
            </w:r>
            <w:r>
              <w:t xml:space="preserve"> used</w:t>
            </w:r>
          </w:p>
        </w:tc>
      </w:tr>
      <w:tr w:rsidR="00861753" w:rsidRPr="00697CC6" w14:paraId="505D6142" w14:textId="77777777" w:rsidTr="0047139C">
        <w:tc>
          <w:tcPr>
            <w:tcW w:w="7370" w:type="dxa"/>
            <w:tcBorders>
              <w:bottom w:val="single" w:sz="12" w:space="0" w:color="auto"/>
            </w:tcBorders>
            <w:shd w:val="clear" w:color="auto" w:fill="auto"/>
            <w:noWrap/>
          </w:tcPr>
          <w:p w14:paraId="58B26F1C" w14:textId="77777777" w:rsidR="00861753" w:rsidRPr="00697CC6" w:rsidRDefault="00861753" w:rsidP="0047139C">
            <w:pPr>
              <w:spacing w:before="40" w:after="120"/>
              <w:ind w:right="113"/>
            </w:pPr>
            <w:r>
              <w:t>Number of policy dialogues to promote accession to ITC legal instruments in and outside of ECE region</w:t>
            </w:r>
          </w:p>
        </w:tc>
      </w:tr>
    </w:tbl>
    <w:p w14:paraId="296903E2" w14:textId="65437A87" w:rsidR="00E23734" w:rsidRDefault="00E23734" w:rsidP="00861753"/>
    <w:p w14:paraId="68C089DF" w14:textId="77777777" w:rsidR="00E23734" w:rsidRDefault="00E23734">
      <w:r>
        <w:br w:type="page"/>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861753" w:rsidRPr="00697CC6" w14:paraId="30A4D4BE" w14:textId="77777777" w:rsidTr="0047139C">
        <w:trPr>
          <w:tblHeader/>
        </w:trPr>
        <w:tc>
          <w:tcPr>
            <w:tcW w:w="7370" w:type="dxa"/>
            <w:tcBorders>
              <w:top w:val="single" w:sz="4" w:space="0" w:color="auto"/>
              <w:bottom w:val="single" w:sz="12" w:space="0" w:color="auto"/>
            </w:tcBorders>
            <w:shd w:val="clear" w:color="auto" w:fill="auto"/>
            <w:noWrap/>
            <w:vAlign w:val="bottom"/>
          </w:tcPr>
          <w:p w14:paraId="3CC6C5F3" w14:textId="77777777" w:rsidR="00861753" w:rsidRPr="00DC1189" w:rsidRDefault="00861753" w:rsidP="0047139C">
            <w:pPr>
              <w:spacing w:before="80" w:after="80" w:line="200" w:lineRule="exact"/>
              <w:ind w:right="113"/>
              <w:rPr>
                <w:i/>
                <w:sz w:val="16"/>
              </w:rPr>
            </w:pPr>
            <w:r>
              <w:rPr>
                <w:i/>
                <w:sz w:val="16"/>
              </w:rPr>
              <w:lastRenderedPageBreak/>
              <w:t>Supplementary indicators to be considered for additional information collection to support the implementation of the strategy</w:t>
            </w:r>
          </w:p>
        </w:tc>
      </w:tr>
      <w:tr w:rsidR="00861753" w:rsidRPr="007F31F6" w14:paraId="2898F5FA" w14:textId="77777777" w:rsidTr="0047139C">
        <w:trPr>
          <w:trHeight w:hRule="exact" w:val="113"/>
        </w:trPr>
        <w:tc>
          <w:tcPr>
            <w:tcW w:w="7370" w:type="dxa"/>
            <w:tcBorders>
              <w:top w:val="single" w:sz="12" w:space="0" w:color="auto"/>
            </w:tcBorders>
            <w:shd w:val="clear" w:color="auto" w:fill="auto"/>
            <w:noWrap/>
          </w:tcPr>
          <w:p w14:paraId="3E825238" w14:textId="77777777" w:rsidR="00861753" w:rsidRPr="007F31F6" w:rsidRDefault="00861753" w:rsidP="0047139C">
            <w:pPr>
              <w:spacing w:before="40" w:after="120"/>
              <w:ind w:right="113"/>
            </w:pPr>
          </w:p>
        </w:tc>
      </w:tr>
      <w:tr w:rsidR="00861753" w:rsidRPr="00697CC6" w14:paraId="0A412959" w14:textId="77777777" w:rsidTr="0047139C">
        <w:tc>
          <w:tcPr>
            <w:tcW w:w="7370" w:type="dxa"/>
            <w:shd w:val="clear" w:color="auto" w:fill="auto"/>
            <w:noWrap/>
          </w:tcPr>
          <w:p w14:paraId="0F21442D" w14:textId="77777777" w:rsidR="00861753" w:rsidRPr="00697CC6" w:rsidRDefault="00861753" w:rsidP="0047139C">
            <w:pPr>
              <w:spacing w:before="40" w:after="120"/>
              <w:ind w:right="113"/>
            </w:pPr>
            <w:r>
              <w:t>Well-to-Tank / Tank-to-Wheel carbon intensity (gCO2/km by mode, by energy type)</w:t>
            </w:r>
          </w:p>
        </w:tc>
      </w:tr>
      <w:tr w:rsidR="00861753" w:rsidRPr="00697CC6" w14:paraId="12427768" w14:textId="77777777" w:rsidTr="0047139C">
        <w:tc>
          <w:tcPr>
            <w:tcW w:w="7370" w:type="dxa"/>
            <w:shd w:val="clear" w:color="auto" w:fill="auto"/>
            <w:noWrap/>
          </w:tcPr>
          <w:p w14:paraId="00DBFB40" w14:textId="77777777" w:rsidR="00861753" w:rsidRPr="00697CC6" w:rsidRDefault="00861753" w:rsidP="0047139C">
            <w:pPr>
              <w:spacing w:before="40" w:after="120"/>
              <w:ind w:right="113"/>
            </w:pPr>
            <w:r>
              <w:t>Infrastructure fit for intermodal/multimodal transport (km)</w:t>
            </w:r>
          </w:p>
        </w:tc>
      </w:tr>
      <w:tr w:rsidR="00861753" w:rsidRPr="00697CC6" w14:paraId="5923AACD" w14:textId="77777777" w:rsidTr="0047139C">
        <w:tc>
          <w:tcPr>
            <w:tcW w:w="7370" w:type="dxa"/>
            <w:shd w:val="clear" w:color="auto" w:fill="auto"/>
            <w:noWrap/>
          </w:tcPr>
          <w:p w14:paraId="1AEB8A41" w14:textId="77777777" w:rsidR="00861753" w:rsidRPr="00697CC6" w:rsidRDefault="00861753" w:rsidP="0047139C">
            <w:pPr>
              <w:spacing w:before="40" w:after="120"/>
              <w:ind w:right="113"/>
            </w:pPr>
            <w:r>
              <w:t>Number of city terminals</w:t>
            </w:r>
          </w:p>
        </w:tc>
      </w:tr>
      <w:tr w:rsidR="00861753" w:rsidRPr="00697CC6" w14:paraId="1D91EF5E" w14:textId="77777777" w:rsidTr="0047139C">
        <w:tc>
          <w:tcPr>
            <w:tcW w:w="7370" w:type="dxa"/>
            <w:shd w:val="clear" w:color="auto" w:fill="auto"/>
            <w:noWrap/>
          </w:tcPr>
          <w:p w14:paraId="485C7218" w14:textId="77777777" w:rsidR="00861753" w:rsidRDefault="00861753" w:rsidP="0047139C">
            <w:pPr>
              <w:spacing w:before="40" w:after="120"/>
              <w:ind w:right="113"/>
            </w:pPr>
            <w:r>
              <w:t>Accessibility /inclusiveness (% of v.km, p.km accessible/inclusive by mode)</w:t>
            </w:r>
          </w:p>
        </w:tc>
      </w:tr>
      <w:tr w:rsidR="00861753" w:rsidRPr="00697CC6" w14:paraId="35EB1EB5" w14:textId="77777777" w:rsidTr="0047139C">
        <w:tc>
          <w:tcPr>
            <w:tcW w:w="7370" w:type="dxa"/>
            <w:shd w:val="clear" w:color="auto" w:fill="auto"/>
            <w:noWrap/>
          </w:tcPr>
          <w:p w14:paraId="0298AB2A" w14:textId="77777777" w:rsidR="00861753" w:rsidRDefault="00861753" w:rsidP="0047139C">
            <w:pPr>
              <w:spacing w:before="40" w:after="120"/>
              <w:ind w:right="113"/>
            </w:pPr>
            <w:r>
              <w:t>Counts of empty runs (by mode)</w:t>
            </w:r>
          </w:p>
        </w:tc>
      </w:tr>
      <w:tr w:rsidR="00861753" w:rsidRPr="00697CC6" w14:paraId="353A2911" w14:textId="77777777" w:rsidTr="0047139C">
        <w:tc>
          <w:tcPr>
            <w:tcW w:w="7370" w:type="dxa"/>
            <w:tcBorders>
              <w:bottom w:val="single" w:sz="12" w:space="0" w:color="auto"/>
            </w:tcBorders>
            <w:shd w:val="clear" w:color="auto" w:fill="auto"/>
            <w:noWrap/>
          </w:tcPr>
          <w:p w14:paraId="1805E54B" w14:textId="77777777" w:rsidR="00861753" w:rsidRDefault="00861753" w:rsidP="0047139C">
            <w:pPr>
              <w:spacing w:before="40" w:after="120"/>
              <w:ind w:right="113"/>
            </w:pPr>
            <w:r>
              <w:t>Average travel speed of freight trains (km/h)</w:t>
            </w:r>
          </w:p>
        </w:tc>
      </w:tr>
    </w:tbl>
    <w:p w14:paraId="13463B35" w14:textId="75965C8E" w:rsidR="00861753" w:rsidRPr="00643309" w:rsidRDefault="005D3325" w:rsidP="005D3325">
      <w:pPr>
        <w:pStyle w:val="SingleTxtG"/>
        <w:spacing w:before="240"/>
        <w:rPr>
          <w:color w:val="000000"/>
          <w:lang w:bidi="th-TH"/>
        </w:rPr>
      </w:pPr>
      <w:r>
        <w:rPr>
          <w:rFonts w:cs="Tms Rmn"/>
          <w:bCs/>
          <w:color w:val="000000" w:themeColor="text1"/>
          <w:lang w:bidi="th-TH"/>
        </w:rPr>
        <w:tab/>
      </w:r>
      <w:r w:rsidR="00861753">
        <w:rPr>
          <w:rFonts w:cs="Tms Rmn"/>
          <w:bCs/>
          <w:color w:val="000000" w:themeColor="text1"/>
          <w:lang w:bidi="th-TH"/>
        </w:rPr>
        <w:t>(b)</w:t>
      </w:r>
      <w:r w:rsidR="00861753">
        <w:rPr>
          <w:rFonts w:cs="Tms Rmn"/>
          <w:bCs/>
          <w:color w:val="000000" w:themeColor="text1"/>
          <w:lang w:bidi="th-TH"/>
        </w:rPr>
        <w:tab/>
      </w:r>
      <w:r w:rsidR="00861753" w:rsidRPr="2DAED039">
        <w:rPr>
          <w:rFonts w:cs="Tms Rmn"/>
          <w:bCs/>
          <w:color w:val="000000" w:themeColor="text1"/>
          <w:lang w:bidi="th-TH"/>
        </w:rPr>
        <w:t>Foster the efficient use of energy</w:t>
      </w:r>
      <w:r w:rsidR="00861753">
        <w:rPr>
          <w:lang w:bidi="th-TH"/>
        </w:rPr>
        <w:t xml:space="preserve"> </w:t>
      </w:r>
      <w:r w:rsidR="00861753" w:rsidRPr="2DAED039">
        <w:rPr>
          <w:lang w:bidi="th-TH"/>
        </w:rPr>
        <w:t>through route optimization and optimized driving behaviour</w:t>
      </w:r>
      <w:r w:rsidR="00861753">
        <w:rPr>
          <w:lang w:bidi="th-TH"/>
        </w:rPr>
        <w:t xml:space="preserve"> and the use of ITS and digitalization</w:t>
      </w:r>
      <w:r w:rsidR="00861753" w:rsidRPr="2DAED039">
        <w:rPr>
          <w:lang w:bidi="th-TH"/>
        </w:rPr>
        <w:t xml:space="preserve">, the </w:t>
      </w:r>
      <w:r w:rsidR="00861753" w:rsidRPr="269AA875">
        <w:rPr>
          <w:lang w:bidi="th-TH"/>
        </w:rPr>
        <w:t>accelerated</w:t>
      </w:r>
      <w:r w:rsidR="00861753" w:rsidRPr="2DAED039">
        <w:rPr>
          <w:lang w:bidi="th-TH"/>
        </w:rPr>
        <w:t xml:space="preserve"> substitution of </w:t>
      </w:r>
      <w:r w:rsidR="00861753">
        <w:rPr>
          <w:lang w:bidi="th-TH"/>
        </w:rPr>
        <w:t>fossil-</w:t>
      </w:r>
      <w:r w:rsidR="00861753" w:rsidRPr="2DAED039">
        <w:rPr>
          <w:lang w:bidi="th-TH"/>
        </w:rPr>
        <w:t>fuelled</w:t>
      </w:r>
      <w:r w:rsidR="00861753">
        <w:rPr>
          <w:lang w:bidi="th-TH"/>
        </w:rPr>
        <w:t xml:space="preserve"> </w:t>
      </w:r>
      <w:r w:rsidR="00861753" w:rsidRPr="2DAED039">
        <w:rPr>
          <w:lang w:bidi="th-TH"/>
        </w:rPr>
        <w:t xml:space="preserve">vehicles </w:t>
      </w:r>
      <w:r w:rsidR="00861753" w:rsidRPr="0083447E">
        <w:rPr>
          <w:lang w:bidi="th-TH"/>
        </w:rPr>
        <w:t xml:space="preserve">with </w:t>
      </w:r>
      <w:r w:rsidR="00861753" w:rsidRPr="00B551FF">
        <w:rPr>
          <w:lang w:bidi="th-TH"/>
        </w:rPr>
        <w:t>zero</w:t>
      </w:r>
      <w:r w:rsidR="00861753">
        <w:rPr>
          <w:lang w:bidi="th-TH"/>
        </w:rPr>
        <w:t xml:space="preserve"> </w:t>
      </w:r>
      <w:r w:rsidR="00861753" w:rsidRPr="00B551FF">
        <w:rPr>
          <w:lang w:bidi="th-TH"/>
        </w:rPr>
        <w:t>emission</w:t>
      </w:r>
      <w:r w:rsidR="00861753">
        <w:rPr>
          <w:color w:val="FF0000"/>
          <w:lang w:bidi="th-TH"/>
        </w:rPr>
        <w:t xml:space="preserve"> </w:t>
      </w:r>
      <w:r w:rsidR="00861753" w:rsidRPr="00B551FF" w:rsidDel="004F7B5F">
        <w:rPr>
          <w:lang w:bidi="th-TH"/>
        </w:rPr>
        <w:t>vehicles</w:t>
      </w:r>
      <w:r w:rsidR="00861753" w:rsidRPr="2DAED039">
        <w:rPr>
          <w:lang w:bidi="th-TH"/>
        </w:rPr>
        <w:t xml:space="preserve">, </w:t>
      </w:r>
      <w:r w:rsidR="00861753">
        <w:rPr>
          <w:lang w:bidi="th-TH"/>
        </w:rPr>
        <w:t xml:space="preserve">and </w:t>
      </w:r>
      <w:r w:rsidR="00861753" w:rsidRPr="2DAED039">
        <w:rPr>
          <w:lang w:bidi="th-TH"/>
        </w:rPr>
        <w:t xml:space="preserve">the efficient use of transport networks, movement of people and </w:t>
      </w:r>
      <w:r w:rsidR="00861753" w:rsidRPr="269AA875">
        <w:rPr>
          <w:lang w:bidi="th-TH"/>
        </w:rPr>
        <w:t>freight;</w:t>
      </w:r>
    </w:p>
    <w:p w14:paraId="085A256B" w14:textId="6FFE6EAC" w:rsidR="00861753" w:rsidRPr="005D3325" w:rsidRDefault="005D3325" w:rsidP="005D3325">
      <w:pPr>
        <w:pStyle w:val="SingleTxtG"/>
      </w:pPr>
      <w:r>
        <w:tab/>
      </w:r>
      <w:r w:rsidR="00861753" w:rsidRPr="005D3325">
        <w:t>(c)</w:t>
      </w:r>
      <w:r w:rsidR="00861753" w:rsidRPr="005D3325">
        <w:tab/>
        <w:t>Promote research and development in cooperation with academia and non-governmental bodies, covering carbon-neutral energy technology and fuels, such as hydrogen, access to renewable energy and the switching of energy sources;</w:t>
      </w:r>
    </w:p>
    <w:p w14:paraId="055A2017" w14:textId="77777777" w:rsidR="00861753" w:rsidRPr="005D3325" w:rsidRDefault="00861753" w:rsidP="005D3325">
      <w:pPr>
        <w:pStyle w:val="SingleTxtG"/>
      </w:pPr>
      <w:r w:rsidRPr="005D3325">
        <w:tab/>
        <w:t>(d)</w:t>
      </w:r>
      <w:r w:rsidRPr="005D3325">
        <w:tab/>
        <w:t>Support circular economy related practices and in doing so determining the carbon footprint of all types of transport vehicles and transportation infrastructure through life-cycle analysis, as a basis to increase circularity of material use; replacing parts and retrofitting to extend the lifetime of automotive products; and promoting the use of sustainable fuels and ensuring effective recycling, e.g. of batteries.</w:t>
      </w:r>
    </w:p>
    <w:p w14:paraId="6D8DB7E4" w14:textId="77777777" w:rsidR="00861753" w:rsidRDefault="00861753" w:rsidP="00861753">
      <w:pPr>
        <w:pStyle w:val="H1G"/>
      </w:pPr>
      <w:r>
        <w:tab/>
        <w:t xml:space="preserve">C. </w:t>
      </w:r>
      <w:r>
        <w:tab/>
      </w:r>
      <w:r>
        <w:tab/>
        <w:t>Horizontal objectives</w:t>
      </w:r>
    </w:p>
    <w:p w14:paraId="70D4A61A" w14:textId="77777777" w:rsidR="00861753" w:rsidRDefault="00861753" w:rsidP="00861753">
      <w:pPr>
        <w:pStyle w:val="SingleTxtG"/>
        <w:rPr>
          <w:lang w:bidi="th-TH"/>
        </w:rPr>
      </w:pPr>
      <w:r>
        <w:rPr>
          <w:lang w:bidi="th-TH"/>
        </w:rPr>
        <w:t>19.</w:t>
      </w:r>
      <w:r>
        <w:rPr>
          <w:lang w:bidi="th-TH"/>
        </w:rPr>
        <w:tab/>
      </w:r>
      <w:r w:rsidRPr="72597F75">
        <w:rPr>
          <w:lang w:bidi="th-TH"/>
        </w:rPr>
        <w:t xml:space="preserve">ITC, through its unique intergovernmental framework, provides comprehensive support to its members and </w:t>
      </w:r>
      <w:r>
        <w:rPr>
          <w:lang w:bidi="th-TH"/>
        </w:rPr>
        <w:t>C</w:t>
      </w:r>
      <w:r w:rsidRPr="72597F75">
        <w:rPr>
          <w:lang w:bidi="th-TH"/>
        </w:rPr>
        <w:t xml:space="preserve">ontracting </w:t>
      </w:r>
      <w:r>
        <w:rPr>
          <w:lang w:bidi="th-TH"/>
        </w:rPr>
        <w:t>P</w:t>
      </w:r>
      <w:r w:rsidRPr="72597F75">
        <w:rPr>
          <w:lang w:bidi="th-TH"/>
        </w:rPr>
        <w:t>arties to the UN inland transport legal instruments in ensuring compatibility between actions aimed at decreasing GHG emissions and actions</w:t>
      </w:r>
      <w:r>
        <w:rPr>
          <w:lang w:bidi="th-TH"/>
        </w:rPr>
        <w:t>:</w:t>
      </w:r>
    </w:p>
    <w:p w14:paraId="28F53273" w14:textId="73EAAEDA" w:rsidR="00861753" w:rsidRPr="005D3325" w:rsidRDefault="005D3325" w:rsidP="005D3325">
      <w:pPr>
        <w:pStyle w:val="SingleTxtG"/>
      </w:pPr>
      <w:r>
        <w:tab/>
      </w:r>
      <w:r w:rsidR="00861753" w:rsidRPr="005D3325">
        <w:t>(a)</w:t>
      </w:r>
      <w:r w:rsidR="00861753" w:rsidRPr="005D3325">
        <w:tab/>
        <w:t>prioritizing transport affordability, safety and security;</w:t>
      </w:r>
    </w:p>
    <w:p w14:paraId="619D3B1E" w14:textId="0D42D69D" w:rsidR="00861753" w:rsidRPr="005D3325" w:rsidRDefault="005D3325" w:rsidP="005D3325">
      <w:pPr>
        <w:pStyle w:val="SingleTxtG"/>
      </w:pPr>
      <w:r>
        <w:tab/>
      </w:r>
      <w:r w:rsidR="00861753" w:rsidRPr="005D3325">
        <w:t>(b)</w:t>
      </w:r>
      <w:r w:rsidR="00861753" w:rsidRPr="005D3325">
        <w:tab/>
        <w:t xml:space="preserve">aimed at avoiding negative environmental and health externalities;  </w:t>
      </w:r>
    </w:p>
    <w:p w14:paraId="67F1E9D4" w14:textId="582FEA6C" w:rsidR="00861753" w:rsidRPr="005D3325" w:rsidRDefault="005D3325" w:rsidP="005D3325">
      <w:pPr>
        <w:pStyle w:val="SingleTxtG"/>
      </w:pPr>
      <w:r>
        <w:tab/>
      </w:r>
      <w:r w:rsidR="00861753" w:rsidRPr="005D3325">
        <w:t>(c)</w:t>
      </w:r>
      <w:r w:rsidR="00861753" w:rsidRPr="005D3325">
        <w:tab/>
        <w:t>fostering inclusive transport, and</w:t>
      </w:r>
    </w:p>
    <w:p w14:paraId="46A4547D" w14:textId="41412393" w:rsidR="00861753" w:rsidRPr="005D3325" w:rsidRDefault="005D3325" w:rsidP="005D3325">
      <w:pPr>
        <w:pStyle w:val="SingleTxtG"/>
      </w:pPr>
      <w:r>
        <w:tab/>
      </w:r>
      <w:r w:rsidR="00861753" w:rsidRPr="005D3325">
        <w:t>(d)</w:t>
      </w:r>
      <w:r w:rsidR="00861753" w:rsidRPr="005D3325">
        <w:tab/>
        <w:t xml:space="preserve">ensuring resilience of transport by making transport infrastructure and operations adapted to climate change. </w:t>
      </w:r>
    </w:p>
    <w:p w14:paraId="294A1D86" w14:textId="77777777" w:rsidR="00861753" w:rsidRDefault="00861753" w:rsidP="00861753">
      <w:pPr>
        <w:pStyle w:val="SingleTxtG"/>
      </w:pPr>
      <w:r>
        <w:rPr>
          <w:lang w:bidi="th-TH"/>
        </w:rPr>
        <w:t>20.</w:t>
      </w:r>
      <w:r>
        <w:rPr>
          <w:lang w:bidi="th-TH"/>
        </w:rPr>
        <w:tab/>
        <w:t>Reaching the above strategic and horizontal objectives</w:t>
      </w:r>
      <w:r w:rsidRPr="72597F75">
        <w:rPr>
          <w:lang w:bidi="th-TH"/>
        </w:rPr>
        <w:t>,</w:t>
      </w:r>
      <w:r>
        <w:rPr>
          <w:lang w:bidi="th-TH"/>
        </w:rPr>
        <w:t xml:space="preserve"> will assist in </w:t>
      </w:r>
      <w:r w:rsidRPr="00EE6D37">
        <w:t xml:space="preserve">the implementation of </w:t>
      </w:r>
      <w:r>
        <w:t>the</w:t>
      </w:r>
      <w:r w:rsidRPr="00EE6D37">
        <w:t xml:space="preserve"> Sustainable Development Goals, in particular: (a) Reduced pollutant and GHG emissions (</w:t>
      </w:r>
      <w:r>
        <w:t>Sustainable Development Goals</w:t>
      </w:r>
      <w:r w:rsidRPr="00EE6D37">
        <w:t xml:space="preserve"> 3 and 13); (b) </w:t>
      </w:r>
      <w:r>
        <w:t>I</w:t>
      </w:r>
      <w:r w:rsidRPr="00EE6D37">
        <w:t xml:space="preserve">mproved urban mobility </w:t>
      </w:r>
      <w:r>
        <w:t>and achieving sustainable, inclusive, safe and resilient cities and communities</w:t>
      </w:r>
      <w:r w:rsidRPr="00EE6D37">
        <w:t xml:space="preserve"> (</w:t>
      </w:r>
      <w:r w:rsidRPr="000E2065">
        <w:t>Sustainable Development Goal</w:t>
      </w:r>
      <w:r>
        <w:t>s</w:t>
      </w:r>
      <w:r w:rsidRPr="00EE6D37">
        <w:t xml:space="preserve"> 3</w:t>
      </w:r>
      <w:r>
        <w:t xml:space="preserve"> and 11</w:t>
      </w:r>
      <w:r w:rsidRPr="00EE6D37">
        <w:t xml:space="preserve">); </w:t>
      </w:r>
      <w:r>
        <w:t>(c) I</w:t>
      </w:r>
      <w:r w:rsidRPr="00EE6D37">
        <w:t>mproved industry innovation and infrastructure efficiency and connectivity (</w:t>
      </w:r>
      <w:r w:rsidRPr="000E2065">
        <w:t>Sustainable Development Goal</w:t>
      </w:r>
      <w:r w:rsidRPr="00EE6D37" w:rsidDel="000E2065">
        <w:t xml:space="preserve"> </w:t>
      </w:r>
      <w:r w:rsidRPr="00EE6D37">
        <w:t xml:space="preserve">9); </w:t>
      </w:r>
      <w:r>
        <w:t>(d) A</w:t>
      </w:r>
      <w:r w:rsidRPr="00EE6D37">
        <w:t>ffordable and clean energy (</w:t>
      </w:r>
      <w:r w:rsidRPr="000E2065">
        <w:t>Sustainable Development Goal</w:t>
      </w:r>
      <w:r w:rsidRPr="00EE6D37">
        <w:t xml:space="preserve"> 7);</w:t>
      </w:r>
      <w:r w:rsidRPr="00B17853">
        <w:rPr>
          <w:color w:val="00B050"/>
        </w:rPr>
        <w:t xml:space="preserve"> </w:t>
      </w:r>
      <w:r w:rsidRPr="00B450C8">
        <w:t>(</w:t>
      </w:r>
      <w:r>
        <w:t>e</w:t>
      </w:r>
      <w:r w:rsidRPr="00B450C8">
        <w:t>) Contribution to economic and social stability by facilitating access to economic opportunities and strengthening connectivity (Sustainable Development Goal 16);</w:t>
      </w:r>
      <w:r>
        <w:t xml:space="preserve"> (f) R</w:t>
      </w:r>
      <w:r w:rsidRPr="00EE6D37">
        <w:t>evitalized multi-stakeholder partnerships and knowledge sharing for the achievement of the 2030 Agenda (</w:t>
      </w:r>
      <w:r w:rsidRPr="000E2065">
        <w:t>Sustainable Development Goals</w:t>
      </w:r>
      <w:r w:rsidRPr="000E2065" w:rsidDel="000E2065">
        <w:t xml:space="preserve"> </w:t>
      </w:r>
      <w:r w:rsidRPr="00EE6D37">
        <w:t xml:space="preserve">17) – recognizing that the scope of the </w:t>
      </w:r>
      <w:r>
        <w:t>S</w:t>
      </w:r>
      <w:r w:rsidRPr="00EE6D37">
        <w:t>trategy extends well beyond 2030 until 2050.</w:t>
      </w:r>
    </w:p>
    <w:p w14:paraId="1B5B568E" w14:textId="77777777" w:rsidR="00861753" w:rsidRDefault="00861753" w:rsidP="00861753">
      <w:pPr>
        <w:pStyle w:val="HChG"/>
        <w:rPr>
          <w:lang w:bidi="th-TH"/>
        </w:rPr>
      </w:pPr>
      <w:r>
        <w:rPr>
          <w:lang w:bidi="th-TH"/>
        </w:rPr>
        <w:tab/>
        <w:t>IV.</w:t>
      </w:r>
      <w:r>
        <w:rPr>
          <w:lang w:bidi="th-TH"/>
        </w:rPr>
        <w:tab/>
      </w:r>
      <w:r>
        <w:rPr>
          <w:lang w:bidi="th-TH"/>
        </w:rPr>
        <w:tab/>
      </w:r>
      <w:r w:rsidRPr="381D57AC">
        <w:rPr>
          <w:lang w:bidi="th-TH"/>
        </w:rPr>
        <w:t>ITC-administered instruments to assist in mitigating climate change</w:t>
      </w:r>
    </w:p>
    <w:p w14:paraId="1A1433E5" w14:textId="77777777" w:rsidR="00861753" w:rsidRDefault="00861753" w:rsidP="00861753">
      <w:pPr>
        <w:pStyle w:val="SingleTxtG"/>
      </w:pPr>
      <w:r>
        <w:t>21.</w:t>
      </w:r>
      <w:r>
        <w:tab/>
      </w:r>
      <w:r w:rsidRPr="004D23D2">
        <w:t xml:space="preserve">Under the purview of the ITC lie 60 United Nations </w:t>
      </w:r>
      <w:r>
        <w:t xml:space="preserve">inland transport </w:t>
      </w:r>
      <w:r w:rsidRPr="004D23D2">
        <w:t>legal instruments, 49 of which are currently in force.</w:t>
      </w:r>
      <w:r w:rsidRPr="004232EF">
        <w:rPr>
          <w:color w:val="FF85FF"/>
        </w:rPr>
        <w:t xml:space="preserve"> </w:t>
      </w:r>
      <w:r w:rsidRPr="00E83CFE">
        <w:t>At the time of preparation of this Strategy, 152</w:t>
      </w:r>
      <w:r w:rsidRPr="00E83CFE">
        <w:rPr>
          <w:color w:val="FF85FF"/>
        </w:rPr>
        <w:t xml:space="preserve"> </w:t>
      </w:r>
      <w:r w:rsidRPr="00E83CFE">
        <w:t xml:space="preserve">United </w:t>
      </w:r>
      <w:r w:rsidRPr="00E83CFE">
        <w:lastRenderedPageBreak/>
        <w:t>Nations Member States are Contracting Parties to at least one of these legal instruments.</w:t>
      </w:r>
      <w:r w:rsidRPr="004D23D2">
        <w:t xml:space="preserve"> In recent years, the total numbers of accession</w:t>
      </w:r>
      <w:r>
        <w:t>s</w:t>
      </w:r>
      <w:r w:rsidRPr="004D23D2">
        <w:t xml:space="preserve"> from outside the ECE region increasingly exceed</w:t>
      </w:r>
      <w:r>
        <w:t>ed</w:t>
      </w:r>
      <w:r w:rsidRPr="004D23D2">
        <w:t xml:space="preserve"> those from within the ECE region.</w:t>
      </w:r>
    </w:p>
    <w:p w14:paraId="14179569" w14:textId="77777777" w:rsidR="00861753" w:rsidRDefault="00861753" w:rsidP="00861753">
      <w:pPr>
        <w:pStyle w:val="SingleTxtG"/>
        <w:rPr>
          <w:rFonts w:cs="Tms Rmn"/>
          <w:color w:val="000000"/>
          <w:lang w:bidi="th-TH"/>
        </w:rPr>
      </w:pPr>
      <w:r>
        <w:rPr>
          <w:rFonts w:cs="Tms Rmn"/>
          <w:color w:val="000000" w:themeColor="text1"/>
          <w:lang w:bidi="th-TH"/>
        </w:rPr>
        <w:t>22.</w:t>
      </w:r>
      <w:r>
        <w:rPr>
          <w:rFonts w:cs="Tms Rmn"/>
          <w:color w:val="000000" w:themeColor="text1"/>
          <w:lang w:bidi="th-TH"/>
        </w:rPr>
        <w:tab/>
      </w:r>
      <w:r w:rsidRPr="2DAED039">
        <w:rPr>
          <w:rFonts w:cs="Tms Rmn"/>
          <w:color w:val="000000" w:themeColor="text1"/>
          <w:lang w:bidi="th-TH"/>
        </w:rPr>
        <w:t xml:space="preserve">Many of the United Nations inland transport legal instruments under the purview of the ITC are instrumental in assisting the quest to curbing the GHG emissions from inland transport and in the transition to more climate friendly inland transport. </w:t>
      </w:r>
      <w:r w:rsidRPr="269AA875">
        <w:rPr>
          <w:rFonts w:cs="Tms Rmn"/>
          <w:color w:val="000000" w:themeColor="text1"/>
          <w:lang w:bidi="th-TH"/>
        </w:rPr>
        <w:t>They cover</w:t>
      </w:r>
      <w:r w:rsidRPr="2DAED039">
        <w:rPr>
          <w:rFonts w:cs="Tms Rmn"/>
          <w:color w:val="000000" w:themeColor="text1"/>
          <w:lang w:bidi="th-TH"/>
        </w:rPr>
        <w:t xml:space="preserve"> single or multiple</w:t>
      </w:r>
      <w:r>
        <w:rPr>
          <w:rFonts w:cs="Tms Rmn"/>
          <w:color w:val="000000" w:themeColor="text1"/>
          <w:lang w:bidi="th-TH"/>
        </w:rPr>
        <w:t xml:space="preserve"> (depending on the local context)</w:t>
      </w:r>
      <w:r w:rsidRPr="2DAED039">
        <w:rPr>
          <w:rFonts w:cs="Tms Rmn"/>
          <w:color w:val="000000" w:themeColor="text1"/>
          <w:lang w:bidi="th-TH"/>
        </w:rPr>
        <w:t xml:space="preserve"> areas included in the</w:t>
      </w:r>
      <w:r w:rsidRPr="00ED043F">
        <w:rPr>
          <w:lang w:bidi="th-TH"/>
        </w:rPr>
        <w:t xml:space="preserve"> </w:t>
      </w:r>
      <w:r w:rsidRPr="00B450C8">
        <w:t>decarbonization</w:t>
      </w:r>
      <w:r w:rsidRPr="00B450C8">
        <w:rPr>
          <w:lang w:bidi="th-TH"/>
        </w:rPr>
        <w:t xml:space="preserve"> framework</w:t>
      </w:r>
      <w:r w:rsidRPr="2DAED039">
        <w:rPr>
          <w:rFonts w:cs="Tms Rmn"/>
          <w:color w:val="000000" w:themeColor="text1"/>
          <w:lang w:bidi="th-TH"/>
        </w:rPr>
        <w:t>.</w:t>
      </w:r>
    </w:p>
    <w:p w14:paraId="67CB9FFA" w14:textId="77777777" w:rsidR="00861753" w:rsidRPr="00E83CFE" w:rsidRDefault="00861753" w:rsidP="00861753">
      <w:pPr>
        <w:pStyle w:val="SingleTxtG"/>
        <w:rPr>
          <w:b/>
          <w:bCs/>
          <w:lang w:val="en-US" w:bidi="th-TH"/>
        </w:rPr>
      </w:pPr>
      <w:r w:rsidRPr="002C0FF6">
        <w:rPr>
          <w:b/>
          <w:bCs/>
          <w:lang w:val="en-US" w:bidi="th-TH"/>
        </w:rPr>
        <w:t>AVOID</w:t>
      </w:r>
    </w:p>
    <w:p w14:paraId="09C53AED" w14:textId="77777777" w:rsidR="00861753" w:rsidRPr="003807A3" w:rsidRDefault="00861753" w:rsidP="00861753">
      <w:pPr>
        <w:pStyle w:val="SingleTxtG"/>
        <w:rPr>
          <w:lang w:bidi="th-TH"/>
        </w:rPr>
      </w:pPr>
      <w:r>
        <w:rPr>
          <w:lang w:bidi="th-TH"/>
        </w:rPr>
        <w:t>23</w:t>
      </w:r>
      <w:r w:rsidRPr="381D57AC">
        <w:rPr>
          <w:lang w:bidi="th-TH"/>
        </w:rPr>
        <w:t>.</w:t>
      </w:r>
      <w:r>
        <w:rPr>
          <w:lang w:bidi="th-TH"/>
        </w:rPr>
        <w:tab/>
        <w:t>T</w:t>
      </w:r>
      <w:r w:rsidRPr="381D57AC">
        <w:rPr>
          <w:lang w:bidi="th-TH"/>
        </w:rPr>
        <w:t xml:space="preserve">he ITC and its subsidiary bodies </w:t>
      </w:r>
      <w:r>
        <w:rPr>
          <w:lang w:bidi="th-TH"/>
        </w:rPr>
        <w:t xml:space="preserve">may </w:t>
      </w:r>
      <w:r w:rsidRPr="381D57AC">
        <w:rPr>
          <w:lang w:bidi="th-TH"/>
        </w:rPr>
        <w:t>contribute to th</w:t>
      </w:r>
      <w:r>
        <w:rPr>
          <w:lang w:bidi="th-TH"/>
        </w:rPr>
        <w:t>e</w:t>
      </w:r>
      <w:r w:rsidRPr="381D57AC">
        <w:rPr>
          <w:lang w:bidi="th-TH"/>
        </w:rPr>
        <w:t xml:space="preserve"> area of the </w:t>
      </w:r>
      <w:r>
        <w:rPr>
          <w:lang w:bidi="th-TH"/>
        </w:rPr>
        <w:t>“</w:t>
      </w:r>
      <w:r w:rsidRPr="381D57AC">
        <w:rPr>
          <w:lang w:bidi="th-TH"/>
        </w:rPr>
        <w:t>avoid</w:t>
      </w:r>
      <w:r>
        <w:rPr>
          <w:lang w:bidi="th-TH"/>
        </w:rPr>
        <w:t>”</w:t>
      </w:r>
      <w:r w:rsidRPr="381D57AC">
        <w:rPr>
          <w:lang w:bidi="th-TH"/>
        </w:rPr>
        <w:t xml:space="preserve"> through the development of </w:t>
      </w:r>
      <w:r>
        <w:rPr>
          <w:lang w:bidi="th-TH"/>
        </w:rPr>
        <w:t xml:space="preserve">tools and </w:t>
      </w:r>
      <w:r w:rsidRPr="381D57AC">
        <w:rPr>
          <w:lang w:bidi="th-TH"/>
        </w:rPr>
        <w:t xml:space="preserve">resource materials such as </w:t>
      </w:r>
      <w:r>
        <w:rPr>
          <w:lang w:bidi="th-TH"/>
        </w:rPr>
        <w:t xml:space="preserve">toolkit, </w:t>
      </w:r>
      <w:r w:rsidRPr="381D57AC">
        <w:rPr>
          <w:lang w:bidi="th-TH"/>
        </w:rPr>
        <w:t xml:space="preserve">publications and guidelines </w:t>
      </w:r>
      <w:r w:rsidRPr="381D57AC" w:rsidDel="00686C8F">
        <w:rPr>
          <w:lang w:bidi="th-TH"/>
        </w:rPr>
        <w:t xml:space="preserve">on increasing </w:t>
      </w:r>
      <w:r w:rsidRPr="00B450C8" w:rsidDel="00686C8F">
        <w:rPr>
          <w:lang w:bidi="th-TH"/>
        </w:rPr>
        <w:t>transport efficiency</w:t>
      </w:r>
      <w:r w:rsidRPr="381D57AC">
        <w:rPr>
          <w:lang w:bidi="th-TH"/>
        </w:rPr>
        <w:t xml:space="preserve">. </w:t>
      </w:r>
      <w:r w:rsidRPr="00B450C8">
        <w:rPr>
          <w:lang w:bidi="th-TH"/>
        </w:rPr>
        <w:t>For example, advocating for more transport-oriented and compact urban development and better integration of residential, work and recreational neighbourhoods in cooperation with urban planning can significantly reduce the length of trips and the need for motorized travel in general, while making a positive contribution to active mobility.</w:t>
      </w:r>
    </w:p>
    <w:p w14:paraId="6E72484C" w14:textId="77777777" w:rsidR="00861753" w:rsidRPr="00DC1189" w:rsidRDefault="00861753" w:rsidP="00861753">
      <w:pPr>
        <w:pStyle w:val="SingleTxtG"/>
        <w:rPr>
          <w:b/>
          <w:bCs/>
          <w:lang w:bidi="th-TH"/>
        </w:rPr>
      </w:pPr>
      <w:r w:rsidRPr="00DC1189">
        <w:rPr>
          <w:b/>
          <w:bCs/>
          <w:lang w:bidi="th-TH"/>
        </w:rPr>
        <w:t>SHIFT</w:t>
      </w:r>
    </w:p>
    <w:p w14:paraId="314C8046" w14:textId="77777777" w:rsidR="00861753" w:rsidRDefault="00861753" w:rsidP="00861753">
      <w:pPr>
        <w:pStyle w:val="SingleTxtG"/>
        <w:rPr>
          <w:lang w:bidi="th-TH"/>
        </w:rPr>
      </w:pPr>
      <w:r>
        <w:rPr>
          <w:lang w:bidi="th-TH"/>
        </w:rPr>
        <w:t>24.</w:t>
      </w:r>
      <w:r>
        <w:rPr>
          <w:lang w:bidi="th-TH"/>
        </w:rPr>
        <w:tab/>
      </w:r>
      <w:r w:rsidRPr="2DAED039">
        <w:rPr>
          <w:lang w:bidi="th-TH"/>
        </w:rPr>
        <w:t>The United Nations inland transport</w:t>
      </w:r>
      <w:r w:rsidRPr="2DAED039" w:rsidDel="00705B8E">
        <w:rPr>
          <w:lang w:bidi="th-TH"/>
        </w:rPr>
        <w:t xml:space="preserve"> </w:t>
      </w:r>
      <w:r w:rsidRPr="2DAED039">
        <w:rPr>
          <w:lang w:bidi="th-TH"/>
        </w:rPr>
        <w:t>infrastructure agreements support or have the potential to support the shift to low</w:t>
      </w:r>
      <w:r>
        <w:rPr>
          <w:lang w:bidi="th-TH"/>
        </w:rPr>
        <w:t>- and zero-</w:t>
      </w:r>
      <w:r w:rsidRPr="2DAED039">
        <w:rPr>
          <w:lang w:bidi="th-TH"/>
        </w:rPr>
        <w:t xml:space="preserve">carbon, sustainable transport modes and operations. Agreements such as the </w:t>
      </w:r>
      <w:r w:rsidRPr="003807A3">
        <w:rPr>
          <w:lang w:bidi="th-TH"/>
        </w:rPr>
        <w:t>European Agreement on Main International Railway Lines (AGC)</w:t>
      </w:r>
      <w:r w:rsidRPr="2DAED039">
        <w:rPr>
          <w:lang w:bidi="th-TH"/>
        </w:rPr>
        <w:t xml:space="preserve"> or the E</w:t>
      </w:r>
      <w:r w:rsidRPr="003807A3">
        <w:rPr>
          <w:lang w:bidi="th-TH"/>
        </w:rPr>
        <w:t xml:space="preserve">uropean Agreement on Main Inland Waterways of International Importance (AGN) </w:t>
      </w:r>
      <w:r w:rsidRPr="2DAED039">
        <w:rPr>
          <w:lang w:bidi="th-TH"/>
        </w:rPr>
        <w:t xml:space="preserve">provide the prerequisites for the necessary infrastructure to enable the modal shift from road to rail and inland waterways. The </w:t>
      </w:r>
      <w:r w:rsidRPr="003807A3">
        <w:rPr>
          <w:lang w:bidi="th-TH"/>
        </w:rPr>
        <w:t>European Agreement on Important International Combined Transport Lines and Related Installations (AGTC)</w:t>
      </w:r>
      <w:r w:rsidRPr="2DAED039">
        <w:rPr>
          <w:lang w:bidi="th-TH"/>
        </w:rPr>
        <w:t xml:space="preserve"> promotes multimodal transport to alleviate the burden on the European road network and mitigate environmental damages</w:t>
      </w:r>
      <w:r w:rsidRPr="35B4EAD5">
        <w:rPr>
          <w:lang w:bidi="th-TH"/>
        </w:rPr>
        <w:t>.</w:t>
      </w:r>
      <w:r w:rsidRPr="009C7C63">
        <w:rPr>
          <w:lang w:bidi="th-TH"/>
        </w:rPr>
        <w:t xml:space="preserve"> The Model Rules on the Permanent Identification of Railway Rolling Stock</w:t>
      </w:r>
      <w:r w:rsidRPr="12D3677E">
        <w:rPr>
          <w:lang w:bidi="th-TH"/>
        </w:rPr>
        <w:t xml:space="preserve"> aim at </w:t>
      </w:r>
      <w:r w:rsidRPr="5A74A4CB">
        <w:rPr>
          <w:lang w:bidi="th-TH"/>
        </w:rPr>
        <w:t xml:space="preserve">facilitating investment in </w:t>
      </w:r>
      <w:r w:rsidRPr="73BC5C6B">
        <w:rPr>
          <w:lang w:bidi="th-TH"/>
        </w:rPr>
        <w:t xml:space="preserve">railway rolling stock to increase the </w:t>
      </w:r>
      <w:r w:rsidRPr="3EB25DEC">
        <w:rPr>
          <w:lang w:bidi="th-TH"/>
        </w:rPr>
        <w:t>shift</w:t>
      </w:r>
      <w:r w:rsidRPr="70D3A545">
        <w:rPr>
          <w:lang w:bidi="th-TH"/>
        </w:rPr>
        <w:t xml:space="preserve"> </w:t>
      </w:r>
      <w:r w:rsidRPr="67F219C6">
        <w:rPr>
          <w:lang w:bidi="th-TH"/>
        </w:rPr>
        <w:t>from road to rail</w:t>
      </w:r>
      <w:r>
        <w:rPr>
          <w:lang w:bidi="th-TH"/>
        </w:rPr>
        <w:t>.</w:t>
      </w:r>
    </w:p>
    <w:p w14:paraId="5EE1D039" w14:textId="77777777" w:rsidR="00861753" w:rsidRPr="00E23734" w:rsidRDefault="00861753" w:rsidP="00861753">
      <w:pPr>
        <w:pStyle w:val="SingleTxtG"/>
      </w:pPr>
      <w:r>
        <w:rPr>
          <w:lang w:bidi="th-TH"/>
        </w:rPr>
        <w:t>25</w:t>
      </w:r>
      <w:r w:rsidRPr="4C343965">
        <w:rPr>
          <w:lang w:bidi="th-TH"/>
        </w:rPr>
        <w:t>.</w:t>
      </w:r>
      <w:r>
        <w:rPr>
          <w:lang w:bidi="th-TH"/>
        </w:rPr>
        <w:tab/>
      </w:r>
      <w:r w:rsidRPr="4C343965">
        <w:rPr>
          <w:lang w:bidi="th-TH"/>
        </w:rPr>
        <w:t>Road traffic conventions such as the Convention on Road Traffic (1968) or the Convention on Road Signs and Signals are instrumental for ensuring that decarbonization policies do not simultaneously have a negative impact on road traffic safety. Expanding these legal instruments could further support the shift to cycling by providing a safe environment for cyclists in roa</w:t>
      </w:r>
      <w:r w:rsidRPr="00E23734">
        <w:rPr>
          <w:lang w:bidi="th-TH"/>
        </w:rPr>
        <w:t xml:space="preserve">d traffic. </w:t>
      </w:r>
    </w:p>
    <w:p w14:paraId="17FE0FE6" w14:textId="77777777" w:rsidR="00861753" w:rsidRPr="007F5B34" w:rsidRDefault="00861753" w:rsidP="00861753">
      <w:pPr>
        <w:pStyle w:val="SingleTxtG"/>
        <w:rPr>
          <w:lang w:bidi="th-TH"/>
        </w:rPr>
      </w:pPr>
      <w:r w:rsidRPr="007F5B34">
        <w:t>26.</w:t>
      </w:r>
      <w:r w:rsidRPr="007F5B34">
        <w:tab/>
        <w:t>In terms of cycle infrastructure, a convention on cycle route network could be explored on the basis of the ongoing work of WP.5 and THE PEP.</w:t>
      </w:r>
    </w:p>
    <w:p w14:paraId="08B4A155" w14:textId="77777777" w:rsidR="00861753" w:rsidRPr="00DC1189" w:rsidRDefault="00861753" w:rsidP="00861753">
      <w:pPr>
        <w:pStyle w:val="SingleTxtG"/>
        <w:rPr>
          <w:b/>
          <w:bCs/>
          <w:lang w:bidi="th-TH"/>
        </w:rPr>
      </w:pPr>
      <w:r w:rsidRPr="00DC1189">
        <w:rPr>
          <w:b/>
          <w:bCs/>
          <w:lang w:bidi="th-TH"/>
        </w:rPr>
        <w:t>IMPROVE</w:t>
      </w:r>
    </w:p>
    <w:p w14:paraId="149DE4E4" w14:textId="77777777" w:rsidR="00861753" w:rsidRPr="008A272F" w:rsidRDefault="00861753" w:rsidP="00861753">
      <w:pPr>
        <w:pStyle w:val="SingleTxtG"/>
        <w:rPr>
          <w:lang w:bidi="th-TH"/>
        </w:rPr>
      </w:pPr>
      <w:r w:rsidRPr="008A272F">
        <w:rPr>
          <w:lang w:bidi="th-TH"/>
        </w:rPr>
        <w:t>2</w:t>
      </w:r>
      <w:r>
        <w:rPr>
          <w:lang w:bidi="th-TH"/>
        </w:rPr>
        <w:t>7</w:t>
      </w:r>
      <w:r w:rsidRPr="008A272F">
        <w:rPr>
          <w:lang w:bidi="th-TH"/>
        </w:rPr>
        <w:t>.</w:t>
      </w:r>
      <w:r w:rsidRPr="008A272F">
        <w:rPr>
          <w:lang w:bidi="th-TH"/>
        </w:rPr>
        <w:tab/>
        <w:t>The globally-harmonized</w:t>
      </w:r>
      <w:r w:rsidRPr="008A272F" w:rsidDel="000632D1">
        <w:rPr>
          <w:lang w:bidi="th-TH"/>
        </w:rPr>
        <w:t xml:space="preserve"> </w:t>
      </w:r>
      <w:r w:rsidRPr="008A272F">
        <w:rPr>
          <w:lang w:bidi="th-TH"/>
        </w:rPr>
        <w:t xml:space="preserve">United Nations Vehicle Regulations, developed and adopted under the auspices of the </w:t>
      </w:r>
      <w:r w:rsidRPr="00DC1189">
        <w:rPr>
          <w:rStyle w:val="normaltextrun"/>
          <w:color w:val="000000"/>
          <w:shd w:val="clear" w:color="auto" w:fill="FFFFFF"/>
        </w:rPr>
        <w:t xml:space="preserve">Agreement concerning the Adoption of Harmonized Technical United Nations Regulations for Wheeled Vehicles, Equipment and Parts which can be Fitted and/or be Used on Wheeled Vehicles and the Conditions for Reciprocal Recognition of </w:t>
      </w:r>
      <w:r w:rsidRPr="00DC1189">
        <w:rPr>
          <w:rStyle w:val="normaltextrun"/>
          <w:shd w:val="clear" w:color="auto" w:fill="FFFFFF"/>
        </w:rPr>
        <w:t>Approvals Granted on the Basis of these United Nations Regulations (1958 Agreement)</w:t>
      </w:r>
      <w:r w:rsidRPr="008A272F">
        <w:rPr>
          <w:rStyle w:val="normaltextrun"/>
          <w:shd w:val="clear" w:color="auto" w:fill="FFFFFF"/>
        </w:rPr>
        <w:t>, as well as the Global Technical Regulations established according to the A</w:t>
      </w:r>
      <w:r w:rsidRPr="00DC1189">
        <w:rPr>
          <w:rStyle w:val="normaltextrun"/>
          <w:shd w:val="clear" w:color="auto" w:fill="FFFFFF"/>
        </w:rPr>
        <w:t>greement concerning the Establishing of Global Technical Regulations for Wheeled Vehicles, Equipment and Parts which can be fitted and/or be used on Wheeled Vehicles (1998 Agreement)</w:t>
      </w:r>
      <w:r w:rsidRPr="008A272F">
        <w:rPr>
          <w:rStyle w:val="normaltextrun"/>
          <w:shd w:val="clear" w:color="auto" w:fill="FFFFFF"/>
        </w:rPr>
        <w:t xml:space="preserve"> contribute to improving vehicles and their operation. Similarly, the infrastructure agreements under the purview of the ITC, such as the </w:t>
      </w:r>
      <w:r w:rsidRPr="00DC1189">
        <w:rPr>
          <w:rStyle w:val="normaltextrun"/>
          <w:shd w:val="clear" w:color="auto" w:fill="FFFFFF"/>
        </w:rPr>
        <w:t>European Agreement on Main International Traffic Arteries (AGR)</w:t>
      </w:r>
      <w:r w:rsidRPr="008A272F">
        <w:rPr>
          <w:rStyle w:val="normaltextrun"/>
          <w:shd w:val="clear" w:color="auto" w:fill="FFFFFF"/>
        </w:rPr>
        <w:t xml:space="preserve"> or the </w:t>
      </w:r>
      <w:r w:rsidRPr="00DC1189">
        <w:rPr>
          <w:rStyle w:val="normaltextrun"/>
          <w:shd w:val="clear" w:color="auto" w:fill="FFFFFF"/>
        </w:rPr>
        <w:t>AGTC</w:t>
      </w:r>
      <w:r w:rsidRPr="008A272F">
        <w:rPr>
          <w:rStyle w:val="normaltextrun"/>
          <w:shd w:val="clear" w:color="auto" w:fill="FFFFFF"/>
        </w:rPr>
        <w:t xml:space="preserve"> further contribute to improving inland transport infrastructure. Their climate change mitigation </w:t>
      </w:r>
      <w:r w:rsidRPr="0045455E">
        <w:rPr>
          <w:rStyle w:val="normaltextrun"/>
        </w:rPr>
        <w:t>relevance</w:t>
      </w:r>
      <w:r w:rsidRPr="008A272F">
        <w:rPr>
          <w:rStyle w:val="normaltextrun"/>
          <w:shd w:val="clear" w:color="auto" w:fill="FFFFFF"/>
        </w:rPr>
        <w:t xml:space="preserve"> could further be amplified through including additional parameters on the availability of e.g., EV charging infrastructure, including fast chargers, for road vehicles and heavy-duty vehicles, or hydrogen refilling stations.</w:t>
      </w:r>
    </w:p>
    <w:p w14:paraId="0862BC59" w14:textId="77777777" w:rsidR="00861753" w:rsidRPr="00581867" w:rsidRDefault="00861753" w:rsidP="00861753">
      <w:pPr>
        <w:pStyle w:val="SingleTxtG"/>
        <w:rPr>
          <w:rStyle w:val="normaltextrun"/>
          <w:rFonts w:eastAsia="Calibri"/>
        </w:rPr>
      </w:pPr>
      <w:r w:rsidRPr="008A272F">
        <w:rPr>
          <w:rStyle w:val="normaltextrun"/>
        </w:rPr>
        <w:t>2</w:t>
      </w:r>
      <w:r>
        <w:rPr>
          <w:rStyle w:val="normaltextrun"/>
        </w:rPr>
        <w:t>8</w:t>
      </w:r>
      <w:r w:rsidRPr="008A272F">
        <w:rPr>
          <w:rStyle w:val="normaltextrun"/>
        </w:rPr>
        <w:t>.</w:t>
      </w:r>
      <w:r w:rsidRPr="008A272F">
        <w:rPr>
          <w:rStyle w:val="normaltextrun"/>
        </w:rPr>
        <w:tab/>
        <w:t xml:space="preserve">ITC administered legal instruments in the field of border crossing facilitation, including the </w:t>
      </w:r>
      <w:r w:rsidRPr="00DC1189">
        <w:rPr>
          <w:rStyle w:val="normaltextrun"/>
        </w:rPr>
        <w:t>Customs</w:t>
      </w:r>
      <w:r w:rsidRPr="00DC1189">
        <w:rPr>
          <w:rStyle w:val="normaltextrun"/>
          <w:rFonts w:eastAsia="Arial"/>
        </w:rPr>
        <w:t xml:space="preserve"> Convention on the International </w:t>
      </w:r>
      <w:r w:rsidRPr="0045455E">
        <w:rPr>
          <w:rStyle w:val="normaltextrun"/>
          <w:rFonts w:eastAsia="Arial"/>
        </w:rPr>
        <w:t>Transport</w:t>
      </w:r>
      <w:r w:rsidRPr="00DC1189">
        <w:rPr>
          <w:rStyle w:val="normaltextrun"/>
          <w:rFonts w:eastAsia="Arial"/>
        </w:rPr>
        <w:t xml:space="preserve"> of Goods under Cover of TIR Carnets</w:t>
      </w:r>
      <w:r w:rsidRPr="008A272F">
        <w:rPr>
          <w:rStyle w:val="normaltextrun"/>
          <w:rFonts w:eastAsia="Arial"/>
        </w:rPr>
        <w:t xml:space="preserve"> (TIR Convention, 1975</w:t>
      </w:r>
      <w:r w:rsidRPr="008A272F">
        <w:rPr>
          <w:rStyle w:val="normaltextrun"/>
        </w:rPr>
        <w:t xml:space="preserve">) and the </w:t>
      </w:r>
      <w:r w:rsidRPr="00DC1189">
        <w:rPr>
          <w:rStyle w:val="normaltextrun"/>
        </w:rPr>
        <w:t>International</w:t>
      </w:r>
      <w:r w:rsidRPr="00DC1189">
        <w:rPr>
          <w:rStyle w:val="normaltextrun"/>
          <w:rFonts w:eastAsia="Arial"/>
        </w:rPr>
        <w:t xml:space="preserve"> </w:t>
      </w:r>
      <w:r w:rsidRPr="00DC1189">
        <w:rPr>
          <w:rStyle w:val="normaltextrun"/>
        </w:rPr>
        <w:t>Convention on the Harmonization of Frontier Controls of Goods,</w:t>
      </w:r>
      <w:r w:rsidRPr="4ABCD13E">
        <w:rPr>
          <w:rStyle w:val="normaltextrun"/>
        </w:rPr>
        <w:t xml:space="preserve"> not only provide guidance on </w:t>
      </w:r>
      <w:r w:rsidRPr="4ABCD13E">
        <w:t xml:space="preserve">streamlining administrative </w:t>
      </w:r>
      <w:r w:rsidRPr="4ABCD13E">
        <w:lastRenderedPageBreak/>
        <w:t>procedures and remove cross-border technical barriers</w:t>
      </w:r>
      <w:r>
        <w:t>,</w:t>
      </w:r>
      <w:r w:rsidRPr="4ABCD13E">
        <w:rPr>
          <w:rStyle w:val="normaltextrun"/>
        </w:rPr>
        <w:t xml:space="preserve"> but also refer to the infrastructure related lay-out of border crossings</w:t>
      </w:r>
      <w:r>
        <w:rPr>
          <w:rStyle w:val="normaltextrun"/>
        </w:rPr>
        <w:t>, which</w:t>
      </w:r>
      <w:r w:rsidRPr="23AC54C0">
        <w:rPr>
          <w:rStyle w:val="normaltextrun"/>
        </w:rPr>
        <w:t xml:space="preserve"> </w:t>
      </w:r>
      <w:r w:rsidRPr="00CE2E2C">
        <w:rPr>
          <w:rStyle w:val="normaltextrun"/>
        </w:rPr>
        <w:t>impact the levels of traffic congestion induced emissions at respective national borders and in border regions</w:t>
      </w:r>
      <w:r w:rsidRPr="27C1529F">
        <w:rPr>
          <w:rStyle w:val="normaltextrun"/>
        </w:rPr>
        <w:t>.</w:t>
      </w:r>
      <w:r w:rsidRPr="4ABCD13E">
        <w:rPr>
          <w:rStyle w:val="normaltextrun"/>
        </w:rPr>
        <w:t xml:space="preserve"> The climate change mitigation relevance of these instruments could be strengthened through including additional provisions</w:t>
      </w:r>
      <w:r>
        <w:rPr>
          <w:rStyle w:val="normaltextrun"/>
        </w:rPr>
        <w:t xml:space="preserve"> or</w:t>
      </w:r>
      <w:r w:rsidRPr="4ABCD13E">
        <w:rPr>
          <w:rStyle w:val="normaltextrun"/>
        </w:rPr>
        <w:t xml:space="preserve"> recommendations </w:t>
      </w:r>
      <w:r w:rsidRPr="2D0ED78F">
        <w:rPr>
          <w:rStyle w:val="normaltextrun"/>
        </w:rPr>
        <w:t xml:space="preserve">related to the </w:t>
      </w:r>
      <w:r w:rsidRPr="0045455E">
        <w:rPr>
          <w:rStyle w:val="normaltextrun"/>
        </w:rPr>
        <w:t>mandatory</w:t>
      </w:r>
      <w:r w:rsidRPr="2D0ED78F">
        <w:rPr>
          <w:rStyle w:val="normaltextrun"/>
        </w:rPr>
        <w:t xml:space="preserve"> use of electronic </w:t>
      </w:r>
      <w:r w:rsidRPr="2329247D">
        <w:rPr>
          <w:rStyle w:val="normaltextrun"/>
        </w:rPr>
        <w:t xml:space="preserve">documents and digital solutions as well </w:t>
      </w:r>
      <w:r>
        <w:rPr>
          <w:rStyle w:val="normaltextrun"/>
        </w:rPr>
        <w:t xml:space="preserve">as </w:t>
      </w:r>
      <w:r w:rsidRPr="0189A954">
        <w:rPr>
          <w:rStyle w:val="normaltextrun"/>
        </w:rPr>
        <w:t>through</w:t>
      </w:r>
      <w:r w:rsidRPr="4ABCD13E">
        <w:rPr>
          <w:rStyle w:val="normaltextrun"/>
        </w:rPr>
        <w:t xml:space="preserve"> </w:t>
      </w:r>
      <w:r w:rsidRPr="4D1AA1B3">
        <w:rPr>
          <w:rStyle w:val="normaltextrun"/>
        </w:rPr>
        <w:t>infrastructure</w:t>
      </w:r>
      <w:r>
        <w:rPr>
          <w:rStyle w:val="normaltextrun"/>
        </w:rPr>
        <w:t>-</w:t>
      </w:r>
      <w:r w:rsidRPr="0033FED2">
        <w:rPr>
          <w:rStyle w:val="normaltextrun"/>
        </w:rPr>
        <w:t xml:space="preserve">related adaptations </w:t>
      </w:r>
      <w:r w:rsidRPr="2E1BB6BF">
        <w:rPr>
          <w:rStyle w:val="normaltextrun"/>
        </w:rPr>
        <w:t xml:space="preserve">such </w:t>
      </w:r>
      <w:r>
        <w:rPr>
          <w:rStyle w:val="normaltextrun"/>
        </w:rPr>
        <w:t xml:space="preserve">as </w:t>
      </w:r>
      <w:r w:rsidRPr="2E1BB6BF">
        <w:rPr>
          <w:rStyle w:val="normaltextrun"/>
        </w:rPr>
        <w:t>the</w:t>
      </w:r>
      <w:r w:rsidRPr="4ABCD13E">
        <w:rPr>
          <w:rStyle w:val="normaltextrun"/>
        </w:rPr>
        <w:t xml:space="preserve"> introduction of fast lanes for </w:t>
      </w:r>
      <w:r>
        <w:rPr>
          <w:rStyle w:val="normaltextrun"/>
        </w:rPr>
        <w:t>heavy-duty vehicles (</w:t>
      </w:r>
      <w:r w:rsidRPr="4ABCD13E">
        <w:rPr>
          <w:rStyle w:val="normaltextrun"/>
        </w:rPr>
        <w:t>HDVs</w:t>
      </w:r>
      <w:r>
        <w:rPr>
          <w:rStyle w:val="normaltextrun"/>
        </w:rPr>
        <w:t>)</w:t>
      </w:r>
      <w:r w:rsidRPr="23AC54C0">
        <w:rPr>
          <w:rStyle w:val="normaltextrun"/>
        </w:rPr>
        <w:t xml:space="preserve"> </w:t>
      </w:r>
      <w:r>
        <w:rPr>
          <w:rStyle w:val="normaltextrun"/>
        </w:rPr>
        <w:t>equipped with low- and zero-carbon powertrain</w:t>
      </w:r>
      <w:r w:rsidRPr="3CD756DC">
        <w:rPr>
          <w:rStyle w:val="normaltextrun"/>
        </w:rPr>
        <w:t>.</w:t>
      </w:r>
      <w:r w:rsidRPr="2087A534">
        <w:rPr>
          <w:rStyle w:val="normaltextrun"/>
        </w:rPr>
        <w:t xml:space="preserve"> </w:t>
      </w:r>
      <w:r w:rsidRPr="00480800">
        <w:rPr>
          <w:rStyle w:val="normaltextrun"/>
          <w:rFonts w:eastAsia="Calibri"/>
        </w:rPr>
        <w:t xml:space="preserve">Further, the implementation of the </w:t>
      </w:r>
      <w:r w:rsidRPr="00DC1189">
        <w:rPr>
          <w:rStyle w:val="normaltextrun"/>
          <w:rFonts w:eastAsia="Calibri"/>
        </w:rPr>
        <w:t>Additional Protocol to the Convention on the Contract for the International Carriage of Goods by Road concerning the Electronic Consignment Note</w:t>
      </w:r>
      <w:r w:rsidRPr="00480800">
        <w:rPr>
          <w:rStyle w:val="normaltextrun"/>
          <w:rFonts w:eastAsia="Calibri"/>
        </w:rPr>
        <w:t xml:space="preserve"> would mean that waiting and queuing times at borders for trucks would be reduced, hence reducing GHG emissions, with a great reduction in paper usage for the millions of paper consignment notes created annually.</w:t>
      </w:r>
    </w:p>
    <w:p w14:paraId="4EE05AAD" w14:textId="77777777" w:rsidR="00861753" w:rsidRPr="00DC1189" w:rsidRDefault="00861753" w:rsidP="00861753">
      <w:pPr>
        <w:pStyle w:val="SingleTxtG"/>
        <w:rPr>
          <w:rStyle w:val="normaltextrun"/>
          <w:b/>
          <w:bCs/>
        </w:rPr>
      </w:pPr>
      <w:r w:rsidRPr="00DC1189">
        <w:rPr>
          <w:rStyle w:val="normaltextrun"/>
          <w:b/>
          <w:bCs/>
        </w:rPr>
        <w:t>WAY AHEAD IN CLIMATE CHANGE MITIGATION PROOFING OF THE INLAND TRANSPORT REGULATORY FRAMEWORK</w:t>
      </w:r>
    </w:p>
    <w:p w14:paraId="10038F78" w14:textId="77777777" w:rsidR="00861753" w:rsidRPr="004D23D2" w:rsidRDefault="00861753" w:rsidP="00861753">
      <w:pPr>
        <w:pStyle w:val="SingleTxtG"/>
        <w:rPr>
          <w:color w:val="000000"/>
          <w:highlight w:val="yellow"/>
          <w:lang w:bidi="th-TH"/>
        </w:rPr>
      </w:pPr>
      <w:r>
        <w:t>29.</w:t>
      </w:r>
      <w:r>
        <w:tab/>
        <w:t>In line with the strategic objective</w:t>
      </w:r>
      <w:r w:rsidRPr="26C67FF9">
        <w:rPr>
          <w:lang w:bidi="th-TH"/>
        </w:rPr>
        <w:t xml:space="preserve"> to strengthen and, where relevant, further elaborate the United Nations </w:t>
      </w:r>
      <w:r w:rsidRPr="004D23D2">
        <w:rPr>
          <w:lang w:bidi="th-TH"/>
        </w:rPr>
        <w:t>inland transport regulatory framework</w:t>
      </w:r>
      <w:r>
        <w:rPr>
          <w:lang w:bidi="th-TH"/>
        </w:rPr>
        <w:t xml:space="preserve">, the ITC subsidiary bodies should </w:t>
      </w:r>
      <w:r w:rsidRPr="4C343965">
        <w:rPr>
          <w:lang w:bidi="th-TH"/>
        </w:rPr>
        <w:t xml:space="preserve">ask </w:t>
      </w:r>
      <w:r w:rsidRPr="26C67FF9">
        <w:rPr>
          <w:lang w:bidi="th-TH"/>
        </w:rPr>
        <w:t xml:space="preserve">by all United Nations Member States, where feasible, aiming to further </w:t>
      </w:r>
      <w:r>
        <w:rPr>
          <w:lang w:bidi="th-TH"/>
        </w:rPr>
        <w:t>C</w:t>
      </w:r>
      <w:r w:rsidRPr="4C343965">
        <w:rPr>
          <w:lang w:bidi="th-TH"/>
        </w:rPr>
        <w:t xml:space="preserve">ontracting </w:t>
      </w:r>
      <w:r>
        <w:rPr>
          <w:lang w:bidi="th-TH"/>
        </w:rPr>
        <w:t>P</w:t>
      </w:r>
      <w:r w:rsidRPr="4C343965">
        <w:rPr>
          <w:lang w:bidi="th-TH"/>
        </w:rPr>
        <w:t xml:space="preserve">arties to </w:t>
      </w:r>
      <w:r>
        <w:rPr>
          <w:lang w:bidi="th-TH"/>
        </w:rPr>
        <w:t xml:space="preserve">systematically apply </w:t>
      </w:r>
      <w:r>
        <w:t>climate considerations when considering amendments to the legal instruments, e.g., through regularly updated work plans and a standing agenda item on climate impact assessment in each relevant Working Party. T</w:t>
      </w:r>
      <w:r w:rsidRPr="26C67FF9">
        <w:rPr>
          <w:lang w:bidi="th-TH"/>
        </w:rPr>
        <w:t xml:space="preserve">he legal instruments can be </w:t>
      </w:r>
      <w:r>
        <w:rPr>
          <w:lang w:bidi="th-TH"/>
        </w:rPr>
        <w:t>updated</w:t>
      </w:r>
      <w:r w:rsidRPr="4C343965">
        <w:rPr>
          <w:lang w:bidi="th-TH"/>
        </w:rPr>
        <w:t xml:space="preserve"> by </w:t>
      </w:r>
      <w:r>
        <w:rPr>
          <w:lang w:bidi="th-TH"/>
        </w:rPr>
        <w:t>C</w:t>
      </w:r>
      <w:r w:rsidRPr="4C343965">
        <w:rPr>
          <w:lang w:bidi="th-TH"/>
        </w:rPr>
        <w:t xml:space="preserve">ontracting </w:t>
      </w:r>
      <w:r>
        <w:rPr>
          <w:lang w:bidi="th-TH"/>
        </w:rPr>
        <w:t>P</w:t>
      </w:r>
      <w:r w:rsidRPr="4C343965">
        <w:rPr>
          <w:lang w:bidi="th-TH"/>
        </w:rPr>
        <w:t xml:space="preserve">arties </w:t>
      </w:r>
      <w:r w:rsidRPr="26C67FF9">
        <w:rPr>
          <w:lang w:bidi="th-TH"/>
        </w:rPr>
        <w:t>with additional clauses and/or Protocols; and additional legal instruments can be developed in support of the inland transport sector’s decarbonization. Opening the legal instruments</w:t>
      </w:r>
      <w:r>
        <w:rPr>
          <w:lang w:bidi="th-TH"/>
        </w:rPr>
        <w:t xml:space="preserve"> up</w:t>
      </w:r>
      <w:r w:rsidRPr="26C67FF9">
        <w:rPr>
          <w:lang w:bidi="th-TH"/>
        </w:rPr>
        <w:t xml:space="preserve"> for accession/ratification</w:t>
      </w:r>
      <w:r>
        <w:rPr>
          <w:lang w:bidi="th-TH"/>
        </w:rPr>
        <w:t xml:space="preserve"> can</w:t>
      </w:r>
      <w:r w:rsidRPr="26C67FF9">
        <w:rPr>
          <w:lang w:bidi="th-TH"/>
        </w:rPr>
        <w:t xml:space="preserve"> accelerate accessions from beyond the ECE region, will enable carrying further, along with their implementation, also their contribution to climate change abatement.</w:t>
      </w:r>
    </w:p>
    <w:p w14:paraId="55ACF73F" w14:textId="7842729D" w:rsidR="00A93267" w:rsidRDefault="00861753" w:rsidP="00861753">
      <w:pPr>
        <w:pStyle w:val="SingleTxtG"/>
        <w:sectPr w:rsidR="00A93267" w:rsidSect="0005529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r>
        <w:t>30.</w:t>
      </w:r>
      <w:r>
        <w:tab/>
        <w:t>To support implementation of the legal instruments more widely and promote the benefits of accession, it is indispensable to provide, under the auspices of the ITC’s institutional framework, capacity development and policy advice. In addition, ITC and its subsidiary bodies will aspire to further support the contribution of the legal instruments to climate change mitigation by developing respective analytical and technical guidance materials</w:t>
      </w:r>
      <w:r w:rsidR="00E05F12">
        <w:t>.</w:t>
      </w:r>
    </w:p>
    <w:p w14:paraId="1A2C4E1E" w14:textId="77777777" w:rsidR="00A33C04" w:rsidRPr="00363C8B" w:rsidRDefault="00FC7BA7" w:rsidP="00A33C04">
      <w:pPr>
        <w:pStyle w:val="HChG"/>
        <w:rPr>
          <w:lang w:bidi="th-TH"/>
        </w:rPr>
      </w:pPr>
      <w:r>
        <w:rPr>
          <w:lang w:bidi="th-TH"/>
        </w:rPr>
        <w:lastRenderedPageBreak/>
        <w:tab/>
      </w:r>
      <w:r w:rsidR="00A33C04">
        <w:rPr>
          <w:lang w:bidi="th-TH"/>
        </w:rPr>
        <w:t xml:space="preserve">V. </w:t>
      </w:r>
      <w:r w:rsidR="00A33C04">
        <w:rPr>
          <w:lang w:bidi="th-TH"/>
        </w:rPr>
        <w:tab/>
      </w:r>
      <w:r w:rsidR="00A33C04" w:rsidRPr="00363C8B">
        <w:rPr>
          <w:lang w:bidi="th-TH"/>
        </w:rPr>
        <w:t>I</w:t>
      </w:r>
      <w:r w:rsidR="00A33C04">
        <w:rPr>
          <w:lang w:bidi="th-TH"/>
        </w:rPr>
        <w:t>nitial I</w:t>
      </w:r>
      <w:r w:rsidR="00A33C04" w:rsidRPr="00363C8B">
        <w:rPr>
          <w:lang w:bidi="th-TH"/>
        </w:rPr>
        <w:t>TC Climate Action Plan with milestones– ITC to help deliver on climate goals and priorities</w:t>
      </w:r>
    </w:p>
    <w:p w14:paraId="30BD8EF8" w14:textId="77777777" w:rsidR="00A33C04" w:rsidRDefault="00A33C04" w:rsidP="00A33C04">
      <w:pPr>
        <w:pStyle w:val="SingleTxtG"/>
        <w:rPr>
          <w:lang w:bidi="th-TH"/>
        </w:rPr>
      </w:pPr>
      <w:r>
        <w:rPr>
          <w:lang w:bidi="th-TH"/>
        </w:rPr>
        <w:t xml:space="preserve">31. </w:t>
      </w:r>
      <w:r>
        <w:rPr>
          <w:lang w:bidi="th-TH"/>
        </w:rPr>
        <w:tab/>
      </w:r>
      <w:r w:rsidRPr="00225CC4">
        <w:rPr>
          <w:lang w:bidi="th-TH"/>
        </w:rPr>
        <w:t xml:space="preserve">The below action plan </w:t>
      </w:r>
      <w:r>
        <w:rPr>
          <w:lang w:bidi="th-TH"/>
        </w:rPr>
        <w:t xml:space="preserve">contains initial actions for ITC and its subsidiary bodies to drive the change towards achieving the </w:t>
      </w:r>
      <w:r w:rsidRPr="00225CC4">
        <w:rPr>
          <w:lang w:bidi="th-TH"/>
        </w:rPr>
        <w:t xml:space="preserve">vision, mission and strategic objectives for curbing </w:t>
      </w:r>
      <w:r>
        <w:rPr>
          <w:lang w:bidi="th-TH"/>
        </w:rPr>
        <w:t>GHG</w:t>
      </w:r>
      <w:r w:rsidRPr="00225CC4">
        <w:rPr>
          <w:lang w:bidi="th-TH"/>
        </w:rPr>
        <w:t xml:space="preserve"> emissions from inland transport</w:t>
      </w:r>
      <w:r>
        <w:rPr>
          <w:lang w:bidi="th-TH"/>
        </w:rPr>
        <w:t xml:space="preserve">. It comprises actions for specific ITC bodies, including joint and coordinated action among them. </w:t>
      </w:r>
      <w:r w:rsidRPr="009174C7">
        <w:rPr>
          <w:lang w:bidi="th-TH"/>
        </w:rPr>
        <w:t>The actions are organized according to and following the order of the strategic and horizontal objectives (arrows indicate subsequent actions, depending on the results of the previous action)</w:t>
      </w:r>
      <w:r>
        <w:rPr>
          <w:lang w:bidi="th-TH"/>
        </w:rPr>
        <w:t xml:space="preserve">. Indicative target years for implementation of each action are provided, which ITC can adjust depending on progress achieved. </w:t>
      </w:r>
    </w:p>
    <w:p w14:paraId="7322912A" w14:textId="77777777" w:rsidR="00A33C04" w:rsidRDefault="00A33C04" w:rsidP="00A33C04">
      <w:pPr>
        <w:pStyle w:val="SingleTxtG"/>
        <w:rPr>
          <w:lang w:bidi="th-TH"/>
        </w:rPr>
      </w:pPr>
      <w:r>
        <w:rPr>
          <w:lang w:bidi="th-TH"/>
        </w:rPr>
        <w:t>32.</w:t>
      </w:r>
      <w:r>
        <w:rPr>
          <w:lang w:bidi="th-TH"/>
        </w:rPr>
        <w:tab/>
        <w:t>The action plan should serve as a living document. ITC will adjust and/or include therein additional actions during the plan’s biennial review based on proposals made by its subsidiary bodies while completed actions will no longer be reflected in it. Actions targeting feasibility assessments will be considered by ITC or its subsidiary bodies based on the results stemming from these assessments so that follow-up actions are either implemented or terminated. In this way, ITC will manage this action plan.</w:t>
      </w:r>
    </w:p>
    <w:tbl>
      <w:tblPr>
        <w:tblW w:w="14317" w:type="dxa"/>
        <w:tblLayout w:type="fixed"/>
        <w:tblCellMar>
          <w:left w:w="0" w:type="dxa"/>
          <w:right w:w="0" w:type="dxa"/>
        </w:tblCellMar>
        <w:tblLook w:val="04A0" w:firstRow="1" w:lastRow="0" w:firstColumn="1" w:lastColumn="0" w:noHBand="0" w:noVBand="1"/>
      </w:tblPr>
      <w:tblGrid>
        <w:gridCol w:w="709"/>
        <w:gridCol w:w="8505"/>
        <w:gridCol w:w="1134"/>
        <w:gridCol w:w="1042"/>
        <w:gridCol w:w="1226"/>
        <w:gridCol w:w="1701"/>
      </w:tblGrid>
      <w:tr w:rsidR="00A33C04" w:rsidRPr="00697CC6" w14:paraId="5665F58A" w14:textId="77777777" w:rsidTr="0047139C">
        <w:trPr>
          <w:trHeight w:val="300"/>
          <w:tblHeader/>
        </w:trPr>
        <w:tc>
          <w:tcPr>
            <w:tcW w:w="709" w:type="dxa"/>
            <w:tcBorders>
              <w:top w:val="single" w:sz="4" w:space="0" w:color="auto"/>
              <w:bottom w:val="single" w:sz="12" w:space="0" w:color="auto"/>
            </w:tcBorders>
            <w:shd w:val="clear" w:color="auto" w:fill="auto"/>
            <w:noWrap/>
            <w:vAlign w:val="bottom"/>
            <w:hideMark/>
          </w:tcPr>
          <w:p w14:paraId="65C77764" w14:textId="77777777" w:rsidR="00A33C04" w:rsidRPr="00697CC6" w:rsidRDefault="00A33C04" w:rsidP="0047139C">
            <w:pPr>
              <w:spacing w:before="80" w:after="80" w:line="200" w:lineRule="exact"/>
              <w:ind w:right="113"/>
              <w:rPr>
                <w:i/>
                <w:sz w:val="16"/>
              </w:rPr>
            </w:pPr>
            <w:r>
              <w:rPr>
                <w:i/>
                <w:sz w:val="16"/>
              </w:rPr>
              <w:t>Action number</w:t>
            </w:r>
          </w:p>
        </w:tc>
        <w:tc>
          <w:tcPr>
            <w:tcW w:w="8505" w:type="dxa"/>
            <w:tcBorders>
              <w:top w:val="single" w:sz="4" w:space="0" w:color="auto"/>
              <w:bottom w:val="single" w:sz="12" w:space="0" w:color="auto"/>
            </w:tcBorders>
            <w:shd w:val="clear" w:color="auto" w:fill="auto"/>
            <w:noWrap/>
            <w:vAlign w:val="bottom"/>
            <w:hideMark/>
          </w:tcPr>
          <w:p w14:paraId="303C2D6B" w14:textId="77777777" w:rsidR="00A33C04" w:rsidRPr="00697CC6" w:rsidRDefault="00A33C04" w:rsidP="0047139C">
            <w:pPr>
              <w:spacing w:before="80" w:after="80" w:line="200" w:lineRule="exact"/>
              <w:ind w:right="113"/>
              <w:rPr>
                <w:i/>
                <w:sz w:val="16"/>
              </w:rPr>
            </w:pPr>
            <w:r>
              <w:rPr>
                <w:i/>
                <w:sz w:val="16"/>
              </w:rPr>
              <w:t>Specific action</w:t>
            </w:r>
          </w:p>
        </w:tc>
        <w:tc>
          <w:tcPr>
            <w:tcW w:w="1134" w:type="dxa"/>
            <w:tcBorders>
              <w:top w:val="single" w:sz="4" w:space="0" w:color="auto"/>
              <w:bottom w:val="single" w:sz="12" w:space="0" w:color="auto"/>
            </w:tcBorders>
            <w:shd w:val="clear" w:color="auto" w:fill="auto"/>
            <w:noWrap/>
            <w:vAlign w:val="bottom"/>
            <w:hideMark/>
          </w:tcPr>
          <w:p w14:paraId="0FA71F8A" w14:textId="77777777" w:rsidR="00A33C04" w:rsidRPr="00697CC6" w:rsidRDefault="00A33C04" w:rsidP="0047139C">
            <w:pPr>
              <w:spacing w:before="80" w:after="80" w:line="200" w:lineRule="exact"/>
              <w:ind w:right="113"/>
              <w:rPr>
                <w:i/>
                <w:sz w:val="16"/>
              </w:rPr>
            </w:pPr>
            <w:r w:rsidRPr="00697CC6">
              <w:rPr>
                <w:i/>
                <w:sz w:val="16"/>
              </w:rPr>
              <w:t>Target year</w:t>
            </w:r>
          </w:p>
        </w:tc>
        <w:tc>
          <w:tcPr>
            <w:tcW w:w="1042" w:type="dxa"/>
            <w:tcBorders>
              <w:top w:val="single" w:sz="4" w:space="0" w:color="auto"/>
              <w:bottom w:val="single" w:sz="12" w:space="0" w:color="auto"/>
            </w:tcBorders>
            <w:vAlign w:val="bottom"/>
          </w:tcPr>
          <w:p w14:paraId="1971B76B" w14:textId="77777777" w:rsidR="00A33C04" w:rsidRPr="00697CC6" w:rsidRDefault="00A33C04" w:rsidP="0047139C">
            <w:pPr>
              <w:spacing w:before="80" w:after="80" w:line="200" w:lineRule="exact"/>
              <w:ind w:right="113"/>
              <w:rPr>
                <w:i/>
                <w:sz w:val="16"/>
              </w:rPr>
            </w:pPr>
            <w:r>
              <w:rPr>
                <w:i/>
                <w:sz w:val="16"/>
              </w:rPr>
              <w:t xml:space="preserve">Related Objective(s) </w:t>
            </w:r>
          </w:p>
        </w:tc>
        <w:tc>
          <w:tcPr>
            <w:tcW w:w="1226" w:type="dxa"/>
            <w:tcBorders>
              <w:top w:val="single" w:sz="4" w:space="0" w:color="auto"/>
              <w:bottom w:val="single" w:sz="12" w:space="0" w:color="auto"/>
            </w:tcBorders>
            <w:shd w:val="clear" w:color="auto" w:fill="auto"/>
            <w:noWrap/>
            <w:vAlign w:val="bottom"/>
            <w:hideMark/>
          </w:tcPr>
          <w:p w14:paraId="3A9645E2" w14:textId="77777777" w:rsidR="00A33C04" w:rsidRPr="00697CC6" w:rsidRDefault="00A33C04" w:rsidP="0047139C">
            <w:pPr>
              <w:spacing w:before="80" w:after="80" w:line="200" w:lineRule="exact"/>
              <w:ind w:right="113"/>
              <w:rPr>
                <w:i/>
                <w:sz w:val="16"/>
              </w:rPr>
            </w:pPr>
            <w:r w:rsidRPr="00697CC6">
              <w:rPr>
                <w:i/>
                <w:sz w:val="16"/>
              </w:rPr>
              <w:t xml:space="preserve">ASI pillar </w:t>
            </w:r>
            <w:r>
              <w:rPr>
                <w:i/>
                <w:sz w:val="16"/>
              </w:rPr>
              <w:br/>
              <w:t>addressed</w:t>
            </w:r>
          </w:p>
        </w:tc>
        <w:tc>
          <w:tcPr>
            <w:tcW w:w="1701" w:type="dxa"/>
            <w:tcBorders>
              <w:top w:val="single" w:sz="4" w:space="0" w:color="auto"/>
              <w:bottom w:val="single" w:sz="12" w:space="0" w:color="auto"/>
            </w:tcBorders>
            <w:shd w:val="clear" w:color="auto" w:fill="auto"/>
            <w:noWrap/>
            <w:vAlign w:val="bottom"/>
            <w:hideMark/>
          </w:tcPr>
          <w:p w14:paraId="3203C9EA" w14:textId="77777777" w:rsidR="00A33C04" w:rsidRPr="00697CC6" w:rsidRDefault="00A33C04" w:rsidP="0047139C">
            <w:pPr>
              <w:spacing w:before="80" w:after="80" w:line="200" w:lineRule="exact"/>
              <w:ind w:right="113"/>
              <w:rPr>
                <w:i/>
                <w:sz w:val="16"/>
              </w:rPr>
            </w:pPr>
            <w:r w:rsidRPr="00697CC6">
              <w:rPr>
                <w:i/>
                <w:sz w:val="16"/>
              </w:rPr>
              <w:t>Responsible bodies</w:t>
            </w:r>
          </w:p>
        </w:tc>
      </w:tr>
      <w:tr w:rsidR="00A33C04" w:rsidRPr="00697CC6" w14:paraId="5D834FD3" w14:textId="77777777" w:rsidTr="0047139C">
        <w:trPr>
          <w:trHeight w:val="300"/>
          <w:tblHeader/>
        </w:trPr>
        <w:tc>
          <w:tcPr>
            <w:tcW w:w="709" w:type="dxa"/>
            <w:tcBorders>
              <w:top w:val="single" w:sz="4" w:space="0" w:color="auto"/>
              <w:bottom w:val="single" w:sz="12" w:space="0" w:color="auto"/>
            </w:tcBorders>
            <w:shd w:val="clear" w:color="auto" w:fill="auto"/>
            <w:noWrap/>
            <w:vAlign w:val="bottom"/>
          </w:tcPr>
          <w:p w14:paraId="20899FAD" w14:textId="77777777" w:rsidR="00A33C04" w:rsidRDefault="00A33C04" w:rsidP="0047139C">
            <w:pPr>
              <w:spacing w:before="80" w:after="80" w:line="200" w:lineRule="exact"/>
              <w:ind w:right="113"/>
              <w:rPr>
                <w:i/>
                <w:sz w:val="16"/>
              </w:rPr>
            </w:pPr>
          </w:p>
        </w:tc>
        <w:tc>
          <w:tcPr>
            <w:tcW w:w="8505" w:type="dxa"/>
            <w:tcBorders>
              <w:top w:val="single" w:sz="4" w:space="0" w:color="auto"/>
              <w:bottom w:val="single" w:sz="12" w:space="0" w:color="auto"/>
            </w:tcBorders>
            <w:shd w:val="clear" w:color="auto" w:fill="auto"/>
            <w:noWrap/>
            <w:vAlign w:val="bottom"/>
          </w:tcPr>
          <w:p w14:paraId="5ABF82F1" w14:textId="77777777" w:rsidR="00A33C04" w:rsidRDefault="00A33C04" w:rsidP="0047139C">
            <w:pPr>
              <w:spacing w:before="80" w:after="80" w:line="200" w:lineRule="exact"/>
              <w:ind w:right="113"/>
              <w:rPr>
                <w:i/>
                <w:sz w:val="16"/>
              </w:rPr>
            </w:pPr>
          </w:p>
        </w:tc>
        <w:tc>
          <w:tcPr>
            <w:tcW w:w="1134" w:type="dxa"/>
            <w:tcBorders>
              <w:top w:val="single" w:sz="4" w:space="0" w:color="auto"/>
              <w:bottom w:val="single" w:sz="12" w:space="0" w:color="auto"/>
            </w:tcBorders>
            <w:shd w:val="clear" w:color="auto" w:fill="auto"/>
            <w:noWrap/>
            <w:vAlign w:val="bottom"/>
          </w:tcPr>
          <w:p w14:paraId="000F4241" w14:textId="77777777" w:rsidR="00A33C04" w:rsidRPr="00697CC6" w:rsidRDefault="00A33C04" w:rsidP="0047139C">
            <w:pPr>
              <w:spacing w:before="80" w:after="80" w:line="200" w:lineRule="exact"/>
              <w:ind w:right="113"/>
              <w:rPr>
                <w:i/>
                <w:sz w:val="16"/>
              </w:rPr>
            </w:pPr>
          </w:p>
        </w:tc>
        <w:tc>
          <w:tcPr>
            <w:tcW w:w="1042" w:type="dxa"/>
            <w:tcBorders>
              <w:top w:val="single" w:sz="4" w:space="0" w:color="auto"/>
              <w:bottom w:val="single" w:sz="12" w:space="0" w:color="auto"/>
            </w:tcBorders>
            <w:vAlign w:val="bottom"/>
          </w:tcPr>
          <w:p w14:paraId="646D5DE6" w14:textId="77777777" w:rsidR="00A33C04" w:rsidRPr="00697CC6" w:rsidRDefault="00A33C04" w:rsidP="0047139C">
            <w:pPr>
              <w:spacing w:before="80" w:after="80" w:line="200" w:lineRule="exact"/>
              <w:ind w:right="113"/>
              <w:rPr>
                <w:i/>
                <w:sz w:val="16"/>
              </w:rPr>
            </w:pPr>
          </w:p>
        </w:tc>
        <w:tc>
          <w:tcPr>
            <w:tcW w:w="1226" w:type="dxa"/>
            <w:tcBorders>
              <w:top w:val="single" w:sz="4" w:space="0" w:color="auto"/>
              <w:bottom w:val="single" w:sz="12" w:space="0" w:color="auto"/>
            </w:tcBorders>
            <w:shd w:val="clear" w:color="auto" w:fill="auto"/>
            <w:noWrap/>
            <w:vAlign w:val="bottom"/>
          </w:tcPr>
          <w:p w14:paraId="52B839CA" w14:textId="77777777" w:rsidR="00A33C04" w:rsidRPr="00697CC6" w:rsidRDefault="00A33C04" w:rsidP="0047139C">
            <w:pPr>
              <w:spacing w:before="80" w:after="80" w:line="200" w:lineRule="exact"/>
              <w:ind w:right="113"/>
              <w:rPr>
                <w:i/>
                <w:sz w:val="16"/>
              </w:rPr>
            </w:pPr>
          </w:p>
        </w:tc>
        <w:tc>
          <w:tcPr>
            <w:tcW w:w="1701" w:type="dxa"/>
            <w:tcBorders>
              <w:top w:val="single" w:sz="4" w:space="0" w:color="auto"/>
              <w:bottom w:val="single" w:sz="12" w:space="0" w:color="auto"/>
            </w:tcBorders>
            <w:shd w:val="clear" w:color="auto" w:fill="auto"/>
            <w:noWrap/>
            <w:vAlign w:val="bottom"/>
          </w:tcPr>
          <w:p w14:paraId="008DDDD1" w14:textId="77777777" w:rsidR="00A33C04" w:rsidRPr="00697CC6" w:rsidRDefault="00A33C04" w:rsidP="0047139C">
            <w:pPr>
              <w:spacing w:before="80" w:after="80" w:line="200" w:lineRule="exact"/>
              <w:ind w:right="113"/>
              <w:rPr>
                <w:i/>
                <w:sz w:val="16"/>
              </w:rPr>
            </w:pPr>
          </w:p>
        </w:tc>
      </w:tr>
      <w:tr w:rsidR="00A33C04" w:rsidRPr="00697CC6" w14:paraId="02F5A0F9" w14:textId="77777777" w:rsidTr="0047139C">
        <w:trPr>
          <w:trHeight w:hRule="exact" w:val="113"/>
        </w:trPr>
        <w:tc>
          <w:tcPr>
            <w:tcW w:w="709" w:type="dxa"/>
            <w:tcBorders>
              <w:top w:val="single" w:sz="12" w:space="0" w:color="auto"/>
            </w:tcBorders>
            <w:shd w:val="clear" w:color="auto" w:fill="auto"/>
            <w:noWrap/>
          </w:tcPr>
          <w:p w14:paraId="119A34A3" w14:textId="77777777" w:rsidR="00A33C04" w:rsidRPr="00697CC6" w:rsidRDefault="00A33C04" w:rsidP="0047139C">
            <w:pPr>
              <w:spacing w:before="40" w:after="120"/>
              <w:ind w:right="113"/>
            </w:pPr>
          </w:p>
        </w:tc>
        <w:tc>
          <w:tcPr>
            <w:tcW w:w="8505" w:type="dxa"/>
            <w:tcBorders>
              <w:top w:val="single" w:sz="12" w:space="0" w:color="auto"/>
            </w:tcBorders>
            <w:shd w:val="clear" w:color="auto" w:fill="auto"/>
            <w:noWrap/>
          </w:tcPr>
          <w:p w14:paraId="63E20E21" w14:textId="77777777" w:rsidR="00A33C04" w:rsidRPr="00697CC6" w:rsidRDefault="00A33C04" w:rsidP="0047139C">
            <w:pPr>
              <w:spacing w:before="40" w:after="120"/>
              <w:ind w:right="113"/>
            </w:pPr>
          </w:p>
        </w:tc>
        <w:tc>
          <w:tcPr>
            <w:tcW w:w="1134" w:type="dxa"/>
            <w:tcBorders>
              <w:top w:val="single" w:sz="12" w:space="0" w:color="auto"/>
            </w:tcBorders>
            <w:shd w:val="clear" w:color="auto" w:fill="auto"/>
            <w:noWrap/>
          </w:tcPr>
          <w:p w14:paraId="7244FBAD" w14:textId="77777777" w:rsidR="00A33C04" w:rsidRPr="00697CC6" w:rsidRDefault="00A33C04" w:rsidP="0047139C">
            <w:pPr>
              <w:spacing w:before="40" w:after="120"/>
              <w:ind w:right="113"/>
            </w:pPr>
          </w:p>
        </w:tc>
        <w:tc>
          <w:tcPr>
            <w:tcW w:w="1042" w:type="dxa"/>
            <w:tcBorders>
              <w:top w:val="single" w:sz="12" w:space="0" w:color="auto"/>
            </w:tcBorders>
          </w:tcPr>
          <w:p w14:paraId="5B780712" w14:textId="77777777" w:rsidR="00A33C04" w:rsidRPr="00697CC6" w:rsidRDefault="00A33C04" w:rsidP="0047139C">
            <w:pPr>
              <w:spacing w:before="40" w:after="120"/>
              <w:ind w:right="113"/>
            </w:pPr>
          </w:p>
        </w:tc>
        <w:tc>
          <w:tcPr>
            <w:tcW w:w="1226" w:type="dxa"/>
            <w:tcBorders>
              <w:top w:val="single" w:sz="12" w:space="0" w:color="auto"/>
            </w:tcBorders>
            <w:shd w:val="clear" w:color="auto" w:fill="auto"/>
            <w:noWrap/>
          </w:tcPr>
          <w:p w14:paraId="26B414AF" w14:textId="77777777" w:rsidR="00A33C04" w:rsidRPr="00697CC6" w:rsidRDefault="00A33C04" w:rsidP="0047139C">
            <w:pPr>
              <w:spacing w:before="40" w:after="120"/>
              <w:ind w:right="113"/>
            </w:pPr>
          </w:p>
        </w:tc>
        <w:tc>
          <w:tcPr>
            <w:tcW w:w="1701" w:type="dxa"/>
            <w:tcBorders>
              <w:top w:val="single" w:sz="12" w:space="0" w:color="auto"/>
            </w:tcBorders>
            <w:shd w:val="clear" w:color="auto" w:fill="auto"/>
            <w:noWrap/>
          </w:tcPr>
          <w:p w14:paraId="658A3A90" w14:textId="77777777" w:rsidR="00A33C04" w:rsidRPr="00697CC6" w:rsidRDefault="00A33C04" w:rsidP="0047139C">
            <w:pPr>
              <w:spacing w:before="40" w:after="120"/>
              <w:ind w:right="113"/>
            </w:pPr>
          </w:p>
        </w:tc>
      </w:tr>
      <w:tr w:rsidR="00A33C04" w:rsidRPr="00697CC6" w14:paraId="10202C69" w14:textId="77777777" w:rsidTr="0047139C">
        <w:trPr>
          <w:trHeight w:val="300"/>
        </w:trPr>
        <w:tc>
          <w:tcPr>
            <w:tcW w:w="709" w:type="dxa"/>
            <w:shd w:val="clear" w:color="auto" w:fill="auto"/>
            <w:noWrap/>
          </w:tcPr>
          <w:p w14:paraId="242D3132" w14:textId="77777777" w:rsidR="00A33C04" w:rsidRDefault="00A33C04" w:rsidP="0047139C">
            <w:pPr>
              <w:spacing w:before="40" w:after="120"/>
              <w:ind w:right="113"/>
            </w:pPr>
            <w:r>
              <w:t>1</w:t>
            </w:r>
          </w:p>
        </w:tc>
        <w:tc>
          <w:tcPr>
            <w:tcW w:w="8505" w:type="dxa"/>
            <w:shd w:val="clear" w:color="auto" w:fill="auto"/>
            <w:noWrap/>
          </w:tcPr>
          <w:p w14:paraId="74C5229B" w14:textId="77777777" w:rsidR="00A33C04" w:rsidRPr="00697CC6" w:rsidRDefault="00A33C04" w:rsidP="0047139C">
            <w:pPr>
              <w:spacing w:before="40" w:after="120"/>
              <w:ind w:right="113"/>
            </w:pPr>
            <w:r>
              <w:rPr>
                <w:rFonts w:cs="Tms Rmn"/>
                <w:color w:val="000000"/>
                <w:lang w:bidi="th-TH"/>
              </w:rPr>
              <w:t>Assess regularly actions taken in support of implementation of this Strategy, and address climate change whenever feasible, through annual sessions or dedicated seminars or workshops and report it</w:t>
            </w:r>
          </w:p>
        </w:tc>
        <w:tc>
          <w:tcPr>
            <w:tcW w:w="1134" w:type="dxa"/>
            <w:shd w:val="clear" w:color="auto" w:fill="auto"/>
            <w:noWrap/>
          </w:tcPr>
          <w:p w14:paraId="49CD842D" w14:textId="77777777" w:rsidR="00A33C04" w:rsidRPr="00697CC6" w:rsidRDefault="00A33C04" w:rsidP="0047139C">
            <w:pPr>
              <w:spacing w:before="40" w:after="120"/>
              <w:ind w:right="113"/>
            </w:pPr>
            <w:r>
              <w:t>From 2024, annually</w:t>
            </w:r>
          </w:p>
        </w:tc>
        <w:tc>
          <w:tcPr>
            <w:tcW w:w="1042" w:type="dxa"/>
          </w:tcPr>
          <w:p w14:paraId="6C549387" w14:textId="77777777" w:rsidR="00A33C04" w:rsidRPr="00697CC6" w:rsidRDefault="00A33C04" w:rsidP="0047139C">
            <w:pPr>
              <w:spacing w:before="40" w:after="120"/>
              <w:ind w:right="113"/>
            </w:pPr>
            <w:r>
              <w:t>A. / C.</w:t>
            </w:r>
          </w:p>
        </w:tc>
        <w:tc>
          <w:tcPr>
            <w:tcW w:w="1226" w:type="dxa"/>
            <w:shd w:val="clear" w:color="auto" w:fill="auto"/>
            <w:noWrap/>
          </w:tcPr>
          <w:p w14:paraId="03AC9270"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0E7A97DA" w14:textId="77777777" w:rsidR="00A33C04" w:rsidRPr="00697CC6" w:rsidRDefault="00A33C04" w:rsidP="0047139C">
            <w:pPr>
              <w:spacing w:before="40" w:after="120"/>
              <w:ind w:right="113"/>
            </w:pPr>
            <w:r>
              <w:t>ITC and a</w:t>
            </w:r>
            <w:r w:rsidRPr="00697CC6">
              <w:t>ll</w:t>
            </w:r>
            <w:r>
              <w:t xml:space="preserve"> its subsidiary bodies</w:t>
            </w:r>
          </w:p>
        </w:tc>
      </w:tr>
      <w:tr w:rsidR="00A33C04" w:rsidRPr="00346468" w14:paraId="522A1EC0" w14:textId="77777777" w:rsidTr="0047139C">
        <w:trPr>
          <w:trHeight w:val="300"/>
        </w:trPr>
        <w:tc>
          <w:tcPr>
            <w:tcW w:w="709" w:type="dxa"/>
            <w:shd w:val="clear" w:color="auto" w:fill="auto"/>
            <w:noWrap/>
          </w:tcPr>
          <w:p w14:paraId="3D54840C" w14:textId="77777777" w:rsidR="00A33C04" w:rsidRPr="009978FB" w:rsidRDefault="00A33C04" w:rsidP="0047139C">
            <w:pPr>
              <w:spacing w:before="40" w:after="120"/>
              <w:ind w:right="113"/>
              <w:rPr>
                <w:b/>
                <w:bCs/>
              </w:rPr>
            </w:pPr>
            <w:r>
              <w:t>2</w:t>
            </w:r>
          </w:p>
        </w:tc>
        <w:tc>
          <w:tcPr>
            <w:tcW w:w="8505" w:type="dxa"/>
            <w:shd w:val="clear" w:color="auto" w:fill="auto"/>
            <w:noWrap/>
          </w:tcPr>
          <w:p w14:paraId="6E5A9A45" w14:textId="77777777" w:rsidR="00A33C04" w:rsidRDefault="00A33C04" w:rsidP="0047139C">
            <w:pPr>
              <w:ind w:right="521"/>
              <w:jc w:val="both"/>
            </w:pPr>
            <w:r w:rsidRPr="00697CC6">
              <w:t xml:space="preserve">Assess the feasibility and potential benefits of traffic </w:t>
            </w:r>
            <w:r>
              <w:t>reduction</w:t>
            </w:r>
            <w:r w:rsidRPr="00697CC6">
              <w:t xml:space="preserve"> measure</w:t>
            </w:r>
            <w:r>
              <w:t xml:space="preserve">s </w:t>
            </w:r>
            <w:r w:rsidRPr="003460B8">
              <w:t xml:space="preserve">towards provision of options for Member States to draw from in developing their own national </w:t>
            </w:r>
            <w:proofErr w:type="gramStart"/>
            <w:r w:rsidRPr="003460B8">
              <w:t>strategies</w:t>
            </w:r>
            <w:proofErr w:type="gramEnd"/>
          </w:p>
          <w:p w14:paraId="24DD4812" w14:textId="77777777" w:rsidR="00A33C04" w:rsidRDefault="00A33C04" w:rsidP="0047139C">
            <w:pPr>
              <w:ind w:right="521"/>
              <w:jc w:val="both"/>
            </w:pPr>
          </w:p>
        </w:tc>
        <w:tc>
          <w:tcPr>
            <w:tcW w:w="1134" w:type="dxa"/>
            <w:shd w:val="clear" w:color="auto" w:fill="auto"/>
            <w:noWrap/>
          </w:tcPr>
          <w:p w14:paraId="5822AFE2" w14:textId="77777777" w:rsidR="00A33C04" w:rsidRDefault="00A33C04" w:rsidP="0047139C">
            <w:pPr>
              <w:spacing w:before="40" w:after="120"/>
              <w:ind w:right="113"/>
            </w:pPr>
            <w:r w:rsidRPr="00697CC6">
              <w:t>202</w:t>
            </w:r>
            <w:r>
              <w:t>7</w:t>
            </w:r>
          </w:p>
        </w:tc>
        <w:tc>
          <w:tcPr>
            <w:tcW w:w="1042" w:type="dxa"/>
          </w:tcPr>
          <w:p w14:paraId="45C246AB" w14:textId="77777777" w:rsidR="00A33C04" w:rsidRDefault="00A33C04" w:rsidP="0047139C">
            <w:pPr>
              <w:spacing w:before="40" w:after="120"/>
              <w:ind w:right="113"/>
            </w:pPr>
            <w:r>
              <w:t>A.(a) / C.</w:t>
            </w:r>
          </w:p>
        </w:tc>
        <w:tc>
          <w:tcPr>
            <w:tcW w:w="1226" w:type="dxa"/>
            <w:shd w:val="clear" w:color="auto" w:fill="auto"/>
            <w:noWrap/>
          </w:tcPr>
          <w:p w14:paraId="491DF898" w14:textId="77777777" w:rsidR="00A33C04" w:rsidRDefault="00A33C04" w:rsidP="0047139C">
            <w:pPr>
              <w:spacing w:before="40" w:after="120"/>
              <w:ind w:right="113"/>
            </w:pPr>
            <w:r w:rsidRPr="00697CC6">
              <w:t>Avoid</w:t>
            </w:r>
          </w:p>
        </w:tc>
        <w:tc>
          <w:tcPr>
            <w:tcW w:w="1701" w:type="dxa"/>
            <w:shd w:val="clear" w:color="auto" w:fill="auto"/>
            <w:noWrap/>
          </w:tcPr>
          <w:p w14:paraId="1DD6BD55" w14:textId="77777777" w:rsidR="00A33C04" w:rsidRPr="008209AC" w:rsidRDefault="00A33C04" w:rsidP="0047139C">
            <w:pPr>
              <w:spacing w:before="40" w:after="120"/>
              <w:ind w:right="113"/>
            </w:pPr>
            <w:r>
              <w:rPr>
                <w:lang w:val="pl-PL"/>
              </w:rPr>
              <w:t>ITC / WP.5</w:t>
            </w:r>
          </w:p>
        </w:tc>
      </w:tr>
      <w:tr w:rsidR="00A33C04" w:rsidRPr="00697CC6" w14:paraId="52F9704D" w14:textId="77777777" w:rsidTr="0047139C">
        <w:trPr>
          <w:trHeight w:val="300"/>
        </w:trPr>
        <w:tc>
          <w:tcPr>
            <w:tcW w:w="709" w:type="dxa"/>
            <w:shd w:val="clear" w:color="auto" w:fill="auto"/>
            <w:noWrap/>
          </w:tcPr>
          <w:p w14:paraId="34EA806C" w14:textId="5B212F11" w:rsidR="00A33C04" w:rsidRDefault="00A33C04" w:rsidP="0047139C">
            <w:pPr>
              <w:spacing w:before="40" w:after="120"/>
              <w:ind w:right="113"/>
            </w:pPr>
            <w:r>
              <w:t>3</w:t>
            </w:r>
          </w:p>
        </w:tc>
        <w:tc>
          <w:tcPr>
            <w:tcW w:w="8505" w:type="dxa"/>
            <w:shd w:val="clear" w:color="auto" w:fill="auto"/>
            <w:noWrap/>
          </w:tcPr>
          <w:p w14:paraId="234D6C74" w14:textId="77777777" w:rsidR="00A33C04" w:rsidRDefault="00A33C04" w:rsidP="0047139C">
            <w:pPr>
              <w:ind w:right="521"/>
              <w:jc w:val="both"/>
            </w:pPr>
            <w:r w:rsidRPr="00697CC6">
              <w:t>Assess the feasibility and potential benefits of</w:t>
            </w:r>
            <w:r w:rsidRPr="00203F58">
              <w:rPr>
                <w:color w:val="00B0F0"/>
              </w:rPr>
              <w:t xml:space="preserve"> </w:t>
            </w:r>
            <w:r w:rsidRPr="00697CC6">
              <w:t>modal shift</w:t>
            </w:r>
            <w:r>
              <w:t xml:space="preserve"> goals, if appropriate for individual Member States</w:t>
            </w:r>
            <w:r w:rsidRPr="00697CC6">
              <w:t xml:space="preserve"> </w:t>
            </w:r>
            <w:r>
              <w:t xml:space="preserve">when </w:t>
            </w:r>
            <w:r w:rsidRPr="003460B8">
              <w:t>developing their own national strategies</w:t>
            </w:r>
            <w:r>
              <w:t>, in cooperation with all relevant stakeholders (i.e. shippers and logistical companies)</w:t>
            </w:r>
          </w:p>
          <w:p w14:paraId="6C4660F9" w14:textId="77777777" w:rsidR="00A33C04" w:rsidRPr="00697CC6" w:rsidRDefault="00A33C04" w:rsidP="0047139C">
            <w:pPr>
              <w:ind w:right="521"/>
              <w:jc w:val="both"/>
            </w:pPr>
          </w:p>
        </w:tc>
        <w:tc>
          <w:tcPr>
            <w:tcW w:w="1134" w:type="dxa"/>
            <w:shd w:val="clear" w:color="auto" w:fill="auto"/>
            <w:noWrap/>
          </w:tcPr>
          <w:p w14:paraId="6303318F" w14:textId="77777777" w:rsidR="00A33C04" w:rsidRPr="00697CC6" w:rsidRDefault="00A33C04" w:rsidP="0047139C">
            <w:pPr>
              <w:spacing w:before="40" w:after="120"/>
              <w:ind w:right="113"/>
            </w:pPr>
            <w:r w:rsidRPr="00697CC6">
              <w:t>202</w:t>
            </w:r>
            <w:r>
              <w:t>7</w:t>
            </w:r>
          </w:p>
        </w:tc>
        <w:tc>
          <w:tcPr>
            <w:tcW w:w="1042" w:type="dxa"/>
          </w:tcPr>
          <w:p w14:paraId="0C911398" w14:textId="77777777" w:rsidR="00A33C04" w:rsidRPr="00697CC6" w:rsidRDefault="00A33C04" w:rsidP="0047139C">
            <w:pPr>
              <w:spacing w:before="40" w:after="120"/>
              <w:ind w:right="113"/>
            </w:pPr>
            <w:r w:rsidRPr="006D4FA5">
              <w:t>A.</w:t>
            </w:r>
            <w:r>
              <w:t>(a) / C.</w:t>
            </w:r>
          </w:p>
        </w:tc>
        <w:tc>
          <w:tcPr>
            <w:tcW w:w="1226" w:type="dxa"/>
            <w:shd w:val="clear" w:color="auto" w:fill="auto"/>
            <w:noWrap/>
          </w:tcPr>
          <w:p w14:paraId="34A95D20" w14:textId="77777777" w:rsidR="00A33C04" w:rsidRPr="00697CC6" w:rsidRDefault="00A33C04" w:rsidP="0047139C">
            <w:pPr>
              <w:spacing w:before="40" w:after="120"/>
              <w:ind w:right="113"/>
            </w:pPr>
            <w:r w:rsidRPr="00697CC6">
              <w:t>Shift</w:t>
            </w:r>
          </w:p>
        </w:tc>
        <w:tc>
          <w:tcPr>
            <w:tcW w:w="1701" w:type="dxa"/>
            <w:shd w:val="clear" w:color="auto" w:fill="auto"/>
            <w:noWrap/>
          </w:tcPr>
          <w:p w14:paraId="60666339" w14:textId="77777777" w:rsidR="00A33C04" w:rsidRPr="00697CC6" w:rsidRDefault="00A33C04" w:rsidP="0047139C">
            <w:pPr>
              <w:spacing w:before="40" w:after="120"/>
              <w:ind w:right="113"/>
            </w:pPr>
            <w:r>
              <w:rPr>
                <w:lang w:val="pl-PL"/>
              </w:rPr>
              <w:t xml:space="preserve">WP.5 / </w:t>
            </w:r>
            <w:r w:rsidRPr="004D23D2">
              <w:rPr>
                <w:lang w:val="pl-PL"/>
              </w:rPr>
              <w:t>WP.24 / SC.</w:t>
            </w:r>
            <w:r>
              <w:rPr>
                <w:lang w:val="pl-PL"/>
              </w:rPr>
              <w:t xml:space="preserve">1 / </w:t>
            </w:r>
            <w:r w:rsidRPr="004D23D2">
              <w:rPr>
                <w:lang w:val="pl-PL"/>
              </w:rPr>
              <w:t>SC.2/ SC.3</w:t>
            </w:r>
          </w:p>
        </w:tc>
      </w:tr>
      <w:tr w:rsidR="00A33C04" w:rsidRPr="00697CC6" w14:paraId="2CECF4D7" w14:textId="77777777" w:rsidTr="0047139C">
        <w:trPr>
          <w:trHeight w:val="300"/>
        </w:trPr>
        <w:tc>
          <w:tcPr>
            <w:tcW w:w="709" w:type="dxa"/>
            <w:shd w:val="clear" w:color="auto" w:fill="auto"/>
            <w:noWrap/>
          </w:tcPr>
          <w:p w14:paraId="465617B5" w14:textId="77777777" w:rsidR="00A33C04" w:rsidRDefault="00A33C04" w:rsidP="0047139C">
            <w:pPr>
              <w:spacing w:before="40" w:after="120"/>
              <w:ind w:right="113"/>
            </w:pPr>
            <w:r w:rsidRPr="00A6766A">
              <w:t>4</w:t>
            </w:r>
          </w:p>
        </w:tc>
        <w:tc>
          <w:tcPr>
            <w:tcW w:w="8505" w:type="dxa"/>
            <w:shd w:val="clear" w:color="auto" w:fill="auto"/>
            <w:noWrap/>
          </w:tcPr>
          <w:p w14:paraId="6FD85D82" w14:textId="77777777" w:rsidR="00A33C04" w:rsidRPr="00F16A4E" w:rsidRDefault="00A33C04" w:rsidP="0047139C">
            <w:pPr>
              <w:ind w:right="521"/>
              <w:jc w:val="both"/>
            </w:pPr>
            <w:r w:rsidRPr="001F558B">
              <w:t>Take stock of existing policies or current efforts to reduce GHG emissions of vehicles. Explore the potential to harmonize regulatory tools among relevant markets, or to set tailpipe reduction targets for countries, if appropriate for them</w:t>
            </w:r>
          </w:p>
          <w:p w14:paraId="5A882D80" w14:textId="77777777" w:rsidR="00A33C04" w:rsidRPr="00697CC6" w:rsidRDefault="00A33C04" w:rsidP="0047139C">
            <w:pPr>
              <w:ind w:right="521"/>
              <w:jc w:val="both"/>
            </w:pPr>
          </w:p>
        </w:tc>
        <w:tc>
          <w:tcPr>
            <w:tcW w:w="1134" w:type="dxa"/>
            <w:shd w:val="clear" w:color="auto" w:fill="auto"/>
            <w:noWrap/>
          </w:tcPr>
          <w:p w14:paraId="35466948" w14:textId="77777777" w:rsidR="00A33C04" w:rsidRPr="00697CC6" w:rsidRDefault="00A33C04" w:rsidP="0047139C">
            <w:pPr>
              <w:spacing w:before="40" w:after="120"/>
              <w:ind w:right="113"/>
            </w:pPr>
            <w:r w:rsidRPr="00697CC6">
              <w:t>2026</w:t>
            </w:r>
          </w:p>
        </w:tc>
        <w:tc>
          <w:tcPr>
            <w:tcW w:w="1042" w:type="dxa"/>
          </w:tcPr>
          <w:p w14:paraId="6941CA91" w14:textId="77777777" w:rsidR="00A33C04" w:rsidRPr="00697CC6" w:rsidRDefault="00A33C04" w:rsidP="0047139C">
            <w:pPr>
              <w:spacing w:before="40" w:after="120"/>
              <w:ind w:right="113"/>
            </w:pPr>
            <w:r w:rsidRPr="006D4FA5">
              <w:t>A</w:t>
            </w:r>
            <w:r>
              <w:t xml:space="preserve">.(a) </w:t>
            </w:r>
            <w:r w:rsidRPr="006D4FA5">
              <w:t>/</w:t>
            </w:r>
            <w:r>
              <w:t xml:space="preserve"> C.</w:t>
            </w:r>
          </w:p>
        </w:tc>
        <w:tc>
          <w:tcPr>
            <w:tcW w:w="1226" w:type="dxa"/>
            <w:shd w:val="clear" w:color="auto" w:fill="auto"/>
            <w:noWrap/>
          </w:tcPr>
          <w:p w14:paraId="1C050D98" w14:textId="77777777" w:rsidR="00A33C04" w:rsidRPr="00697CC6" w:rsidRDefault="00A33C04" w:rsidP="0047139C">
            <w:pPr>
              <w:spacing w:before="40" w:after="120"/>
              <w:ind w:right="113"/>
            </w:pPr>
            <w:r w:rsidRPr="00697CC6">
              <w:t>Improve</w:t>
            </w:r>
          </w:p>
        </w:tc>
        <w:tc>
          <w:tcPr>
            <w:tcW w:w="1701" w:type="dxa"/>
            <w:shd w:val="clear" w:color="auto" w:fill="auto"/>
            <w:noWrap/>
          </w:tcPr>
          <w:p w14:paraId="08E74FCC" w14:textId="77777777" w:rsidR="00A33C04" w:rsidRPr="00697CC6" w:rsidRDefault="00A33C04" w:rsidP="0047139C">
            <w:pPr>
              <w:spacing w:before="40" w:after="120"/>
              <w:ind w:right="113"/>
            </w:pPr>
            <w:r w:rsidRPr="00697CC6">
              <w:t>WP.29</w:t>
            </w:r>
          </w:p>
        </w:tc>
      </w:tr>
      <w:tr w:rsidR="00A33C04" w:rsidRPr="002152F6" w14:paraId="589FB5F6" w14:textId="77777777" w:rsidTr="0047139C">
        <w:trPr>
          <w:trHeight w:val="300"/>
        </w:trPr>
        <w:tc>
          <w:tcPr>
            <w:tcW w:w="709" w:type="dxa"/>
            <w:shd w:val="clear" w:color="auto" w:fill="auto"/>
            <w:noWrap/>
            <w:hideMark/>
          </w:tcPr>
          <w:p w14:paraId="1979AAA2" w14:textId="77777777" w:rsidR="00A33C04" w:rsidRPr="007F5B34" w:rsidRDefault="00A33C04" w:rsidP="0047139C">
            <w:pPr>
              <w:spacing w:before="40" w:after="120"/>
              <w:ind w:right="113"/>
            </w:pPr>
            <w:r w:rsidRPr="007F5B34">
              <w:t>5</w:t>
            </w:r>
          </w:p>
        </w:tc>
        <w:tc>
          <w:tcPr>
            <w:tcW w:w="8505" w:type="dxa"/>
            <w:shd w:val="clear" w:color="auto" w:fill="auto"/>
            <w:noWrap/>
            <w:hideMark/>
          </w:tcPr>
          <w:p w14:paraId="6B93CA1D" w14:textId="77777777" w:rsidR="00A33C04" w:rsidRPr="007F5B34" w:rsidRDefault="00A33C04" w:rsidP="0047139C">
            <w:pPr>
              <w:spacing w:before="40" w:after="120"/>
              <w:ind w:left="720" w:right="113"/>
              <w:rPr>
                <w:lang w:val="en-US" w:eastAsia="ko-KR"/>
              </w:rPr>
            </w:pPr>
            <w:r w:rsidRPr="007F5B34">
              <w:rPr>
                <w:noProof/>
              </w:rPr>
              <mc:AlternateContent>
                <mc:Choice Requires="wps">
                  <w:drawing>
                    <wp:anchor distT="0" distB="0" distL="114300" distR="114300" simplePos="0" relativeHeight="251662336" behindDoc="0" locked="0" layoutInCell="1" allowOverlap="1" wp14:anchorId="7616D5A8" wp14:editId="650F7761">
                      <wp:simplePos x="0" y="0"/>
                      <wp:positionH relativeFrom="column">
                        <wp:posOffset>131964</wp:posOffset>
                      </wp:positionH>
                      <wp:positionV relativeFrom="paragraph">
                        <wp:posOffset>39015</wp:posOffset>
                      </wp:positionV>
                      <wp:extent cx="254825" cy="89658"/>
                      <wp:effectExtent l="19050" t="0" r="50165" b="100965"/>
                      <wp:wrapNone/>
                      <wp:docPr id="15" name="Connector: Elbow 15"/>
                      <wp:cNvGraphicFramePr/>
                      <a:graphic xmlns:a="http://schemas.openxmlformats.org/drawingml/2006/main">
                        <a:graphicData uri="http://schemas.microsoft.com/office/word/2010/wordprocessingShape">
                          <wps:wsp>
                            <wps:cNvCnPr/>
                            <wps:spPr>
                              <a:xfrm>
                                <a:off x="0" y="0"/>
                                <a:ext cx="254825" cy="89658"/>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0F05B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10.4pt;margin-top:3.05pt;width:20.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" adj="-812" strokecolor="black [3040]">
                      <v:stroke endarrow="block"/>
                    </v:shape>
                  </w:pict>
                </mc:Fallback>
              </mc:AlternateContent>
            </w:r>
            <w:r w:rsidRPr="007F5B34">
              <w:t xml:space="preserve">If relevant, set tailpipe GHG emission reduction target </w:t>
            </w:r>
          </w:p>
        </w:tc>
        <w:tc>
          <w:tcPr>
            <w:tcW w:w="1134" w:type="dxa"/>
            <w:shd w:val="clear" w:color="auto" w:fill="auto"/>
            <w:noWrap/>
            <w:hideMark/>
          </w:tcPr>
          <w:p w14:paraId="1FBD9C65" w14:textId="77777777" w:rsidR="00A33C04" w:rsidRPr="007F5B34" w:rsidRDefault="00A33C04" w:rsidP="0047139C">
            <w:pPr>
              <w:spacing w:before="40" w:after="120"/>
              <w:ind w:right="113"/>
            </w:pPr>
            <w:r w:rsidRPr="007F5B34">
              <w:t>2028</w:t>
            </w:r>
          </w:p>
        </w:tc>
        <w:tc>
          <w:tcPr>
            <w:tcW w:w="1042" w:type="dxa"/>
          </w:tcPr>
          <w:p w14:paraId="48258ADC" w14:textId="77777777" w:rsidR="00A33C04" w:rsidRPr="007F5B34" w:rsidRDefault="00A33C04" w:rsidP="0047139C">
            <w:pPr>
              <w:spacing w:before="40" w:after="120"/>
              <w:ind w:right="113"/>
            </w:pPr>
            <w:r w:rsidRPr="007F5B34">
              <w:t xml:space="preserve">A.(a) / C. </w:t>
            </w:r>
          </w:p>
        </w:tc>
        <w:tc>
          <w:tcPr>
            <w:tcW w:w="1226" w:type="dxa"/>
            <w:shd w:val="clear" w:color="auto" w:fill="auto"/>
            <w:noWrap/>
            <w:hideMark/>
          </w:tcPr>
          <w:p w14:paraId="634CEE4A" w14:textId="77777777" w:rsidR="00A33C04" w:rsidRPr="007F5B34" w:rsidRDefault="00A33C04" w:rsidP="0047139C">
            <w:pPr>
              <w:spacing w:before="40" w:after="120"/>
              <w:ind w:right="113"/>
            </w:pPr>
            <w:r w:rsidRPr="007F5B34">
              <w:t>Improve</w:t>
            </w:r>
          </w:p>
        </w:tc>
        <w:tc>
          <w:tcPr>
            <w:tcW w:w="1701" w:type="dxa"/>
            <w:shd w:val="clear" w:color="auto" w:fill="auto"/>
            <w:noWrap/>
            <w:hideMark/>
          </w:tcPr>
          <w:p w14:paraId="195E7AF5" w14:textId="77777777" w:rsidR="00A33C04" w:rsidRPr="007F5B34" w:rsidRDefault="00A33C04" w:rsidP="0047139C">
            <w:pPr>
              <w:spacing w:before="40" w:after="120"/>
              <w:ind w:right="113"/>
              <w:rPr>
                <w:lang w:val="pl-PL"/>
              </w:rPr>
            </w:pPr>
            <w:r w:rsidRPr="007F5B34">
              <w:rPr>
                <w:lang w:val="pl-PL"/>
              </w:rPr>
              <w:t>WP.29</w:t>
            </w:r>
          </w:p>
        </w:tc>
      </w:tr>
      <w:tr w:rsidR="00A33C04" w:rsidRPr="00697CC6" w14:paraId="4CE50282" w14:textId="77777777" w:rsidTr="0047139C">
        <w:trPr>
          <w:trHeight w:val="300"/>
        </w:trPr>
        <w:tc>
          <w:tcPr>
            <w:tcW w:w="709" w:type="dxa"/>
            <w:shd w:val="clear" w:color="auto" w:fill="auto"/>
            <w:noWrap/>
          </w:tcPr>
          <w:p w14:paraId="0214779C" w14:textId="77777777" w:rsidR="00A33C04" w:rsidRDefault="00A33C04" w:rsidP="0047139C">
            <w:pPr>
              <w:spacing w:before="40" w:after="120"/>
              <w:ind w:right="113"/>
            </w:pPr>
            <w:r>
              <w:t>6</w:t>
            </w:r>
          </w:p>
        </w:tc>
        <w:tc>
          <w:tcPr>
            <w:tcW w:w="8505" w:type="dxa"/>
            <w:shd w:val="clear" w:color="auto" w:fill="auto"/>
            <w:noWrap/>
          </w:tcPr>
          <w:p w14:paraId="663D5BF5" w14:textId="77777777" w:rsidR="00A33C04" w:rsidRPr="008209AC" w:rsidRDefault="00A33C04" w:rsidP="0047139C">
            <w:pPr>
              <w:spacing w:before="40" w:after="120"/>
              <w:ind w:right="113"/>
            </w:pPr>
            <w:r>
              <w:t>Enable</w:t>
            </w:r>
            <w:r w:rsidRPr="00697CC6">
              <w:t xml:space="preserve"> hybrid attendance</w:t>
            </w:r>
            <w:r>
              <w:t xml:space="preserve"> and</w:t>
            </w:r>
            <w:r w:rsidRPr="00697CC6">
              <w:t xml:space="preserve"> participation</w:t>
            </w:r>
            <w:r>
              <w:t>, including for decision making purposes</w:t>
            </w:r>
          </w:p>
        </w:tc>
        <w:tc>
          <w:tcPr>
            <w:tcW w:w="1134" w:type="dxa"/>
            <w:shd w:val="clear" w:color="auto" w:fill="auto"/>
            <w:noWrap/>
          </w:tcPr>
          <w:p w14:paraId="5AFDC05D" w14:textId="77777777" w:rsidR="00A33C04" w:rsidRDefault="00A33C04" w:rsidP="0047139C">
            <w:pPr>
              <w:spacing w:before="40" w:after="120"/>
              <w:ind w:right="113"/>
            </w:pPr>
            <w:r w:rsidRPr="00697CC6">
              <w:t>2027</w:t>
            </w:r>
          </w:p>
        </w:tc>
        <w:tc>
          <w:tcPr>
            <w:tcW w:w="1042" w:type="dxa"/>
          </w:tcPr>
          <w:p w14:paraId="53C99204" w14:textId="77777777" w:rsidR="00A33C04" w:rsidRPr="00697CC6" w:rsidRDefault="00A33C04" w:rsidP="0047139C">
            <w:pPr>
              <w:spacing w:before="40" w:after="120"/>
              <w:ind w:right="113"/>
            </w:pPr>
            <w:r>
              <w:t>A.(a)</w:t>
            </w:r>
          </w:p>
        </w:tc>
        <w:tc>
          <w:tcPr>
            <w:tcW w:w="1226" w:type="dxa"/>
            <w:shd w:val="clear" w:color="auto" w:fill="auto"/>
            <w:noWrap/>
          </w:tcPr>
          <w:p w14:paraId="76F3824F" w14:textId="77777777" w:rsidR="00A33C04" w:rsidRPr="00697CC6" w:rsidRDefault="00A33C04" w:rsidP="0047139C">
            <w:pPr>
              <w:spacing w:before="40" w:after="120"/>
              <w:ind w:right="113"/>
            </w:pPr>
            <w:r w:rsidRPr="00697CC6">
              <w:t>Avoid</w:t>
            </w:r>
          </w:p>
        </w:tc>
        <w:tc>
          <w:tcPr>
            <w:tcW w:w="1701" w:type="dxa"/>
            <w:shd w:val="clear" w:color="auto" w:fill="auto"/>
            <w:noWrap/>
          </w:tcPr>
          <w:p w14:paraId="76DB0F40" w14:textId="77777777" w:rsidR="00A33C04" w:rsidRPr="00697CC6" w:rsidRDefault="00A33C04" w:rsidP="0047139C">
            <w:pPr>
              <w:spacing w:before="40" w:after="120"/>
              <w:ind w:right="113"/>
            </w:pPr>
            <w:r w:rsidRPr="00697CC6">
              <w:t xml:space="preserve">All </w:t>
            </w:r>
            <w:r>
              <w:t>subsidiary bodies</w:t>
            </w:r>
          </w:p>
        </w:tc>
      </w:tr>
      <w:tr w:rsidR="00A33C04" w:rsidRPr="00697CC6" w14:paraId="0B8AFB3B" w14:textId="77777777" w:rsidTr="0047139C">
        <w:trPr>
          <w:trHeight w:val="300"/>
        </w:trPr>
        <w:tc>
          <w:tcPr>
            <w:tcW w:w="709" w:type="dxa"/>
            <w:shd w:val="clear" w:color="auto" w:fill="auto"/>
            <w:noWrap/>
          </w:tcPr>
          <w:p w14:paraId="089E239A" w14:textId="77777777" w:rsidR="00A33C04" w:rsidRDefault="00A33C04" w:rsidP="0047139C">
            <w:pPr>
              <w:spacing w:before="40" w:after="120"/>
              <w:ind w:right="113"/>
            </w:pPr>
            <w:r>
              <w:t>7</w:t>
            </w:r>
          </w:p>
        </w:tc>
        <w:tc>
          <w:tcPr>
            <w:tcW w:w="8505" w:type="dxa"/>
            <w:shd w:val="clear" w:color="auto" w:fill="auto"/>
            <w:noWrap/>
          </w:tcPr>
          <w:p w14:paraId="35C86D6A" w14:textId="77777777" w:rsidR="00A33C04" w:rsidRPr="00697CC6" w:rsidRDefault="00A33C04" w:rsidP="0047139C">
            <w:pPr>
              <w:spacing w:before="40" w:after="120"/>
              <w:ind w:right="113"/>
            </w:pPr>
            <w:r>
              <w:t>Provide analytical input to enhance infrastructure standards to make road, rail and waterways network resilient to climate change</w:t>
            </w:r>
          </w:p>
        </w:tc>
        <w:tc>
          <w:tcPr>
            <w:tcW w:w="1134" w:type="dxa"/>
            <w:shd w:val="clear" w:color="auto" w:fill="auto"/>
            <w:noWrap/>
          </w:tcPr>
          <w:p w14:paraId="651A4443" w14:textId="77777777" w:rsidR="00A33C04" w:rsidRPr="00697CC6" w:rsidRDefault="00A33C04" w:rsidP="0047139C">
            <w:pPr>
              <w:spacing w:before="40" w:after="120"/>
              <w:ind w:right="113"/>
            </w:pPr>
            <w:r>
              <w:t>2030</w:t>
            </w:r>
          </w:p>
        </w:tc>
        <w:tc>
          <w:tcPr>
            <w:tcW w:w="1042" w:type="dxa"/>
          </w:tcPr>
          <w:p w14:paraId="3BB9A67E" w14:textId="77777777" w:rsidR="00A33C04" w:rsidRDefault="00A33C04" w:rsidP="0047139C">
            <w:pPr>
              <w:spacing w:before="40" w:after="120"/>
              <w:ind w:right="113"/>
            </w:pPr>
            <w:r>
              <w:t>A.(a) / A.(c) / C.</w:t>
            </w:r>
          </w:p>
        </w:tc>
        <w:tc>
          <w:tcPr>
            <w:tcW w:w="1226" w:type="dxa"/>
            <w:shd w:val="clear" w:color="auto" w:fill="auto"/>
            <w:noWrap/>
          </w:tcPr>
          <w:p w14:paraId="5C34F5AE" w14:textId="77777777" w:rsidR="00A33C04" w:rsidRPr="00697CC6" w:rsidRDefault="00A33C04" w:rsidP="0047139C">
            <w:pPr>
              <w:spacing w:before="40" w:after="120"/>
              <w:ind w:right="113"/>
            </w:pPr>
            <w:r>
              <w:t>Adapt</w:t>
            </w:r>
          </w:p>
        </w:tc>
        <w:tc>
          <w:tcPr>
            <w:tcW w:w="1701" w:type="dxa"/>
            <w:shd w:val="clear" w:color="auto" w:fill="auto"/>
            <w:noWrap/>
          </w:tcPr>
          <w:p w14:paraId="76C2001B" w14:textId="77777777" w:rsidR="00A33C04" w:rsidRPr="00697CC6" w:rsidRDefault="00A33C04" w:rsidP="0047139C">
            <w:pPr>
              <w:spacing w:before="40" w:after="120"/>
              <w:ind w:right="113"/>
            </w:pPr>
            <w:r>
              <w:t>WP.5/GE.3</w:t>
            </w:r>
          </w:p>
        </w:tc>
      </w:tr>
      <w:tr w:rsidR="00A33C04" w:rsidRPr="00697CC6" w14:paraId="0C2F16A5" w14:textId="77777777" w:rsidTr="0047139C">
        <w:trPr>
          <w:trHeight w:val="300"/>
        </w:trPr>
        <w:tc>
          <w:tcPr>
            <w:tcW w:w="709" w:type="dxa"/>
            <w:shd w:val="clear" w:color="auto" w:fill="auto"/>
            <w:noWrap/>
          </w:tcPr>
          <w:p w14:paraId="6DD4BDCE" w14:textId="77777777" w:rsidR="00A33C04" w:rsidRDefault="00A33C04" w:rsidP="0047139C">
            <w:pPr>
              <w:spacing w:before="40" w:after="120"/>
              <w:ind w:right="113"/>
            </w:pPr>
            <w:r>
              <w:lastRenderedPageBreak/>
              <w:t>8</w:t>
            </w:r>
          </w:p>
        </w:tc>
        <w:tc>
          <w:tcPr>
            <w:tcW w:w="8505" w:type="dxa"/>
            <w:shd w:val="clear" w:color="auto" w:fill="auto"/>
            <w:noWrap/>
          </w:tcPr>
          <w:p w14:paraId="15826A98" w14:textId="77777777" w:rsidR="00A33C04" w:rsidRPr="00697CC6" w:rsidRDefault="00A33C04" w:rsidP="0047139C">
            <w:pPr>
              <w:spacing w:before="40" w:after="120"/>
              <w:ind w:right="113"/>
            </w:pPr>
            <w:r>
              <w:t>Consider additional parameters in the AGTC assisting electrification or use of alternative fuels or energy solutions at the network and amend the instrument if appropriate</w:t>
            </w:r>
          </w:p>
        </w:tc>
        <w:tc>
          <w:tcPr>
            <w:tcW w:w="1134" w:type="dxa"/>
            <w:shd w:val="clear" w:color="auto" w:fill="auto"/>
            <w:noWrap/>
          </w:tcPr>
          <w:p w14:paraId="47400C48" w14:textId="77777777" w:rsidR="00A33C04" w:rsidRPr="00697CC6" w:rsidRDefault="00A33C04" w:rsidP="0047139C">
            <w:pPr>
              <w:spacing w:before="40" w:after="120"/>
              <w:ind w:right="113"/>
            </w:pPr>
            <w:r>
              <w:t>2035</w:t>
            </w:r>
          </w:p>
        </w:tc>
        <w:tc>
          <w:tcPr>
            <w:tcW w:w="1042" w:type="dxa"/>
          </w:tcPr>
          <w:p w14:paraId="7F23EF6F" w14:textId="77777777" w:rsidR="00A33C04" w:rsidRDefault="00A33C04" w:rsidP="0047139C">
            <w:pPr>
              <w:spacing w:before="40" w:after="120"/>
              <w:ind w:right="113"/>
            </w:pPr>
            <w:r>
              <w:t>A.(a)</w:t>
            </w:r>
          </w:p>
        </w:tc>
        <w:tc>
          <w:tcPr>
            <w:tcW w:w="1226" w:type="dxa"/>
            <w:shd w:val="clear" w:color="auto" w:fill="auto"/>
            <w:noWrap/>
          </w:tcPr>
          <w:p w14:paraId="20A567E4" w14:textId="77777777" w:rsidR="00A33C04" w:rsidRPr="00697CC6" w:rsidRDefault="00A33C04" w:rsidP="0047139C">
            <w:pPr>
              <w:spacing w:before="40" w:after="120"/>
              <w:ind w:right="113"/>
            </w:pPr>
            <w:r>
              <w:t>Improve</w:t>
            </w:r>
          </w:p>
        </w:tc>
        <w:tc>
          <w:tcPr>
            <w:tcW w:w="1701" w:type="dxa"/>
            <w:shd w:val="clear" w:color="auto" w:fill="auto"/>
            <w:noWrap/>
          </w:tcPr>
          <w:p w14:paraId="048F6555" w14:textId="77777777" w:rsidR="00A33C04" w:rsidRPr="00697CC6" w:rsidRDefault="00A33C04" w:rsidP="0047139C">
            <w:pPr>
              <w:spacing w:before="40" w:after="120"/>
              <w:ind w:right="113"/>
            </w:pPr>
            <w:r>
              <w:t>WP.24</w:t>
            </w:r>
          </w:p>
        </w:tc>
      </w:tr>
      <w:tr w:rsidR="00A33C04" w:rsidRPr="00697CC6" w14:paraId="37D766DE" w14:textId="77777777" w:rsidTr="0047139C">
        <w:trPr>
          <w:trHeight w:val="300"/>
        </w:trPr>
        <w:tc>
          <w:tcPr>
            <w:tcW w:w="709" w:type="dxa"/>
            <w:shd w:val="clear" w:color="auto" w:fill="auto"/>
            <w:noWrap/>
          </w:tcPr>
          <w:p w14:paraId="0584643A" w14:textId="77777777" w:rsidR="00A33C04" w:rsidRDefault="00A33C04" w:rsidP="0047139C">
            <w:pPr>
              <w:spacing w:before="40" w:after="120"/>
              <w:ind w:right="113"/>
            </w:pPr>
            <w:r>
              <w:t>9</w:t>
            </w:r>
          </w:p>
        </w:tc>
        <w:tc>
          <w:tcPr>
            <w:tcW w:w="8505" w:type="dxa"/>
            <w:shd w:val="clear" w:color="auto" w:fill="auto"/>
            <w:noWrap/>
          </w:tcPr>
          <w:p w14:paraId="4305C5F5" w14:textId="77777777" w:rsidR="00A33C04" w:rsidRPr="00697CC6" w:rsidRDefault="00A33C04" w:rsidP="0047139C">
            <w:pPr>
              <w:spacing w:before="40" w:after="120"/>
              <w:ind w:right="113"/>
            </w:pPr>
            <w:r>
              <w:t>Accelerate accession and implementation of the AGC/AGTC AGTC-Protocol so that intermodal transport infrastructure is developed enabling a shift to rail or inland waterways and monitor progress in infrastructure improvements</w:t>
            </w:r>
          </w:p>
        </w:tc>
        <w:tc>
          <w:tcPr>
            <w:tcW w:w="1134" w:type="dxa"/>
            <w:shd w:val="clear" w:color="auto" w:fill="auto"/>
            <w:noWrap/>
          </w:tcPr>
          <w:p w14:paraId="4F882D62" w14:textId="77777777" w:rsidR="00A33C04" w:rsidRPr="00697CC6" w:rsidRDefault="00A33C04" w:rsidP="0047139C">
            <w:pPr>
              <w:spacing w:before="40" w:after="120"/>
              <w:ind w:right="113"/>
            </w:pPr>
            <w:r>
              <w:t>2040</w:t>
            </w:r>
          </w:p>
        </w:tc>
        <w:tc>
          <w:tcPr>
            <w:tcW w:w="1042" w:type="dxa"/>
          </w:tcPr>
          <w:p w14:paraId="3641D93A" w14:textId="77777777" w:rsidR="00A33C04" w:rsidRDefault="00A33C04" w:rsidP="0047139C">
            <w:pPr>
              <w:spacing w:before="40" w:after="120"/>
              <w:ind w:right="113"/>
            </w:pPr>
            <w:r>
              <w:t>A.(a)</w:t>
            </w:r>
          </w:p>
        </w:tc>
        <w:tc>
          <w:tcPr>
            <w:tcW w:w="1226" w:type="dxa"/>
            <w:shd w:val="clear" w:color="auto" w:fill="auto"/>
            <w:noWrap/>
          </w:tcPr>
          <w:p w14:paraId="17374AA2" w14:textId="77777777" w:rsidR="00A33C04" w:rsidRPr="00697CC6" w:rsidRDefault="00A33C04" w:rsidP="0047139C">
            <w:pPr>
              <w:spacing w:before="40" w:after="120"/>
              <w:ind w:right="113"/>
            </w:pPr>
            <w:r>
              <w:t>Shift/</w:t>
            </w:r>
            <w:r>
              <w:br/>
              <w:t>Improve</w:t>
            </w:r>
          </w:p>
        </w:tc>
        <w:tc>
          <w:tcPr>
            <w:tcW w:w="1701" w:type="dxa"/>
            <w:shd w:val="clear" w:color="auto" w:fill="auto"/>
            <w:noWrap/>
          </w:tcPr>
          <w:p w14:paraId="3F36E40C" w14:textId="77777777" w:rsidR="00A33C04" w:rsidRPr="00697CC6" w:rsidRDefault="00A33C04" w:rsidP="0047139C">
            <w:pPr>
              <w:spacing w:before="40" w:after="120"/>
              <w:ind w:right="113"/>
            </w:pPr>
            <w:r>
              <w:t>WP.24/SC.2/SC.3</w:t>
            </w:r>
          </w:p>
        </w:tc>
      </w:tr>
      <w:tr w:rsidR="00A33C04" w:rsidRPr="00697CC6" w14:paraId="0C06AA6F" w14:textId="77777777" w:rsidTr="0047139C">
        <w:trPr>
          <w:trHeight w:val="572"/>
        </w:trPr>
        <w:tc>
          <w:tcPr>
            <w:tcW w:w="709" w:type="dxa"/>
            <w:shd w:val="clear" w:color="auto" w:fill="auto"/>
            <w:noWrap/>
          </w:tcPr>
          <w:p w14:paraId="5D922990" w14:textId="77777777" w:rsidR="00A33C04" w:rsidRDefault="00A33C04" w:rsidP="0047139C">
            <w:pPr>
              <w:spacing w:before="40" w:after="120"/>
              <w:ind w:right="113"/>
            </w:pPr>
            <w:r>
              <w:t>10</w:t>
            </w:r>
          </w:p>
        </w:tc>
        <w:tc>
          <w:tcPr>
            <w:tcW w:w="8505" w:type="dxa"/>
            <w:shd w:val="clear" w:color="auto" w:fill="auto"/>
            <w:noWrap/>
          </w:tcPr>
          <w:p w14:paraId="4B516E20" w14:textId="77777777" w:rsidR="00A33C04" w:rsidRPr="00697CC6" w:rsidRDefault="00A33C04" w:rsidP="0047139C">
            <w:pPr>
              <w:spacing w:before="40" w:after="120"/>
              <w:ind w:right="113"/>
            </w:pPr>
            <w:r>
              <w:t>Enable instruments similar to AGTC for use by United Nation Member States from outside of ECE region</w:t>
            </w:r>
          </w:p>
        </w:tc>
        <w:tc>
          <w:tcPr>
            <w:tcW w:w="1134" w:type="dxa"/>
            <w:shd w:val="clear" w:color="auto" w:fill="auto"/>
            <w:noWrap/>
          </w:tcPr>
          <w:p w14:paraId="0DFAA249" w14:textId="77777777" w:rsidR="00A33C04" w:rsidRPr="00697CC6" w:rsidRDefault="00A33C04" w:rsidP="0047139C">
            <w:pPr>
              <w:spacing w:before="40" w:after="120"/>
              <w:ind w:right="113"/>
            </w:pPr>
            <w:r>
              <w:t>2040</w:t>
            </w:r>
          </w:p>
        </w:tc>
        <w:tc>
          <w:tcPr>
            <w:tcW w:w="1042" w:type="dxa"/>
          </w:tcPr>
          <w:p w14:paraId="63308A22" w14:textId="77777777" w:rsidR="00A33C04" w:rsidRDefault="00A33C04" w:rsidP="0047139C">
            <w:pPr>
              <w:spacing w:before="40" w:after="120"/>
              <w:ind w:right="113"/>
            </w:pPr>
            <w:r>
              <w:t>A.(a)</w:t>
            </w:r>
          </w:p>
        </w:tc>
        <w:tc>
          <w:tcPr>
            <w:tcW w:w="1226" w:type="dxa"/>
            <w:shd w:val="clear" w:color="auto" w:fill="auto"/>
            <w:noWrap/>
          </w:tcPr>
          <w:p w14:paraId="58301C5B" w14:textId="77777777" w:rsidR="00A33C04" w:rsidRPr="00697CC6" w:rsidRDefault="00A33C04" w:rsidP="0047139C">
            <w:pPr>
              <w:spacing w:before="40" w:after="120"/>
              <w:ind w:right="113"/>
            </w:pPr>
            <w:r>
              <w:t>Shift/</w:t>
            </w:r>
            <w:r>
              <w:br/>
              <w:t>Improve</w:t>
            </w:r>
          </w:p>
        </w:tc>
        <w:tc>
          <w:tcPr>
            <w:tcW w:w="1701" w:type="dxa"/>
            <w:shd w:val="clear" w:color="auto" w:fill="auto"/>
            <w:noWrap/>
          </w:tcPr>
          <w:p w14:paraId="48BCBF60" w14:textId="77777777" w:rsidR="00A33C04" w:rsidRPr="00697CC6" w:rsidRDefault="00A33C04" w:rsidP="0047139C">
            <w:pPr>
              <w:spacing w:before="40" w:after="120"/>
              <w:ind w:right="113"/>
            </w:pPr>
            <w:r>
              <w:t>WP.24/SC.2/</w:t>
            </w:r>
            <w:r>
              <w:br/>
              <w:t>SC.3/WP.5</w:t>
            </w:r>
          </w:p>
        </w:tc>
      </w:tr>
      <w:tr w:rsidR="00A33C04" w:rsidRPr="00697CC6" w14:paraId="621BA1B1" w14:textId="77777777" w:rsidTr="0047139C">
        <w:trPr>
          <w:trHeight w:val="300"/>
        </w:trPr>
        <w:tc>
          <w:tcPr>
            <w:tcW w:w="709" w:type="dxa"/>
            <w:shd w:val="clear" w:color="auto" w:fill="auto"/>
            <w:noWrap/>
          </w:tcPr>
          <w:p w14:paraId="76C50EA8" w14:textId="77777777" w:rsidR="00A33C04" w:rsidRPr="00CF5AA2" w:rsidRDefault="00A33C04" w:rsidP="0047139C">
            <w:pPr>
              <w:spacing w:before="40" w:after="120"/>
              <w:ind w:right="113"/>
            </w:pPr>
            <w:r>
              <w:t>11</w:t>
            </w:r>
          </w:p>
        </w:tc>
        <w:tc>
          <w:tcPr>
            <w:tcW w:w="8505" w:type="dxa"/>
            <w:shd w:val="clear" w:color="auto" w:fill="auto"/>
            <w:noWrap/>
          </w:tcPr>
          <w:p w14:paraId="00D034ED" w14:textId="77777777" w:rsidR="00A33C04" w:rsidRPr="00E63088" w:rsidRDefault="00A33C04" w:rsidP="0047139C">
            <w:pPr>
              <w:spacing w:before="40" w:after="120"/>
              <w:ind w:right="113"/>
              <w:rPr>
                <w:color w:val="FF0000"/>
              </w:rPr>
            </w:pPr>
            <w:r>
              <w:t>In terms of cycling infrastructure, consider,</w:t>
            </w:r>
            <w:r w:rsidRPr="00CF5AA2">
              <w:t xml:space="preserve"> if appropriate, a new Convention on cycling</w:t>
            </w:r>
            <w:r>
              <w:t xml:space="preserve"> route</w:t>
            </w:r>
            <w:r w:rsidRPr="00A7064E">
              <w:t xml:space="preserve"> </w:t>
            </w:r>
            <w:r w:rsidRPr="00CF5AA2">
              <w:t>networks</w:t>
            </w:r>
            <w:r>
              <w:t>, taking into account the work of WP.5 and THE PEP</w:t>
            </w:r>
          </w:p>
        </w:tc>
        <w:tc>
          <w:tcPr>
            <w:tcW w:w="1134" w:type="dxa"/>
            <w:shd w:val="clear" w:color="auto" w:fill="auto"/>
            <w:noWrap/>
          </w:tcPr>
          <w:p w14:paraId="4E8B1F2B" w14:textId="77777777" w:rsidR="00A33C04" w:rsidRPr="004E5E52" w:rsidRDefault="00A33C04" w:rsidP="0047139C">
            <w:pPr>
              <w:spacing w:before="40" w:after="120"/>
              <w:ind w:right="113"/>
              <w:rPr>
                <w:strike/>
              </w:rPr>
            </w:pPr>
            <w:r w:rsidRPr="00CF5AA2">
              <w:t>2027</w:t>
            </w:r>
          </w:p>
        </w:tc>
        <w:tc>
          <w:tcPr>
            <w:tcW w:w="1042" w:type="dxa"/>
          </w:tcPr>
          <w:p w14:paraId="4A37A1DE" w14:textId="77777777" w:rsidR="00A33C04" w:rsidRPr="004E5E52" w:rsidRDefault="00A33C04" w:rsidP="0047139C">
            <w:pPr>
              <w:spacing w:before="40" w:after="120"/>
              <w:ind w:right="113"/>
              <w:rPr>
                <w:strike/>
              </w:rPr>
            </w:pPr>
            <w:r w:rsidRPr="00CF5AA2">
              <w:t>A.(a) / C.</w:t>
            </w:r>
            <w:r w:rsidRPr="00D87E3A">
              <w:rPr>
                <w:color w:val="FF0000"/>
              </w:rPr>
              <w:t xml:space="preserve"> </w:t>
            </w:r>
          </w:p>
        </w:tc>
        <w:tc>
          <w:tcPr>
            <w:tcW w:w="1226" w:type="dxa"/>
            <w:shd w:val="clear" w:color="auto" w:fill="auto"/>
            <w:noWrap/>
          </w:tcPr>
          <w:p w14:paraId="5349A082" w14:textId="77777777" w:rsidR="00A33C04" w:rsidRPr="004E5E52" w:rsidRDefault="00A33C04" w:rsidP="0047139C">
            <w:pPr>
              <w:spacing w:before="40" w:after="120"/>
              <w:ind w:right="113"/>
              <w:rPr>
                <w:strike/>
              </w:rPr>
            </w:pPr>
            <w:r w:rsidRPr="00CF5AA2">
              <w:t>Avoid/Shift/</w:t>
            </w:r>
            <w:r w:rsidRPr="00CF5AA2">
              <w:br/>
              <w:t>Improve</w:t>
            </w:r>
          </w:p>
        </w:tc>
        <w:tc>
          <w:tcPr>
            <w:tcW w:w="1701" w:type="dxa"/>
            <w:shd w:val="clear" w:color="auto" w:fill="auto"/>
            <w:noWrap/>
          </w:tcPr>
          <w:p w14:paraId="4A9F736B" w14:textId="77777777" w:rsidR="00A33C04" w:rsidRPr="004E5E52" w:rsidRDefault="00A33C04" w:rsidP="0047139C">
            <w:pPr>
              <w:spacing w:before="40" w:after="120"/>
              <w:ind w:right="113"/>
              <w:rPr>
                <w:strike/>
              </w:rPr>
            </w:pPr>
            <w:r w:rsidRPr="00CF5AA2">
              <w:t>WP.5</w:t>
            </w:r>
          </w:p>
        </w:tc>
      </w:tr>
      <w:tr w:rsidR="00A33C04" w:rsidRPr="00697CC6" w14:paraId="1106FC91" w14:textId="77777777" w:rsidTr="0047139C">
        <w:trPr>
          <w:trHeight w:val="300"/>
        </w:trPr>
        <w:tc>
          <w:tcPr>
            <w:tcW w:w="709" w:type="dxa"/>
            <w:shd w:val="clear" w:color="auto" w:fill="auto"/>
            <w:noWrap/>
          </w:tcPr>
          <w:p w14:paraId="5916EAA0" w14:textId="77777777" w:rsidR="00A33C04" w:rsidRDefault="00A33C04" w:rsidP="0047139C">
            <w:pPr>
              <w:spacing w:before="40" w:after="120"/>
              <w:ind w:right="113"/>
            </w:pPr>
            <w:r>
              <w:t>12</w:t>
            </w:r>
          </w:p>
        </w:tc>
        <w:tc>
          <w:tcPr>
            <w:tcW w:w="8505" w:type="dxa"/>
            <w:shd w:val="clear" w:color="auto" w:fill="auto"/>
            <w:noWrap/>
          </w:tcPr>
          <w:p w14:paraId="5F33E878" w14:textId="77777777" w:rsidR="00A33C04" w:rsidRPr="008209AC" w:rsidRDefault="00A33C04" w:rsidP="0047139C">
            <w:pPr>
              <w:spacing w:before="40" w:after="120"/>
              <w:ind w:right="113"/>
            </w:pPr>
            <w:r w:rsidRPr="00CF5AA2">
              <w:t>Assess the feasibility and potential benefits of d</w:t>
            </w:r>
            <w:r w:rsidRPr="00DA7DA8">
              <w:t>evelop</w:t>
            </w:r>
            <w:r w:rsidRPr="00CF5AA2">
              <w:t>ing</w:t>
            </w:r>
            <w:r>
              <w:t xml:space="preserve"> a succinct GHG template to be attached to decisions taken by WPs to assess the effect of decisions by the ITC and subsidiary bodies on GHG emissions</w:t>
            </w:r>
          </w:p>
        </w:tc>
        <w:tc>
          <w:tcPr>
            <w:tcW w:w="1134" w:type="dxa"/>
            <w:shd w:val="clear" w:color="auto" w:fill="auto"/>
            <w:noWrap/>
          </w:tcPr>
          <w:p w14:paraId="656A3675" w14:textId="77777777" w:rsidR="00A33C04" w:rsidRDefault="00A33C04" w:rsidP="0047139C">
            <w:pPr>
              <w:spacing w:before="40" w:after="120"/>
              <w:ind w:right="113"/>
            </w:pPr>
            <w:r>
              <w:t>2026</w:t>
            </w:r>
          </w:p>
        </w:tc>
        <w:tc>
          <w:tcPr>
            <w:tcW w:w="1042" w:type="dxa"/>
          </w:tcPr>
          <w:p w14:paraId="36B811CD" w14:textId="77777777" w:rsidR="00A33C04" w:rsidRDefault="00A33C04" w:rsidP="0047139C">
            <w:pPr>
              <w:spacing w:before="40" w:after="120"/>
              <w:ind w:right="113"/>
            </w:pPr>
            <w:r>
              <w:t>A.(b)</w:t>
            </w:r>
          </w:p>
        </w:tc>
        <w:tc>
          <w:tcPr>
            <w:tcW w:w="1226" w:type="dxa"/>
            <w:shd w:val="clear" w:color="auto" w:fill="auto"/>
            <w:noWrap/>
          </w:tcPr>
          <w:p w14:paraId="4E8FC382"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7C4C2A7D" w14:textId="77777777" w:rsidR="00A33C04" w:rsidRPr="00697CC6" w:rsidRDefault="00A33C04" w:rsidP="0047139C">
            <w:pPr>
              <w:spacing w:before="40" w:after="120"/>
              <w:ind w:right="113"/>
            </w:pPr>
            <w:r>
              <w:t>ITC</w:t>
            </w:r>
          </w:p>
        </w:tc>
      </w:tr>
      <w:tr w:rsidR="00A33C04" w:rsidRPr="00697CC6" w14:paraId="3B7FB984" w14:textId="77777777" w:rsidTr="0047139C">
        <w:trPr>
          <w:trHeight w:val="300"/>
        </w:trPr>
        <w:tc>
          <w:tcPr>
            <w:tcW w:w="709" w:type="dxa"/>
            <w:shd w:val="clear" w:color="auto" w:fill="auto"/>
            <w:noWrap/>
          </w:tcPr>
          <w:p w14:paraId="54140397" w14:textId="77777777" w:rsidR="00A33C04" w:rsidRDefault="00A33C04" w:rsidP="0047139C">
            <w:pPr>
              <w:spacing w:before="40" w:after="120"/>
              <w:ind w:right="113"/>
            </w:pPr>
            <w:r>
              <w:t>13</w:t>
            </w:r>
          </w:p>
        </w:tc>
        <w:tc>
          <w:tcPr>
            <w:tcW w:w="8505" w:type="dxa"/>
            <w:shd w:val="clear" w:color="auto" w:fill="auto"/>
            <w:noWrap/>
          </w:tcPr>
          <w:p w14:paraId="1EDAAB8C" w14:textId="77777777" w:rsidR="00A33C04" w:rsidRDefault="00A33C04" w:rsidP="0047139C">
            <w:pPr>
              <w:spacing w:before="40" w:after="120"/>
              <w:ind w:left="720" w:right="113"/>
              <w:rPr>
                <w:rFonts w:cs="Tms Rmn"/>
                <w:color w:val="000000"/>
                <w:lang w:bidi="th-TH"/>
              </w:rPr>
            </w:pPr>
            <w:r w:rsidRPr="00D87E3A">
              <w:rPr>
                <w:noProof/>
                <w:color w:val="FF0000"/>
              </w:rPr>
              <mc:AlternateContent>
                <mc:Choice Requires="wps">
                  <w:drawing>
                    <wp:anchor distT="0" distB="0" distL="114300" distR="114300" simplePos="0" relativeHeight="251660288" behindDoc="0" locked="0" layoutInCell="1" allowOverlap="1" wp14:anchorId="1D63AD11" wp14:editId="13F31D13">
                      <wp:simplePos x="0" y="0"/>
                      <wp:positionH relativeFrom="column">
                        <wp:posOffset>123569</wp:posOffset>
                      </wp:positionH>
                      <wp:positionV relativeFrom="paragraph">
                        <wp:posOffset>1641</wp:posOffset>
                      </wp:positionV>
                      <wp:extent cx="209335" cy="223101"/>
                      <wp:effectExtent l="19050" t="0" r="38735" b="100965"/>
                      <wp:wrapNone/>
                      <wp:docPr id="11" name="Connector: Elbow 11"/>
                      <wp:cNvGraphicFramePr/>
                      <a:graphic xmlns:a="http://schemas.openxmlformats.org/drawingml/2006/main">
                        <a:graphicData uri="http://schemas.microsoft.com/office/word/2010/wordprocessingShape">
                          <wps:wsp>
                            <wps:cNvCnPr/>
                            <wps:spPr>
                              <a:xfrm>
                                <a:off x="0" y="0"/>
                                <a:ext cx="209335" cy="223101"/>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46060" id="Connector: Elbow 11" o:spid="_x0000_s1026" type="#_x0000_t34" style="position:absolute;margin-left:9.75pt;margin-top:.15pt;width:16.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" adj="-812" strokecolor="black [3040]">
                      <v:stroke endarrow="block"/>
                    </v:shape>
                  </w:pict>
                </mc:Fallback>
              </mc:AlternateContent>
            </w:r>
            <w:r w:rsidRPr="00CF5AA2">
              <w:t>If implemented,</w:t>
            </w:r>
            <w:r w:rsidRPr="00D87E3A">
              <w:rPr>
                <w:color w:val="FF0000"/>
              </w:rPr>
              <w:t xml:space="preserve"> </w:t>
            </w:r>
            <w:r w:rsidRPr="00CF5AA2">
              <w:t>p</w:t>
            </w:r>
            <w:r>
              <w:t>rovide an analysis of the expected contributions of decisions by the ITC and its subsidiary bodies on GHG emissions</w:t>
            </w:r>
          </w:p>
        </w:tc>
        <w:tc>
          <w:tcPr>
            <w:tcW w:w="1134" w:type="dxa"/>
            <w:shd w:val="clear" w:color="auto" w:fill="auto"/>
            <w:noWrap/>
          </w:tcPr>
          <w:p w14:paraId="45F3DEB8" w14:textId="77777777" w:rsidR="00A33C04" w:rsidRDefault="00A33C04" w:rsidP="0047139C">
            <w:pPr>
              <w:spacing w:before="40" w:after="120"/>
              <w:ind w:right="113"/>
            </w:pPr>
            <w:r>
              <w:t>2028</w:t>
            </w:r>
          </w:p>
        </w:tc>
        <w:tc>
          <w:tcPr>
            <w:tcW w:w="1042" w:type="dxa"/>
          </w:tcPr>
          <w:p w14:paraId="37B40FE9" w14:textId="77777777" w:rsidR="00A33C04" w:rsidRDefault="00A33C04" w:rsidP="0047139C">
            <w:pPr>
              <w:spacing w:before="40" w:after="120"/>
              <w:ind w:right="113"/>
            </w:pPr>
            <w:r>
              <w:t>A.(b)</w:t>
            </w:r>
          </w:p>
        </w:tc>
        <w:tc>
          <w:tcPr>
            <w:tcW w:w="1226" w:type="dxa"/>
            <w:shd w:val="clear" w:color="auto" w:fill="auto"/>
            <w:noWrap/>
          </w:tcPr>
          <w:p w14:paraId="11D33A09"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6F661D52" w14:textId="77777777" w:rsidR="00A33C04" w:rsidRPr="00697CC6" w:rsidRDefault="00A33C04" w:rsidP="0047139C">
            <w:pPr>
              <w:spacing w:before="40" w:after="120"/>
              <w:ind w:right="113"/>
            </w:pPr>
            <w:r>
              <w:t xml:space="preserve">ITC </w:t>
            </w:r>
          </w:p>
        </w:tc>
      </w:tr>
      <w:tr w:rsidR="00A33C04" w:rsidRPr="00697CC6" w14:paraId="24CBF48B" w14:textId="77777777" w:rsidTr="0047139C">
        <w:trPr>
          <w:trHeight w:val="300"/>
        </w:trPr>
        <w:tc>
          <w:tcPr>
            <w:tcW w:w="709" w:type="dxa"/>
            <w:shd w:val="clear" w:color="auto" w:fill="auto"/>
            <w:noWrap/>
          </w:tcPr>
          <w:p w14:paraId="2DFCD7FE" w14:textId="77777777" w:rsidR="00A33C04" w:rsidRDefault="00A33C04" w:rsidP="0047139C">
            <w:pPr>
              <w:spacing w:before="40" w:after="120"/>
              <w:ind w:right="113"/>
            </w:pPr>
            <w:r>
              <w:t>14</w:t>
            </w:r>
          </w:p>
        </w:tc>
        <w:tc>
          <w:tcPr>
            <w:tcW w:w="8505" w:type="dxa"/>
            <w:shd w:val="clear" w:color="auto" w:fill="auto"/>
            <w:noWrap/>
          </w:tcPr>
          <w:p w14:paraId="57F6F959" w14:textId="77777777" w:rsidR="00A33C04" w:rsidRDefault="00A33C04" w:rsidP="0047139C">
            <w:pPr>
              <w:spacing w:before="40" w:after="120"/>
              <w:ind w:right="113"/>
              <w:rPr>
                <w:rFonts w:cs="Tms Rmn"/>
                <w:color w:val="000000"/>
                <w:lang w:bidi="th-TH"/>
              </w:rPr>
            </w:pPr>
            <w:r>
              <w:t xml:space="preserve">Establish partnership with </w:t>
            </w:r>
            <w:r w:rsidRPr="00697CC6">
              <w:t>GEF</w:t>
            </w:r>
            <w:r>
              <w:t xml:space="preserve"> </w:t>
            </w:r>
            <w:r w:rsidRPr="00697CC6">
              <w:t xml:space="preserve">/ GCF, </w:t>
            </w:r>
            <w:r>
              <w:t xml:space="preserve">among </w:t>
            </w:r>
            <w:r w:rsidRPr="00697CC6">
              <w:t xml:space="preserve">other </w:t>
            </w:r>
            <w:r>
              <w:t>United Nations</w:t>
            </w:r>
            <w:r w:rsidRPr="00697CC6">
              <w:t xml:space="preserve"> funds </w:t>
            </w:r>
            <w:r>
              <w:t xml:space="preserve">to become an </w:t>
            </w:r>
            <w:r w:rsidRPr="00697CC6">
              <w:t>implementing agency</w:t>
            </w:r>
          </w:p>
        </w:tc>
        <w:tc>
          <w:tcPr>
            <w:tcW w:w="1134" w:type="dxa"/>
            <w:shd w:val="clear" w:color="auto" w:fill="auto"/>
            <w:noWrap/>
          </w:tcPr>
          <w:p w14:paraId="38C8AF83" w14:textId="77777777" w:rsidR="00A33C04" w:rsidRDefault="00A33C04" w:rsidP="0047139C">
            <w:pPr>
              <w:spacing w:before="40" w:after="120"/>
              <w:ind w:right="113"/>
            </w:pPr>
            <w:r w:rsidRPr="00697CC6">
              <w:t>2028</w:t>
            </w:r>
          </w:p>
        </w:tc>
        <w:tc>
          <w:tcPr>
            <w:tcW w:w="1042" w:type="dxa"/>
          </w:tcPr>
          <w:p w14:paraId="060208D0" w14:textId="77777777" w:rsidR="00A33C04" w:rsidRPr="00697CC6" w:rsidRDefault="00A33C04" w:rsidP="0047139C">
            <w:pPr>
              <w:spacing w:before="40" w:after="120"/>
              <w:ind w:right="113"/>
            </w:pPr>
            <w:r>
              <w:t>A.(b)</w:t>
            </w:r>
          </w:p>
        </w:tc>
        <w:tc>
          <w:tcPr>
            <w:tcW w:w="1226" w:type="dxa"/>
            <w:shd w:val="clear" w:color="auto" w:fill="auto"/>
            <w:noWrap/>
          </w:tcPr>
          <w:p w14:paraId="1718CD56"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2D8A1171" w14:textId="77777777" w:rsidR="00A33C04" w:rsidRPr="00697CC6" w:rsidRDefault="00A33C04" w:rsidP="0047139C">
            <w:pPr>
              <w:spacing w:before="40" w:after="120"/>
              <w:ind w:right="113"/>
            </w:pPr>
            <w:r w:rsidRPr="00697CC6">
              <w:t xml:space="preserve">ITC </w:t>
            </w:r>
          </w:p>
        </w:tc>
      </w:tr>
      <w:tr w:rsidR="00A33C04" w:rsidRPr="00697CC6" w14:paraId="050B2CE7" w14:textId="77777777" w:rsidTr="0047139C">
        <w:trPr>
          <w:trHeight w:val="300"/>
        </w:trPr>
        <w:tc>
          <w:tcPr>
            <w:tcW w:w="709" w:type="dxa"/>
            <w:shd w:val="clear" w:color="auto" w:fill="auto"/>
            <w:noWrap/>
          </w:tcPr>
          <w:p w14:paraId="3F713FD4" w14:textId="77777777" w:rsidR="00A33C04" w:rsidRDefault="00A33C04" w:rsidP="0047139C">
            <w:pPr>
              <w:spacing w:before="40" w:after="120"/>
              <w:ind w:right="113"/>
            </w:pPr>
            <w:r>
              <w:t>15</w:t>
            </w:r>
          </w:p>
        </w:tc>
        <w:tc>
          <w:tcPr>
            <w:tcW w:w="8505" w:type="dxa"/>
            <w:shd w:val="clear" w:color="auto" w:fill="auto"/>
            <w:noWrap/>
          </w:tcPr>
          <w:p w14:paraId="76AA7EDB" w14:textId="77777777" w:rsidR="00A33C04" w:rsidRPr="00697CC6" w:rsidRDefault="00A33C04" w:rsidP="0047139C">
            <w:pPr>
              <w:spacing w:before="40" w:after="120"/>
              <w:ind w:right="113"/>
            </w:pPr>
            <w:r>
              <w:t>Assess the feasibility of the preparation and benefits resulting from the availability of</w:t>
            </w:r>
            <w:r w:rsidRPr="00697CC6">
              <w:t xml:space="preserve"> </w:t>
            </w:r>
            <w:r>
              <w:t>national</w:t>
            </w:r>
            <w:r w:rsidRPr="00F432B3">
              <w:t>, subregional/regional</w:t>
            </w:r>
            <w:r>
              <w:rPr>
                <w:color w:val="FF0000"/>
              </w:rPr>
              <w:t xml:space="preserve"> </w:t>
            </w:r>
            <w:r>
              <w:t>inl</w:t>
            </w:r>
            <w:r w:rsidRPr="008209AC">
              <w:t xml:space="preserve">and </w:t>
            </w:r>
            <w:r w:rsidRPr="00697CC6">
              <w:t>transport decarbonization action plan</w:t>
            </w:r>
            <w:r>
              <w:t>s</w:t>
            </w:r>
          </w:p>
        </w:tc>
        <w:tc>
          <w:tcPr>
            <w:tcW w:w="1134" w:type="dxa"/>
            <w:shd w:val="clear" w:color="auto" w:fill="auto"/>
            <w:noWrap/>
          </w:tcPr>
          <w:p w14:paraId="05D18568" w14:textId="77777777" w:rsidR="00A33C04" w:rsidRPr="00697CC6" w:rsidRDefault="00A33C04" w:rsidP="0047139C">
            <w:pPr>
              <w:spacing w:before="40" w:after="120"/>
              <w:ind w:right="113"/>
            </w:pPr>
            <w:r w:rsidRPr="00697CC6">
              <w:t>2026</w:t>
            </w:r>
          </w:p>
        </w:tc>
        <w:tc>
          <w:tcPr>
            <w:tcW w:w="1042" w:type="dxa"/>
          </w:tcPr>
          <w:p w14:paraId="51F7A558" w14:textId="77777777" w:rsidR="00A33C04" w:rsidRPr="00697CC6" w:rsidRDefault="00A33C04" w:rsidP="0047139C">
            <w:pPr>
              <w:spacing w:before="40" w:after="120"/>
              <w:ind w:right="113"/>
            </w:pPr>
            <w:r>
              <w:t>A.(b)</w:t>
            </w:r>
          </w:p>
        </w:tc>
        <w:tc>
          <w:tcPr>
            <w:tcW w:w="1226" w:type="dxa"/>
            <w:shd w:val="clear" w:color="auto" w:fill="auto"/>
            <w:noWrap/>
          </w:tcPr>
          <w:p w14:paraId="248F1483"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20129C84" w14:textId="77777777" w:rsidR="00A33C04" w:rsidRPr="00697CC6" w:rsidRDefault="00A33C04" w:rsidP="0047139C">
            <w:pPr>
              <w:spacing w:before="40" w:after="120"/>
              <w:ind w:right="113"/>
            </w:pPr>
            <w:r>
              <w:t>ITC</w:t>
            </w:r>
          </w:p>
        </w:tc>
      </w:tr>
      <w:tr w:rsidR="00A33C04" w:rsidRPr="00697CC6" w14:paraId="717DAAD0" w14:textId="77777777" w:rsidTr="0047139C">
        <w:trPr>
          <w:trHeight w:val="300"/>
        </w:trPr>
        <w:tc>
          <w:tcPr>
            <w:tcW w:w="709" w:type="dxa"/>
            <w:shd w:val="clear" w:color="auto" w:fill="auto"/>
            <w:noWrap/>
          </w:tcPr>
          <w:p w14:paraId="18C64F32" w14:textId="77777777" w:rsidR="00A33C04" w:rsidRDefault="00A33C04" w:rsidP="0047139C">
            <w:pPr>
              <w:spacing w:before="40" w:after="120"/>
              <w:ind w:right="113"/>
            </w:pPr>
            <w:r>
              <w:t>16</w:t>
            </w:r>
          </w:p>
        </w:tc>
        <w:tc>
          <w:tcPr>
            <w:tcW w:w="8505" w:type="dxa"/>
            <w:shd w:val="clear" w:color="auto" w:fill="auto"/>
            <w:noWrap/>
          </w:tcPr>
          <w:p w14:paraId="0AD8EA43" w14:textId="77777777" w:rsidR="00A33C04" w:rsidRDefault="00A33C04" w:rsidP="0047139C">
            <w:pPr>
              <w:spacing w:before="40" w:after="120"/>
              <w:ind w:left="720" w:right="113"/>
            </w:pPr>
            <w:r>
              <w:rPr>
                <w:noProof/>
              </w:rPr>
              <mc:AlternateContent>
                <mc:Choice Requires="wps">
                  <w:drawing>
                    <wp:anchor distT="0" distB="0" distL="114300" distR="114300" simplePos="0" relativeHeight="251661312" behindDoc="0" locked="0" layoutInCell="1" allowOverlap="1" wp14:anchorId="70AF28B5" wp14:editId="0AB99A8C">
                      <wp:simplePos x="0" y="0"/>
                      <wp:positionH relativeFrom="column">
                        <wp:posOffset>180328</wp:posOffset>
                      </wp:positionH>
                      <wp:positionV relativeFrom="paragraph">
                        <wp:posOffset>55473</wp:posOffset>
                      </wp:positionV>
                      <wp:extent cx="193459" cy="240137"/>
                      <wp:effectExtent l="19050" t="0" r="35560" b="102870"/>
                      <wp:wrapNone/>
                      <wp:docPr id="12" name="Connector: Elbow 12"/>
                      <wp:cNvGraphicFramePr/>
                      <a:graphic xmlns:a="http://schemas.openxmlformats.org/drawingml/2006/main">
                        <a:graphicData uri="http://schemas.microsoft.com/office/word/2010/wordprocessingShape">
                          <wps:wsp>
                            <wps:cNvCnPr/>
                            <wps:spPr>
                              <a:xfrm>
                                <a:off x="0" y="0"/>
                                <a:ext cx="193459" cy="240137"/>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7E563" id="Connector: Elbow 12" o:spid="_x0000_s1026" type="#_x0000_t34" style="position:absolute;margin-left:14.2pt;margin-top:4.35pt;width:15.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" adj="-812" strokecolor="black [3040]">
                      <v:stroke endarrow="block"/>
                    </v:shape>
                  </w:pict>
                </mc:Fallback>
              </mc:AlternateContent>
            </w:r>
            <w:r>
              <w:t xml:space="preserve">Establish, if appropriate, partnership </w:t>
            </w:r>
            <w:r w:rsidRPr="00697CC6">
              <w:t>with UNFCCC on potential complementarit</w:t>
            </w:r>
            <w:r>
              <w:t>ies</w:t>
            </w:r>
            <w:r w:rsidRPr="00697CC6">
              <w:t xml:space="preserve"> between "inland transport decarbonization action plans" and UNFCCC's "NDCs"</w:t>
            </w:r>
          </w:p>
        </w:tc>
        <w:tc>
          <w:tcPr>
            <w:tcW w:w="1134" w:type="dxa"/>
            <w:shd w:val="clear" w:color="auto" w:fill="auto"/>
            <w:noWrap/>
          </w:tcPr>
          <w:p w14:paraId="3E9FCF8D" w14:textId="77777777" w:rsidR="00A33C04" w:rsidRDefault="00A33C04" w:rsidP="0047139C">
            <w:pPr>
              <w:spacing w:before="40" w:after="120"/>
              <w:ind w:right="113"/>
            </w:pPr>
            <w:r w:rsidRPr="00697CC6">
              <w:t>2028</w:t>
            </w:r>
          </w:p>
        </w:tc>
        <w:tc>
          <w:tcPr>
            <w:tcW w:w="1042" w:type="dxa"/>
          </w:tcPr>
          <w:p w14:paraId="13EA2B71" w14:textId="77777777" w:rsidR="00A33C04" w:rsidRPr="00697CC6" w:rsidRDefault="00A33C04" w:rsidP="0047139C">
            <w:pPr>
              <w:spacing w:before="40" w:after="120"/>
              <w:ind w:right="113"/>
            </w:pPr>
            <w:r>
              <w:t>A.(b)</w:t>
            </w:r>
          </w:p>
        </w:tc>
        <w:tc>
          <w:tcPr>
            <w:tcW w:w="1226" w:type="dxa"/>
            <w:shd w:val="clear" w:color="auto" w:fill="auto"/>
            <w:noWrap/>
          </w:tcPr>
          <w:p w14:paraId="19915203"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77040D43" w14:textId="77777777" w:rsidR="00A33C04" w:rsidRDefault="00A33C04" w:rsidP="0047139C">
            <w:pPr>
              <w:spacing w:before="40" w:after="120"/>
              <w:ind w:right="113"/>
            </w:pPr>
            <w:r w:rsidRPr="00697CC6">
              <w:t xml:space="preserve">ITC </w:t>
            </w:r>
          </w:p>
        </w:tc>
      </w:tr>
      <w:tr w:rsidR="00A33C04" w:rsidRPr="00697CC6" w14:paraId="09000E9E" w14:textId="77777777" w:rsidTr="0047139C">
        <w:trPr>
          <w:trHeight w:val="300"/>
        </w:trPr>
        <w:tc>
          <w:tcPr>
            <w:tcW w:w="709" w:type="dxa"/>
            <w:shd w:val="clear" w:color="auto" w:fill="auto"/>
            <w:noWrap/>
          </w:tcPr>
          <w:p w14:paraId="7D0EE7EB" w14:textId="77777777" w:rsidR="00A33C04" w:rsidRPr="001B703A" w:rsidRDefault="00A33C04" w:rsidP="0047139C">
            <w:pPr>
              <w:spacing w:before="40" w:after="120"/>
              <w:ind w:right="113"/>
              <w:rPr>
                <w:strike/>
                <w:color w:val="FF0000"/>
                <w:highlight w:val="yellow"/>
              </w:rPr>
            </w:pPr>
            <w:r w:rsidRPr="004267C9">
              <w:t>17</w:t>
            </w:r>
          </w:p>
        </w:tc>
        <w:tc>
          <w:tcPr>
            <w:tcW w:w="8505" w:type="dxa"/>
            <w:shd w:val="clear" w:color="auto" w:fill="auto"/>
            <w:noWrap/>
          </w:tcPr>
          <w:p w14:paraId="3FE4140A" w14:textId="77777777" w:rsidR="00A33C04" w:rsidRPr="001B703A" w:rsidRDefault="00A33C04" w:rsidP="0047139C">
            <w:pPr>
              <w:spacing w:before="40" w:after="120"/>
              <w:ind w:right="113"/>
              <w:rPr>
                <w:rFonts w:cs="Tms Rmn"/>
                <w:color w:val="FF0000"/>
                <w:highlight w:val="yellow"/>
                <w:lang w:bidi="th-TH"/>
              </w:rPr>
            </w:pPr>
            <w:r w:rsidRPr="00D501EF">
              <w:t xml:space="preserve">Hosting the ITC events on climate change in the </w:t>
            </w:r>
            <w:proofErr w:type="spellStart"/>
            <w:r w:rsidRPr="00D501EF">
              <w:t>sidelines</w:t>
            </w:r>
            <w:proofErr w:type="spellEnd"/>
            <w:r w:rsidRPr="00D501EF">
              <w:t xml:space="preserve"> of the annual sessions, as appropriate </w:t>
            </w:r>
            <w:r w:rsidRPr="004267C9">
              <w:t>and addressing climate change during high-level policy forums, as appropriate</w:t>
            </w:r>
          </w:p>
        </w:tc>
        <w:tc>
          <w:tcPr>
            <w:tcW w:w="1134" w:type="dxa"/>
            <w:shd w:val="clear" w:color="auto" w:fill="auto"/>
            <w:noWrap/>
          </w:tcPr>
          <w:p w14:paraId="2BE18C3D" w14:textId="77777777" w:rsidR="00A33C04" w:rsidRPr="001B703A" w:rsidRDefault="00A33C04" w:rsidP="0047139C">
            <w:pPr>
              <w:spacing w:before="40" w:after="120"/>
              <w:ind w:right="113"/>
              <w:rPr>
                <w:strike/>
                <w:highlight w:val="yellow"/>
              </w:rPr>
            </w:pPr>
            <w:r w:rsidRPr="00D501EF">
              <w:t>From 2025 onwards</w:t>
            </w:r>
          </w:p>
        </w:tc>
        <w:tc>
          <w:tcPr>
            <w:tcW w:w="1042" w:type="dxa"/>
          </w:tcPr>
          <w:p w14:paraId="06CDDA61" w14:textId="77777777" w:rsidR="00A33C04" w:rsidRPr="00D501EF" w:rsidRDefault="00A33C04" w:rsidP="0047139C">
            <w:pPr>
              <w:spacing w:before="40" w:after="120"/>
              <w:ind w:right="113"/>
              <w:rPr>
                <w:strike/>
              </w:rPr>
            </w:pPr>
            <w:r w:rsidRPr="00D501EF">
              <w:t>A.(c)</w:t>
            </w:r>
          </w:p>
        </w:tc>
        <w:tc>
          <w:tcPr>
            <w:tcW w:w="1226" w:type="dxa"/>
            <w:shd w:val="clear" w:color="auto" w:fill="auto"/>
            <w:noWrap/>
          </w:tcPr>
          <w:p w14:paraId="223F6307" w14:textId="77777777" w:rsidR="00A33C04" w:rsidRPr="00D501EF" w:rsidRDefault="00A33C04" w:rsidP="0047139C">
            <w:pPr>
              <w:spacing w:before="40" w:after="120"/>
              <w:ind w:right="113"/>
              <w:rPr>
                <w:strike/>
              </w:rPr>
            </w:pPr>
            <w:r w:rsidRPr="00D501EF">
              <w:t>Avoid/Shift/</w:t>
            </w:r>
            <w:r w:rsidRPr="00D501EF">
              <w:br/>
              <w:t>Improve</w:t>
            </w:r>
          </w:p>
        </w:tc>
        <w:tc>
          <w:tcPr>
            <w:tcW w:w="1701" w:type="dxa"/>
            <w:shd w:val="clear" w:color="auto" w:fill="auto"/>
            <w:noWrap/>
          </w:tcPr>
          <w:p w14:paraId="74C6C853" w14:textId="77777777" w:rsidR="00A33C04" w:rsidRPr="00D501EF" w:rsidRDefault="00A33C04" w:rsidP="0047139C">
            <w:pPr>
              <w:spacing w:before="40" w:after="120"/>
              <w:ind w:right="113"/>
              <w:rPr>
                <w:strike/>
              </w:rPr>
            </w:pPr>
            <w:r w:rsidRPr="00D501EF">
              <w:t>ITC</w:t>
            </w:r>
          </w:p>
        </w:tc>
      </w:tr>
      <w:tr w:rsidR="00A33C04" w:rsidRPr="00697CC6" w14:paraId="3F61823A" w14:textId="77777777" w:rsidTr="0047139C">
        <w:trPr>
          <w:trHeight w:val="300"/>
        </w:trPr>
        <w:tc>
          <w:tcPr>
            <w:tcW w:w="709" w:type="dxa"/>
            <w:shd w:val="clear" w:color="auto" w:fill="auto"/>
            <w:noWrap/>
          </w:tcPr>
          <w:p w14:paraId="623D7D9E" w14:textId="77777777" w:rsidR="00A33C04" w:rsidRPr="00C128D7" w:rsidRDefault="00A33C04" w:rsidP="0047139C">
            <w:pPr>
              <w:spacing w:before="40" w:after="120"/>
              <w:ind w:right="113"/>
              <w:rPr>
                <w:lang w:val="pl-PL"/>
              </w:rPr>
            </w:pPr>
            <w:r>
              <w:t>18</w:t>
            </w:r>
          </w:p>
        </w:tc>
        <w:tc>
          <w:tcPr>
            <w:tcW w:w="8505" w:type="dxa"/>
            <w:shd w:val="clear" w:color="auto" w:fill="auto"/>
            <w:noWrap/>
          </w:tcPr>
          <w:p w14:paraId="6C08F568" w14:textId="77777777" w:rsidR="00A33C04" w:rsidRDefault="00A33C04" w:rsidP="0047139C">
            <w:pPr>
              <w:spacing w:before="40" w:after="120"/>
              <w:ind w:right="113"/>
            </w:pPr>
            <w:r>
              <w:t>Elaborate and support implementation of policy recommendations surrounding low- and zero-carbon technologies, such as electric vehicles and their charging infrastructure for passenger, freight and intermodal movements</w:t>
            </w:r>
          </w:p>
        </w:tc>
        <w:tc>
          <w:tcPr>
            <w:tcW w:w="1134" w:type="dxa"/>
            <w:shd w:val="clear" w:color="auto" w:fill="auto"/>
            <w:noWrap/>
          </w:tcPr>
          <w:p w14:paraId="2EBB7CE9" w14:textId="77777777" w:rsidR="00A33C04" w:rsidRDefault="00A33C04" w:rsidP="0047139C">
            <w:pPr>
              <w:spacing w:before="40" w:after="120"/>
              <w:ind w:right="113"/>
            </w:pPr>
            <w:r>
              <w:t>2028</w:t>
            </w:r>
          </w:p>
        </w:tc>
        <w:tc>
          <w:tcPr>
            <w:tcW w:w="1042" w:type="dxa"/>
          </w:tcPr>
          <w:p w14:paraId="69B3C04C" w14:textId="77777777" w:rsidR="00A33C04" w:rsidRDefault="00A33C04" w:rsidP="0047139C">
            <w:pPr>
              <w:spacing w:before="40" w:after="120"/>
              <w:ind w:right="113"/>
            </w:pPr>
            <w:r w:rsidRPr="009F7E0A">
              <w:t>A</w:t>
            </w:r>
            <w:r>
              <w:t>.(c)</w:t>
            </w:r>
          </w:p>
        </w:tc>
        <w:tc>
          <w:tcPr>
            <w:tcW w:w="1226" w:type="dxa"/>
            <w:shd w:val="clear" w:color="auto" w:fill="auto"/>
            <w:noWrap/>
          </w:tcPr>
          <w:p w14:paraId="2FE512A8" w14:textId="77777777" w:rsidR="00A33C04" w:rsidRDefault="00A33C04" w:rsidP="0047139C">
            <w:pPr>
              <w:spacing w:before="40" w:after="120"/>
              <w:ind w:right="113"/>
            </w:pPr>
            <w:r>
              <w:t>Avoid/Shift/</w:t>
            </w:r>
            <w:r>
              <w:br/>
              <w:t>Improve</w:t>
            </w:r>
          </w:p>
        </w:tc>
        <w:tc>
          <w:tcPr>
            <w:tcW w:w="1701" w:type="dxa"/>
            <w:shd w:val="clear" w:color="auto" w:fill="auto"/>
            <w:noWrap/>
          </w:tcPr>
          <w:p w14:paraId="020971DB" w14:textId="77777777" w:rsidR="00A33C04" w:rsidRDefault="00A33C04" w:rsidP="0047139C">
            <w:pPr>
              <w:spacing w:before="40" w:after="120"/>
              <w:ind w:right="113"/>
            </w:pPr>
            <w:r>
              <w:t>WP.5/WP.24/</w:t>
            </w:r>
            <w:r>
              <w:br/>
              <w:t>WP.29/SC.1</w:t>
            </w:r>
          </w:p>
        </w:tc>
      </w:tr>
      <w:tr w:rsidR="00A33C04" w:rsidRPr="00697CC6" w14:paraId="1338A4A6" w14:textId="77777777" w:rsidTr="0047139C">
        <w:trPr>
          <w:trHeight w:val="300"/>
        </w:trPr>
        <w:tc>
          <w:tcPr>
            <w:tcW w:w="709" w:type="dxa"/>
            <w:shd w:val="clear" w:color="auto" w:fill="auto"/>
            <w:noWrap/>
          </w:tcPr>
          <w:p w14:paraId="1ACDB03C" w14:textId="77777777" w:rsidR="00A33C04" w:rsidRDefault="00A33C04" w:rsidP="0047139C">
            <w:pPr>
              <w:spacing w:before="40" w:after="120"/>
              <w:ind w:right="113"/>
            </w:pPr>
            <w:r>
              <w:t>19</w:t>
            </w:r>
          </w:p>
        </w:tc>
        <w:tc>
          <w:tcPr>
            <w:tcW w:w="8505" w:type="dxa"/>
            <w:shd w:val="clear" w:color="auto" w:fill="auto"/>
            <w:noWrap/>
          </w:tcPr>
          <w:p w14:paraId="5FEEAB03" w14:textId="77777777" w:rsidR="00A33C04" w:rsidRDefault="00A33C04" w:rsidP="0047139C">
            <w:pPr>
              <w:spacing w:before="40" w:after="120"/>
              <w:ind w:right="113"/>
              <w:rPr>
                <w:rFonts w:cs="Tms Rmn"/>
                <w:color w:val="000000"/>
                <w:lang w:bidi="th-TH"/>
              </w:rPr>
            </w:pPr>
            <w:r>
              <w:t>Elaborate policy solutions for Mobility as a Service (</w:t>
            </w:r>
            <w:proofErr w:type="spellStart"/>
            <w:r>
              <w:t>MaaS</w:t>
            </w:r>
            <w:proofErr w:type="spellEnd"/>
            <w:r>
              <w:t>) for passenger movement</w:t>
            </w:r>
          </w:p>
        </w:tc>
        <w:tc>
          <w:tcPr>
            <w:tcW w:w="1134" w:type="dxa"/>
            <w:shd w:val="clear" w:color="auto" w:fill="auto"/>
            <w:noWrap/>
          </w:tcPr>
          <w:p w14:paraId="62237B4A" w14:textId="77777777" w:rsidR="00A33C04" w:rsidRDefault="00A33C04" w:rsidP="0047139C">
            <w:pPr>
              <w:spacing w:before="40" w:after="120"/>
              <w:ind w:right="113"/>
            </w:pPr>
            <w:r>
              <w:t>2030</w:t>
            </w:r>
          </w:p>
        </w:tc>
        <w:tc>
          <w:tcPr>
            <w:tcW w:w="1042" w:type="dxa"/>
          </w:tcPr>
          <w:p w14:paraId="063DA0A0" w14:textId="77777777" w:rsidR="00A33C04" w:rsidRDefault="00A33C04" w:rsidP="0047139C">
            <w:pPr>
              <w:spacing w:before="40" w:after="120"/>
              <w:ind w:right="113"/>
            </w:pPr>
            <w:r w:rsidRPr="00AF594E">
              <w:t>A.(</w:t>
            </w:r>
            <w:r>
              <w:t>c</w:t>
            </w:r>
            <w:r w:rsidRPr="00AF594E">
              <w:t>)</w:t>
            </w:r>
          </w:p>
        </w:tc>
        <w:tc>
          <w:tcPr>
            <w:tcW w:w="1226" w:type="dxa"/>
            <w:shd w:val="clear" w:color="auto" w:fill="auto"/>
            <w:noWrap/>
          </w:tcPr>
          <w:p w14:paraId="0547CC55" w14:textId="77777777" w:rsidR="00A33C04" w:rsidRPr="00697CC6" w:rsidRDefault="00A33C04" w:rsidP="0047139C">
            <w:pPr>
              <w:spacing w:before="40" w:after="120"/>
              <w:ind w:right="113"/>
            </w:pPr>
            <w:r>
              <w:t>Avoid/Shift/</w:t>
            </w:r>
            <w:r>
              <w:br/>
              <w:t>Improve</w:t>
            </w:r>
          </w:p>
        </w:tc>
        <w:tc>
          <w:tcPr>
            <w:tcW w:w="1701" w:type="dxa"/>
            <w:shd w:val="clear" w:color="auto" w:fill="auto"/>
            <w:noWrap/>
          </w:tcPr>
          <w:p w14:paraId="2E7680D1" w14:textId="77777777" w:rsidR="00A33C04" w:rsidRPr="00697CC6" w:rsidRDefault="00A33C04" w:rsidP="0047139C">
            <w:pPr>
              <w:spacing w:before="40" w:after="120"/>
              <w:ind w:right="113"/>
            </w:pPr>
            <w:r>
              <w:t>WP.5</w:t>
            </w:r>
          </w:p>
        </w:tc>
      </w:tr>
      <w:tr w:rsidR="00A33C04" w:rsidRPr="00697CC6" w14:paraId="63084386" w14:textId="77777777" w:rsidTr="0047139C">
        <w:trPr>
          <w:trHeight w:val="300"/>
        </w:trPr>
        <w:tc>
          <w:tcPr>
            <w:tcW w:w="709" w:type="dxa"/>
            <w:shd w:val="clear" w:color="auto" w:fill="auto"/>
            <w:noWrap/>
          </w:tcPr>
          <w:p w14:paraId="7F113C28" w14:textId="77777777" w:rsidR="00A33C04" w:rsidRPr="003118D1" w:rsidRDefault="00A33C04" w:rsidP="0047139C">
            <w:pPr>
              <w:spacing w:before="40" w:after="120"/>
              <w:ind w:right="113"/>
              <w:rPr>
                <w:b/>
                <w:bCs/>
              </w:rPr>
            </w:pPr>
            <w:r>
              <w:lastRenderedPageBreak/>
              <w:t>20</w:t>
            </w:r>
          </w:p>
        </w:tc>
        <w:tc>
          <w:tcPr>
            <w:tcW w:w="8505" w:type="dxa"/>
            <w:shd w:val="clear" w:color="auto" w:fill="auto"/>
            <w:noWrap/>
          </w:tcPr>
          <w:p w14:paraId="533DD227" w14:textId="77777777" w:rsidR="00A33C04" w:rsidRDefault="00A33C04" w:rsidP="0047139C">
            <w:pPr>
              <w:spacing w:before="40" w:after="120"/>
              <w:ind w:right="113"/>
            </w:pPr>
            <w:r>
              <w:t xml:space="preserve">Elaborate policy solutions for minimizing ‘empty runs’ </w:t>
            </w:r>
            <w:r w:rsidRPr="006E32D0">
              <w:t>and to create incentives for transport users to make informed choices and for operators to optimize their services</w:t>
            </w:r>
          </w:p>
        </w:tc>
        <w:tc>
          <w:tcPr>
            <w:tcW w:w="1134" w:type="dxa"/>
            <w:shd w:val="clear" w:color="auto" w:fill="auto"/>
            <w:noWrap/>
          </w:tcPr>
          <w:p w14:paraId="05B3F352" w14:textId="77777777" w:rsidR="00A33C04" w:rsidRDefault="00A33C04" w:rsidP="0047139C">
            <w:pPr>
              <w:spacing w:before="40" w:after="120"/>
              <w:ind w:right="113"/>
            </w:pPr>
            <w:r>
              <w:t>2035</w:t>
            </w:r>
          </w:p>
        </w:tc>
        <w:tc>
          <w:tcPr>
            <w:tcW w:w="1042" w:type="dxa"/>
          </w:tcPr>
          <w:p w14:paraId="638A3966" w14:textId="77777777" w:rsidR="00A33C04" w:rsidRDefault="00A33C04" w:rsidP="0047139C">
            <w:pPr>
              <w:spacing w:before="40" w:after="120"/>
              <w:ind w:right="113"/>
            </w:pPr>
            <w:r>
              <w:t>A.(c)</w:t>
            </w:r>
          </w:p>
        </w:tc>
        <w:tc>
          <w:tcPr>
            <w:tcW w:w="1226" w:type="dxa"/>
            <w:shd w:val="clear" w:color="auto" w:fill="auto"/>
            <w:noWrap/>
          </w:tcPr>
          <w:p w14:paraId="48C8E921" w14:textId="77777777" w:rsidR="00A33C04" w:rsidRDefault="00A33C04" w:rsidP="0047139C">
            <w:pPr>
              <w:spacing w:before="40" w:after="120"/>
              <w:ind w:right="113"/>
            </w:pPr>
            <w:r>
              <w:t>Avoid/</w:t>
            </w:r>
            <w:r>
              <w:br/>
              <w:t>Improve</w:t>
            </w:r>
          </w:p>
        </w:tc>
        <w:tc>
          <w:tcPr>
            <w:tcW w:w="1701" w:type="dxa"/>
            <w:shd w:val="clear" w:color="auto" w:fill="auto"/>
            <w:noWrap/>
          </w:tcPr>
          <w:p w14:paraId="5EA4601E" w14:textId="77777777" w:rsidR="00A33C04" w:rsidRDefault="00A33C04" w:rsidP="0047139C">
            <w:pPr>
              <w:spacing w:before="40" w:after="120"/>
              <w:ind w:right="113"/>
            </w:pPr>
            <w:r>
              <w:t>SC.1/SC.2/WP.24/WP.5</w:t>
            </w:r>
          </w:p>
        </w:tc>
      </w:tr>
      <w:tr w:rsidR="00A33C04" w:rsidRPr="00697CC6" w14:paraId="5F706CD6" w14:textId="77777777" w:rsidTr="0047139C">
        <w:trPr>
          <w:trHeight w:val="300"/>
        </w:trPr>
        <w:tc>
          <w:tcPr>
            <w:tcW w:w="709" w:type="dxa"/>
            <w:shd w:val="clear" w:color="auto" w:fill="auto"/>
            <w:noWrap/>
          </w:tcPr>
          <w:p w14:paraId="4F1369B5" w14:textId="77777777" w:rsidR="00A33C04" w:rsidRPr="00AF594E" w:rsidRDefault="00A33C04" w:rsidP="0047139C">
            <w:pPr>
              <w:spacing w:before="40" w:after="120"/>
              <w:ind w:right="113"/>
            </w:pPr>
            <w:r>
              <w:t>21</w:t>
            </w:r>
          </w:p>
        </w:tc>
        <w:tc>
          <w:tcPr>
            <w:tcW w:w="8505" w:type="dxa"/>
            <w:shd w:val="clear" w:color="auto" w:fill="auto"/>
            <w:noWrap/>
          </w:tcPr>
          <w:p w14:paraId="36CB3286" w14:textId="77777777" w:rsidR="00A33C04" w:rsidRDefault="00A33C04" w:rsidP="0047139C">
            <w:pPr>
              <w:spacing w:before="40" w:after="120"/>
              <w:ind w:right="113"/>
            </w:pPr>
            <w:r>
              <w:t xml:space="preserve">Elaborate policy solutions for intermodal city logistics, urban physical internet </w:t>
            </w:r>
          </w:p>
        </w:tc>
        <w:tc>
          <w:tcPr>
            <w:tcW w:w="1134" w:type="dxa"/>
            <w:shd w:val="clear" w:color="auto" w:fill="auto"/>
            <w:noWrap/>
          </w:tcPr>
          <w:p w14:paraId="2C5E1C7E" w14:textId="77777777" w:rsidR="00A33C04" w:rsidRDefault="00A33C04" w:rsidP="0047139C">
            <w:pPr>
              <w:spacing w:before="40" w:after="120"/>
              <w:ind w:right="113"/>
            </w:pPr>
            <w:r>
              <w:t>2035</w:t>
            </w:r>
          </w:p>
        </w:tc>
        <w:tc>
          <w:tcPr>
            <w:tcW w:w="1042" w:type="dxa"/>
          </w:tcPr>
          <w:p w14:paraId="3177D123" w14:textId="77777777" w:rsidR="00A33C04" w:rsidRDefault="00A33C04" w:rsidP="0047139C">
            <w:pPr>
              <w:spacing w:before="40" w:after="120"/>
              <w:ind w:right="113"/>
            </w:pPr>
            <w:r>
              <w:t>A.(c) / C.</w:t>
            </w:r>
          </w:p>
        </w:tc>
        <w:tc>
          <w:tcPr>
            <w:tcW w:w="1226" w:type="dxa"/>
            <w:shd w:val="clear" w:color="auto" w:fill="auto"/>
            <w:noWrap/>
          </w:tcPr>
          <w:p w14:paraId="5C9EEA81" w14:textId="77777777" w:rsidR="00A33C04" w:rsidRDefault="00A33C04" w:rsidP="0047139C">
            <w:pPr>
              <w:spacing w:before="40" w:after="120"/>
              <w:ind w:right="113"/>
            </w:pPr>
            <w:r>
              <w:t>Improve</w:t>
            </w:r>
          </w:p>
        </w:tc>
        <w:tc>
          <w:tcPr>
            <w:tcW w:w="1701" w:type="dxa"/>
            <w:shd w:val="clear" w:color="auto" w:fill="auto"/>
            <w:noWrap/>
          </w:tcPr>
          <w:p w14:paraId="579738F1" w14:textId="77777777" w:rsidR="00A33C04" w:rsidRDefault="00A33C04" w:rsidP="0047139C">
            <w:pPr>
              <w:spacing w:before="40" w:after="120"/>
              <w:ind w:right="113"/>
            </w:pPr>
            <w:r>
              <w:t>WP.5/WP.24</w:t>
            </w:r>
          </w:p>
        </w:tc>
      </w:tr>
      <w:tr w:rsidR="00A33C04" w:rsidRPr="00697CC6" w14:paraId="54F8B220" w14:textId="77777777" w:rsidTr="0047139C">
        <w:trPr>
          <w:trHeight w:val="300"/>
        </w:trPr>
        <w:tc>
          <w:tcPr>
            <w:tcW w:w="709" w:type="dxa"/>
            <w:shd w:val="clear" w:color="auto" w:fill="auto"/>
            <w:noWrap/>
          </w:tcPr>
          <w:p w14:paraId="770C2E2C" w14:textId="77777777" w:rsidR="00A33C04" w:rsidRDefault="00A33C04" w:rsidP="0047139C">
            <w:pPr>
              <w:spacing w:before="40" w:after="120"/>
              <w:ind w:right="113"/>
            </w:pPr>
            <w:r>
              <w:t>22</w:t>
            </w:r>
          </w:p>
        </w:tc>
        <w:tc>
          <w:tcPr>
            <w:tcW w:w="8505" w:type="dxa"/>
            <w:shd w:val="clear" w:color="auto" w:fill="auto"/>
            <w:noWrap/>
          </w:tcPr>
          <w:p w14:paraId="2954456C" w14:textId="77777777" w:rsidR="00A33C04" w:rsidRPr="00697CC6" w:rsidRDefault="00A33C04" w:rsidP="0047139C">
            <w:pPr>
              <w:spacing w:before="40" w:after="120"/>
              <w:ind w:right="113"/>
            </w:pPr>
            <w:r w:rsidRPr="00697CC6">
              <w:t xml:space="preserve">Assess the feasibility and potential benefits of defining </w:t>
            </w:r>
            <w:r>
              <w:t xml:space="preserve">intermediate targets (2030/2040) for achieving net zero GHG emission by 2050 by </w:t>
            </w:r>
            <w:r w:rsidRPr="00697CC6">
              <w:t>inland transport GHG emission reduction target</w:t>
            </w:r>
          </w:p>
        </w:tc>
        <w:tc>
          <w:tcPr>
            <w:tcW w:w="1134" w:type="dxa"/>
            <w:shd w:val="clear" w:color="auto" w:fill="auto"/>
            <w:noWrap/>
          </w:tcPr>
          <w:p w14:paraId="20F80864" w14:textId="77777777" w:rsidR="00A33C04" w:rsidRPr="00697CC6" w:rsidRDefault="00A33C04" w:rsidP="0047139C">
            <w:pPr>
              <w:spacing w:before="40" w:after="120"/>
              <w:ind w:right="113"/>
            </w:pPr>
            <w:r w:rsidRPr="00697CC6">
              <w:t>2026</w:t>
            </w:r>
          </w:p>
        </w:tc>
        <w:tc>
          <w:tcPr>
            <w:tcW w:w="1042" w:type="dxa"/>
          </w:tcPr>
          <w:p w14:paraId="6666BB18" w14:textId="77777777" w:rsidR="00A33C04" w:rsidRPr="00697CC6" w:rsidRDefault="00A33C04" w:rsidP="0047139C">
            <w:pPr>
              <w:spacing w:before="40" w:after="120"/>
              <w:ind w:right="113"/>
            </w:pPr>
            <w:r w:rsidRPr="000210F6">
              <w:t>A.</w:t>
            </w:r>
            <w:r>
              <w:t>(c)</w:t>
            </w:r>
          </w:p>
        </w:tc>
        <w:tc>
          <w:tcPr>
            <w:tcW w:w="1226" w:type="dxa"/>
            <w:shd w:val="clear" w:color="auto" w:fill="auto"/>
            <w:noWrap/>
          </w:tcPr>
          <w:p w14:paraId="0E246E99"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26B3A61F" w14:textId="77777777" w:rsidR="00A33C04" w:rsidRPr="00697CC6" w:rsidRDefault="00A33C04" w:rsidP="0047139C">
            <w:pPr>
              <w:spacing w:before="40" w:after="120"/>
              <w:ind w:right="113"/>
            </w:pPr>
            <w:r w:rsidRPr="00697CC6">
              <w:t>ITC</w:t>
            </w:r>
          </w:p>
        </w:tc>
      </w:tr>
      <w:tr w:rsidR="00A33C04" w:rsidRPr="00697CC6" w14:paraId="44C0C177" w14:textId="77777777" w:rsidTr="0047139C">
        <w:trPr>
          <w:trHeight w:val="300"/>
        </w:trPr>
        <w:tc>
          <w:tcPr>
            <w:tcW w:w="709" w:type="dxa"/>
            <w:shd w:val="clear" w:color="auto" w:fill="auto"/>
            <w:noWrap/>
          </w:tcPr>
          <w:p w14:paraId="63D65EAC" w14:textId="77777777" w:rsidR="00A33C04" w:rsidRPr="00C32EC8" w:rsidRDefault="00A33C04" w:rsidP="0047139C">
            <w:pPr>
              <w:spacing w:before="40" w:after="120"/>
              <w:ind w:right="113"/>
              <w:rPr>
                <w:color w:val="FF0000"/>
              </w:rPr>
            </w:pPr>
            <w:r>
              <w:t>23</w:t>
            </w:r>
          </w:p>
        </w:tc>
        <w:tc>
          <w:tcPr>
            <w:tcW w:w="8505" w:type="dxa"/>
            <w:shd w:val="clear" w:color="auto" w:fill="auto"/>
            <w:noWrap/>
          </w:tcPr>
          <w:p w14:paraId="31FADFA6" w14:textId="77777777" w:rsidR="00A33C04" w:rsidRPr="006C4BE2" w:rsidRDefault="00A33C04" w:rsidP="0047139C">
            <w:pPr>
              <w:spacing w:before="40" w:after="120"/>
              <w:ind w:left="720" w:right="113"/>
              <w:rPr>
                <w:color w:val="FF0000"/>
              </w:rPr>
            </w:pPr>
            <w:r w:rsidRPr="00EF4196">
              <w:rPr>
                <w:noProof/>
              </w:rPr>
              <mc:AlternateContent>
                <mc:Choice Requires="wps">
                  <w:drawing>
                    <wp:anchor distT="0" distB="0" distL="114300" distR="114300" simplePos="0" relativeHeight="251659264" behindDoc="0" locked="0" layoutInCell="1" allowOverlap="1" wp14:anchorId="0D6AAAD4" wp14:editId="502842CF">
                      <wp:simplePos x="0" y="0"/>
                      <wp:positionH relativeFrom="column">
                        <wp:posOffset>102690</wp:posOffset>
                      </wp:positionH>
                      <wp:positionV relativeFrom="paragraph">
                        <wp:posOffset>36782</wp:posOffset>
                      </wp:positionV>
                      <wp:extent cx="285595" cy="404771"/>
                      <wp:effectExtent l="19050" t="0" r="57785" b="90805"/>
                      <wp:wrapNone/>
                      <wp:docPr id="14" name="Connector: Elbow 14"/>
                      <wp:cNvGraphicFramePr/>
                      <a:graphic xmlns:a="http://schemas.openxmlformats.org/drawingml/2006/main">
                        <a:graphicData uri="http://schemas.microsoft.com/office/word/2010/wordprocessingShape">
                          <wps:wsp>
                            <wps:cNvCnPr/>
                            <wps:spPr>
                              <a:xfrm>
                                <a:off x="0" y="0"/>
                                <a:ext cx="285595" cy="404771"/>
                              </a:xfrm>
                              <a:prstGeom prst="bentConnector3">
                                <a:avLst>
                                  <a:gd name="adj1" fmla="val -37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00E8A" id="Connector: Elbow 14" o:spid="_x0000_s1026" type="#_x0000_t34" style="position:absolute;margin-left:8.1pt;margin-top:2.9pt;width:22.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" adj="-812" strokecolor="black [3040]">
                      <v:stroke endarrow="block"/>
                    </v:shape>
                  </w:pict>
                </mc:Fallback>
              </mc:AlternateContent>
            </w:r>
            <w:r w:rsidRPr="00EF4196">
              <w:t>If relevant</w:t>
            </w:r>
            <w:r w:rsidRPr="00493149">
              <w:t xml:space="preserve">, explore </w:t>
            </w:r>
            <w:r w:rsidRPr="00F841B5">
              <w:t xml:space="preserve">and </w:t>
            </w:r>
            <w:r>
              <w:t xml:space="preserve">propose goals and pathways for GHG reduction in </w:t>
            </w:r>
            <w:r w:rsidRPr="006E32D0">
              <w:t xml:space="preserve">inland transport for the short-(2030), medium (2040)-, and moving towards net zero by 2050 and, if </w:t>
            </w:r>
            <w:r>
              <w:t xml:space="preserve">and where </w:t>
            </w:r>
            <w:r w:rsidRPr="006E32D0">
              <w:t xml:space="preserve">appropriate, include these, along with national policies, in </w:t>
            </w:r>
            <w:r w:rsidRPr="006E32D0">
              <w:rPr>
                <w:rFonts w:cs="Tms Rmn"/>
                <w:lang w:bidi="th-TH"/>
              </w:rPr>
              <w:t>inland transport decarbonization action plans to be shared at the ITC</w:t>
            </w:r>
          </w:p>
        </w:tc>
        <w:tc>
          <w:tcPr>
            <w:tcW w:w="1134" w:type="dxa"/>
            <w:shd w:val="clear" w:color="auto" w:fill="auto"/>
            <w:noWrap/>
          </w:tcPr>
          <w:p w14:paraId="0062C41E" w14:textId="77777777" w:rsidR="00A33C04" w:rsidRPr="009D5CF1" w:rsidRDefault="00A33C04" w:rsidP="0047139C">
            <w:pPr>
              <w:spacing w:before="40" w:after="120"/>
              <w:ind w:right="113"/>
              <w:rPr>
                <w:strike/>
              </w:rPr>
            </w:pPr>
            <w:r w:rsidRPr="00C32EC8">
              <w:t>From 2026</w:t>
            </w:r>
          </w:p>
        </w:tc>
        <w:tc>
          <w:tcPr>
            <w:tcW w:w="1042" w:type="dxa"/>
          </w:tcPr>
          <w:p w14:paraId="680A5A15" w14:textId="77777777" w:rsidR="00A33C04" w:rsidRPr="009D5CF1" w:rsidRDefault="00A33C04" w:rsidP="0047139C">
            <w:pPr>
              <w:spacing w:before="40" w:after="120"/>
              <w:ind w:right="113"/>
              <w:rPr>
                <w:strike/>
              </w:rPr>
            </w:pPr>
            <w:r w:rsidRPr="00C32EC8">
              <w:t>A.(c)</w:t>
            </w:r>
          </w:p>
        </w:tc>
        <w:tc>
          <w:tcPr>
            <w:tcW w:w="1226" w:type="dxa"/>
            <w:shd w:val="clear" w:color="auto" w:fill="auto"/>
            <w:noWrap/>
          </w:tcPr>
          <w:p w14:paraId="702ED7C1" w14:textId="77777777" w:rsidR="00A33C04" w:rsidRPr="009D5CF1" w:rsidRDefault="00A33C04" w:rsidP="0047139C">
            <w:pPr>
              <w:spacing w:before="40" w:after="120"/>
              <w:ind w:right="113"/>
              <w:rPr>
                <w:strike/>
              </w:rPr>
            </w:pPr>
            <w:r w:rsidRPr="00C32EC8">
              <w:t>Avoid/Shift/</w:t>
            </w:r>
            <w:r w:rsidRPr="00C32EC8">
              <w:br/>
              <w:t>Improve</w:t>
            </w:r>
          </w:p>
        </w:tc>
        <w:tc>
          <w:tcPr>
            <w:tcW w:w="1701" w:type="dxa"/>
            <w:shd w:val="clear" w:color="auto" w:fill="auto"/>
            <w:noWrap/>
          </w:tcPr>
          <w:p w14:paraId="50180691" w14:textId="77777777" w:rsidR="00A33C04" w:rsidRPr="009D5CF1" w:rsidRDefault="00A33C04" w:rsidP="0047139C">
            <w:pPr>
              <w:spacing w:before="40" w:after="120"/>
              <w:ind w:right="113"/>
              <w:rPr>
                <w:strike/>
              </w:rPr>
            </w:pPr>
            <w:r w:rsidRPr="00C32EC8">
              <w:t>ITC</w:t>
            </w:r>
          </w:p>
        </w:tc>
      </w:tr>
      <w:tr w:rsidR="00A33C04" w:rsidRPr="00697CC6" w14:paraId="44EB694F" w14:textId="77777777" w:rsidTr="0047139C">
        <w:trPr>
          <w:trHeight w:val="300"/>
        </w:trPr>
        <w:tc>
          <w:tcPr>
            <w:tcW w:w="709" w:type="dxa"/>
            <w:shd w:val="clear" w:color="auto" w:fill="auto"/>
            <w:noWrap/>
          </w:tcPr>
          <w:p w14:paraId="31CAD570" w14:textId="77777777" w:rsidR="00A33C04" w:rsidRDefault="00A33C04" w:rsidP="0047139C">
            <w:pPr>
              <w:spacing w:before="40" w:after="120"/>
              <w:ind w:right="113"/>
            </w:pPr>
            <w:r>
              <w:t>24</w:t>
            </w:r>
          </w:p>
        </w:tc>
        <w:tc>
          <w:tcPr>
            <w:tcW w:w="8505" w:type="dxa"/>
            <w:shd w:val="clear" w:color="auto" w:fill="auto"/>
            <w:noWrap/>
          </w:tcPr>
          <w:p w14:paraId="4D6AF00B" w14:textId="77777777" w:rsidR="00A33C04" w:rsidRDefault="00A33C04" w:rsidP="0047139C">
            <w:pPr>
              <w:spacing w:before="40" w:after="120"/>
              <w:ind w:right="113"/>
            </w:pPr>
            <w:r>
              <w:t>Manage</w:t>
            </w:r>
            <w:r w:rsidRPr="00697CC6">
              <w:t xml:space="preserve"> inland transport GHG emissions data (considering dif</w:t>
            </w:r>
            <w:r>
              <w:t>f</w:t>
            </w:r>
            <w:r w:rsidRPr="00697CC6">
              <w:t>erent modes and energy types)</w:t>
            </w:r>
          </w:p>
        </w:tc>
        <w:tc>
          <w:tcPr>
            <w:tcW w:w="1134" w:type="dxa"/>
            <w:shd w:val="clear" w:color="auto" w:fill="auto"/>
            <w:noWrap/>
          </w:tcPr>
          <w:p w14:paraId="1A87C558" w14:textId="77777777" w:rsidR="00A33C04" w:rsidRDefault="00A33C04" w:rsidP="0047139C">
            <w:pPr>
              <w:spacing w:before="40" w:after="120"/>
              <w:ind w:right="113"/>
            </w:pPr>
            <w:r w:rsidRPr="00697CC6">
              <w:t>2028</w:t>
            </w:r>
          </w:p>
        </w:tc>
        <w:tc>
          <w:tcPr>
            <w:tcW w:w="1042" w:type="dxa"/>
          </w:tcPr>
          <w:p w14:paraId="65AA714C" w14:textId="77777777" w:rsidR="00A33C04" w:rsidRPr="00697CC6" w:rsidRDefault="00A33C04" w:rsidP="0047139C">
            <w:pPr>
              <w:spacing w:before="40" w:after="120"/>
              <w:ind w:right="113"/>
            </w:pPr>
            <w:r>
              <w:t>A.(c)</w:t>
            </w:r>
          </w:p>
        </w:tc>
        <w:tc>
          <w:tcPr>
            <w:tcW w:w="1226" w:type="dxa"/>
            <w:shd w:val="clear" w:color="auto" w:fill="auto"/>
            <w:noWrap/>
          </w:tcPr>
          <w:p w14:paraId="56C95084" w14:textId="77777777" w:rsidR="00A33C04" w:rsidRDefault="00A33C04" w:rsidP="0047139C">
            <w:pPr>
              <w:spacing w:before="40" w:after="120"/>
              <w:ind w:right="113"/>
            </w:pPr>
            <w:r w:rsidRPr="00697CC6">
              <w:t>Avoid/Shift/</w:t>
            </w:r>
            <w:r>
              <w:br/>
            </w:r>
            <w:r w:rsidRPr="00697CC6">
              <w:t>Improve</w:t>
            </w:r>
          </w:p>
        </w:tc>
        <w:tc>
          <w:tcPr>
            <w:tcW w:w="1701" w:type="dxa"/>
            <w:shd w:val="clear" w:color="auto" w:fill="auto"/>
            <w:noWrap/>
          </w:tcPr>
          <w:p w14:paraId="0422C4FA" w14:textId="77777777" w:rsidR="00A33C04" w:rsidRDefault="00A33C04" w:rsidP="0047139C">
            <w:pPr>
              <w:spacing w:before="40" w:after="120"/>
              <w:ind w:right="113"/>
            </w:pPr>
            <w:r w:rsidRPr="00697CC6">
              <w:t>WP.6</w:t>
            </w:r>
          </w:p>
        </w:tc>
      </w:tr>
      <w:tr w:rsidR="00A33C04" w:rsidRPr="00697CC6" w14:paraId="0F5B8949" w14:textId="77777777" w:rsidTr="0047139C">
        <w:trPr>
          <w:trHeight w:val="300"/>
        </w:trPr>
        <w:tc>
          <w:tcPr>
            <w:tcW w:w="709" w:type="dxa"/>
            <w:shd w:val="clear" w:color="auto" w:fill="auto"/>
            <w:noWrap/>
          </w:tcPr>
          <w:p w14:paraId="1633E846" w14:textId="77777777" w:rsidR="00A33C04" w:rsidRDefault="00A33C04" w:rsidP="0047139C">
            <w:pPr>
              <w:spacing w:before="40" w:after="120"/>
              <w:ind w:right="113"/>
            </w:pPr>
            <w:r>
              <w:t>25</w:t>
            </w:r>
          </w:p>
        </w:tc>
        <w:tc>
          <w:tcPr>
            <w:tcW w:w="8505" w:type="dxa"/>
            <w:shd w:val="clear" w:color="auto" w:fill="auto"/>
            <w:noWrap/>
          </w:tcPr>
          <w:p w14:paraId="60628079" w14:textId="77777777" w:rsidR="00A33C04" w:rsidRDefault="00A33C04" w:rsidP="0047139C">
            <w:pPr>
              <w:spacing w:before="40" w:after="120"/>
              <w:ind w:right="113"/>
            </w:pPr>
            <w:r>
              <w:t>Work towards efficient and seamless multimodal transport data and information digitalization and monitor progress</w:t>
            </w:r>
          </w:p>
        </w:tc>
        <w:tc>
          <w:tcPr>
            <w:tcW w:w="1134" w:type="dxa"/>
            <w:shd w:val="clear" w:color="auto" w:fill="auto"/>
            <w:noWrap/>
          </w:tcPr>
          <w:p w14:paraId="3DE780E4" w14:textId="77777777" w:rsidR="00A33C04" w:rsidRDefault="00A33C04" w:rsidP="0047139C">
            <w:pPr>
              <w:spacing w:before="40" w:after="120"/>
              <w:ind w:right="113"/>
            </w:pPr>
            <w:r>
              <w:t>2040</w:t>
            </w:r>
          </w:p>
        </w:tc>
        <w:tc>
          <w:tcPr>
            <w:tcW w:w="1042" w:type="dxa"/>
          </w:tcPr>
          <w:p w14:paraId="754889FC" w14:textId="77777777" w:rsidR="00A33C04" w:rsidRDefault="00A33C04" w:rsidP="0047139C">
            <w:pPr>
              <w:spacing w:before="40" w:after="120"/>
              <w:ind w:right="113"/>
            </w:pPr>
            <w:r>
              <w:t>A.(c)</w:t>
            </w:r>
          </w:p>
        </w:tc>
        <w:tc>
          <w:tcPr>
            <w:tcW w:w="1226" w:type="dxa"/>
            <w:shd w:val="clear" w:color="auto" w:fill="auto"/>
            <w:noWrap/>
          </w:tcPr>
          <w:p w14:paraId="7AE27C9C" w14:textId="77777777" w:rsidR="00A33C04" w:rsidRPr="00697CC6" w:rsidRDefault="00A33C04" w:rsidP="0047139C">
            <w:pPr>
              <w:spacing w:before="40" w:after="120"/>
              <w:ind w:right="113"/>
            </w:pPr>
            <w:r>
              <w:t>Shift/</w:t>
            </w:r>
            <w:r>
              <w:br/>
              <w:t>Improve</w:t>
            </w:r>
          </w:p>
        </w:tc>
        <w:tc>
          <w:tcPr>
            <w:tcW w:w="1701" w:type="dxa"/>
            <w:shd w:val="clear" w:color="auto" w:fill="auto"/>
            <w:noWrap/>
          </w:tcPr>
          <w:p w14:paraId="5DD35472" w14:textId="77777777" w:rsidR="00A33C04" w:rsidRPr="00697CC6" w:rsidRDefault="00A33C04" w:rsidP="0047139C">
            <w:pPr>
              <w:spacing w:before="40" w:after="120"/>
              <w:ind w:right="113"/>
            </w:pPr>
            <w:r>
              <w:t>WP.24</w:t>
            </w:r>
          </w:p>
        </w:tc>
      </w:tr>
      <w:tr w:rsidR="00A33C04" w:rsidRPr="00697CC6" w14:paraId="12824822" w14:textId="77777777" w:rsidTr="0047139C">
        <w:trPr>
          <w:trHeight w:val="300"/>
        </w:trPr>
        <w:tc>
          <w:tcPr>
            <w:tcW w:w="709" w:type="dxa"/>
            <w:shd w:val="clear" w:color="auto" w:fill="auto"/>
            <w:noWrap/>
          </w:tcPr>
          <w:p w14:paraId="45AE7043" w14:textId="77777777" w:rsidR="00A33C04" w:rsidRDefault="00A33C04" w:rsidP="0047139C">
            <w:pPr>
              <w:spacing w:before="40" w:after="120"/>
              <w:ind w:right="113"/>
            </w:pPr>
            <w:r>
              <w:t>26</w:t>
            </w:r>
          </w:p>
        </w:tc>
        <w:tc>
          <w:tcPr>
            <w:tcW w:w="8505" w:type="dxa"/>
            <w:shd w:val="clear" w:color="auto" w:fill="auto"/>
            <w:noWrap/>
          </w:tcPr>
          <w:p w14:paraId="5015A3C3" w14:textId="77777777" w:rsidR="00A33C04" w:rsidRPr="008209AC" w:rsidRDefault="00A33C04" w:rsidP="0047139C">
            <w:pPr>
              <w:spacing w:before="40" w:after="120"/>
              <w:ind w:right="113"/>
            </w:pPr>
            <w:r w:rsidRPr="008209AC">
              <w:t>Develop methodological and analytical tools to support national efforts further to and based on existing tools such as For Future Inland Transport Systems (</w:t>
            </w:r>
            <w:proofErr w:type="spellStart"/>
            <w:r w:rsidRPr="008209AC">
              <w:t>ForFITS</w:t>
            </w:r>
            <w:proofErr w:type="spellEnd"/>
            <w:r w:rsidRPr="008209AC">
              <w:t>), Sustainable Inland Transport Connectivity Indicators (SITCIN), and the International Transport Infrastructure Observatory (ITIO-GIS)</w:t>
            </w:r>
          </w:p>
        </w:tc>
        <w:tc>
          <w:tcPr>
            <w:tcW w:w="1134" w:type="dxa"/>
            <w:shd w:val="clear" w:color="auto" w:fill="auto"/>
            <w:noWrap/>
          </w:tcPr>
          <w:p w14:paraId="69385F7B" w14:textId="77777777" w:rsidR="00A33C04" w:rsidRDefault="00A33C04" w:rsidP="0047139C">
            <w:pPr>
              <w:spacing w:before="40" w:after="120"/>
              <w:ind w:right="113"/>
            </w:pPr>
            <w:r>
              <w:t>From 2024 onwards</w:t>
            </w:r>
          </w:p>
        </w:tc>
        <w:tc>
          <w:tcPr>
            <w:tcW w:w="1042" w:type="dxa"/>
          </w:tcPr>
          <w:p w14:paraId="32B3E440" w14:textId="77777777" w:rsidR="00A33C04" w:rsidRDefault="00A33C04" w:rsidP="0047139C">
            <w:pPr>
              <w:spacing w:before="40" w:after="120"/>
              <w:ind w:right="113"/>
            </w:pPr>
            <w:r>
              <w:t>A.(c)</w:t>
            </w:r>
          </w:p>
        </w:tc>
        <w:tc>
          <w:tcPr>
            <w:tcW w:w="1226" w:type="dxa"/>
            <w:shd w:val="clear" w:color="auto" w:fill="auto"/>
            <w:noWrap/>
          </w:tcPr>
          <w:p w14:paraId="3A483AAD" w14:textId="77777777" w:rsidR="00A33C04" w:rsidRPr="00697CC6" w:rsidRDefault="00A33C04" w:rsidP="0047139C">
            <w:pPr>
              <w:spacing w:before="40" w:after="120"/>
              <w:ind w:right="113"/>
            </w:pPr>
            <w:r w:rsidRPr="00697CC6">
              <w:t>Avoid/Shift/</w:t>
            </w:r>
            <w:r>
              <w:br/>
            </w:r>
            <w:r w:rsidRPr="00697CC6">
              <w:t>Improve</w:t>
            </w:r>
          </w:p>
        </w:tc>
        <w:tc>
          <w:tcPr>
            <w:tcW w:w="1701" w:type="dxa"/>
            <w:shd w:val="clear" w:color="auto" w:fill="auto"/>
            <w:noWrap/>
          </w:tcPr>
          <w:p w14:paraId="7FFFC700" w14:textId="77777777" w:rsidR="00A33C04" w:rsidRPr="00697CC6" w:rsidRDefault="00A33C04" w:rsidP="0047139C">
            <w:pPr>
              <w:spacing w:before="40" w:after="120"/>
              <w:ind w:right="113"/>
            </w:pPr>
            <w:r>
              <w:t>ITC and a</w:t>
            </w:r>
            <w:r w:rsidRPr="00697CC6">
              <w:t xml:space="preserve">ll </w:t>
            </w:r>
            <w:r>
              <w:t>its</w:t>
            </w:r>
            <w:r w:rsidRPr="00697CC6">
              <w:t xml:space="preserve"> </w:t>
            </w:r>
            <w:r>
              <w:t>WPs</w:t>
            </w:r>
          </w:p>
        </w:tc>
      </w:tr>
      <w:tr w:rsidR="00A33C04" w:rsidRPr="00697CC6" w14:paraId="727C4184" w14:textId="77777777" w:rsidTr="0047139C">
        <w:trPr>
          <w:trHeight w:val="300"/>
        </w:trPr>
        <w:tc>
          <w:tcPr>
            <w:tcW w:w="709" w:type="dxa"/>
            <w:shd w:val="clear" w:color="auto" w:fill="auto"/>
            <w:noWrap/>
          </w:tcPr>
          <w:p w14:paraId="2B160104" w14:textId="77777777" w:rsidR="00A33C04" w:rsidRDefault="00A33C04" w:rsidP="0047139C">
            <w:pPr>
              <w:spacing w:before="40" w:after="120"/>
              <w:ind w:right="113"/>
            </w:pPr>
            <w:r>
              <w:t>27</w:t>
            </w:r>
          </w:p>
        </w:tc>
        <w:tc>
          <w:tcPr>
            <w:tcW w:w="8505" w:type="dxa"/>
            <w:shd w:val="clear" w:color="auto" w:fill="auto"/>
            <w:noWrap/>
          </w:tcPr>
          <w:p w14:paraId="0631C6EE" w14:textId="77777777" w:rsidR="00A33C04" w:rsidRPr="008209AC" w:rsidRDefault="00A33C04" w:rsidP="0047139C">
            <w:pPr>
              <w:spacing w:before="40" w:after="120"/>
              <w:ind w:right="113"/>
            </w:pPr>
            <w:r>
              <w:t>Develop and support uptake of guidance for vulnerability assessment/stress tests of transport asset to climate change hazard and for effective adaptation programmes e.g. adaptation pathways</w:t>
            </w:r>
          </w:p>
        </w:tc>
        <w:tc>
          <w:tcPr>
            <w:tcW w:w="1134" w:type="dxa"/>
            <w:shd w:val="clear" w:color="auto" w:fill="auto"/>
            <w:noWrap/>
          </w:tcPr>
          <w:p w14:paraId="3EA94F16" w14:textId="77777777" w:rsidR="00A33C04" w:rsidRDefault="00A33C04" w:rsidP="0047139C">
            <w:pPr>
              <w:spacing w:before="40" w:after="120"/>
              <w:ind w:right="113"/>
            </w:pPr>
            <w:r>
              <w:t>2027</w:t>
            </w:r>
          </w:p>
        </w:tc>
        <w:tc>
          <w:tcPr>
            <w:tcW w:w="1042" w:type="dxa"/>
          </w:tcPr>
          <w:p w14:paraId="004BC26F" w14:textId="77777777" w:rsidR="00A33C04" w:rsidRDefault="00A33C04" w:rsidP="0047139C">
            <w:pPr>
              <w:spacing w:before="40" w:after="120"/>
              <w:ind w:right="113"/>
            </w:pPr>
            <w:r>
              <w:t>A.(c)</w:t>
            </w:r>
          </w:p>
        </w:tc>
        <w:tc>
          <w:tcPr>
            <w:tcW w:w="1226" w:type="dxa"/>
            <w:shd w:val="clear" w:color="auto" w:fill="auto"/>
            <w:noWrap/>
          </w:tcPr>
          <w:p w14:paraId="756EBBB7" w14:textId="77777777" w:rsidR="00A33C04" w:rsidRPr="00697CC6" w:rsidRDefault="00A33C04" w:rsidP="0047139C">
            <w:pPr>
              <w:spacing w:before="40" w:after="120"/>
              <w:ind w:right="113"/>
            </w:pPr>
            <w:r>
              <w:t>Adapt</w:t>
            </w:r>
          </w:p>
        </w:tc>
        <w:tc>
          <w:tcPr>
            <w:tcW w:w="1701" w:type="dxa"/>
            <w:shd w:val="clear" w:color="auto" w:fill="auto"/>
            <w:noWrap/>
          </w:tcPr>
          <w:p w14:paraId="34245FCE" w14:textId="77777777" w:rsidR="00A33C04" w:rsidRPr="00697CC6" w:rsidRDefault="00A33C04" w:rsidP="0047139C">
            <w:pPr>
              <w:spacing w:before="40" w:after="120"/>
              <w:ind w:right="113"/>
            </w:pPr>
            <w:r>
              <w:t>WP.5/GE.3</w:t>
            </w:r>
          </w:p>
        </w:tc>
      </w:tr>
      <w:tr w:rsidR="00A33C04" w:rsidRPr="00697CC6" w14:paraId="73B12FE5" w14:textId="77777777" w:rsidTr="0047139C">
        <w:trPr>
          <w:trHeight w:val="300"/>
        </w:trPr>
        <w:tc>
          <w:tcPr>
            <w:tcW w:w="709" w:type="dxa"/>
            <w:shd w:val="clear" w:color="auto" w:fill="auto"/>
            <w:noWrap/>
          </w:tcPr>
          <w:p w14:paraId="23EA636F" w14:textId="77777777" w:rsidR="00A33C04" w:rsidRDefault="00A33C04" w:rsidP="0047139C">
            <w:pPr>
              <w:spacing w:before="40" w:after="120"/>
              <w:ind w:right="113"/>
            </w:pPr>
            <w:r>
              <w:t>28</w:t>
            </w:r>
          </w:p>
        </w:tc>
        <w:tc>
          <w:tcPr>
            <w:tcW w:w="8505" w:type="dxa"/>
            <w:shd w:val="clear" w:color="auto" w:fill="auto"/>
            <w:noWrap/>
          </w:tcPr>
          <w:p w14:paraId="71F5642D" w14:textId="77777777" w:rsidR="00A33C04" w:rsidRPr="008209AC" w:rsidRDefault="00A33C04" w:rsidP="0047139C">
            <w:pPr>
              <w:spacing w:before="40" w:after="120"/>
              <w:ind w:right="113"/>
            </w:pPr>
            <w:r w:rsidRPr="00492230">
              <w:t xml:space="preserve">Develop </w:t>
            </w:r>
            <w:r>
              <w:t>and support uptake of</w:t>
            </w:r>
            <w:r w:rsidRPr="00492230">
              <w:t xml:space="preserve"> guidance on asset/network</w:t>
            </w:r>
            <w:r w:rsidRPr="00D953A5">
              <w:t xml:space="preserve"> criticality a</w:t>
            </w:r>
            <w:r>
              <w:t>ssessment for adaptation</w:t>
            </w:r>
          </w:p>
        </w:tc>
        <w:tc>
          <w:tcPr>
            <w:tcW w:w="1134" w:type="dxa"/>
            <w:shd w:val="clear" w:color="auto" w:fill="auto"/>
            <w:noWrap/>
          </w:tcPr>
          <w:p w14:paraId="6E10FDCB" w14:textId="77777777" w:rsidR="00A33C04" w:rsidRDefault="00A33C04" w:rsidP="0047139C">
            <w:pPr>
              <w:spacing w:before="40" w:after="120"/>
              <w:ind w:right="113"/>
            </w:pPr>
            <w:r>
              <w:t>2027</w:t>
            </w:r>
          </w:p>
        </w:tc>
        <w:tc>
          <w:tcPr>
            <w:tcW w:w="1042" w:type="dxa"/>
          </w:tcPr>
          <w:p w14:paraId="1CE540DF" w14:textId="77777777" w:rsidR="00A33C04" w:rsidRDefault="00A33C04" w:rsidP="0047139C">
            <w:pPr>
              <w:spacing w:before="40" w:after="120"/>
              <w:ind w:right="113"/>
            </w:pPr>
            <w:r>
              <w:t>A. (c)</w:t>
            </w:r>
          </w:p>
        </w:tc>
        <w:tc>
          <w:tcPr>
            <w:tcW w:w="1226" w:type="dxa"/>
            <w:shd w:val="clear" w:color="auto" w:fill="auto"/>
            <w:noWrap/>
          </w:tcPr>
          <w:p w14:paraId="21F662B0" w14:textId="77777777" w:rsidR="00A33C04" w:rsidRPr="00697CC6" w:rsidRDefault="00A33C04" w:rsidP="0047139C">
            <w:pPr>
              <w:spacing w:before="40" w:after="120"/>
              <w:ind w:right="113"/>
            </w:pPr>
            <w:r>
              <w:t>Adapt</w:t>
            </w:r>
          </w:p>
        </w:tc>
        <w:tc>
          <w:tcPr>
            <w:tcW w:w="1701" w:type="dxa"/>
            <w:shd w:val="clear" w:color="auto" w:fill="auto"/>
            <w:noWrap/>
          </w:tcPr>
          <w:p w14:paraId="0434ABD8" w14:textId="77777777" w:rsidR="00A33C04" w:rsidRPr="00697CC6" w:rsidRDefault="00A33C04" w:rsidP="0047139C">
            <w:pPr>
              <w:spacing w:before="40" w:after="120"/>
              <w:ind w:right="113"/>
            </w:pPr>
            <w:r w:rsidRPr="006769B0">
              <w:t>WP.5/</w:t>
            </w:r>
            <w:r>
              <w:t>GE.3</w:t>
            </w:r>
            <w:r w:rsidRPr="4B77F8BA">
              <w:t xml:space="preserve"> </w:t>
            </w:r>
          </w:p>
        </w:tc>
      </w:tr>
      <w:tr w:rsidR="00A33C04" w:rsidRPr="00697CC6" w14:paraId="2C5941B4" w14:textId="77777777" w:rsidTr="0047139C">
        <w:trPr>
          <w:trHeight w:val="300"/>
        </w:trPr>
        <w:tc>
          <w:tcPr>
            <w:tcW w:w="709" w:type="dxa"/>
            <w:shd w:val="clear" w:color="auto" w:fill="auto"/>
            <w:noWrap/>
          </w:tcPr>
          <w:p w14:paraId="6F874765" w14:textId="77777777" w:rsidR="00A33C04" w:rsidRDefault="00A33C04" w:rsidP="0047139C">
            <w:pPr>
              <w:spacing w:before="40" w:after="120"/>
              <w:ind w:right="113"/>
            </w:pPr>
            <w:r>
              <w:t>29</w:t>
            </w:r>
          </w:p>
        </w:tc>
        <w:tc>
          <w:tcPr>
            <w:tcW w:w="8505" w:type="dxa"/>
            <w:shd w:val="clear" w:color="auto" w:fill="auto"/>
            <w:noWrap/>
          </w:tcPr>
          <w:p w14:paraId="33CADA6A" w14:textId="77777777" w:rsidR="00A33C04" w:rsidRPr="008209AC" w:rsidRDefault="00A33C04" w:rsidP="0047139C">
            <w:pPr>
              <w:spacing w:before="40" w:after="120"/>
              <w:ind w:right="113"/>
            </w:pPr>
            <w:r>
              <w:t>O</w:t>
            </w:r>
            <w:r w:rsidRPr="002307BB">
              <w:t xml:space="preserve">ptimize infrastructure networks by better utilization of ITS </w:t>
            </w:r>
            <w:r>
              <w:t>or</w:t>
            </w:r>
            <w:r w:rsidRPr="002307BB">
              <w:t xml:space="preserve"> traffic management system </w:t>
            </w:r>
            <w:r>
              <w:t xml:space="preserve">for road, rail, intermodal transport </w:t>
            </w:r>
          </w:p>
        </w:tc>
        <w:tc>
          <w:tcPr>
            <w:tcW w:w="1134" w:type="dxa"/>
            <w:shd w:val="clear" w:color="auto" w:fill="auto"/>
            <w:noWrap/>
          </w:tcPr>
          <w:p w14:paraId="0829DD91" w14:textId="77777777" w:rsidR="00A33C04" w:rsidRDefault="00A33C04" w:rsidP="0047139C">
            <w:pPr>
              <w:spacing w:before="40" w:after="120"/>
              <w:ind w:right="113"/>
            </w:pPr>
            <w:r>
              <w:t>2030</w:t>
            </w:r>
          </w:p>
        </w:tc>
        <w:tc>
          <w:tcPr>
            <w:tcW w:w="1042" w:type="dxa"/>
          </w:tcPr>
          <w:p w14:paraId="4925BAF9" w14:textId="77777777" w:rsidR="00A33C04" w:rsidRDefault="00A33C04" w:rsidP="0047139C">
            <w:pPr>
              <w:spacing w:before="40" w:after="120"/>
              <w:ind w:right="113"/>
            </w:pPr>
            <w:r>
              <w:t xml:space="preserve">A.(c) </w:t>
            </w:r>
          </w:p>
        </w:tc>
        <w:tc>
          <w:tcPr>
            <w:tcW w:w="1226" w:type="dxa"/>
            <w:shd w:val="clear" w:color="auto" w:fill="auto"/>
            <w:noWrap/>
          </w:tcPr>
          <w:p w14:paraId="4782BE3E" w14:textId="77777777" w:rsidR="00A33C04" w:rsidRPr="00697CC6" w:rsidRDefault="00A33C04" w:rsidP="0047139C">
            <w:pPr>
              <w:spacing w:before="40" w:after="120"/>
              <w:ind w:right="113"/>
            </w:pPr>
            <w:r>
              <w:t>Avoid/</w:t>
            </w:r>
            <w:r>
              <w:br/>
              <w:t>Improve</w:t>
            </w:r>
          </w:p>
        </w:tc>
        <w:tc>
          <w:tcPr>
            <w:tcW w:w="1701" w:type="dxa"/>
            <w:shd w:val="clear" w:color="auto" w:fill="auto"/>
            <w:noWrap/>
          </w:tcPr>
          <w:p w14:paraId="7DC93DEA" w14:textId="77777777" w:rsidR="00A33C04" w:rsidRPr="00697CC6" w:rsidRDefault="00A33C04" w:rsidP="0047139C">
            <w:pPr>
              <w:spacing w:before="40" w:after="120"/>
              <w:ind w:right="113"/>
            </w:pPr>
            <w:r>
              <w:t>SC.1/SC.2/WP.24</w:t>
            </w:r>
          </w:p>
        </w:tc>
      </w:tr>
      <w:tr w:rsidR="00A33C04" w:rsidRPr="00697CC6" w14:paraId="21AE990A" w14:textId="77777777" w:rsidTr="0047139C">
        <w:trPr>
          <w:trHeight w:val="300"/>
        </w:trPr>
        <w:tc>
          <w:tcPr>
            <w:tcW w:w="709" w:type="dxa"/>
            <w:shd w:val="clear" w:color="auto" w:fill="auto"/>
            <w:noWrap/>
          </w:tcPr>
          <w:p w14:paraId="773A6E6E" w14:textId="77777777" w:rsidR="00A33C04" w:rsidRDefault="00A33C04" w:rsidP="0047139C">
            <w:pPr>
              <w:spacing w:before="40" w:after="120"/>
              <w:ind w:right="113"/>
            </w:pPr>
            <w:r>
              <w:t>30</w:t>
            </w:r>
          </w:p>
        </w:tc>
        <w:tc>
          <w:tcPr>
            <w:tcW w:w="8505" w:type="dxa"/>
            <w:shd w:val="clear" w:color="auto" w:fill="auto"/>
            <w:noWrap/>
          </w:tcPr>
          <w:p w14:paraId="17AB5C36" w14:textId="77777777" w:rsidR="00A33C04" w:rsidRPr="008209AC" w:rsidRDefault="00A33C04" w:rsidP="0047139C">
            <w:pPr>
              <w:spacing w:before="40" w:after="120"/>
              <w:ind w:right="113"/>
            </w:pPr>
            <w:r>
              <w:t xml:space="preserve">Work towards reducing pathing conflicts by elaborating solutions for </w:t>
            </w:r>
            <w:r w:rsidRPr="00A900DF">
              <w:t>equal and fair use of the railway network by</w:t>
            </w:r>
            <w:r>
              <w:t xml:space="preserve"> freight and passenger transport</w:t>
            </w:r>
          </w:p>
        </w:tc>
        <w:tc>
          <w:tcPr>
            <w:tcW w:w="1134" w:type="dxa"/>
            <w:shd w:val="clear" w:color="auto" w:fill="auto"/>
            <w:noWrap/>
          </w:tcPr>
          <w:p w14:paraId="23FD4CF9" w14:textId="77777777" w:rsidR="00A33C04" w:rsidRDefault="00A33C04" w:rsidP="0047139C">
            <w:pPr>
              <w:spacing w:before="40" w:after="120"/>
              <w:ind w:right="113"/>
            </w:pPr>
            <w:r>
              <w:t>2030</w:t>
            </w:r>
          </w:p>
        </w:tc>
        <w:tc>
          <w:tcPr>
            <w:tcW w:w="1042" w:type="dxa"/>
          </w:tcPr>
          <w:p w14:paraId="477EBFA1" w14:textId="77777777" w:rsidR="00A33C04" w:rsidRDefault="00A33C04" w:rsidP="0047139C">
            <w:pPr>
              <w:spacing w:before="40" w:after="120"/>
              <w:ind w:right="113"/>
            </w:pPr>
            <w:r>
              <w:t>A.(c)</w:t>
            </w:r>
          </w:p>
        </w:tc>
        <w:tc>
          <w:tcPr>
            <w:tcW w:w="1226" w:type="dxa"/>
            <w:shd w:val="clear" w:color="auto" w:fill="auto"/>
            <w:noWrap/>
          </w:tcPr>
          <w:p w14:paraId="648A4ECA" w14:textId="77777777" w:rsidR="00A33C04" w:rsidRPr="00697CC6" w:rsidRDefault="00A33C04" w:rsidP="0047139C">
            <w:pPr>
              <w:spacing w:before="40" w:after="120"/>
              <w:ind w:right="113"/>
            </w:pPr>
            <w:r>
              <w:t>Improve</w:t>
            </w:r>
          </w:p>
        </w:tc>
        <w:tc>
          <w:tcPr>
            <w:tcW w:w="1701" w:type="dxa"/>
            <w:shd w:val="clear" w:color="auto" w:fill="auto"/>
            <w:noWrap/>
          </w:tcPr>
          <w:p w14:paraId="28FD8A47" w14:textId="77777777" w:rsidR="00A33C04" w:rsidRPr="00697CC6" w:rsidRDefault="00A33C04" w:rsidP="0047139C">
            <w:pPr>
              <w:spacing w:before="40" w:after="120"/>
              <w:ind w:right="113"/>
            </w:pPr>
            <w:r>
              <w:t>SC.2/WP.24</w:t>
            </w:r>
          </w:p>
        </w:tc>
      </w:tr>
      <w:tr w:rsidR="00A33C04" w:rsidRPr="00697CC6" w14:paraId="64693C5A" w14:textId="77777777" w:rsidTr="0047139C">
        <w:trPr>
          <w:trHeight w:val="300"/>
        </w:trPr>
        <w:tc>
          <w:tcPr>
            <w:tcW w:w="709" w:type="dxa"/>
            <w:shd w:val="clear" w:color="auto" w:fill="auto"/>
            <w:noWrap/>
          </w:tcPr>
          <w:p w14:paraId="4231E6E7" w14:textId="77777777" w:rsidR="00A33C04" w:rsidRDefault="00A33C04" w:rsidP="0047139C">
            <w:pPr>
              <w:spacing w:before="40" w:after="120"/>
              <w:ind w:right="113"/>
            </w:pPr>
            <w:r>
              <w:t>31</w:t>
            </w:r>
          </w:p>
        </w:tc>
        <w:tc>
          <w:tcPr>
            <w:tcW w:w="8505" w:type="dxa"/>
            <w:shd w:val="clear" w:color="auto" w:fill="auto"/>
            <w:noWrap/>
          </w:tcPr>
          <w:p w14:paraId="0F7416B2" w14:textId="77777777" w:rsidR="00A33C04" w:rsidRPr="006D5AC0" w:rsidRDefault="00A33C04" w:rsidP="0047139C">
            <w:pPr>
              <w:spacing w:before="40" w:after="120"/>
              <w:ind w:right="113"/>
            </w:pPr>
            <w:r w:rsidRPr="00697CC6">
              <w:t xml:space="preserve">Ensure the </w:t>
            </w:r>
            <w:r w:rsidRPr="009B5DEB">
              <w:t>safe and secure deployment of low</w:t>
            </w:r>
            <w:r>
              <w:t>- and zero-</w:t>
            </w:r>
            <w:r w:rsidRPr="009B5DEB">
              <w:t xml:space="preserve">carbon </w:t>
            </w:r>
            <w:r>
              <w:t xml:space="preserve">modes, </w:t>
            </w:r>
            <w:r w:rsidRPr="009B5DEB">
              <w:t>technologies for vehicles and their charging infrastructure</w:t>
            </w:r>
          </w:p>
        </w:tc>
        <w:tc>
          <w:tcPr>
            <w:tcW w:w="1134" w:type="dxa"/>
            <w:shd w:val="clear" w:color="auto" w:fill="auto"/>
            <w:noWrap/>
          </w:tcPr>
          <w:p w14:paraId="739757EB" w14:textId="77777777" w:rsidR="00A33C04" w:rsidRPr="00D953A5" w:rsidRDefault="00A33C04" w:rsidP="0047139C">
            <w:pPr>
              <w:spacing w:before="40" w:after="120"/>
              <w:ind w:right="113"/>
            </w:pPr>
            <w:r>
              <w:t>Continuous</w:t>
            </w:r>
          </w:p>
        </w:tc>
        <w:tc>
          <w:tcPr>
            <w:tcW w:w="1042" w:type="dxa"/>
          </w:tcPr>
          <w:p w14:paraId="1014C77D" w14:textId="77777777" w:rsidR="00A33C04" w:rsidRDefault="00A33C04" w:rsidP="0047139C">
            <w:pPr>
              <w:spacing w:before="40" w:after="120"/>
              <w:ind w:right="113"/>
            </w:pPr>
            <w:r>
              <w:t>A.(c) / C.</w:t>
            </w:r>
          </w:p>
        </w:tc>
        <w:tc>
          <w:tcPr>
            <w:tcW w:w="1226" w:type="dxa"/>
            <w:shd w:val="clear" w:color="auto" w:fill="auto"/>
            <w:noWrap/>
          </w:tcPr>
          <w:p w14:paraId="0835B64B" w14:textId="77777777" w:rsidR="00A33C04" w:rsidRPr="00697CC6" w:rsidRDefault="00A33C04" w:rsidP="0047139C">
            <w:pPr>
              <w:spacing w:before="40" w:after="120"/>
              <w:ind w:right="113"/>
            </w:pPr>
            <w:r>
              <w:t xml:space="preserve">Shift / </w:t>
            </w:r>
            <w:r w:rsidRPr="00697CC6">
              <w:t>Improve</w:t>
            </w:r>
          </w:p>
        </w:tc>
        <w:tc>
          <w:tcPr>
            <w:tcW w:w="1701" w:type="dxa"/>
            <w:shd w:val="clear" w:color="auto" w:fill="auto"/>
            <w:noWrap/>
          </w:tcPr>
          <w:p w14:paraId="0F9F1159" w14:textId="77777777" w:rsidR="00A33C04" w:rsidRPr="00697CC6" w:rsidRDefault="00A33C04" w:rsidP="0047139C">
            <w:pPr>
              <w:spacing w:before="40" w:after="120"/>
              <w:ind w:right="113"/>
            </w:pPr>
            <w:r w:rsidRPr="00697CC6">
              <w:t>WP.15/WP.29</w:t>
            </w:r>
            <w:r>
              <w:t xml:space="preserve">, </w:t>
            </w:r>
            <w:r w:rsidRPr="009B0628">
              <w:t>with contributions from WP.1, WP.5 and other WPs</w:t>
            </w:r>
          </w:p>
        </w:tc>
      </w:tr>
      <w:tr w:rsidR="00A33C04" w:rsidRPr="00697CC6" w14:paraId="07B8CA06" w14:textId="77777777" w:rsidTr="0047139C">
        <w:trPr>
          <w:trHeight w:val="300"/>
        </w:trPr>
        <w:tc>
          <w:tcPr>
            <w:tcW w:w="709" w:type="dxa"/>
            <w:shd w:val="clear" w:color="auto" w:fill="auto"/>
            <w:noWrap/>
          </w:tcPr>
          <w:p w14:paraId="343D2B4D" w14:textId="77777777" w:rsidR="00A33C04" w:rsidRDefault="00A33C04" w:rsidP="0047139C">
            <w:pPr>
              <w:spacing w:before="40" w:after="120"/>
              <w:ind w:right="113"/>
            </w:pPr>
            <w:r>
              <w:lastRenderedPageBreak/>
              <w:t>32</w:t>
            </w:r>
          </w:p>
        </w:tc>
        <w:tc>
          <w:tcPr>
            <w:tcW w:w="8505" w:type="dxa"/>
            <w:shd w:val="clear" w:color="auto" w:fill="auto"/>
            <w:noWrap/>
          </w:tcPr>
          <w:p w14:paraId="29B30450" w14:textId="77777777" w:rsidR="00A33C04" w:rsidRDefault="00A33C04" w:rsidP="0047139C">
            <w:pPr>
              <w:spacing w:before="40" w:after="120"/>
              <w:ind w:right="113"/>
            </w:pPr>
            <w:r w:rsidRPr="00697CC6">
              <w:t>Develop globally harmonized methodology to determine the carbon footprint of vehicles from cradle-to-</w:t>
            </w:r>
            <w:proofErr w:type="gramStart"/>
            <w:r w:rsidRPr="00697CC6">
              <w:t>grave</w:t>
            </w:r>
            <w:proofErr w:type="gramEnd"/>
          </w:p>
          <w:p w14:paraId="53B934A6" w14:textId="77777777" w:rsidR="00A33C04" w:rsidRPr="00697CC6" w:rsidRDefault="00A33C04" w:rsidP="0047139C"/>
        </w:tc>
        <w:tc>
          <w:tcPr>
            <w:tcW w:w="1134" w:type="dxa"/>
            <w:shd w:val="clear" w:color="auto" w:fill="auto"/>
            <w:noWrap/>
          </w:tcPr>
          <w:p w14:paraId="03259801" w14:textId="77777777" w:rsidR="00A33C04" w:rsidRDefault="00A33C04" w:rsidP="0047139C">
            <w:pPr>
              <w:spacing w:before="40" w:after="120"/>
              <w:ind w:right="113"/>
            </w:pPr>
            <w:r w:rsidRPr="00697CC6">
              <w:t>2025</w:t>
            </w:r>
          </w:p>
        </w:tc>
        <w:tc>
          <w:tcPr>
            <w:tcW w:w="1042" w:type="dxa"/>
          </w:tcPr>
          <w:p w14:paraId="54450DB8" w14:textId="77777777" w:rsidR="00A33C04" w:rsidRDefault="00A33C04" w:rsidP="0047139C">
            <w:pPr>
              <w:spacing w:before="40" w:after="120"/>
              <w:ind w:right="113"/>
            </w:pPr>
            <w:r>
              <w:t>A.(c) / C.</w:t>
            </w:r>
          </w:p>
        </w:tc>
        <w:tc>
          <w:tcPr>
            <w:tcW w:w="1226" w:type="dxa"/>
            <w:shd w:val="clear" w:color="auto" w:fill="auto"/>
            <w:noWrap/>
          </w:tcPr>
          <w:p w14:paraId="782C1DE4" w14:textId="77777777" w:rsidR="00A33C04" w:rsidRDefault="00A33C04" w:rsidP="0047139C">
            <w:pPr>
              <w:spacing w:before="40" w:after="120"/>
              <w:ind w:right="113"/>
            </w:pPr>
            <w:r w:rsidRPr="00697CC6">
              <w:t>Improve</w:t>
            </w:r>
          </w:p>
        </w:tc>
        <w:tc>
          <w:tcPr>
            <w:tcW w:w="1701" w:type="dxa"/>
            <w:shd w:val="clear" w:color="auto" w:fill="auto"/>
            <w:noWrap/>
          </w:tcPr>
          <w:p w14:paraId="4F83A0B3" w14:textId="77777777" w:rsidR="00A33C04" w:rsidRPr="00697CC6" w:rsidRDefault="00A33C04" w:rsidP="0047139C">
            <w:pPr>
              <w:spacing w:before="40" w:after="120"/>
              <w:ind w:right="113"/>
            </w:pPr>
            <w:r w:rsidRPr="00697CC6">
              <w:t>WP.29/GRPE</w:t>
            </w:r>
            <w:r>
              <w:t xml:space="preserve">, </w:t>
            </w:r>
            <w:r w:rsidRPr="009B0628">
              <w:t>with support from other WPs</w:t>
            </w:r>
          </w:p>
        </w:tc>
      </w:tr>
      <w:tr w:rsidR="00A33C04" w:rsidRPr="00697CC6" w14:paraId="5BFDD28A" w14:textId="77777777" w:rsidTr="0047139C">
        <w:trPr>
          <w:trHeight w:val="300"/>
        </w:trPr>
        <w:tc>
          <w:tcPr>
            <w:tcW w:w="709" w:type="dxa"/>
            <w:tcBorders>
              <w:bottom w:val="single" w:sz="12" w:space="0" w:color="auto"/>
            </w:tcBorders>
            <w:shd w:val="clear" w:color="auto" w:fill="auto"/>
            <w:noWrap/>
          </w:tcPr>
          <w:p w14:paraId="572AF73C" w14:textId="77777777" w:rsidR="00A33C04" w:rsidRPr="00C32EC8" w:rsidRDefault="00A33C04" w:rsidP="0047139C">
            <w:pPr>
              <w:spacing w:before="40" w:after="120"/>
              <w:ind w:right="113"/>
            </w:pPr>
            <w:r>
              <w:t>33</w:t>
            </w:r>
          </w:p>
        </w:tc>
        <w:tc>
          <w:tcPr>
            <w:tcW w:w="8505" w:type="dxa"/>
            <w:tcBorders>
              <w:bottom w:val="single" w:sz="12" w:space="0" w:color="auto"/>
            </w:tcBorders>
            <w:shd w:val="clear" w:color="auto" w:fill="auto"/>
            <w:noWrap/>
          </w:tcPr>
          <w:p w14:paraId="265B9556" w14:textId="77777777" w:rsidR="00A33C04" w:rsidRPr="00C32EC8" w:rsidRDefault="00A33C04" w:rsidP="0047139C">
            <w:pPr>
              <w:spacing w:before="40" w:after="120"/>
              <w:ind w:right="113"/>
            </w:pPr>
            <w:r w:rsidRPr="00C32EC8">
              <w:t xml:space="preserve">Elaborate possible solutions to improve material and resource efficiencies in the mobility value chains such as </w:t>
            </w:r>
            <w:r>
              <w:t xml:space="preserve">sustainable </w:t>
            </w:r>
            <w:r w:rsidRPr="00C32EC8">
              <w:t xml:space="preserve">batteries, in </w:t>
            </w:r>
            <w:r>
              <w:t xml:space="preserve">the </w:t>
            </w:r>
            <w:r w:rsidRPr="00C32EC8">
              <w:t>design</w:t>
            </w:r>
            <w:r>
              <w:t>,</w:t>
            </w:r>
            <w:r w:rsidRPr="00C32EC8">
              <w:t xml:space="preserve"> production</w:t>
            </w:r>
            <w:r>
              <w:t>, use</w:t>
            </w:r>
            <w:r w:rsidRPr="00C32EC8">
              <w:t xml:space="preserve"> and the end-of-life stage</w:t>
            </w:r>
            <w:r>
              <w:t>s</w:t>
            </w:r>
            <w:r w:rsidRPr="00C32EC8">
              <w:t>.</w:t>
            </w:r>
          </w:p>
        </w:tc>
        <w:tc>
          <w:tcPr>
            <w:tcW w:w="1134" w:type="dxa"/>
            <w:tcBorders>
              <w:bottom w:val="single" w:sz="12" w:space="0" w:color="auto"/>
            </w:tcBorders>
            <w:shd w:val="clear" w:color="auto" w:fill="auto"/>
            <w:noWrap/>
          </w:tcPr>
          <w:p w14:paraId="227CC43C" w14:textId="77777777" w:rsidR="00A33C04" w:rsidRPr="00C32EC8" w:rsidRDefault="00A33C04" w:rsidP="0047139C">
            <w:pPr>
              <w:spacing w:before="40" w:after="120"/>
              <w:ind w:right="113"/>
            </w:pPr>
            <w:r w:rsidRPr="00C32EC8">
              <w:t>2027</w:t>
            </w:r>
          </w:p>
        </w:tc>
        <w:tc>
          <w:tcPr>
            <w:tcW w:w="1042" w:type="dxa"/>
            <w:tcBorders>
              <w:bottom w:val="single" w:sz="12" w:space="0" w:color="auto"/>
            </w:tcBorders>
          </w:tcPr>
          <w:p w14:paraId="2780E9EC" w14:textId="77777777" w:rsidR="00A33C04" w:rsidRPr="00C32EC8" w:rsidRDefault="00A33C04" w:rsidP="0047139C">
            <w:pPr>
              <w:spacing w:before="40" w:after="120"/>
              <w:ind w:right="113"/>
            </w:pPr>
            <w:r w:rsidRPr="00C32EC8">
              <w:t>A (c)</w:t>
            </w:r>
          </w:p>
        </w:tc>
        <w:tc>
          <w:tcPr>
            <w:tcW w:w="1226" w:type="dxa"/>
            <w:tcBorders>
              <w:bottom w:val="single" w:sz="12" w:space="0" w:color="auto"/>
            </w:tcBorders>
            <w:shd w:val="clear" w:color="auto" w:fill="auto"/>
            <w:noWrap/>
          </w:tcPr>
          <w:p w14:paraId="179AB816" w14:textId="77777777" w:rsidR="00A33C04" w:rsidRPr="00C32EC8" w:rsidRDefault="00A33C04" w:rsidP="0047139C">
            <w:pPr>
              <w:spacing w:before="40" w:after="120"/>
              <w:ind w:right="113"/>
            </w:pPr>
            <w:r w:rsidRPr="00C32EC8">
              <w:t>Improve</w:t>
            </w:r>
          </w:p>
        </w:tc>
        <w:tc>
          <w:tcPr>
            <w:tcW w:w="1701" w:type="dxa"/>
            <w:tcBorders>
              <w:bottom w:val="single" w:sz="12" w:space="0" w:color="auto"/>
            </w:tcBorders>
            <w:shd w:val="clear" w:color="auto" w:fill="auto"/>
            <w:noWrap/>
          </w:tcPr>
          <w:p w14:paraId="2594E40F" w14:textId="77777777" w:rsidR="00A33C04" w:rsidRPr="00C32EC8" w:rsidRDefault="00A33C04" w:rsidP="0047139C">
            <w:pPr>
              <w:spacing w:before="40" w:after="120"/>
              <w:ind w:right="113"/>
            </w:pPr>
            <w:r w:rsidRPr="00C32EC8">
              <w:t>WP.5 / WP.29/GRPE</w:t>
            </w:r>
          </w:p>
        </w:tc>
      </w:tr>
    </w:tbl>
    <w:p w14:paraId="3382CFBA" w14:textId="77777777" w:rsidR="00A33C04" w:rsidRDefault="00A33C04" w:rsidP="00A33C04">
      <w:pPr>
        <w:pStyle w:val="SingleTxtG"/>
        <w:ind w:left="0"/>
      </w:pPr>
    </w:p>
    <w:p w14:paraId="36970B8B" w14:textId="3C67D302" w:rsidR="00576095" w:rsidRDefault="00576095" w:rsidP="00A33C04"/>
    <w:p w14:paraId="7DD5F667" w14:textId="77777777" w:rsidR="00443182" w:rsidRDefault="00443182" w:rsidP="0005529E">
      <w:pPr>
        <w:pStyle w:val="SingleTxtG"/>
        <w:sectPr w:rsidR="00443182" w:rsidSect="00A93267">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02103C04" w14:textId="2317926B" w:rsidR="00334487" w:rsidRPr="00365127" w:rsidRDefault="0057102D" w:rsidP="00334487">
      <w:pPr>
        <w:pStyle w:val="HChG"/>
        <w:rPr>
          <w:lang w:bidi="th-TH"/>
        </w:rPr>
      </w:pPr>
      <w:r>
        <w:rPr>
          <w:lang w:bidi="th-TH"/>
        </w:rPr>
        <w:lastRenderedPageBreak/>
        <w:tab/>
      </w:r>
      <w:r w:rsidR="00334487">
        <w:rPr>
          <w:lang w:bidi="th-TH"/>
        </w:rPr>
        <w:t>VI.</w:t>
      </w:r>
      <w:r w:rsidR="00334487">
        <w:rPr>
          <w:lang w:bidi="th-TH"/>
        </w:rPr>
        <w:tab/>
      </w:r>
      <w:r w:rsidR="00334487">
        <w:rPr>
          <w:lang w:bidi="th-TH"/>
        </w:rPr>
        <w:tab/>
      </w:r>
      <w:r w:rsidR="00334487" w:rsidRPr="00365127">
        <w:rPr>
          <w:lang w:bidi="th-TH"/>
        </w:rPr>
        <w:t>Resource mobilization for the delivery of this Strategy</w:t>
      </w:r>
    </w:p>
    <w:p w14:paraId="43DB1ED9" w14:textId="77777777" w:rsidR="00334487" w:rsidDel="009755E9" w:rsidRDefault="00334487" w:rsidP="00334487">
      <w:pPr>
        <w:pStyle w:val="SingleTxtG"/>
        <w:rPr>
          <w:color w:val="000000"/>
          <w:lang w:bidi="th-TH"/>
        </w:rPr>
      </w:pPr>
      <w:r>
        <w:rPr>
          <w:lang w:bidi="th-TH"/>
        </w:rPr>
        <w:t>33.</w:t>
      </w:r>
      <w:r>
        <w:rPr>
          <w:lang w:bidi="th-TH"/>
        </w:rPr>
        <w:tab/>
      </w:r>
      <w:r w:rsidDel="009755E9">
        <w:rPr>
          <w:color w:val="000000"/>
          <w:lang w:bidi="th-TH"/>
        </w:rPr>
        <w:t xml:space="preserve">Regular budget resources provided by member States to the ECE Transport subprogramme will continue to fund staff to service and update the existing legal instruments under the ITC’s purview and develop new ones. The Working Parties and the secretariat will schedule their activities to evenly distribute the workload according to the initial ITC Climate Action Plan as well as resources available. Taking experience from globalized WP.1, WP.29 and WP.30, no budget implications are foreseen with expansion of </w:t>
      </w:r>
      <w:r>
        <w:rPr>
          <w:color w:val="000000"/>
          <w:lang w:bidi="th-TH"/>
        </w:rPr>
        <w:t>C</w:t>
      </w:r>
      <w:r w:rsidDel="009755E9">
        <w:rPr>
          <w:color w:val="000000"/>
          <w:lang w:bidi="th-TH"/>
        </w:rPr>
        <w:t xml:space="preserve">ontracting </w:t>
      </w:r>
      <w:r>
        <w:rPr>
          <w:color w:val="000000"/>
          <w:lang w:bidi="th-TH"/>
        </w:rPr>
        <w:t>P</w:t>
      </w:r>
      <w:r w:rsidDel="009755E9">
        <w:rPr>
          <w:color w:val="000000"/>
          <w:lang w:bidi="th-TH"/>
        </w:rPr>
        <w:t>arties to the legal instruments under the purview of those Working Parties. The intergovernmental support provided by the ITC and its subsidiary bodies will further support the exchange of information and experiences in support of this Strategy.</w:t>
      </w:r>
    </w:p>
    <w:p w14:paraId="483B49EB" w14:textId="77777777" w:rsidR="00334487" w:rsidRDefault="00334487" w:rsidP="00334487">
      <w:pPr>
        <w:pStyle w:val="SingleTxtG"/>
        <w:rPr>
          <w:lang w:bidi="th-TH"/>
        </w:rPr>
      </w:pPr>
      <w:r w:rsidDel="009755E9">
        <w:rPr>
          <w:lang w:bidi="th-TH"/>
        </w:rPr>
        <w:t>3</w:t>
      </w:r>
      <w:r>
        <w:rPr>
          <w:lang w:bidi="th-TH"/>
        </w:rPr>
        <w:t>4</w:t>
      </w:r>
      <w:r w:rsidDel="009755E9">
        <w:rPr>
          <w:lang w:bidi="th-TH"/>
        </w:rPr>
        <w:t>.</w:t>
      </w:r>
      <w:r w:rsidDel="009755E9">
        <w:rPr>
          <w:lang w:bidi="th-TH"/>
        </w:rPr>
        <w:tab/>
      </w:r>
      <w:r>
        <w:rPr>
          <w:lang w:bidi="th-TH"/>
        </w:rPr>
        <w:t xml:space="preserve">While the implementation of this Strategy in the Working Parties will be supported by regular budget resources, implementation action, in particular relevant research activities, could be accelerated through additional extrabudgetary resources </w:t>
      </w:r>
      <w:r w:rsidRPr="00C32EC8">
        <w:rPr>
          <w:lang w:bidi="th-TH"/>
        </w:rPr>
        <w:t>to be raised</w:t>
      </w:r>
      <w:r>
        <w:rPr>
          <w:lang w:bidi="th-TH"/>
        </w:rPr>
        <w:t>,</w:t>
      </w:r>
      <w:r w:rsidRPr="00C32EC8">
        <w:rPr>
          <w:lang w:bidi="th-TH"/>
        </w:rPr>
        <w:t xml:space="preserve"> </w:t>
      </w:r>
      <w:r>
        <w:rPr>
          <w:lang w:bidi="th-TH"/>
        </w:rPr>
        <w:t xml:space="preserve">among others, </w:t>
      </w:r>
      <w:r w:rsidRPr="00C32EC8">
        <w:rPr>
          <w:lang w:bidi="th-TH"/>
        </w:rPr>
        <w:t>from developed countries.</w:t>
      </w:r>
    </w:p>
    <w:p w14:paraId="258F9A1C" w14:textId="77777777" w:rsidR="00334487" w:rsidRPr="00BD04D1" w:rsidRDefault="00334487" w:rsidP="00334487">
      <w:pPr>
        <w:pStyle w:val="SingleTxtG"/>
        <w:rPr>
          <w:lang w:bidi="th-TH"/>
        </w:rPr>
      </w:pPr>
      <w:r w:rsidRPr="00BD04D1">
        <w:rPr>
          <w:lang w:bidi="th-TH"/>
        </w:rPr>
        <w:t>35. A strong response towards a low- and zero-carbon pathway would require small island developing states, least developed countries and land-locked developing countries to be provided with capacity building, voluntary technology transfer and access to climate change funding.</w:t>
      </w:r>
    </w:p>
    <w:p w14:paraId="1117E091" w14:textId="77777777" w:rsidR="00334487" w:rsidRPr="00BD04D1" w:rsidRDefault="00334487" w:rsidP="00334487">
      <w:pPr>
        <w:pStyle w:val="SingleTxtG"/>
        <w:rPr>
          <w:strike/>
          <w:lang w:bidi="th-TH"/>
        </w:rPr>
      </w:pPr>
      <w:r w:rsidRPr="00BD04D1">
        <w:rPr>
          <w:lang w:bidi="th-TH"/>
        </w:rPr>
        <w:t>36.</w:t>
      </w:r>
      <w:r w:rsidRPr="00BD04D1">
        <w:rPr>
          <w:lang w:bidi="th-TH"/>
        </w:rPr>
        <w:tab/>
        <w:t>The availability of voluntary extrabudgetary resources, including additional staff for the expansion of capacity-building activities would facilitate the delivery of activities in line with strategic objective A.(c) of this Strategy. A process should be put in place, as relevant and appropriate, to enable accelerated research and analysi</w:t>
      </w:r>
      <w:r w:rsidRPr="00C32EC8">
        <w:rPr>
          <w:lang w:bidi="th-TH"/>
        </w:rPr>
        <w:t xml:space="preserve">s as well as capacity-building through </w:t>
      </w:r>
      <w:r>
        <w:rPr>
          <w:lang w:bidi="th-TH"/>
        </w:rPr>
        <w:t>voluntary</w:t>
      </w:r>
      <w:r w:rsidRPr="00BD04D1">
        <w:rPr>
          <w:lang w:bidi="th-TH"/>
        </w:rPr>
        <w:t xml:space="preserve"> extrabudgetary resources.</w:t>
      </w:r>
    </w:p>
    <w:p w14:paraId="5C0EDD96" w14:textId="77777777" w:rsidR="00334487" w:rsidRPr="00224B4D" w:rsidRDefault="00334487" w:rsidP="00334487">
      <w:pPr>
        <w:pStyle w:val="HChG"/>
        <w:rPr>
          <w:lang w:bidi="th-TH"/>
        </w:rPr>
      </w:pPr>
      <w:r>
        <w:rPr>
          <w:lang w:bidi="th-TH"/>
        </w:rPr>
        <w:tab/>
        <w:t>VII.</w:t>
      </w:r>
      <w:r>
        <w:rPr>
          <w:lang w:bidi="th-TH"/>
        </w:rPr>
        <w:tab/>
      </w:r>
      <w:r>
        <w:rPr>
          <w:lang w:bidi="th-TH"/>
        </w:rPr>
        <w:tab/>
      </w:r>
      <w:r w:rsidRPr="00365127">
        <w:rPr>
          <w:lang w:bidi="th-TH"/>
        </w:rPr>
        <w:t>Partnerships</w:t>
      </w:r>
    </w:p>
    <w:p w14:paraId="4157A533" w14:textId="77777777" w:rsidR="00334487" w:rsidRPr="006E225C" w:rsidRDefault="00334487" w:rsidP="00334487">
      <w:pPr>
        <w:pStyle w:val="SingleTxtG"/>
        <w:rPr>
          <w:lang w:bidi="th-TH"/>
        </w:rPr>
      </w:pPr>
      <w:r>
        <w:rPr>
          <w:lang w:bidi="th-TH"/>
        </w:rPr>
        <w:t>37.</w:t>
      </w:r>
      <w:r>
        <w:rPr>
          <w:lang w:bidi="th-TH"/>
        </w:rPr>
        <w:tab/>
      </w:r>
      <w:r w:rsidRPr="000616BB">
        <w:rPr>
          <w:lang w:bidi="th-TH"/>
        </w:rPr>
        <w:t>The implementation of</w:t>
      </w:r>
      <w:r>
        <w:rPr>
          <w:lang w:bidi="th-TH"/>
        </w:rPr>
        <w:t xml:space="preserve"> this Strategy</w:t>
      </w:r>
      <w:r w:rsidRPr="00F27308">
        <w:rPr>
          <w:lang w:bidi="th-TH"/>
        </w:rPr>
        <w:t xml:space="preserve"> will be </w:t>
      </w:r>
      <w:r>
        <w:rPr>
          <w:lang w:bidi="th-TH"/>
        </w:rPr>
        <w:t xml:space="preserve">pursued in close cooperation with partners, building on and </w:t>
      </w:r>
      <w:r w:rsidRPr="00F27308">
        <w:rPr>
          <w:lang w:bidi="th-TH"/>
        </w:rPr>
        <w:t>enhanc</w:t>
      </w:r>
      <w:r>
        <w:rPr>
          <w:lang w:bidi="th-TH"/>
        </w:rPr>
        <w:t>ing</w:t>
      </w:r>
      <w:r w:rsidRPr="00F27308">
        <w:rPr>
          <w:lang w:bidi="th-TH"/>
        </w:rPr>
        <w:t xml:space="preserve"> existing partnerships with key stakeholders. </w:t>
      </w:r>
      <w:r w:rsidRPr="00F27308">
        <w:t xml:space="preserve">More generally, </w:t>
      </w:r>
      <w:r>
        <w:t>the ITC will aim to provide</w:t>
      </w:r>
      <w:r w:rsidRPr="00F27308">
        <w:t xml:space="preserve"> a platform for successful collaborations between stakeholders inside and outside the inland transport sector to make use of the knowledge acquired </w:t>
      </w:r>
      <w:r>
        <w:t xml:space="preserve">within the sector and </w:t>
      </w:r>
      <w:r w:rsidRPr="00F27308">
        <w:t>in other sectors and to identify effective, innovative and tailored solutions for mitigating climate change by the sector</w:t>
      </w:r>
      <w:r>
        <w:t>.</w:t>
      </w:r>
    </w:p>
    <w:p w14:paraId="5A6969F8" w14:textId="77777777" w:rsidR="00334487" w:rsidRDefault="00334487" w:rsidP="00334487">
      <w:pPr>
        <w:pStyle w:val="SingleTxtG"/>
        <w:rPr>
          <w:lang w:bidi="th-TH"/>
        </w:rPr>
      </w:pPr>
      <w:r>
        <w:rPr>
          <w:lang w:bidi="th-TH"/>
        </w:rPr>
        <w:t>38.</w:t>
      </w:r>
      <w:r>
        <w:rPr>
          <w:lang w:bidi="th-TH"/>
        </w:rPr>
        <w:tab/>
        <w:t>I</w:t>
      </w:r>
      <w:r w:rsidRPr="00131AA4">
        <w:rPr>
          <w:lang w:bidi="th-TH"/>
        </w:rPr>
        <w:t xml:space="preserve">n </w:t>
      </w:r>
      <w:r>
        <w:rPr>
          <w:lang w:bidi="th-TH"/>
        </w:rPr>
        <w:t>pursuing decarbonization efforts</w:t>
      </w:r>
      <w:r w:rsidRPr="00131AA4">
        <w:rPr>
          <w:lang w:bidi="th-TH"/>
        </w:rPr>
        <w:t xml:space="preserve">, ITC and its </w:t>
      </w:r>
      <w:r>
        <w:rPr>
          <w:lang w:bidi="th-TH"/>
        </w:rPr>
        <w:t>members</w:t>
      </w:r>
      <w:r w:rsidRPr="00131AA4">
        <w:rPr>
          <w:lang w:bidi="th-TH"/>
        </w:rPr>
        <w:t xml:space="preserve"> will seek to enhance global partnership</w:t>
      </w:r>
      <w:r>
        <w:rPr>
          <w:lang w:bidi="th-TH"/>
        </w:rPr>
        <w:t>s</w:t>
      </w:r>
      <w:r w:rsidRPr="00131AA4">
        <w:rPr>
          <w:lang w:bidi="th-TH"/>
        </w:rPr>
        <w:t xml:space="preserve"> with </w:t>
      </w:r>
      <w:r w:rsidRPr="004D23D2">
        <w:rPr>
          <w:b/>
          <w:bCs/>
          <w:lang w:bidi="th-TH"/>
        </w:rPr>
        <w:t>other United Nations organizations, departments and bodies</w:t>
      </w:r>
      <w:r>
        <w:rPr>
          <w:lang w:bidi="th-TH"/>
        </w:rPr>
        <w:t xml:space="preserve"> engaged in transport,</w:t>
      </w:r>
      <w:r w:rsidRPr="00131AA4">
        <w:rPr>
          <w:lang w:bidi="th-TH"/>
        </w:rPr>
        <w:t xml:space="preserve"> including </w:t>
      </w:r>
      <w:r>
        <w:rPr>
          <w:lang w:bidi="th-TH"/>
        </w:rPr>
        <w:t>but not limited to</w:t>
      </w:r>
      <w:r w:rsidRPr="00131AA4">
        <w:rPr>
          <w:lang w:bidi="th-TH"/>
        </w:rPr>
        <w:t xml:space="preserve"> the UNFCCC; </w:t>
      </w:r>
      <w:r>
        <w:rPr>
          <w:lang w:bidi="th-TH"/>
        </w:rPr>
        <w:t xml:space="preserve">United Nations Environment Programme, World Health Organization and its </w:t>
      </w:r>
      <w:r w:rsidRPr="00131AA4">
        <w:rPr>
          <w:lang w:bidi="th-TH"/>
        </w:rPr>
        <w:t>European Centre for Environment and Health</w:t>
      </w:r>
      <w:r>
        <w:rPr>
          <w:lang w:bidi="th-TH"/>
        </w:rPr>
        <w:t xml:space="preserve">, including the Transport, Health and Environment Pan-European Programme (THE PEP), World Meteorological Organization, International Telecommunication Union, </w:t>
      </w:r>
      <w:r w:rsidRPr="00F432B3">
        <w:rPr>
          <w:lang w:bidi="th-TH"/>
        </w:rPr>
        <w:t>International Labour Organization</w:t>
      </w:r>
      <w:r w:rsidRPr="006E225C">
        <w:rPr>
          <w:color w:val="FF0000"/>
          <w:lang w:bidi="th-TH"/>
        </w:rPr>
        <w:t xml:space="preserve"> </w:t>
      </w:r>
      <w:r>
        <w:rPr>
          <w:lang w:bidi="th-TH"/>
        </w:rPr>
        <w:t>by exchanging information, mutually participating in events, considering synergies and possible joint or coordinated actions.</w:t>
      </w:r>
    </w:p>
    <w:p w14:paraId="19134422" w14:textId="77777777" w:rsidR="00334487" w:rsidRPr="004D23D2" w:rsidRDefault="00334487" w:rsidP="00334487">
      <w:pPr>
        <w:pStyle w:val="SingleTxtG"/>
        <w:rPr>
          <w:lang w:bidi="th-TH"/>
        </w:rPr>
      </w:pPr>
      <w:r>
        <w:rPr>
          <w:lang w:bidi="th-TH"/>
        </w:rPr>
        <w:t>39.</w:t>
      </w:r>
      <w:r>
        <w:rPr>
          <w:lang w:bidi="th-TH"/>
        </w:rPr>
        <w:tab/>
        <w:t xml:space="preserve">Partnership with the </w:t>
      </w:r>
      <w:r w:rsidRPr="004D23D2">
        <w:rPr>
          <w:b/>
          <w:bCs/>
          <w:lang w:bidi="th-TH"/>
        </w:rPr>
        <w:t>UNFCCC</w:t>
      </w:r>
      <w:r>
        <w:rPr>
          <w:lang w:bidi="th-TH"/>
        </w:rPr>
        <w:t xml:space="preserve"> will be pursued in particular through the exchange of information and the provision of guidance and report</w:t>
      </w:r>
      <w:r w:rsidRPr="00C32EC8">
        <w:rPr>
          <w:lang w:bidi="th-TH"/>
        </w:rPr>
        <w:t>s</w:t>
      </w:r>
      <w:r w:rsidRPr="000D7E07">
        <w:rPr>
          <w:color w:val="FF0000"/>
          <w:lang w:bidi="th-TH"/>
        </w:rPr>
        <w:t xml:space="preserve"> </w:t>
      </w:r>
      <w:r w:rsidRPr="00C32EC8">
        <w:rPr>
          <w:lang w:bidi="th-TH"/>
        </w:rPr>
        <w:t>in connection with the actions and KPIs of the Strategy</w:t>
      </w:r>
      <w:r>
        <w:rPr>
          <w:lang w:bidi="th-TH"/>
        </w:rPr>
        <w:t>. The</w:t>
      </w:r>
      <w:r w:rsidRPr="004D23D2">
        <w:rPr>
          <w:lang w:bidi="th-TH"/>
        </w:rPr>
        <w:t xml:space="preserve"> inland transport decarbonization action plans, containing national strategies and GHG emission reduction commitments </w:t>
      </w:r>
      <w:r w:rsidRPr="007958CB">
        <w:rPr>
          <w:lang w:bidi="th-TH"/>
        </w:rPr>
        <w:t>by ITC</w:t>
      </w:r>
      <w:r w:rsidRPr="004D23D2">
        <w:rPr>
          <w:lang w:bidi="th-TH"/>
        </w:rPr>
        <w:t xml:space="preserve"> members </w:t>
      </w:r>
      <w:r w:rsidRPr="007958CB">
        <w:rPr>
          <w:lang w:bidi="th-TH"/>
        </w:rPr>
        <w:t xml:space="preserve">will </w:t>
      </w:r>
      <w:r w:rsidRPr="004D23D2">
        <w:rPr>
          <w:lang w:bidi="th-TH"/>
        </w:rPr>
        <w:t xml:space="preserve">be a means to </w:t>
      </w:r>
      <w:r w:rsidRPr="007958CB">
        <w:t xml:space="preserve">guide </w:t>
      </w:r>
      <w:r>
        <w:t xml:space="preserve">United Nations </w:t>
      </w:r>
      <w:r w:rsidRPr="007958CB">
        <w:t xml:space="preserve">Member States </w:t>
      </w:r>
      <w:r>
        <w:t xml:space="preserve">on </w:t>
      </w:r>
      <w:r w:rsidRPr="007958CB">
        <w:t>enhanc</w:t>
      </w:r>
      <w:r>
        <w:t>ing</w:t>
      </w:r>
      <w:r w:rsidRPr="007958CB">
        <w:t xml:space="preserve"> GHG emission reductions, by covering the full range of available mitigation options, along the “avoid,</w:t>
      </w:r>
      <w:r>
        <w:t xml:space="preserve"> </w:t>
      </w:r>
      <w:r w:rsidRPr="007958CB">
        <w:t>shift and improve” pillars</w:t>
      </w:r>
      <w:r>
        <w:t xml:space="preserve"> </w:t>
      </w:r>
      <w:r w:rsidRPr="00C32EC8">
        <w:t>as appropriate</w:t>
      </w:r>
      <w:r w:rsidRPr="007958CB">
        <w:t>. The information contained in these plans can be</w:t>
      </w:r>
      <w:r w:rsidRPr="004D23D2">
        <w:rPr>
          <w:lang w:bidi="th-TH"/>
        </w:rPr>
        <w:t xml:space="preserve"> included by Member States in their NDCs and </w:t>
      </w:r>
      <w:r>
        <w:rPr>
          <w:lang w:bidi="th-TH"/>
        </w:rPr>
        <w:t>LTS</w:t>
      </w:r>
      <w:r w:rsidRPr="004D23D2">
        <w:rPr>
          <w:lang w:bidi="th-TH"/>
        </w:rPr>
        <w:t xml:space="preserve"> under the framework of the UNFCCC</w:t>
      </w:r>
      <w:r>
        <w:rPr>
          <w:lang w:bidi="th-TH"/>
        </w:rPr>
        <w:t xml:space="preserve">. Moreover, the policy discussions </w:t>
      </w:r>
      <w:r w:rsidRPr="00093EAB">
        <w:rPr>
          <w:lang w:bidi="th-TH"/>
        </w:rPr>
        <w:t>during the ITC events o</w:t>
      </w:r>
      <w:r w:rsidRPr="00093EAB" w:rsidDel="00A01E62">
        <w:rPr>
          <w:lang w:bidi="th-TH"/>
        </w:rPr>
        <w:t xml:space="preserve">n </w:t>
      </w:r>
      <w:r w:rsidRPr="00093EAB">
        <w:rPr>
          <w:lang w:bidi="th-TH"/>
        </w:rPr>
        <w:t>c</w:t>
      </w:r>
      <w:r w:rsidRPr="00093EAB" w:rsidDel="00A01E62">
        <w:rPr>
          <w:lang w:bidi="th-TH"/>
        </w:rPr>
        <w:t xml:space="preserve">limate </w:t>
      </w:r>
      <w:r w:rsidRPr="00093EAB">
        <w:rPr>
          <w:lang w:bidi="th-TH"/>
        </w:rPr>
        <w:t>c</w:t>
      </w:r>
      <w:r w:rsidRPr="00093EAB" w:rsidDel="00A01E62">
        <w:rPr>
          <w:lang w:bidi="th-TH"/>
        </w:rPr>
        <w:t>hange</w:t>
      </w:r>
      <w:r>
        <w:rPr>
          <w:lang w:bidi="th-TH"/>
        </w:rPr>
        <w:t>, which may take place</w:t>
      </w:r>
      <w:r w:rsidRPr="00D04A2B">
        <w:rPr>
          <w:color w:val="FF0000"/>
          <w:lang w:bidi="th-TH"/>
        </w:rPr>
        <w:t xml:space="preserve"> </w:t>
      </w:r>
      <w:r w:rsidRPr="00C32EC8">
        <w:rPr>
          <w:lang w:bidi="th-TH"/>
        </w:rPr>
        <w:t>during</w:t>
      </w:r>
      <w:r>
        <w:rPr>
          <w:lang w:bidi="th-TH"/>
        </w:rPr>
        <w:t xml:space="preserve"> the</w:t>
      </w:r>
      <w:r w:rsidRPr="00C32EC8">
        <w:rPr>
          <w:lang w:bidi="th-TH"/>
        </w:rPr>
        <w:t xml:space="preserve"> annual ITC</w:t>
      </w:r>
      <w:r>
        <w:rPr>
          <w:color w:val="FF0000"/>
          <w:lang w:bidi="th-TH"/>
        </w:rPr>
        <w:t xml:space="preserve"> </w:t>
      </w:r>
      <w:r w:rsidRPr="00C32EC8">
        <w:rPr>
          <w:lang w:bidi="th-TH"/>
        </w:rPr>
        <w:t>sessions</w:t>
      </w:r>
      <w:r w:rsidRPr="00D04A2B">
        <w:rPr>
          <w:color w:val="FF0000"/>
          <w:lang w:bidi="th-TH"/>
        </w:rPr>
        <w:t xml:space="preserve"> </w:t>
      </w:r>
      <w:r>
        <w:rPr>
          <w:lang w:bidi="th-TH"/>
        </w:rPr>
        <w:t>in February will provide guidance on topical inland transport climate policy issues to be addressed at the UNFCCC meetings of the Conferences of the Parties, held towards the end of each year.</w:t>
      </w:r>
    </w:p>
    <w:p w14:paraId="13299B8E" w14:textId="77777777" w:rsidR="00334487" w:rsidRDefault="00334487" w:rsidP="00334487">
      <w:pPr>
        <w:pStyle w:val="SingleTxtG"/>
        <w:rPr>
          <w:lang w:bidi="th-TH"/>
        </w:rPr>
      </w:pPr>
      <w:r>
        <w:rPr>
          <w:color w:val="000000" w:themeColor="text1"/>
          <w:lang w:bidi="th-TH"/>
        </w:rPr>
        <w:lastRenderedPageBreak/>
        <w:t>40</w:t>
      </w:r>
      <w:r w:rsidRPr="7F5DBCC8">
        <w:rPr>
          <w:color w:val="000000" w:themeColor="text1"/>
          <w:lang w:bidi="th-TH"/>
        </w:rPr>
        <w:t>.</w:t>
      </w:r>
      <w:r>
        <w:rPr>
          <w:color w:val="000000" w:themeColor="text1"/>
          <w:lang w:bidi="th-TH"/>
        </w:rPr>
        <w:tab/>
      </w:r>
      <w:r w:rsidRPr="7F5DBCC8">
        <w:rPr>
          <w:color w:val="000000" w:themeColor="text1"/>
          <w:lang w:bidi="th-TH"/>
        </w:rPr>
        <w:t xml:space="preserve">Within the </w:t>
      </w:r>
      <w:r w:rsidRPr="7F5DBCC8">
        <w:rPr>
          <w:b/>
          <w:bCs/>
          <w:color w:val="000000" w:themeColor="text1"/>
          <w:lang w:bidi="th-TH"/>
        </w:rPr>
        <w:t>United Nations secretariat</w:t>
      </w:r>
      <w:r w:rsidRPr="7F5DBCC8">
        <w:rPr>
          <w:color w:val="000000" w:themeColor="text1"/>
          <w:lang w:bidi="th-TH"/>
        </w:rPr>
        <w:t xml:space="preserve">, enhanced partnership will be sought with the </w:t>
      </w:r>
      <w:r w:rsidRPr="7F5DBCC8">
        <w:rPr>
          <w:b/>
          <w:bCs/>
          <w:color w:val="000000" w:themeColor="text1"/>
          <w:lang w:bidi="th-TH"/>
        </w:rPr>
        <w:t>Department of Economic and Social Affairs</w:t>
      </w:r>
      <w:r w:rsidRPr="7F5DBCC8">
        <w:rPr>
          <w:color w:val="000000" w:themeColor="text1"/>
          <w:lang w:bidi="th-TH"/>
        </w:rPr>
        <w:t xml:space="preserve"> (DESA), and all </w:t>
      </w:r>
      <w:r w:rsidRPr="7F5DBCC8">
        <w:rPr>
          <w:b/>
          <w:bCs/>
          <w:color w:val="000000" w:themeColor="text1"/>
          <w:lang w:bidi="th-TH"/>
        </w:rPr>
        <w:t>other United Nations regional commissions</w:t>
      </w:r>
      <w:r w:rsidRPr="7F5DBCC8">
        <w:rPr>
          <w:color w:val="000000" w:themeColor="text1"/>
          <w:lang w:bidi="th-TH"/>
        </w:rPr>
        <w:t xml:space="preserve">. ITC and its subsidiary bodies will also aim at further building upon existing cooperation with </w:t>
      </w:r>
      <w:r w:rsidRPr="7F5DBCC8">
        <w:rPr>
          <w:b/>
          <w:bCs/>
          <w:color w:val="000000" w:themeColor="text1"/>
          <w:lang w:bidi="th-TH"/>
        </w:rPr>
        <w:t>other ECE Sectoral Committees</w:t>
      </w:r>
      <w:r w:rsidRPr="7F5DBCC8">
        <w:rPr>
          <w:color w:val="000000" w:themeColor="text1"/>
          <w:lang w:bidi="th-TH"/>
        </w:rPr>
        <w:t xml:space="preserve">, incl. the Committees on Urban Development, Housing and Land Management, Environmental Policy and Sustainable Energy. For example, ITC might engage urban mobility actors, via the </w:t>
      </w:r>
      <w:r>
        <w:rPr>
          <w:color w:val="000000" w:themeColor="text1"/>
          <w:lang w:bidi="th-TH"/>
        </w:rPr>
        <w:t>ECE</w:t>
      </w:r>
      <w:r w:rsidRPr="7F5DBCC8">
        <w:rPr>
          <w:color w:val="000000" w:themeColor="text1"/>
          <w:lang w:bidi="th-TH"/>
        </w:rPr>
        <w:t xml:space="preserve"> Forum of Mayors, to trigger wide policy change to reach GHG emissions reduction. The need for low-/zero-carbon energy,</w:t>
      </w:r>
      <w:r>
        <w:rPr>
          <w:color w:val="FF0000"/>
          <w:lang w:bidi="th-TH"/>
        </w:rPr>
        <w:t xml:space="preserve"> </w:t>
      </w:r>
      <w:r w:rsidRPr="7F5DBCC8">
        <w:rPr>
          <w:color w:val="000000" w:themeColor="text1"/>
          <w:lang w:bidi="th-TH"/>
        </w:rPr>
        <w:t xml:space="preserve">the joint deployment of vehicles and infrastructure to use and distribute such low- and zero-carbon energy </w:t>
      </w:r>
      <w:r w:rsidRPr="00D8055E">
        <w:rPr>
          <w:lang w:bidi="th-TH"/>
        </w:rPr>
        <w:t>and global standard-setting that supports interaction between transport and energy to ensure a future proof legislative framework, which helps to unlock the potential of solutions in the mobility-energy interface,</w:t>
      </w:r>
      <w:r w:rsidRPr="00D04A2B">
        <w:rPr>
          <w:color w:val="FF0000"/>
          <w:lang w:bidi="th-TH"/>
        </w:rPr>
        <w:t xml:space="preserve"> </w:t>
      </w:r>
      <w:r w:rsidRPr="7F5DBCC8">
        <w:rPr>
          <w:color w:val="000000" w:themeColor="text1"/>
          <w:lang w:bidi="th-TH"/>
        </w:rPr>
        <w:t xml:space="preserve">will require closer collaboration with energy sector specialists, including experts under the Committee on Sustainable Energy, for example through activities of the Working Party on Trends and Economics (WP.5).  </w:t>
      </w:r>
    </w:p>
    <w:p w14:paraId="3E4149D6" w14:textId="77777777" w:rsidR="00334487" w:rsidRDefault="00334487" w:rsidP="00334487">
      <w:pPr>
        <w:pStyle w:val="SingleTxtG"/>
        <w:rPr>
          <w:lang w:bidi="th-TH"/>
        </w:rPr>
      </w:pPr>
      <w:r>
        <w:rPr>
          <w:lang w:bidi="th-TH"/>
        </w:rPr>
        <w:t>41.</w:t>
      </w:r>
      <w:r>
        <w:rPr>
          <w:lang w:bidi="th-TH"/>
        </w:rPr>
        <w:tab/>
        <w:t>Cooperation with</w:t>
      </w:r>
      <w:r w:rsidRPr="00131AA4">
        <w:rPr>
          <w:lang w:bidi="th-TH"/>
        </w:rPr>
        <w:t xml:space="preserve"> </w:t>
      </w:r>
      <w:r w:rsidRPr="004D23D2">
        <w:rPr>
          <w:b/>
          <w:bCs/>
          <w:lang w:bidi="th-TH"/>
        </w:rPr>
        <w:t>ICAO and IMO</w:t>
      </w:r>
      <w:r w:rsidRPr="00131AA4">
        <w:rPr>
          <w:lang w:bidi="th-TH"/>
        </w:rPr>
        <w:t xml:space="preserve"> will </w:t>
      </w:r>
      <w:r>
        <w:rPr>
          <w:lang w:bidi="th-TH"/>
        </w:rPr>
        <w:t xml:space="preserve">also </w:t>
      </w:r>
      <w:r w:rsidRPr="00131AA4">
        <w:rPr>
          <w:lang w:bidi="th-TH"/>
        </w:rPr>
        <w:t xml:space="preserve">be </w:t>
      </w:r>
      <w:r>
        <w:rPr>
          <w:lang w:bidi="th-TH"/>
        </w:rPr>
        <w:t>further explored</w:t>
      </w:r>
      <w:r w:rsidRPr="00131AA4">
        <w:rPr>
          <w:lang w:bidi="th-TH"/>
        </w:rPr>
        <w:t xml:space="preserve"> in view of </w:t>
      </w:r>
      <w:r>
        <w:rPr>
          <w:lang w:bidi="th-TH"/>
        </w:rPr>
        <w:t xml:space="preserve">exchanging information and </w:t>
      </w:r>
      <w:r w:rsidRPr="00131AA4">
        <w:rPr>
          <w:lang w:bidi="th-TH"/>
        </w:rPr>
        <w:t>seeking mutual inspiration in the implementation of respective climate change mitigation strategies and approaches to emission reductions</w:t>
      </w:r>
      <w:r>
        <w:rPr>
          <w:lang w:bidi="th-TH"/>
        </w:rPr>
        <w:t>, across the inland transport, aviation, and maritime sectors.</w:t>
      </w:r>
    </w:p>
    <w:p w14:paraId="69BA79DF" w14:textId="77777777" w:rsidR="00334487" w:rsidRDefault="00334487" w:rsidP="00334487">
      <w:pPr>
        <w:pStyle w:val="SingleTxtG"/>
        <w:rPr>
          <w:lang w:bidi="th-TH"/>
        </w:rPr>
      </w:pPr>
      <w:r>
        <w:rPr>
          <w:lang w:bidi="th-TH"/>
        </w:rPr>
        <w:t>42.</w:t>
      </w:r>
      <w:r>
        <w:rPr>
          <w:lang w:bidi="th-TH"/>
        </w:rPr>
        <w:tab/>
        <w:t xml:space="preserve">Partnerships with the </w:t>
      </w:r>
      <w:r w:rsidRPr="00160622">
        <w:rPr>
          <w:b/>
          <w:bCs/>
          <w:lang w:bidi="th-TH"/>
        </w:rPr>
        <w:t>i</w:t>
      </w:r>
      <w:r w:rsidRPr="004D23D2">
        <w:rPr>
          <w:b/>
          <w:bCs/>
          <w:lang w:bidi="th-TH"/>
        </w:rPr>
        <w:t xml:space="preserve">nternational </w:t>
      </w:r>
      <w:r>
        <w:rPr>
          <w:b/>
          <w:bCs/>
          <w:lang w:bidi="th-TH"/>
        </w:rPr>
        <w:t>f</w:t>
      </w:r>
      <w:r w:rsidRPr="004D23D2">
        <w:rPr>
          <w:b/>
          <w:bCs/>
          <w:lang w:bidi="th-TH"/>
        </w:rPr>
        <w:t xml:space="preserve">inancial </w:t>
      </w:r>
      <w:r>
        <w:rPr>
          <w:b/>
          <w:bCs/>
          <w:lang w:bidi="th-TH"/>
        </w:rPr>
        <w:t>i</w:t>
      </w:r>
      <w:r w:rsidRPr="004D23D2">
        <w:rPr>
          <w:b/>
          <w:bCs/>
          <w:lang w:bidi="th-TH"/>
        </w:rPr>
        <w:t>nstitutions</w:t>
      </w:r>
      <w:r>
        <w:rPr>
          <w:lang w:bidi="th-TH"/>
        </w:rPr>
        <w:t xml:space="preserve"> will also be developed, in particular to gain access to additional funding sources</w:t>
      </w:r>
      <w:r w:rsidRPr="003A5434">
        <w:rPr>
          <w:lang w:bidi="th-TH"/>
        </w:rPr>
        <w:t xml:space="preserve"> </w:t>
      </w:r>
      <w:r>
        <w:rPr>
          <w:lang w:bidi="th-TH"/>
        </w:rPr>
        <w:t>for inland transport decarbonization capacity-building and technical assistance projects in specific countries or regions. Such partnerships will be further explored by the ITC with the Global Environment Facility (GEF), the Green Climate Fund (GCF), the World Bank Group or other international and regional financial institutions.</w:t>
      </w:r>
    </w:p>
    <w:p w14:paraId="31E245C4" w14:textId="77777777" w:rsidR="00334487" w:rsidRDefault="00334487" w:rsidP="00334487">
      <w:pPr>
        <w:pStyle w:val="SingleTxtG"/>
        <w:rPr>
          <w:color w:val="000000" w:themeColor="text1"/>
          <w:lang w:bidi="th-TH"/>
        </w:rPr>
      </w:pPr>
      <w:r>
        <w:rPr>
          <w:color w:val="000000" w:themeColor="text1"/>
          <w:lang w:bidi="th-TH"/>
        </w:rPr>
        <w:t>43.</w:t>
      </w:r>
      <w:r>
        <w:rPr>
          <w:color w:val="000000" w:themeColor="text1"/>
          <w:lang w:bidi="th-TH"/>
        </w:rPr>
        <w:tab/>
      </w:r>
      <w:r w:rsidRPr="639FE7BA">
        <w:rPr>
          <w:color w:val="000000" w:themeColor="text1"/>
          <w:lang w:bidi="th-TH"/>
        </w:rPr>
        <w:t xml:space="preserve">Naturally, the ITC will continue to pursue its close cooperation with </w:t>
      </w:r>
      <w:r w:rsidRPr="639FE7BA">
        <w:rPr>
          <w:b/>
          <w:bCs/>
          <w:color w:val="000000" w:themeColor="text1"/>
          <w:lang w:bidi="th-TH"/>
        </w:rPr>
        <w:t>regional integration organizations</w:t>
      </w:r>
      <w:r w:rsidRPr="639FE7BA">
        <w:rPr>
          <w:color w:val="000000" w:themeColor="text1"/>
          <w:lang w:bidi="th-TH"/>
        </w:rPr>
        <w:t xml:space="preserve"> such as the European Union </w:t>
      </w:r>
      <w:r w:rsidRPr="72007B4E">
        <w:rPr>
          <w:color w:val="000000" w:themeColor="text1"/>
          <w:lang w:bidi="th-TH"/>
        </w:rPr>
        <w:t xml:space="preserve">and </w:t>
      </w:r>
      <w:r w:rsidRPr="6E1AD8D1">
        <w:rPr>
          <w:color w:val="000000" w:themeColor="text1"/>
          <w:lang w:bidi="th-TH"/>
        </w:rPr>
        <w:t xml:space="preserve">the Eurasia </w:t>
      </w:r>
      <w:r w:rsidRPr="56AA6764">
        <w:rPr>
          <w:color w:val="000000" w:themeColor="text1"/>
          <w:lang w:bidi="th-TH"/>
        </w:rPr>
        <w:t xml:space="preserve">Economic </w:t>
      </w:r>
      <w:r w:rsidRPr="5F30575F">
        <w:rPr>
          <w:color w:val="000000" w:themeColor="text1"/>
          <w:lang w:bidi="th-TH"/>
        </w:rPr>
        <w:t>Union</w:t>
      </w:r>
      <w:r w:rsidRPr="639FE7BA">
        <w:rPr>
          <w:color w:val="000000" w:themeColor="text1"/>
          <w:lang w:bidi="th-TH"/>
        </w:rPr>
        <w:t>.</w:t>
      </w:r>
    </w:p>
    <w:p w14:paraId="509B3D4E" w14:textId="77777777" w:rsidR="00334487" w:rsidRDefault="00334487" w:rsidP="00334487">
      <w:pPr>
        <w:pStyle w:val="SingleTxtG"/>
        <w:rPr>
          <w:lang w:bidi="th-TH"/>
        </w:rPr>
      </w:pPr>
      <w:r>
        <w:rPr>
          <w:lang w:bidi="th-TH"/>
        </w:rPr>
        <w:t>44.</w:t>
      </w:r>
      <w:r>
        <w:tab/>
      </w:r>
      <w:r w:rsidRPr="67EB5347">
        <w:rPr>
          <w:color w:val="00B050"/>
          <w:lang w:bidi="th-TH"/>
        </w:rPr>
        <w:t xml:space="preserve"> </w:t>
      </w:r>
      <w:r>
        <w:rPr>
          <w:lang w:bidi="th-TH"/>
        </w:rPr>
        <w:t xml:space="preserve">In fostering implementation of the Strategy, ITC will continue to cooperate closely with </w:t>
      </w:r>
      <w:r>
        <w:rPr>
          <w:b/>
          <w:bCs/>
          <w:lang w:bidi="th-TH"/>
        </w:rPr>
        <w:t>i</w:t>
      </w:r>
      <w:r w:rsidRPr="003F0ED7">
        <w:rPr>
          <w:b/>
          <w:bCs/>
          <w:lang w:bidi="th-TH"/>
        </w:rPr>
        <w:t>ntergovernmental transport organizations/forum</w:t>
      </w:r>
      <w:r>
        <w:rPr>
          <w:b/>
          <w:bCs/>
          <w:lang w:bidi="th-TH"/>
        </w:rPr>
        <w:t xml:space="preserve">s, </w:t>
      </w:r>
      <w:r>
        <w:rPr>
          <w:lang w:bidi="th-TH"/>
        </w:rPr>
        <w:t xml:space="preserve">including </w:t>
      </w:r>
      <w:r w:rsidRPr="00F841B5">
        <w:rPr>
          <w:lang w:bidi="th-TH"/>
        </w:rPr>
        <w:t>the Group of Seven (G7), the Group of 20 (G20)</w:t>
      </w:r>
      <w:r w:rsidRPr="00D8055E">
        <w:rPr>
          <w:lang w:bidi="th-TH"/>
        </w:rPr>
        <w:t xml:space="preserve">, </w:t>
      </w:r>
      <w:r>
        <w:rPr>
          <w:lang w:bidi="th-TH"/>
        </w:rPr>
        <w:t xml:space="preserve">the International Transport Forum (ITF), International Road Transport Union (IRU), </w:t>
      </w:r>
      <w:r w:rsidRPr="001831CA">
        <w:rPr>
          <w:lang w:bidi="th-TH"/>
        </w:rPr>
        <w:t>the International Organizations for International Carriage by Rail (</w:t>
      </w:r>
      <w:r w:rsidRPr="004D23D2">
        <w:rPr>
          <w:lang w:bidi="th-TH"/>
        </w:rPr>
        <w:t>OTIF</w:t>
      </w:r>
      <w:r w:rsidRPr="001831CA">
        <w:rPr>
          <w:lang w:bidi="th-TH"/>
        </w:rPr>
        <w:t>),</w:t>
      </w:r>
      <w:r>
        <w:rPr>
          <w:lang w:bidi="th-TH"/>
        </w:rPr>
        <w:t xml:space="preserve"> the Organization for Cooperation of Railways (OSJD), </w:t>
      </w:r>
      <w:r w:rsidRPr="00F27308">
        <w:rPr>
          <w:lang w:bidi="th-TH"/>
        </w:rPr>
        <w:t>International Union of Railways</w:t>
      </w:r>
      <w:r>
        <w:rPr>
          <w:lang w:bidi="th-TH"/>
        </w:rPr>
        <w:t xml:space="preserve"> (UIC</w:t>
      </w:r>
      <w:r w:rsidRPr="00F27308">
        <w:rPr>
          <w:lang w:bidi="th-TH"/>
        </w:rPr>
        <w:t>)</w:t>
      </w:r>
      <w:r>
        <w:rPr>
          <w:lang w:bidi="th-TH"/>
        </w:rPr>
        <w:t xml:space="preserve">, </w:t>
      </w:r>
      <w:r w:rsidRPr="001831CA">
        <w:rPr>
          <w:lang w:bidi="th-TH"/>
        </w:rPr>
        <w:t xml:space="preserve">and the river basin commissions. </w:t>
      </w:r>
    </w:p>
    <w:p w14:paraId="6E8BAFA7" w14:textId="77777777" w:rsidR="00334487" w:rsidRDefault="00334487" w:rsidP="00334487">
      <w:pPr>
        <w:pStyle w:val="SingleTxtG"/>
        <w:rPr>
          <w:lang w:bidi="th-TH"/>
        </w:rPr>
      </w:pPr>
      <w:r>
        <w:rPr>
          <w:lang w:bidi="th-TH"/>
        </w:rPr>
        <w:t>45.</w:t>
      </w:r>
      <w:r>
        <w:rPr>
          <w:lang w:bidi="th-TH"/>
        </w:rPr>
        <w:tab/>
        <w:t xml:space="preserve">Furthermore, partnerships will be developed with </w:t>
      </w:r>
      <w:r w:rsidRPr="004D23D2">
        <w:rPr>
          <w:b/>
          <w:bCs/>
        </w:rPr>
        <w:t>non-governmental/civil society organizations</w:t>
      </w:r>
      <w:r>
        <w:t>.</w:t>
      </w:r>
      <w:r w:rsidDel="00B6678E">
        <w:rPr>
          <w:lang w:bidi="th-TH"/>
        </w:rPr>
        <w:t xml:space="preserve"> </w:t>
      </w:r>
      <w:r>
        <w:rPr>
          <w:lang w:bidi="th-TH"/>
        </w:rPr>
        <w:t>At the ITC sessions, a new agenda item for pursuing a dialogue with non-governmental organizations will be introduced. This will provide a means for non-state actors to share information on efforts to support decarbonization, in addition to the regular inter-governmental dialogue under the Committee’s purview. Working Parties and Administrative Committees will equally continue their regularly information-exchange with relevant organizations and initiatives to consider and where feasible, enhance synergetic action.</w:t>
      </w:r>
    </w:p>
    <w:p w14:paraId="7FDE7D18" w14:textId="77777777" w:rsidR="00334487" w:rsidRDefault="00334487" w:rsidP="00334487">
      <w:pPr>
        <w:pStyle w:val="SingleTxtG"/>
        <w:rPr>
          <w:lang w:bidi="th-TH"/>
        </w:rPr>
      </w:pPr>
      <w:r>
        <w:rPr>
          <w:lang w:bidi="th-TH"/>
        </w:rPr>
        <w:t>46.</w:t>
      </w:r>
      <w:r>
        <w:rPr>
          <w:lang w:bidi="th-TH"/>
        </w:rPr>
        <w:tab/>
      </w:r>
      <w:r w:rsidRPr="00BB3934">
        <w:rPr>
          <w:lang w:bidi="th-TH"/>
        </w:rPr>
        <w:t xml:space="preserve">ITC and its subsidiary bodies will </w:t>
      </w:r>
      <w:r>
        <w:rPr>
          <w:lang w:bidi="th-TH"/>
        </w:rPr>
        <w:t>partner with several decarbonization initiatives, aiming to amplify the impact of this Strategy, namely:</w:t>
      </w:r>
    </w:p>
    <w:p w14:paraId="1572036C" w14:textId="77777777" w:rsidR="00334487" w:rsidRPr="004D23D2" w:rsidRDefault="00334487" w:rsidP="00334487">
      <w:pPr>
        <w:pStyle w:val="SingleTxtG"/>
        <w:ind w:left="1701" w:hanging="567"/>
        <w:rPr>
          <w:lang w:bidi="th-TH"/>
        </w:rPr>
      </w:pPr>
      <w:r>
        <w:rPr>
          <w:b/>
          <w:bCs/>
        </w:rPr>
        <w:t>(a)</w:t>
      </w:r>
      <w:r>
        <w:rPr>
          <w:b/>
          <w:bCs/>
        </w:rPr>
        <w:tab/>
      </w:r>
      <w:r w:rsidRPr="00DD7D23">
        <w:rPr>
          <w:b/>
          <w:bCs/>
        </w:rPr>
        <w:t>Breakthrough Agenda</w:t>
      </w:r>
      <w:r>
        <w:rPr>
          <w:rStyle w:val="FootnoteReference"/>
        </w:rPr>
        <w:footnoteReference w:id="14"/>
      </w:r>
      <w:r>
        <w:t xml:space="preserve"> launched at the </w:t>
      </w:r>
      <w:r w:rsidRPr="004D23D2">
        <w:rPr>
          <w:lang w:bidi="th-TH"/>
        </w:rPr>
        <w:t>UNFCCC twenty-</w:t>
      </w:r>
      <w:r>
        <w:rPr>
          <w:lang w:bidi="th-TH"/>
        </w:rPr>
        <w:t>sixth</w:t>
      </w:r>
      <w:r w:rsidRPr="004D23D2">
        <w:rPr>
          <w:lang w:bidi="th-TH"/>
        </w:rPr>
        <w:t xml:space="preserve"> meeting of the Conference of the Parties</w:t>
      </w:r>
      <w:r>
        <w:rPr>
          <w:lang w:bidi="th-TH"/>
        </w:rPr>
        <w:t xml:space="preserve"> (CoP-26)</w:t>
      </w:r>
      <w:r w:rsidRPr="004D23D2">
        <w:t xml:space="preserve">, </w:t>
      </w:r>
      <w:r>
        <w:t xml:space="preserve">with its priority actions, agreed at the </w:t>
      </w:r>
      <w:r w:rsidRPr="004D23D2">
        <w:rPr>
          <w:lang w:bidi="th-TH"/>
        </w:rPr>
        <w:t>twenty-seventh meeting of the Conference of the Parties</w:t>
      </w:r>
      <w:r>
        <w:rPr>
          <w:lang w:bidi="th-TH"/>
        </w:rPr>
        <w:t xml:space="preserve"> (CoP-27)</w:t>
      </w:r>
      <w:r w:rsidRPr="004D23D2">
        <w:t xml:space="preserve">, which </w:t>
      </w:r>
      <w:r w:rsidRPr="004D23D2">
        <w:rPr>
          <w:lang w:bidi="th-TH"/>
        </w:rPr>
        <w:t>comprises various actors of international road transport sector decarboni</w:t>
      </w:r>
      <w:r>
        <w:rPr>
          <w:lang w:bidi="th-TH"/>
        </w:rPr>
        <w:t>z</w:t>
      </w:r>
      <w:r w:rsidRPr="004D23D2">
        <w:rPr>
          <w:lang w:bidi="th-TH"/>
        </w:rPr>
        <w:t>ation initiatives</w:t>
      </w:r>
      <w:r>
        <w:rPr>
          <w:lang w:bidi="th-TH"/>
        </w:rPr>
        <w:t>;</w:t>
      </w:r>
    </w:p>
    <w:p w14:paraId="51FA09E5" w14:textId="77777777" w:rsidR="00334487" w:rsidRPr="004D23D2" w:rsidRDefault="00334487" w:rsidP="00334487">
      <w:pPr>
        <w:pStyle w:val="SingleTxtG"/>
        <w:ind w:left="1701" w:hanging="567"/>
      </w:pPr>
      <w:r>
        <w:rPr>
          <w:b/>
          <w:bCs/>
        </w:rPr>
        <w:t>(b)</w:t>
      </w:r>
      <w:r>
        <w:rPr>
          <w:b/>
          <w:bCs/>
        </w:rPr>
        <w:tab/>
      </w:r>
      <w:r w:rsidRPr="004023E8">
        <w:rPr>
          <w:b/>
          <w:bCs/>
        </w:rPr>
        <w:t>Accelerating to Zero Coalition</w:t>
      </w:r>
      <w:r w:rsidRPr="00252E81">
        <w:rPr>
          <w:rStyle w:val="FootnoteReference"/>
        </w:rPr>
        <w:footnoteReference w:id="15"/>
      </w:r>
      <w:r w:rsidRPr="004D23D2">
        <w:t xml:space="preserve"> launched at CoP-27, working towards all sales of new cars and vans being zero emission globally by 2040 and by no later than 2035 in leading markets</w:t>
      </w:r>
      <w:r>
        <w:t>.</w:t>
      </w:r>
    </w:p>
    <w:p w14:paraId="005A70DC" w14:textId="77777777" w:rsidR="00334487" w:rsidDel="00644517" w:rsidRDefault="00334487" w:rsidP="00334487">
      <w:pPr>
        <w:pStyle w:val="SingleTxtG"/>
        <w:rPr>
          <w:lang w:bidi="th-TH"/>
        </w:rPr>
      </w:pPr>
      <w:r>
        <w:rPr>
          <w:lang w:bidi="th-TH"/>
        </w:rPr>
        <w:t>47.</w:t>
      </w:r>
      <w:r>
        <w:rPr>
          <w:lang w:bidi="th-TH"/>
        </w:rPr>
        <w:tab/>
      </w:r>
      <w:r w:rsidRPr="003612D4" w:rsidDel="00644517">
        <w:rPr>
          <w:lang w:bidi="th-TH"/>
        </w:rPr>
        <w:t xml:space="preserve">Implementing the </w:t>
      </w:r>
      <w:r>
        <w:rPr>
          <w:lang w:bidi="th-TH"/>
        </w:rPr>
        <w:t>S</w:t>
      </w:r>
      <w:r w:rsidRPr="003612D4" w:rsidDel="00644517">
        <w:rPr>
          <w:lang w:bidi="th-TH"/>
        </w:rPr>
        <w:t xml:space="preserve">trategy will naturally imply </w:t>
      </w:r>
      <w:r>
        <w:rPr>
          <w:lang w:bidi="th-TH"/>
        </w:rPr>
        <w:t>a continued close</w:t>
      </w:r>
      <w:r w:rsidRPr="003612D4" w:rsidDel="00644517">
        <w:rPr>
          <w:lang w:bidi="th-TH"/>
        </w:rPr>
        <w:t xml:space="preserve"> engagement </w:t>
      </w:r>
      <w:r>
        <w:rPr>
          <w:lang w:bidi="th-TH"/>
        </w:rPr>
        <w:t>with</w:t>
      </w:r>
      <w:r w:rsidDel="00644517">
        <w:rPr>
          <w:lang w:bidi="th-TH"/>
        </w:rPr>
        <w:t xml:space="preserve"> </w:t>
      </w:r>
      <w:r w:rsidRPr="004D23D2" w:rsidDel="00644517">
        <w:rPr>
          <w:b/>
          <w:bCs/>
          <w:lang w:bidi="th-TH"/>
        </w:rPr>
        <w:t>transport companies and vehicle manufacturers</w:t>
      </w:r>
      <w:r w:rsidRPr="003612D4" w:rsidDel="00644517">
        <w:rPr>
          <w:lang w:bidi="th-TH"/>
        </w:rPr>
        <w:t xml:space="preserve"> – for example, Electric Vehicle </w:t>
      </w:r>
      <w:r w:rsidRPr="003612D4" w:rsidDel="00644517">
        <w:rPr>
          <w:lang w:bidi="th-TH"/>
        </w:rPr>
        <w:lastRenderedPageBreak/>
        <w:t>manufacturers, who are best suited to implement procedures which are carbon neutral and determine efficient ways to repurpose, reuse</w:t>
      </w:r>
      <w:r>
        <w:rPr>
          <w:lang w:bidi="th-TH"/>
        </w:rPr>
        <w:t xml:space="preserve">, </w:t>
      </w:r>
      <w:r w:rsidRPr="003612D4" w:rsidDel="00644517">
        <w:rPr>
          <w:lang w:bidi="th-TH"/>
        </w:rPr>
        <w:t>or recycle batteries at the end of life.</w:t>
      </w:r>
    </w:p>
    <w:p w14:paraId="28A85328" w14:textId="77777777" w:rsidR="00334487" w:rsidRDefault="00334487" w:rsidP="00334487">
      <w:pPr>
        <w:pStyle w:val="SingleTxtG"/>
        <w:rPr>
          <w:sz w:val="24"/>
        </w:rPr>
      </w:pPr>
      <w:r>
        <w:t>48.</w:t>
      </w:r>
      <w:r>
        <w:tab/>
        <w:t>I</w:t>
      </w:r>
      <w:r w:rsidRPr="0033039F">
        <w:t>nvolv</w:t>
      </w:r>
      <w:r>
        <w:t>ing</w:t>
      </w:r>
      <w:r w:rsidRPr="0033039F">
        <w:t xml:space="preserve"> more </w:t>
      </w:r>
      <w:r w:rsidRPr="004D23D2">
        <w:rPr>
          <w:b/>
          <w:bCs/>
        </w:rPr>
        <w:t>academic researchers</w:t>
      </w:r>
      <w:r w:rsidRPr="0033039F">
        <w:t xml:space="preserve">, who understand climate change, transportation resilience, and the need for mitigation, </w:t>
      </w:r>
      <w:r>
        <w:t xml:space="preserve">as well as innovation, R&amp;D and targeted economic instruments </w:t>
      </w:r>
      <w:r w:rsidRPr="0033039F">
        <w:t xml:space="preserve">with the Committee’s </w:t>
      </w:r>
      <w:r>
        <w:t>G</w:t>
      </w:r>
      <w:r w:rsidRPr="0033039F">
        <w:t>roup</w:t>
      </w:r>
      <w:r>
        <w:t>s</w:t>
      </w:r>
      <w:r w:rsidRPr="0033039F">
        <w:t xml:space="preserve"> of </w:t>
      </w:r>
      <w:r>
        <w:t>E</w:t>
      </w:r>
      <w:r w:rsidRPr="0033039F">
        <w:t>xperts</w:t>
      </w:r>
      <w:r>
        <w:t xml:space="preserve">, will also be conducive to furthering their climate change related activities supportive of this Strategy’s implementation. </w:t>
      </w:r>
    </w:p>
    <w:p w14:paraId="5C8AF7F4" w14:textId="77777777" w:rsidR="00334487" w:rsidRPr="00365127" w:rsidRDefault="00334487" w:rsidP="00334487">
      <w:pPr>
        <w:pStyle w:val="HChG"/>
        <w:rPr>
          <w:lang w:bidi="th-TH"/>
        </w:rPr>
      </w:pPr>
      <w:r>
        <w:rPr>
          <w:lang w:bidi="th-TH"/>
        </w:rPr>
        <w:tab/>
        <w:t>VIII.</w:t>
      </w:r>
      <w:r>
        <w:rPr>
          <w:lang w:bidi="th-TH"/>
        </w:rPr>
        <w:tab/>
      </w:r>
      <w:r>
        <w:rPr>
          <w:lang w:bidi="th-TH"/>
        </w:rPr>
        <w:tab/>
      </w:r>
      <w:r w:rsidRPr="00365127">
        <w:rPr>
          <w:lang w:bidi="th-TH"/>
        </w:rPr>
        <w:t>Periodic review</w:t>
      </w:r>
    </w:p>
    <w:p w14:paraId="5A572C5F" w14:textId="77777777" w:rsidR="00334487" w:rsidRPr="004D23D2" w:rsidRDefault="00334487" w:rsidP="00334487">
      <w:pPr>
        <w:pStyle w:val="SingleTxtG"/>
        <w:rPr>
          <w:highlight w:val="yellow"/>
        </w:rPr>
      </w:pPr>
      <w:r>
        <w:t>49.</w:t>
      </w:r>
      <w:r>
        <w:tab/>
      </w:r>
      <w:r w:rsidRPr="2CC46484">
        <w:t>This Strategy will be subject to a five-yearly review</w:t>
      </w:r>
      <w:r>
        <w:t>,</w:t>
      </w:r>
      <w:r w:rsidRPr="2CC46484">
        <w:t xml:space="preserve"> with the first review due in </w:t>
      </w:r>
      <w:r w:rsidRPr="1F4E776D">
        <w:t>20</w:t>
      </w:r>
      <w:r w:rsidRPr="4025FE35">
        <w:t>29.</w:t>
      </w:r>
    </w:p>
    <w:p w14:paraId="5D4E2575" w14:textId="77777777" w:rsidR="00334487" w:rsidRDefault="00334487" w:rsidP="00334487">
      <w:pPr>
        <w:pStyle w:val="SingleTxtG"/>
      </w:pPr>
      <w:r>
        <w:t>50.</w:t>
      </w:r>
      <w:r>
        <w:tab/>
      </w:r>
      <w:r w:rsidRPr="00F554E8">
        <w:t xml:space="preserve">The </w:t>
      </w:r>
      <w:r>
        <w:t>ITC</w:t>
      </w:r>
      <w:r w:rsidRPr="00F554E8">
        <w:t xml:space="preserve"> </w:t>
      </w:r>
      <w:r>
        <w:t>will centrally coordinate</w:t>
      </w:r>
      <w:r w:rsidRPr="00F554E8">
        <w:t xml:space="preserve"> the review</w:t>
      </w:r>
      <w:r>
        <w:t>,</w:t>
      </w:r>
      <w:r w:rsidRPr="00F554E8">
        <w:t xml:space="preserve"> including defining </w:t>
      </w:r>
      <w:r>
        <w:t>its</w:t>
      </w:r>
      <w:r w:rsidRPr="00F554E8">
        <w:t xml:space="preserve"> scope and terms of reference. </w:t>
      </w:r>
      <w:r>
        <w:t>On this basis, ITC will review the Strategy to take stock of the progress made in implementing the strategic objectives and action plan, consider setting new objectives, and determine new actions and targets. The Strategy shall be adapted to the latest knowledge available (e.g. from the latest reports</w:t>
      </w:r>
      <w:r w:rsidRPr="00C225D9">
        <w:t xml:space="preserve"> of the Intergovernmental Panel on Climate Change</w:t>
      </w:r>
      <w:r>
        <w:t xml:space="preserve">) on the decarbonization of the inland transport sector, based on biennial in-depth reports on climate change and inland transport. </w:t>
      </w:r>
    </w:p>
    <w:p w14:paraId="19FFD764" w14:textId="77777777" w:rsidR="00334487" w:rsidRPr="00B20377" w:rsidRDefault="00334487" w:rsidP="00334487">
      <w:pPr>
        <w:pStyle w:val="SingleTxtG"/>
        <w:rPr>
          <w:highlight w:val="yellow"/>
        </w:rPr>
      </w:pPr>
      <w:r>
        <w:t>51.</w:t>
      </w:r>
      <w:r>
        <w:tab/>
      </w:r>
      <w:r w:rsidRPr="6AC41B65">
        <w:t xml:space="preserve">ITC’s subsidiary bodies will regularly monitor the implementation of this Strategy and consider opportunities for enhanced actions by themselves, and in cooperation with other Working Parties or Administrative Committees. They will report on such actions taken </w:t>
      </w:r>
      <w:r w:rsidRPr="206188E0">
        <w:t>biennially</w:t>
      </w:r>
      <w:r w:rsidRPr="6AC41B65">
        <w:t xml:space="preserve"> to the ITC</w:t>
      </w:r>
      <w:r>
        <w:t>, to inform ITC on progress achieved in the actions assigned</w:t>
      </w:r>
      <w:r w:rsidRPr="6AC41B65">
        <w:t xml:space="preserve">. </w:t>
      </w:r>
      <w:r w:rsidRPr="00D8055E">
        <w:t>Such a role on cross-cutting themes could be played by WP.5 in cooperation with other relevant WPs or Administrative Committees.</w:t>
      </w:r>
    </w:p>
    <w:p w14:paraId="02D4FD5E" w14:textId="0534196A" w:rsidR="001C6663" w:rsidRPr="0005529E" w:rsidRDefault="00334487" w:rsidP="00E23734">
      <w:pPr>
        <w:spacing w:before="240"/>
        <w:jc w:val="center"/>
        <w:rPr>
          <w:u w:val="single"/>
        </w:rPr>
      </w:pPr>
      <w:r>
        <w:rPr>
          <w:u w:val="single"/>
        </w:rPr>
        <w:tab/>
      </w:r>
      <w:r>
        <w:rPr>
          <w:u w:val="single"/>
        </w:rPr>
        <w:tab/>
      </w:r>
      <w:r>
        <w:rPr>
          <w:u w:val="single"/>
        </w:rPr>
        <w:tab/>
      </w:r>
    </w:p>
    <w:sectPr w:rsidR="001C6663" w:rsidRPr="0005529E" w:rsidSect="00843766">
      <w:headerReference w:type="even" r:id="rId20"/>
      <w:headerReference w:type="default" r:id="rId21"/>
      <w:footerReference w:type="even" r:id="rId22"/>
      <w:footerReference w:type="default" r:id="rId23"/>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6481" w14:textId="77777777" w:rsidR="00442E08" w:rsidRDefault="00442E08"/>
  </w:endnote>
  <w:endnote w:type="continuationSeparator" w:id="0">
    <w:p w14:paraId="2A389402" w14:textId="77777777" w:rsidR="00442E08" w:rsidRDefault="00442E08"/>
  </w:endnote>
  <w:endnote w:type="continuationNotice" w:id="1">
    <w:p w14:paraId="3A23AF83" w14:textId="77777777" w:rsidR="00442E08" w:rsidRDefault="00442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637B" w14:textId="38535300" w:rsidR="0005529E" w:rsidRPr="0005529E" w:rsidRDefault="0005529E" w:rsidP="0005529E">
    <w:pPr>
      <w:pStyle w:val="Footer"/>
      <w:tabs>
        <w:tab w:val="right" w:pos="9638"/>
      </w:tabs>
      <w:rPr>
        <w:sz w:val="18"/>
      </w:rPr>
    </w:pPr>
    <w:r w:rsidRPr="0005529E">
      <w:rPr>
        <w:b/>
        <w:sz w:val="18"/>
      </w:rPr>
      <w:fldChar w:fldCharType="begin"/>
    </w:r>
    <w:r w:rsidRPr="0005529E">
      <w:rPr>
        <w:b/>
        <w:sz w:val="18"/>
      </w:rPr>
      <w:instrText xml:space="preserve"> PAGE  \* MERGEFORMAT </w:instrText>
    </w:r>
    <w:r w:rsidRPr="0005529E">
      <w:rPr>
        <w:b/>
        <w:sz w:val="18"/>
      </w:rPr>
      <w:fldChar w:fldCharType="separate"/>
    </w:r>
    <w:r w:rsidRPr="0005529E">
      <w:rPr>
        <w:b/>
        <w:noProof/>
        <w:sz w:val="18"/>
      </w:rPr>
      <w:t>2</w:t>
    </w:r>
    <w:r w:rsidRPr="0005529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8E8D" w14:textId="449BDAC7" w:rsidR="0005529E" w:rsidRPr="0005529E" w:rsidRDefault="0005529E" w:rsidP="0005529E">
    <w:pPr>
      <w:pStyle w:val="Footer"/>
      <w:tabs>
        <w:tab w:val="right" w:pos="9638"/>
      </w:tabs>
      <w:rPr>
        <w:b/>
        <w:sz w:val="18"/>
      </w:rPr>
    </w:pPr>
    <w:r>
      <w:tab/>
    </w:r>
    <w:r w:rsidRPr="0005529E">
      <w:rPr>
        <w:b/>
        <w:sz w:val="18"/>
      </w:rPr>
      <w:fldChar w:fldCharType="begin"/>
    </w:r>
    <w:r w:rsidRPr="0005529E">
      <w:rPr>
        <w:b/>
        <w:sz w:val="18"/>
      </w:rPr>
      <w:instrText xml:space="preserve"> PAGE  \* MERGEFORMAT </w:instrText>
    </w:r>
    <w:r w:rsidRPr="0005529E">
      <w:rPr>
        <w:b/>
        <w:sz w:val="18"/>
      </w:rPr>
      <w:fldChar w:fldCharType="separate"/>
    </w:r>
    <w:r w:rsidRPr="0005529E">
      <w:rPr>
        <w:b/>
        <w:noProof/>
        <w:sz w:val="18"/>
      </w:rPr>
      <w:t>3</w:t>
    </w:r>
    <w:r w:rsidRPr="000552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FBFB" w14:textId="0CFA2546" w:rsidR="00A93267" w:rsidRPr="00A93267" w:rsidRDefault="00A93267" w:rsidP="00A93267">
    <w:pPr>
      <w:pStyle w:val="Footer"/>
    </w:pPr>
    <w:r>
      <w:rPr>
        <w:noProof/>
      </w:rPr>
      <mc:AlternateContent>
        <mc:Choice Requires="wps">
          <w:drawing>
            <wp:anchor distT="0" distB="0" distL="114300" distR="114300" simplePos="0" relativeHeight="251660288" behindDoc="0" locked="0" layoutInCell="1" allowOverlap="1" wp14:anchorId="7374AE57" wp14:editId="30D8C10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3ACF15" w14:textId="77777777" w:rsidR="00A93267" w:rsidRPr="0005529E" w:rsidRDefault="00A93267" w:rsidP="00A93267">
                          <w:pPr>
                            <w:pStyle w:val="Footer"/>
                            <w:tabs>
                              <w:tab w:val="right" w:pos="9638"/>
                            </w:tabs>
                            <w:rPr>
                              <w:sz w:val="18"/>
                            </w:rPr>
                          </w:pPr>
                          <w:r w:rsidRPr="0005529E">
                            <w:rPr>
                              <w:b/>
                              <w:sz w:val="18"/>
                            </w:rPr>
                            <w:fldChar w:fldCharType="begin"/>
                          </w:r>
                          <w:r w:rsidRPr="0005529E">
                            <w:rPr>
                              <w:b/>
                              <w:sz w:val="18"/>
                            </w:rPr>
                            <w:instrText xml:space="preserve"> PAGE  \* MERGEFORMAT </w:instrText>
                          </w:r>
                          <w:r w:rsidRPr="0005529E">
                            <w:rPr>
                              <w:b/>
                              <w:sz w:val="18"/>
                            </w:rPr>
                            <w:fldChar w:fldCharType="separate"/>
                          </w:r>
                          <w:r>
                            <w:rPr>
                              <w:b/>
                              <w:sz w:val="18"/>
                            </w:rPr>
                            <w:t>12</w:t>
                          </w:r>
                          <w:r w:rsidRPr="0005529E">
                            <w:rPr>
                              <w:b/>
                              <w:sz w:val="18"/>
                            </w:rPr>
                            <w:fldChar w:fldCharType="end"/>
                          </w:r>
                          <w:r>
                            <w:rPr>
                              <w:sz w:val="18"/>
                            </w:rPr>
                            <w:tab/>
                          </w:r>
                        </w:p>
                        <w:p w14:paraId="2BA5A6CB" w14:textId="77777777" w:rsidR="00A93267" w:rsidRDefault="00A9326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74AE57"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F3ACF15" w14:textId="77777777" w:rsidR="00A93267" w:rsidRPr="0005529E" w:rsidRDefault="00A93267" w:rsidP="00A93267">
                    <w:pPr>
                      <w:pStyle w:val="Footer"/>
                      <w:tabs>
                        <w:tab w:val="right" w:pos="9638"/>
                      </w:tabs>
                      <w:rPr>
                        <w:sz w:val="18"/>
                      </w:rPr>
                    </w:pPr>
                    <w:r w:rsidRPr="0005529E">
                      <w:rPr>
                        <w:b/>
                        <w:sz w:val="18"/>
                      </w:rPr>
                      <w:fldChar w:fldCharType="begin"/>
                    </w:r>
                    <w:r w:rsidRPr="0005529E">
                      <w:rPr>
                        <w:b/>
                        <w:sz w:val="18"/>
                      </w:rPr>
                      <w:instrText xml:space="preserve"> PAGE  \* MERGEFORMAT </w:instrText>
                    </w:r>
                    <w:r w:rsidRPr="0005529E">
                      <w:rPr>
                        <w:b/>
                        <w:sz w:val="18"/>
                      </w:rPr>
                      <w:fldChar w:fldCharType="separate"/>
                    </w:r>
                    <w:r>
                      <w:rPr>
                        <w:b/>
                        <w:sz w:val="18"/>
                      </w:rPr>
                      <w:t>12</w:t>
                    </w:r>
                    <w:r w:rsidRPr="0005529E">
                      <w:rPr>
                        <w:b/>
                        <w:sz w:val="18"/>
                      </w:rPr>
                      <w:fldChar w:fldCharType="end"/>
                    </w:r>
                    <w:r>
                      <w:rPr>
                        <w:sz w:val="18"/>
                      </w:rPr>
                      <w:tab/>
                    </w:r>
                  </w:p>
                  <w:p w14:paraId="2BA5A6CB" w14:textId="77777777" w:rsidR="00A93267" w:rsidRDefault="00A9326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09B1" w14:textId="1A2F6226" w:rsidR="00A93267" w:rsidRPr="00A93267" w:rsidRDefault="00A93267" w:rsidP="00A93267">
    <w:pPr>
      <w:pStyle w:val="Footer"/>
    </w:pPr>
    <w:r>
      <w:rPr>
        <w:noProof/>
      </w:rPr>
      <mc:AlternateContent>
        <mc:Choice Requires="wps">
          <w:drawing>
            <wp:anchor distT="0" distB="0" distL="114300" distR="114300" simplePos="0" relativeHeight="251662336" behindDoc="0" locked="0" layoutInCell="1" allowOverlap="1" wp14:anchorId="26D50D38" wp14:editId="53FD85B2">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93FA02" w14:textId="77777777" w:rsidR="00A93267" w:rsidRPr="0005529E" w:rsidRDefault="00A93267" w:rsidP="00A93267">
                          <w:pPr>
                            <w:pStyle w:val="Footer"/>
                            <w:tabs>
                              <w:tab w:val="right" w:pos="9638"/>
                            </w:tabs>
                            <w:rPr>
                              <w:b/>
                              <w:sz w:val="18"/>
                            </w:rPr>
                          </w:pPr>
                          <w:r>
                            <w:tab/>
                          </w:r>
                          <w:r w:rsidRPr="0005529E">
                            <w:rPr>
                              <w:b/>
                              <w:sz w:val="18"/>
                            </w:rPr>
                            <w:fldChar w:fldCharType="begin"/>
                          </w:r>
                          <w:r w:rsidRPr="0005529E">
                            <w:rPr>
                              <w:b/>
                              <w:sz w:val="18"/>
                            </w:rPr>
                            <w:instrText xml:space="preserve"> PAGE  \* MERGEFORMAT </w:instrText>
                          </w:r>
                          <w:r w:rsidRPr="0005529E">
                            <w:rPr>
                              <w:b/>
                              <w:sz w:val="18"/>
                            </w:rPr>
                            <w:fldChar w:fldCharType="separate"/>
                          </w:r>
                          <w:r>
                            <w:rPr>
                              <w:b/>
                              <w:sz w:val="18"/>
                            </w:rPr>
                            <w:t>13</w:t>
                          </w:r>
                          <w:r w:rsidRPr="0005529E">
                            <w:rPr>
                              <w:b/>
                              <w:sz w:val="18"/>
                            </w:rPr>
                            <w:fldChar w:fldCharType="end"/>
                          </w:r>
                        </w:p>
                        <w:p w14:paraId="2D90BDB9" w14:textId="77777777" w:rsidR="00A93267" w:rsidRDefault="00A9326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D50D38"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993FA02" w14:textId="77777777" w:rsidR="00A93267" w:rsidRPr="0005529E" w:rsidRDefault="00A93267" w:rsidP="00A93267">
                    <w:pPr>
                      <w:pStyle w:val="Footer"/>
                      <w:tabs>
                        <w:tab w:val="right" w:pos="9638"/>
                      </w:tabs>
                      <w:rPr>
                        <w:b/>
                        <w:sz w:val="18"/>
                      </w:rPr>
                    </w:pPr>
                    <w:r>
                      <w:tab/>
                    </w:r>
                    <w:r w:rsidRPr="0005529E">
                      <w:rPr>
                        <w:b/>
                        <w:sz w:val="18"/>
                      </w:rPr>
                      <w:fldChar w:fldCharType="begin"/>
                    </w:r>
                    <w:r w:rsidRPr="0005529E">
                      <w:rPr>
                        <w:b/>
                        <w:sz w:val="18"/>
                      </w:rPr>
                      <w:instrText xml:space="preserve"> PAGE  \* MERGEFORMAT </w:instrText>
                    </w:r>
                    <w:r w:rsidRPr="0005529E">
                      <w:rPr>
                        <w:b/>
                        <w:sz w:val="18"/>
                      </w:rPr>
                      <w:fldChar w:fldCharType="separate"/>
                    </w:r>
                    <w:r>
                      <w:rPr>
                        <w:b/>
                        <w:sz w:val="18"/>
                      </w:rPr>
                      <w:t>13</w:t>
                    </w:r>
                    <w:r w:rsidRPr="0005529E">
                      <w:rPr>
                        <w:b/>
                        <w:sz w:val="18"/>
                      </w:rPr>
                      <w:fldChar w:fldCharType="end"/>
                    </w:r>
                  </w:p>
                  <w:p w14:paraId="2D90BDB9" w14:textId="77777777" w:rsidR="00A93267" w:rsidRDefault="00A9326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6800" w14:textId="77777777" w:rsidR="00843766" w:rsidRPr="00843766" w:rsidRDefault="00843766" w:rsidP="0084376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1C0B" w14:textId="77777777" w:rsidR="00843766" w:rsidRPr="00843766" w:rsidRDefault="00843766" w:rsidP="0084376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65C1" w14:textId="77777777" w:rsidR="00442E08" w:rsidRPr="000B175B" w:rsidRDefault="00442E08" w:rsidP="000B175B">
      <w:pPr>
        <w:tabs>
          <w:tab w:val="right" w:pos="2155"/>
        </w:tabs>
        <w:spacing w:after="80"/>
        <w:ind w:left="680"/>
        <w:rPr>
          <w:u w:val="single"/>
        </w:rPr>
      </w:pPr>
      <w:r>
        <w:rPr>
          <w:u w:val="single"/>
        </w:rPr>
        <w:tab/>
      </w:r>
    </w:p>
  </w:footnote>
  <w:footnote w:type="continuationSeparator" w:id="0">
    <w:p w14:paraId="70C14244" w14:textId="77777777" w:rsidR="00442E08" w:rsidRPr="00FC68B7" w:rsidRDefault="00442E08" w:rsidP="00FC68B7">
      <w:pPr>
        <w:tabs>
          <w:tab w:val="left" w:pos="2155"/>
        </w:tabs>
        <w:spacing w:after="80"/>
        <w:ind w:left="680"/>
        <w:rPr>
          <w:u w:val="single"/>
        </w:rPr>
      </w:pPr>
      <w:r>
        <w:rPr>
          <w:u w:val="single"/>
        </w:rPr>
        <w:tab/>
      </w:r>
    </w:p>
  </w:footnote>
  <w:footnote w:type="continuationNotice" w:id="1">
    <w:p w14:paraId="55E56707" w14:textId="77777777" w:rsidR="00442E08" w:rsidRDefault="00442E08"/>
  </w:footnote>
  <w:footnote w:id="2">
    <w:p w14:paraId="6795FDD2" w14:textId="7E524F8D" w:rsidR="00861753" w:rsidRPr="004245DB" w:rsidRDefault="00861753" w:rsidP="00861753">
      <w:pPr>
        <w:pStyle w:val="FootnoteText"/>
        <w:rPr>
          <w:sz w:val="20"/>
        </w:rPr>
      </w:pPr>
      <w:r>
        <w:rPr>
          <w:rStyle w:val="FootnoteReference"/>
        </w:rPr>
        <w:tab/>
        <w:t>*</w:t>
      </w:r>
      <w:r>
        <w:t xml:space="preserve"> </w:t>
      </w:r>
      <w:r>
        <w:tab/>
      </w:r>
      <w:r>
        <w:rPr>
          <w:rStyle w:val="FootnoteReference"/>
        </w:rPr>
        <w:tab/>
      </w:r>
      <w:r w:rsidR="00AC6E75" w:rsidRPr="00AC6E75">
        <w:rPr>
          <w:szCs w:val="18"/>
        </w:rPr>
        <w:t>The present report was submitted to the conference services for processing after the deadline as a result of consultations with the Member State.</w:t>
      </w:r>
    </w:p>
  </w:footnote>
  <w:footnote w:id="3">
    <w:p w14:paraId="003754C2" w14:textId="77777777" w:rsidR="00861753" w:rsidRPr="00FA5F5F" w:rsidRDefault="00861753" w:rsidP="00861753">
      <w:pPr>
        <w:pStyle w:val="FootnoteText"/>
        <w:rPr>
          <w:lang w:val="en-US"/>
        </w:rPr>
      </w:pPr>
      <w:r>
        <w:rPr>
          <w:lang w:val="en-US"/>
        </w:rPr>
        <w:tab/>
      </w:r>
      <w:r w:rsidRPr="004D23D2">
        <w:rPr>
          <w:rStyle w:val="FootnoteReference"/>
          <w:rFonts w:asciiTheme="majorBidi" w:hAnsiTheme="majorBidi" w:cstheme="majorBidi"/>
          <w:szCs w:val="18"/>
        </w:rPr>
        <w:footnoteRef/>
      </w:r>
      <w:r w:rsidRPr="004D23D2">
        <w:rPr>
          <w:lang w:val="en-US"/>
        </w:rPr>
        <w:t xml:space="preserve"> </w:t>
      </w:r>
      <w:r>
        <w:rPr>
          <w:lang w:val="en-US"/>
        </w:rPr>
        <w:tab/>
      </w:r>
      <w:r>
        <w:rPr>
          <w:lang w:val="en-US"/>
        </w:rPr>
        <w:tab/>
      </w:r>
      <w:r w:rsidRPr="004D23D2">
        <w:rPr>
          <w:rFonts w:eastAsia="+mn-ea"/>
        </w:rPr>
        <w:t>Sixth Assessment Report of the Intergovernmental Panel on Climate Change</w:t>
      </w:r>
      <w:r>
        <w:rPr>
          <w:rFonts w:eastAsia="+mn-ea"/>
        </w:rPr>
        <w:t xml:space="preserve"> (2022)</w:t>
      </w:r>
      <w:r w:rsidRPr="004D23D2">
        <w:rPr>
          <w:rFonts w:eastAsia="+mn-ea"/>
        </w:rPr>
        <w:t xml:space="preserve">, Working </w:t>
      </w:r>
      <w:r w:rsidRPr="0053096C">
        <w:rPr>
          <w:rFonts w:eastAsia="+mn-ea"/>
          <w:lang w:val="en-US"/>
        </w:rPr>
        <w:t>Grou</w:t>
      </w:r>
      <w:r>
        <w:rPr>
          <w:rFonts w:eastAsia="+mn-ea"/>
          <w:lang w:val="en-US"/>
        </w:rPr>
        <w:t xml:space="preserve">p III, Chapter 2, 2.4.2.4, Figure 2.20, p. 252, available from: </w:t>
      </w:r>
      <w:hyperlink r:id="rId1" w:history="1">
        <w:r w:rsidRPr="00FA5F5F">
          <w:rPr>
            <w:rStyle w:val="Hyperlink"/>
            <w:rFonts w:asciiTheme="majorBidi" w:eastAsia="+mn-ea" w:hAnsiTheme="majorBidi" w:cstheme="majorBidi"/>
            <w:kern w:val="24"/>
            <w:szCs w:val="18"/>
          </w:rPr>
          <w:t>https://report.ipcc.ch/ar6/wg3/IPCC_AR6_WGIII_Full_Report.pdf</w:t>
        </w:r>
      </w:hyperlink>
    </w:p>
  </w:footnote>
  <w:footnote w:id="4">
    <w:p w14:paraId="65BB466E" w14:textId="77777777" w:rsidR="00861753" w:rsidRPr="00E850F7" w:rsidRDefault="00861753" w:rsidP="00861753">
      <w:pPr>
        <w:pStyle w:val="FootnoteText"/>
      </w:pPr>
      <w:r>
        <w:tab/>
      </w:r>
      <w:r>
        <w:rPr>
          <w:rStyle w:val="FootnoteReference"/>
        </w:rPr>
        <w:footnoteRef/>
      </w:r>
      <w:r>
        <w:t xml:space="preserve"> </w:t>
      </w:r>
      <w:r>
        <w:tab/>
      </w:r>
      <w:r>
        <w:tab/>
      </w:r>
      <w:r w:rsidRPr="00FA5F5F">
        <w:t>ITF</w:t>
      </w:r>
      <w:r>
        <w:t xml:space="preserve"> (2023), ITF Transport Outlook 2023, p. 15, OECD Publishing, Paris, accessible at: </w:t>
      </w:r>
      <w:hyperlink r:id="rId2" w:history="1">
        <w:r>
          <w:rPr>
            <w:rStyle w:val="Hyperlink"/>
          </w:rPr>
          <w:t xml:space="preserve">ITF Transport Outlook 2023 | ITF Transport Outlook | OECD </w:t>
        </w:r>
        <w:proofErr w:type="spellStart"/>
        <w:r>
          <w:rPr>
            <w:rStyle w:val="Hyperlink"/>
          </w:rPr>
          <w:t>iLibrary</w:t>
        </w:r>
        <w:proofErr w:type="spellEnd"/>
        <w:r>
          <w:rPr>
            <w:rStyle w:val="Hyperlink"/>
          </w:rPr>
          <w:t xml:space="preserve"> (oecd-ilibrary.org)</w:t>
        </w:r>
      </w:hyperlink>
    </w:p>
  </w:footnote>
  <w:footnote w:id="5">
    <w:p w14:paraId="5C89CD64" w14:textId="77777777" w:rsidR="00861753" w:rsidRPr="00AE4E0C" w:rsidRDefault="00861753" w:rsidP="00861753">
      <w:pPr>
        <w:pStyle w:val="FootnoteText"/>
      </w:pPr>
      <w:r>
        <w:tab/>
      </w:r>
      <w:r>
        <w:rPr>
          <w:rStyle w:val="FootnoteReference"/>
        </w:rPr>
        <w:footnoteRef/>
      </w:r>
      <w:r>
        <w:t xml:space="preserve"> </w:t>
      </w:r>
      <w:r>
        <w:tab/>
      </w:r>
      <w:r>
        <w:tab/>
        <w:t>ITF (2023), p. 65.</w:t>
      </w:r>
    </w:p>
  </w:footnote>
  <w:footnote w:id="6">
    <w:p w14:paraId="2D995EFA" w14:textId="77777777" w:rsidR="00861753" w:rsidRPr="00F90775" w:rsidRDefault="00861753" w:rsidP="00861753">
      <w:pPr>
        <w:pStyle w:val="FootnoteText"/>
      </w:pPr>
      <w:r>
        <w:tab/>
      </w:r>
      <w:r>
        <w:rPr>
          <w:rStyle w:val="FootnoteReference"/>
        </w:rPr>
        <w:footnoteRef/>
      </w:r>
      <w:r>
        <w:t xml:space="preserve"> </w:t>
      </w:r>
      <w:r>
        <w:tab/>
      </w:r>
      <w:r>
        <w:tab/>
      </w:r>
      <w:r w:rsidRPr="009B5EEC">
        <w:t xml:space="preserve">6th IPCC report </w:t>
      </w:r>
      <w:r>
        <w:t>(</w:t>
      </w:r>
      <w:r w:rsidRPr="009B5EEC">
        <w:t>2022</w:t>
      </w:r>
      <w:r>
        <w:t>): “</w:t>
      </w:r>
      <w:r w:rsidRPr="009B5EEC">
        <w:t>Climate Change 2022 - Mitigation of Climate Change</w:t>
      </w:r>
      <w:r>
        <w:t xml:space="preserve">, </w:t>
      </w:r>
      <w:r w:rsidRPr="009B5EEC">
        <w:t>Working Group III, C1 Table SPM.2 (pp. 17</w:t>
      </w:r>
      <w:r>
        <w:t>-</w:t>
      </w:r>
      <w:r w:rsidRPr="009B5EEC">
        <w:t>18).</w:t>
      </w:r>
    </w:p>
  </w:footnote>
  <w:footnote w:id="7">
    <w:p w14:paraId="6FDD7B01" w14:textId="77777777" w:rsidR="00861753" w:rsidRPr="00B42658" w:rsidRDefault="00861753" w:rsidP="00861753">
      <w:pPr>
        <w:pStyle w:val="FootnoteText"/>
      </w:pPr>
      <w:r>
        <w:tab/>
      </w:r>
      <w:r w:rsidRPr="00D8055E">
        <w:rPr>
          <w:rStyle w:val="FootnoteReference"/>
        </w:rPr>
        <w:footnoteRef/>
      </w:r>
      <w:r w:rsidRPr="00F432B3">
        <w:t xml:space="preserve"> </w:t>
      </w:r>
      <w:r w:rsidRPr="00F432B3">
        <w:tab/>
      </w:r>
      <w:r w:rsidRPr="00F432B3">
        <w:tab/>
        <w:t>Paragraph 28 preamble and (d) and (g), Outcome of the first global stocktake, FCCC/PA/CMA/2023/L.17, 13 December 2023.</w:t>
      </w:r>
    </w:p>
  </w:footnote>
  <w:footnote w:id="8">
    <w:p w14:paraId="1EC4BB91" w14:textId="77777777" w:rsidR="00861753" w:rsidRPr="004D23D2" w:rsidRDefault="00861753" w:rsidP="00861753">
      <w:pPr>
        <w:pStyle w:val="FootnoteText"/>
        <w:rPr>
          <w:lang w:val="en-US"/>
        </w:rPr>
      </w:pPr>
      <w:r>
        <w:tab/>
      </w:r>
      <w:r>
        <w:rPr>
          <w:rStyle w:val="FootnoteReference"/>
        </w:rPr>
        <w:footnoteRef/>
      </w:r>
      <w:r>
        <w:t xml:space="preserve"> </w:t>
      </w:r>
      <w:r>
        <w:tab/>
      </w:r>
      <w:r>
        <w:tab/>
      </w:r>
      <w:r>
        <w:rPr>
          <w:lang w:val="en-US"/>
        </w:rPr>
        <w:t xml:space="preserve">See United Nations press release, available from: </w:t>
      </w:r>
      <w:proofErr w:type="gramStart"/>
      <w:r w:rsidRPr="009250E3">
        <w:rPr>
          <w:lang w:val="en-US"/>
        </w:rPr>
        <w:t>https://press.un.org/en/2021/sgsm20971.doc.htm</w:t>
      </w:r>
      <w:proofErr w:type="gramEnd"/>
    </w:p>
  </w:footnote>
  <w:footnote w:id="9">
    <w:p w14:paraId="7C5C7A38" w14:textId="77777777" w:rsidR="00861753" w:rsidRPr="004107D3" w:rsidRDefault="00861753" w:rsidP="00861753">
      <w:pPr>
        <w:pStyle w:val="FootnoteText"/>
      </w:pPr>
      <w:r>
        <w:tab/>
      </w:r>
      <w:r>
        <w:rPr>
          <w:rStyle w:val="FootnoteReference"/>
        </w:rPr>
        <w:footnoteRef/>
      </w:r>
      <w:r>
        <w:t xml:space="preserve"> </w:t>
      </w:r>
      <w:r>
        <w:tab/>
      </w:r>
      <w:r>
        <w:tab/>
        <w:t xml:space="preserve">IMO adopted an initial </w:t>
      </w:r>
      <w:r w:rsidRPr="003F5FCF">
        <w:rPr>
          <w:lang w:val="en-US"/>
        </w:rPr>
        <w:t>strategy on the reduction of GHG emissions from ships</w:t>
      </w:r>
      <w:r>
        <w:rPr>
          <w:lang w:val="en-US"/>
        </w:rPr>
        <w:t xml:space="preserve"> </w:t>
      </w:r>
      <w:r w:rsidRPr="003F5FCF">
        <w:rPr>
          <w:lang w:val="en-US"/>
        </w:rPr>
        <w:t xml:space="preserve">supplemented by </w:t>
      </w:r>
      <w:proofErr w:type="spellStart"/>
      <w:r w:rsidRPr="003F5FCF">
        <w:rPr>
          <w:lang w:val="en-US"/>
        </w:rPr>
        <w:t>programme</w:t>
      </w:r>
      <w:proofErr w:type="spellEnd"/>
      <w:r w:rsidRPr="003F5FCF">
        <w:rPr>
          <w:lang w:val="en-US"/>
        </w:rPr>
        <w:t xml:space="preserve"> with follow-up actions </w:t>
      </w:r>
      <w:r>
        <w:rPr>
          <w:lang w:val="en-US"/>
        </w:rPr>
        <w:t xml:space="preserve">through </w:t>
      </w:r>
      <w:r w:rsidRPr="00F27308">
        <w:t>Resolution MEPC.304(72)</w:t>
      </w:r>
      <w:r>
        <w:t xml:space="preserve"> in 2018, updated in July 2023 by adopting </w:t>
      </w:r>
      <w:r w:rsidRPr="00F27308">
        <w:t>Resolution MEPC.377(80)</w:t>
      </w:r>
      <w:r>
        <w:t>.</w:t>
      </w:r>
      <w:r w:rsidRPr="00F27308">
        <w:t xml:space="preserve"> </w:t>
      </w:r>
    </w:p>
  </w:footnote>
  <w:footnote w:id="10">
    <w:p w14:paraId="02C9C0AA" w14:textId="77777777" w:rsidR="00861753" w:rsidRPr="004107D3" w:rsidRDefault="00861753" w:rsidP="00861753">
      <w:pPr>
        <w:pStyle w:val="FootnoteText"/>
      </w:pPr>
      <w:r>
        <w:tab/>
      </w:r>
      <w:r>
        <w:rPr>
          <w:rStyle w:val="FootnoteReference"/>
        </w:rPr>
        <w:footnoteRef/>
      </w:r>
      <w:r>
        <w:t xml:space="preserve"> </w:t>
      </w:r>
      <w:r>
        <w:tab/>
      </w:r>
      <w:r>
        <w:tab/>
      </w:r>
      <w:r w:rsidRPr="00FA5F5F">
        <w:t>ICAO</w:t>
      </w:r>
      <w:r>
        <w:t xml:space="preserve"> set a long-term aspirational goal of net zero carbon emissions from aviation by 2050 through </w:t>
      </w:r>
      <w:r w:rsidRPr="00F27308">
        <w:t>Resolution A4</w:t>
      </w:r>
      <w:r>
        <w:t xml:space="preserve">1-21 in 2022, </w:t>
      </w:r>
      <w:r w:rsidRPr="003D2929">
        <w:t>following the setting of pr</w:t>
      </w:r>
      <w:r>
        <w:t>evious global</w:t>
      </w:r>
      <w:r w:rsidRPr="003D2929">
        <w:t xml:space="preserve"> </w:t>
      </w:r>
      <w:r w:rsidRPr="004D23D2">
        <w:t>aspirational goals</w:t>
      </w:r>
      <w:r>
        <w:t xml:space="preserve"> (namely </w:t>
      </w:r>
      <w:r>
        <w:rPr>
          <w:lang w:val="en-US"/>
        </w:rPr>
        <w:t>Two per cent</w:t>
      </w:r>
      <w:r w:rsidRPr="00D20041">
        <w:rPr>
          <w:lang w:val="en-US"/>
        </w:rPr>
        <w:t xml:space="preserve"> annual fuel efficiency improvement through 2050</w:t>
      </w:r>
      <w:r>
        <w:t xml:space="preserve"> </w:t>
      </w:r>
      <w:r w:rsidRPr="00D20041">
        <w:rPr>
          <w:lang w:val="en-US"/>
        </w:rPr>
        <w:t>Carbon neutral growth from 2020 onwards</w:t>
      </w:r>
      <w:r>
        <w:rPr>
          <w:lang w:val="en-US"/>
        </w:rPr>
        <w:t xml:space="preserve">) </w:t>
      </w:r>
      <w:r w:rsidRPr="004D23D2">
        <w:t>initially adopted by ICAO Assembly in 2010, reaffirmed in 2013 and 2016</w:t>
      </w:r>
      <w:r>
        <w:t>.</w:t>
      </w:r>
    </w:p>
  </w:footnote>
  <w:footnote w:id="11">
    <w:p w14:paraId="10F0F93A" w14:textId="77777777" w:rsidR="00861753" w:rsidRPr="00844E0C" w:rsidRDefault="00861753" w:rsidP="00861753">
      <w:pPr>
        <w:pStyle w:val="FootnoteText"/>
      </w:pPr>
      <w:r>
        <w:tab/>
      </w:r>
      <w:r>
        <w:rPr>
          <w:rStyle w:val="FootnoteReference"/>
        </w:rPr>
        <w:footnoteRef/>
      </w:r>
      <w:r>
        <w:t xml:space="preserve"> </w:t>
      </w:r>
      <w:r>
        <w:tab/>
      </w:r>
      <w:r>
        <w:tab/>
        <w:t>See ECE/TRANS/316, annex I and ECE/TRANS/328, annex I.</w:t>
      </w:r>
    </w:p>
  </w:footnote>
  <w:footnote w:id="12">
    <w:p w14:paraId="0795D3C8" w14:textId="77777777" w:rsidR="00861753" w:rsidRPr="00B537BC" w:rsidRDefault="00861753" w:rsidP="00861753">
      <w:pPr>
        <w:pStyle w:val="FootnoteText"/>
      </w:pPr>
      <w:r>
        <w:tab/>
      </w:r>
      <w:r>
        <w:rPr>
          <w:rStyle w:val="FootnoteReference"/>
        </w:rPr>
        <w:footnoteRef/>
      </w:r>
      <w:r>
        <w:t xml:space="preserve"> </w:t>
      </w:r>
      <w:r>
        <w:tab/>
      </w:r>
      <w:r>
        <w:tab/>
        <w:t>Addressing c</w:t>
      </w:r>
      <w:r w:rsidRPr="00F27308">
        <w:t>limate-resilient infrastructure is included in the list of priorities of the ITC Strategy until 2030</w:t>
      </w:r>
      <w:r>
        <w:t xml:space="preserve">, see </w:t>
      </w:r>
      <w:r w:rsidRPr="006B6815">
        <w:t>ECE/TRANS/288/Add.2</w:t>
      </w:r>
      <w:r>
        <w:t>, Table 1.</w:t>
      </w:r>
    </w:p>
  </w:footnote>
  <w:footnote w:id="13">
    <w:p w14:paraId="19EA627F" w14:textId="77777777" w:rsidR="00861753" w:rsidRPr="00E56FEF" w:rsidRDefault="00861753" w:rsidP="00861753">
      <w:pPr>
        <w:pStyle w:val="FootnoteText"/>
      </w:pPr>
      <w:r>
        <w:tab/>
      </w:r>
      <w:r>
        <w:rPr>
          <w:rStyle w:val="FootnoteReference"/>
        </w:rPr>
        <w:footnoteRef/>
      </w:r>
      <w:r>
        <w:t xml:space="preserve"> </w:t>
      </w:r>
      <w:r>
        <w:tab/>
      </w:r>
      <w:r>
        <w:tab/>
        <w:t xml:space="preserve">Throughout this Strategy, when referring to the ITC subsidiary bodies, reference is made to 29 subsidiary bodies. An overview of these is available in the ITC organigramme on the webpage, available from: </w:t>
      </w:r>
      <w:hyperlink r:id="rId3" w:history="1">
        <w:r>
          <w:rPr>
            <w:rStyle w:val="Hyperlink"/>
          </w:rPr>
          <w:t>ITC Structure | UNECE</w:t>
        </w:r>
      </w:hyperlink>
      <w:r>
        <w:t>).</w:t>
      </w:r>
    </w:p>
  </w:footnote>
  <w:footnote w:id="14">
    <w:p w14:paraId="483BCB10" w14:textId="77777777" w:rsidR="00334487" w:rsidRPr="00E26196" w:rsidRDefault="00334487" w:rsidP="00334487">
      <w:pPr>
        <w:pStyle w:val="FootnoteText"/>
        <w:tabs>
          <w:tab w:val="clear" w:pos="1021"/>
          <w:tab w:val="right" w:pos="709"/>
        </w:tabs>
        <w:ind w:left="851" w:hanging="142"/>
      </w:pPr>
      <w:r>
        <w:rPr>
          <w:rStyle w:val="FootnoteReference"/>
        </w:rPr>
        <w:footnoteRef/>
      </w:r>
      <w:r>
        <w:t xml:space="preserve"> </w:t>
      </w:r>
      <w:r w:rsidRPr="004D23D2">
        <w:t xml:space="preserve">More information is available from: </w:t>
      </w:r>
      <w:proofErr w:type="gramStart"/>
      <w:r w:rsidRPr="00CC623A">
        <w:t>https://climatechampions.unfccc.int/system/breakthrough-agenda/</w:t>
      </w:r>
      <w:proofErr w:type="gramEnd"/>
    </w:p>
  </w:footnote>
  <w:footnote w:id="15">
    <w:p w14:paraId="38EA0745" w14:textId="77777777" w:rsidR="00334487" w:rsidRPr="00B04B11" w:rsidRDefault="00334487" w:rsidP="00334487">
      <w:pPr>
        <w:pStyle w:val="FootnoteText"/>
        <w:tabs>
          <w:tab w:val="clear" w:pos="1021"/>
          <w:tab w:val="right" w:pos="709"/>
        </w:tabs>
        <w:ind w:left="851" w:hanging="142"/>
      </w:pPr>
      <w:r>
        <w:rPr>
          <w:rStyle w:val="FootnoteReference"/>
        </w:rPr>
        <w:footnoteRef/>
      </w:r>
      <w:r>
        <w:t xml:space="preserve"> </w:t>
      </w:r>
      <w:r w:rsidRPr="004D23D2">
        <w:t xml:space="preserve">More information is available from: </w:t>
      </w:r>
      <w:r w:rsidRPr="009A345C">
        <w:t>https://acceleratingtozero.org/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F2C" w14:textId="72D4248B" w:rsidR="0005529E" w:rsidRPr="0005529E" w:rsidRDefault="00CE5E92">
    <w:pPr>
      <w:pStyle w:val="Header"/>
    </w:pPr>
    <w:fldSimple w:instr=" TITLE  \* MERGEFORMAT ">
      <w:r w:rsidR="0005529E">
        <w:t>ECE/TRANS/2024/3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0B03" w14:textId="7374E366" w:rsidR="0005529E" w:rsidRPr="0005529E" w:rsidRDefault="00CE5E92" w:rsidP="0005529E">
    <w:pPr>
      <w:pStyle w:val="Header"/>
      <w:jc w:val="right"/>
    </w:pPr>
    <w:fldSimple w:instr=" TITLE  \* MERGEFORMAT ">
      <w:r w:rsidR="0005529E">
        <w:t>ECE/TRANS/2024/3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4DFF" w14:textId="3FF29963" w:rsidR="00A93267" w:rsidRPr="00A93267" w:rsidRDefault="00A93267" w:rsidP="00A93267">
    <w:r>
      <w:rPr>
        <w:noProof/>
      </w:rPr>
      <mc:AlternateContent>
        <mc:Choice Requires="wps">
          <w:drawing>
            <wp:anchor distT="0" distB="0" distL="114300" distR="114300" simplePos="0" relativeHeight="251659264" behindDoc="0" locked="0" layoutInCell="1" allowOverlap="1" wp14:anchorId="58F3312C" wp14:editId="6D6D13DC">
              <wp:simplePos x="0" y="0"/>
              <wp:positionH relativeFrom="page">
                <wp:posOffset>9935845</wp:posOffset>
              </wp:positionH>
              <wp:positionV relativeFrom="margin">
                <wp:posOffset>0</wp:posOffset>
              </wp:positionV>
              <wp:extent cx="36195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A1AB1A" w14:textId="77777777" w:rsidR="00A93267" w:rsidRPr="0005529E" w:rsidRDefault="00000000" w:rsidP="00A93267">
                          <w:pPr>
                            <w:pStyle w:val="Header"/>
                          </w:pPr>
                          <w:fldSimple w:instr=" TITLE  \* MERGEFORMAT ">
                            <w:r w:rsidR="00A93267">
                              <w:t>ECE/TRANS/2024/3</w:t>
                            </w:r>
                          </w:fldSimple>
                        </w:p>
                        <w:p w14:paraId="27C1F234" w14:textId="77777777" w:rsidR="00A93267" w:rsidRDefault="00A9326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F3312C" id="_x0000_t202" coordsize="21600,21600" o:spt="202" path="m,l,21600r21600,l21600,xe">
              <v:stroke joinstyle="miter"/>
              <v:path gradientshapeok="t" o:connecttype="rect"/>
            </v:shapetype>
            <v:shape id="Text Box 2" o:spid="_x0000_s1026" type="#_x0000_t202" style="position:absolute;margin-left:782.35pt;margin-top:0;width:28.5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" fillcolor="#4f81bd [3204]" stroked="f" strokeweight=".5pt">
              <v:fill opacity="0"/>
              <v:stroke joinstyle="round"/>
              <v:textbox style="layout-flow:vertical" inset="0,0,0,0">
                <w:txbxContent>
                  <w:p w14:paraId="0FA1AB1A" w14:textId="77777777" w:rsidR="00A93267" w:rsidRPr="0005529E" w:rsidRDefault="00A93267" w:rsidP="00A93267">
                    <w:pPr>
                      <w:pStyle w:val="Header"/>
                    </w:pPr>
                    <w:fldSimple w:instr=" TITLE  \* MERGEFORMAT ">
                      <w:r>
                        <w:t>ECE/TRANS/2024/3</w:t>
                      </w:r>
                    </w:fldSimple>
                  </w:p>
                  <w:p w14:paraId="27C1F234" w14:textId="77777777" w:rsidR="00A93267" w:rsidRDefault="00A9326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B171" w14:textId="28EC6B47" w:rsidR="00A93267" w:rsidRPr="00A93267" w:rsidRDefault="00A93267" w:rsidP="00A93267">
    <w:r>
      <w:rPr>
        <w:noProof/>
      </w:rPr>
      <mc:AlternateContent>
        <mc:Choice Requires="wps">
          <w:drawing>
            <wp:anchor distT="0" distB="0" distL="114300" distR="114300" simplePos="0" relativeHeight="251661312" behindDoc="0" locked="0" layoutInCell="1" allowOverlap="1" wp14:anchorId="10DC518C" wp14:editId="725482FB">
              <wp:simplePos x="0" y="0"/>
              <wp:positionH relativeFrom="page">
                <wp:posOffset>9935845</wp:posOffset>
              </wp:positionH>
              <wp:positionV relativeFrom="margin">
                <wp:posOffset>0</wp:posOffset>
              </wp:positionV>
              <wp:extent cx="36195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12AA399" w14:textId="77777777" w:rsidR="00A93267" w:rsidRPr="0005529E" w:rsidRDefault="00000000" w:rsidP="00A93267">
                          <w:pPr>
                            <w:pStyle w:val="Header"/>
                            <w:jc w:val="right"/>
                          </w:pPr>
                          <w:fldSimple w:instr=" TITLE  \* MERGEFORMAT ">
                            <w:r w:rsidR="00A93267">
                              <w:t>ECE/TRANS/2024/3</w:t>
                            </w:r>
                          </w:fldSimple>
                        </w:p>
                        <w:p w14:paraId="5C413CD4" w14:textId="77777777" w:rsidR="00A93267" w:rsidRDefault="00A9326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DC518C" id="_x0000_t202" coordsize="21600,21600" o:spt="202" path="m,l,21600r21600,l21600,xe">
              <v:stroke joinstyle="miter"/>
              <v:path gradientshapeok="t" o:connecttype="rect"/>
            </v:shapetype>
            <v:shape id="Text Box 4" o:spid="_x0000_s1027" type="#_x0000_t202" style="position:absolute;margin-left:782.35pt;margin-top:0;width:28.5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" fillcolor="#4f81bd [3204]" stroked="f" strokeweight=".5pt">
              <v:fill opacity="0"/>
              <v:path arrowok="t"/>
              <v:textbox style="layout-flow:vertical" inset="0,0,0,0">
                <w:txbxContent>
                  <w:p w14:paraId="212AA399" w14:textId="77777777" w:rsidR="00A93267" w:rsidRPr="0005529E" w:rsidRDefault="00A93267" w:rsidP="00A93267">
                    <w:pPr>
                      <w:pStyle w:val="Header"/>
                      <w:jc w:val="right"/>
                    </w:pPr>
                    <w:fldSimple w:instr=" TITLE  \* MERGEFORMAT ">
                      <w:r>
                        <w:t>ECE/TRANS/2024/3</w:t>
                      </w:r>
                    </w:fldSimple>
                  </w:p>
                  <w:p w14:paraId="5C413CD4" w14:textId="77777777" w:rsidR="00A93267" w:rsidRDefault="00A9326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AF79" w14:textId="77777777" w:rsidR="00843766" w:rsidRPr="00D85B0D" w:rsidRDefault="00CE5E92" w:rsidP="00843766">
    <w:pPr>
      <w:pStyle w:val="Header"/>
    </w:pPr>
    <w:fldSimple w:instr=" TITLE  \* MERGEFORMAT ">
      <w:r w:rsidR="00843766">
        <w:t>ECE/TRANS/2024/3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B42D" w14:textId="77777777" w:rsidR="00843766" w:rsidRPr="00D85B0D" w:rsidRDefault="00CE5E92" w:rsidP="00843766">
    <w:pPr>
      <w:pStyle w:val="Header"/>
      <w:jc w:val="right"/>
    </w:pPr>
    <w:fldSimple w:instr=" TITLE  \* MERGEFORMAT ">
      <w:r w:rsidR="00843766">
        <w:t>ECE/TRANS/2024/3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867492"/>
    <w:multiLevelType w:val="hybridMultilevel"/>
    <w:tmpl w:val="444C6B44"/>
    <w:lvl w:ilvl="0" w:tplc="B4F8446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7279856">
    <w:abstractNumId w:val="1"/>
  </w:num>
  <w:num w:numId="2" w16cid:durableId="615218304">
    <w:abstractNumId w:val="0"/>
  </w:num>
  <w:num w:numId="3" w16cid:durableId="920220538">
    <w:abstractNumId w:val="2"/>
  </w:num>
  <w:num w:numId="4" w16cid:durableId="250168770">
    <w:abstractNumId w:val="3"/>
  </w:num>
  <w:num w:numId="5" w16cid:durableId="1329671612">
    <w:abstractNumId w:val="8"/>
  </w:num>
  <w:num w:numId="6" w16cid:durableId="712844666">
    <w:abstractNumId w:val="9"/>
  </w:num>
  <w:num w:numId="7" w16cid:durableId="870647908">
    <w:abstractNumId w:val="7"/>
  </w:num>
  <w:num w:numId="8" w16cid:durableId="2003968546">
    <w:abstractNumId w:val="6"/>
  </w:num>
  <w:num w:numId="9" w16cid:durableId="43019845">
    <w:abstractNumId w:val="5"/>
  </w:num>
  <w:num w:numId="10" w16cid:durableId="1874148975">
    <w:abstractNumId w:val="4"/>
  </w:num>
  <w:num w:numId="11" w16cid:durableId="1730419561">
    <w:abstractNumId w:val="16"/>
  </w:num>
  <w:num w:numId="12" w16cid:durableId="826677296">
    <w:abstractNumId w:val="15"/>
  </w:num>
  <w:num w:numId="13" w16cid:durableId="2093970986">
    <w:abstractNumId w:val="10"/>
  </w:num>
  <w:num w:numId="14" w16cid:durableId="1719939483">
    <w:abstractNumId w:val="13"/>
  </w:num>
  <w:num w:numId="15" w16cid:durableId="1791314702">
    <w:abstractNumId w:val="17"/>
  </w:num>
  <w:num w:numId="16" w16cid:durableId="1606186809">
    <w:abstractNumId w:val="14"/>
  </w:num>
  <w:num w:numId="17" w16cid:durableId="2038265743">
    <w:abstractNumId w:val="19"/>
  </w:num>
  <w:num w:numId="18" w16cid:durableId="319582071">
    <w:abstractNumId w:val="20"/>
  </w:num>
  <w:num w:numId="19" w16cid:durableId="173570458">
    <w:abstractNumId w:val="12"/>
  </w:num>
  <w:num w:numId="20" w16cid:durableId="279796980">
    <w:abstractNumId w:val="18"/>
  </w:num>
  <w:num w:numId="21" w16cid:durableId="191989966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9E"/>
    <w:rsid w:val="00002A7D"/>
    <w:rsid w:val="000038A8"/>
    <w:rsid w:val="00006790"/>
    <w:rsid w:val="00027624"/>
    <w:rsid w:val="00031371"/>
    <w:rsid w:val="00050F6B"/>
    <w:rsid w:val="0005529E"/>
    <w:rsid w:val="000566CB"/>
    <w:rsid w:val="00064C75"/>
    <w:rsid w:val="00065730"/>
    <w:rsid w:val="000678CD"/>
    <w:rsid w:val="000725D4"/>
    <w:rsid w:val="00072C8C"/>
    <w:rsid w:val="00081CE0"/>
    <w:rsid w:val="0008491A"/>
    <w:rsid w:val="00084D30"/>
    <w:rsid w:val="00090320"/>
    <w:rsid w:val="000930CC"/>
    <w:rsid w:val="000931C0"/>
    <w:rsid w:val="000A2E09"/>
    <w:rsid w:val="000B1679"/>
    <w:rsid w:val="000B175B"/>
    <w:rsid w:val="000B3A0F"/>
    <w:rsid w:val="000B5856"/>
    <w:rsid w:val="000E0415"/>
    <w:rsid w:val="000F7715"/>
    <w:rsid w:val="00122B7E"/>
    <w:rsid w:val="00156B99"/>
    <w:rsid w:val="00165FFF"/>
    <w:rsid w:val="00166124"/>
    <w:rsid w:val="001751A7"/>
    <w:rsid w:val="0017555E"/>
    <w:rsid w:val="001825EA"/>
    <w:rsid w:val="00184DDA"/>
    <w:rsid w:val="001900CD"/>
    <w:rsid w:val="00192B4C"/>
    <w:rsid w:val="001A0452"/>
    <w:rsid w:val="001A4BB2"/>
    <w:rsid w:val="001A6E5F"/>
    <w:rsid w:val="001B377A"/>
    <w:rsid w:val="001B4B04"/>
    <w:rsid w:val="001B5875"/>
    <w:rsid w:val="001C0235"/>
    <w:rsid w:val="001C20F4"/>
    <w:rsid w:val="001C4B9C"/>
    <w:rsid w:val="001C6663"/>
    <w:rsid w:val="001C7895"/>
    <w:rsid w:val="001D26DF"/>
    <w:rsid w:val="001F1599"/>
    <w:rsid w:val="001F19C4"/>
    <w:rsid w:val="001F4AEE"/>
    <w:rsid w:val="002043F0"/>
    <w:rsid w:val="00211E0B"/>
    <w:rsid w:val="00212DF1"/>
    <w:rsid w:val="00232575"/>
    <w:rsid w:val="00235AA2"/>
    <w:rsid w:val="002406F9"/>
    <w:rsid w:val="00247258"/>
    <w:rsid w:val="00247AC6"/>
    <w:rsid w:val="0025519C"/>
    <w:rsid w:val="00257CAC"/>
    <w:rsid w:val="0027237A"/>
    <w:rsid w:val="002974E9"/>
    <w:rsid w:val="002A7F94"/>
    <w:rsid w:val="002B109A"/>
    <w:rsid w:val="002C4AF2"/>
    <w:rsid w:val="002C6D45"/>
    <w:rsid w:val="002D6E53"/>
    <w:rsid w:val="002F046D"/>
    <w:rsid w:val="002F3023"/>
    <w:rsid w:val="00300EC4"/>
    <w:rsid w:val="00301764"/>
    <w:rsid w:val="003229D8"/>
    <w:rsid w:val="00334487"/>
    <w:rsid w:val="00336C97"/>
    <w:rsid w:val="00337F88"/>
    <w:rsid w:val="00337FEA"/>
    <w:rsid w:val="00342432"/>
    <w:rsid w:val="0035223F"/>
    <w:rsid w:val="00352D4B"/>
    <w:rsid w:val="0035638C"/>
    <w:rsid w:val="0037238F"/>
    <w:rsid w:val="00373BC5"/>
    <w:rsid w:val="003A46BB"/>
    <w:rsid w:val="003A4EC7"/>
    <w:rsid w:val="003A7295"/>
    <w:rsid w:val="003B1F60"/>
    <w:rsid w:val="003C2CC4"/>
    <w:rsid w:val="003C359D"/>
    <w:rsid w:val="003D1E7D"/>
    <w:rsid w:val="003D4B23"/>
    <w:rsid w:val="003E278A"/>
    <w:rsid w:val="00413520"/>
    <w:rsid w:val="004325CB"/>
    <w:rsid w:val="00440A07"/>
    <w:rsid w:val="00442E08"/>
    <w:rsid w:val="00443182"/>
    <w:rsid w:val="00446FF3"/>
    <w:rsid w:val="00462880"/>
    <w:rsid w:val="00464DA7"/>
    <w:rsid w:val="00471DC1"/>
    <w:rsid w:val="00474CEB"/>
    <w:rsid w:val="00476F24"/>
    <w:rsid w:val="00481C47"/>
    <w:rsid w:val="0048780D"/>
    <w:rsid w:val="004923A8"/>
    <w:rsid w:val="004B72ED"/>
    <w:rsid w:val="004B75F1"/>
    <w:rsid w:val="004C55B0"/>
    <w:rsid w:val="004D0894"/>
    <w:rsid w:val="004D337B"/>
    <w:rsid w:val="004F5AFF"/>
    <w:rsid w:val="004F6BA0"/>
    <w:rsid w:val="00501698"/>
    <w:rsid w:val="00503BEA"/>
    <w:rsid w:val="00533616"/>
    <w:rsid w:val="00535ABA"/>
    <w:rsid w:val="0053768B"/>
    <w:rsid w:val="005420F2"/>
    <w:rsid w:val="0054285C"/>
    <w:rsid w:val="00544BC3"/>
    <w:rsid w:val="00560167"/>
    <w:rsid w:val="0057102D"/>
    <w:rsid w:val="00576095"/>
    <w:rsid w:val="00584173"/>
    <w:rsid w:val="00595520"/>
    <w:rsid w:val="005A44B9"/>
    <w:rsid w:val="005B1BA0"/>
    <w:rsid w:val="005B3DB3"/>
    <w:rsid w:val="005C3F3B"/>
    <w:rsid w:val="005D15CA"/>
    <w:rsid w:val="005D3325"/>
    <w:rsid w:val="005F08DF"/>
    <w:rsid w:val="005F3066"/>
    <w:rsid w:val="005F3E61"/>
    <w:rsid w:val="00604DDD"/>
    <w:rsid w:val="00610A46"/>
    <w:rsid w:val="006115CC"/>
    <w:rsid w:val="00611FC4"/>
    <w:rsid w:val="0061260E"/>
    <w:rsid w:val="006176FB"/>
    <w:rsid w:val="00620F69"/>
    <w:rsid w:val="00630FCB"/>
    <w:rsid w:val="00637B51"/>
    <w:rsid w:val="00640B26"/>
    <w:rsid w:val="0064316C"/>
    <w:rsid w:val="00650C02"/>
    <w:rsid w:val="0065766B"/>
    <w:rsid w:val="006770B2"/>
    <w:rsid w:val="006805D4"/>
    <w:rsid w:val="00686A48"/>
    <w:rsid w:val="006940E1"/>
    <w:rsid w:val="006A3C72"/>
    <w:rsid w:val="006A7392"/>
    <w:rsid w:val="006B03A1"/>
    <w:rsid w:val="006B67D9"/>
    <w:rsid w:val="006C3AA4"/>
    <w:rsid w:val="006C5535"/>
    <w:rsid w:val="006C5943"/>
    <w:rsid w:val="006D0589"/>
    <w:rsid w:val="006D4F9F"/>
    <w:rsid w:val="006E564B"/>
    <w:rsid w:val="006E7154"/>
    <w:rsid w:val="007003CD"/>
    <w:rsid w:val="0070701E"/>
    <w:rsid w:val="007224FC"/>
    <w:rsid w:val="0072632A"/>
    <w:rsid w:val="007268D6"/>
    <w:rsid w:val="007358E8"/>
    <w:rsid w:val="00736ECE"/>
    <w:rsid w:val="0074533B"/>
    <w:rsid w:val="00745F05"/>
    <w:rsid w:val="007511DB"/>
    <w:rsid w:val="00763BD2"/>
    <w:rsid w:val="007643BC"/>
    <w:rsid w:val="00780C68"/>
    <w:rsid w:val="0078464D"/>
    <w:rsid w:val="007959FE"/>
    <w:rsid w:val="0079609B"/>
    <w:rsid w:val="007A0CF1"/>
    <w:rsid w:val="007A3166"/>
    <w:rsid w:val="007B3FC1"/>
    <w:rsid w:val="007B6BA5"/>
    <w:rsid w:val="007C3390"/>
    <w:rsid w:val="007C42D8"/>
    <w:rsid w:val="007C4F4B"/>
    <w:rsid w:val="007D7362"/>
    <w:rsid w:val="007E3E50"/>
    <w:rsid w:val="007F5CE2"/>
    <w:rsid w:val="007F6611"/>
    <w:rsid w:val="007F669A"/>
    <w:rsid w:val="00810BAC"/>
    <w:rsid w:val="00815316"/>
    <w:rsid w:val="008175E9"/>
    <w:rsid w:val="008242D7"/>
    <w:rsid w:val="0082485C"/>
    <w:rsid w:val="0082577B"/>
    <w:rsid w:val="008304E1"/>
    <w:rsid w:val="00831C55"/>
    <w:rsid w:val="0083447E"/>
    <w:rsid w:val="0083673A"/>
    <w:rsid w:val="00843766"/>
    <w:rsid w:val="00857656"/>
    <w:rsid w:val="00861753"/>
    <w:rsid w:val="00866893"/>
    <w:rsid w:val="00866F02"/>
    <w:rsid w:val="00867D18"/>
    <w:rsid w:val="008708B6"/>
    <w:rsid w:val="00871F9A"/>
    <w:rsid w:val="00871FD5"/>
    <w:rsid w:val="00875337"/>
    <w:rsid w:val="0088172E"/>
    <w:rsid w:val="00881EFA"/>
    <w:rsid w:val="008879CB"/>
    <w:rsid w:val="008935FA"/>
    <w:rsid w:val="00894BB4"/>
    <w:rsid w:val="008979B1"/>
    <w:rsid w:val="008A6B25"/>
    <w:rsid w:val="008A6C4F"/>
    <w:rsid w:val="008B389E"/>
    <w:rsid w:val="008C6230"/>
    <w:rsid w:val="008D045E"/>
    <w:rsid w:val="008D3F25"/>
    <w:rsid w:val="008D4D82"/>
    <w:rsid w:val="008E0E46"/>
    <w:rsid w:val="008E7116"/>
    <w:rsid w:val="008F143B"/>
    <w:rsid w:val="008F3882"/>
    <w:rsid w:val="008F4B7C"/>
    <w:rsid w:val="0090542A"/>
    <w:rsid w:val="00926E47"/>
    <w:rsid w:val="009303BA"/>
    <w:rsid w:val="009328DB"/>
    <w:rsid w:val="00943748"/>
    <w:rsid w:val="00947162"/>
    <w:rsid w:val="009610D0"/>
    <w:rsid w:val="0096375C"/>
    <w:rsid w:val="009662E6"/>
    <w:rsid w:val="0097095E"/>
    <w:rsid w:val="0098592B"/>
    <w:rsid w:val="00985FC4"/>
    <w:rsid w:val="00990766"/>
    <w:rsid w:val="00991261"/>
    <w:rsid w:val="009964C4"/>
    <w:rsid w:val="009A2EE9"/>
    <w:rsid w:val="009A6CCD"/>
    <w:rsid w:val="009A7B81"/>
    <w:rsid w:val="009C0F15"/>
    <w:rsid w:val="009D01C0"/>
    <w:rsid w:val="009D6A08"/>
    <w:rsid w:val="009E0A16"/>
    <w:rsid w:val="009E6CB7"/>
    <w:rsid w:val="009E7970"/>
    <w:rsid w:val="009F2EAC"/>
    <w:rsid w:val="009F57E3"/>
    <w:rsid w:val="00A10F4F"/>
    <w:rsid w:val="00A11067"/>
    <w:rsid w:val="00A1704A"/>
    <w:rsid w:val="00A2514A"/>
    <w:rsid w:val="00A33C04"/>
    <w:rsid w:val="00A425EB"/>
    <w:rsid w:val="00A54AD6"/>
    <w:rsid w:val="00A72F22"/>
    <w:rsid w:val="00A733BC"/>
    <w:rsid w:val="00A748A6"/>
    <w:rsid w:val="00A76A69"/>
    <w:rsid w:val="00A879A4"/>
    <w:rsid w:val="00A93267"/>
    <w:rsid w:val="00A93D74"/>
    <w:rsid w:val="00AA0F1A"/>
    <w:rsid w:val="00AA0FF8"/>
    <w:rsid w:val="00AA1B9B"/>
    <w:rsid w:val="00AB1B84"/>
    <w:rsid w:val="00AB7C77"/>
    <w:rsid w:val="00AC0F2C"/>
    <w:rsid w:val="00AC502A"/>
    <w:rsid w:val="00AC6E75"/>
    <w:rsid w:val="00AD0D64"/>
    <w:rsid w:val="00AD10DB"/>
    <w:rsid w:val="00AE17A9"/>
    <w:rsid w:val="00AE2AFD"/>
    <w:rsid w:val="00AF58C1"/>
    <w:rsid w:val="00B04A3F"/>
    <w:rsid w:val="00B06643"/>
    <w:rsid w:val="00B06C4E"/>
    <w:rsid w:val="00B15055"/>
    <w:rsid w:val="00B20551"/>
    <w:rsid w:val="00B30179"/>
    <w:rsid w:val="00B33FC7"/>
    <w:rsid w:val="00B37B15"/>
    <w:rsid w:val="00B41884"/>
    <w:rsid w:val="00B45C02"/>
    <w:rsid w:val="00B551FF"/>
    <w:rsid w:val="00B7072A"/>
    <w:rsid w:val="00B70B63"/>
    <w:rsid w:val="00B72A1E"/>
    <w:rsid w:val="00B81E12"/>
    <w:rsid w:val="00B94910"/>
    <w:rsid w:val="00B94CA0"/>
    <w:rsid w:val="00BA012E"/>
    <w:rsid w:val="00BA339B"/>
    <w:rsid w:val="00BB23CC"/>
    <w:rsid w:val="00BC1E7E"/>
    <w:rsid w:val="00BC3295"/>
    <w:rsid w:val="00BC74E9"/>
    <w:rsid w:val="00BC7880"/>
    <w:rsid w:val="00BD04D1"/>
    <w:rsid w:val="00BD4B45"/>
    <w:rsid w:val="00BE36A9"/>
    <w:rsid w:val="00BE52A4"/>
    <w:rsid w:val="00BE618E"/>
    <w:rsid w:val="00BE7A8D"/>
    <w:rsid w:val="00BE7BEC"/>
    <w:rsid w:val="00BF0A5A"/>
    <w:rsid w:val="00BF0E63"/>
    <w:rsid w:val="00BF12A3"/>
    <w:rsid w:val="00BF16D7"/>
    <w:rsid w:val="00BF2373"/>
    <w:rsid w:val="00BF7B52"/>
    <w:rsid w:val="00C044E2"/>
    <w:rsid w:val="00C046A1"/>
    <w:rsid w:val="00C048CB"/>
    <w:rsid w:val="00C066F3"/>
    <w:rsid w:val="00C463DD"/>
    <w:rsid w:val="00C509F9"/>
    <w:rsid w:val="00C50D56"/>
    <w:rsid w:val="00C51570"/>
    <w:rsid w:val="00C54A89"/>
    <w:rsid w:val="00C745C3"/>
    <w:rsid w:val="00C978F5"/>
    <w:rsid w:val="00CA24A4"/>
    <w:rsid w:val="00CB348D"/>
    <w:rsid w:val="00CD46F5"/>
    <w:rsid w:val="00CE4A8F"/>
    <w:rsid w:val="00CE5E92"/>
    <w:rsid w:val="00CF071D"/>
    <w:rsid w:val="00CF331B"/>
    <w:rsid w:val="00CF4F68"/>
    <w:rsid w:val="00D0123D"/>
    <w:rsid w:val="00D15B04"/>
    <w:rsid w:val="00D16ECD"/>
    <w:rsid w:val="00D2031B"/>
    <w:rsid w:val="00D25FE2"/>
    <w:rsid w:val="00D3499A"/>
    <w:rsid w:val="00D37DA9"/>
    <w:rsid w:val="00D406A7"/>
    <w:rsid w:val="00D41E47"/>
    <w:rsid w:val="00D43252"/>
    <w:rsid w:val="00D44D86"/>
    <w:rsid w:val="00D46554"/>
    <w:rsid w:val="00D50B7D"/>
    <w:rsid w:val="00D52012"/>
    <w:rsid w:val="00D704E5"/>
    <w:rsid w:val="00D72727"/>
    <w:rsid w:val="00D85B0D"/>
    <w:rsid w:val="00D978C6"/>
    <w:rsid w:val="00DA0956"/>
    <w:rsid w:val="00DA357F"/>
    <w:rsid w:val="00DA3E12"/>
    <w:rsid w:val="00DA7789"/>
    <w:rsid w:val="00DB328B"/>
    <w:rsid w:val="00DC18AD"/>
    <w:rsid w:val="00DC5493"/>
    <w:rsid w:val="00DE2A31"/>
    <w:rsid w:val="00DF7CAE"/>
    <w:rsid w:val="00DF7E5C"/>
    <w:rsid w:val="00E05F12"/>
    <w:rsid w:val="00E23734"/>
    <w:rsid w:val="00E423C0"/>
    <w:rsid w:val="00E6414C"/>
    <w:rsid w:val="00E7260F"/>
    <w:rsid w:val="00E81AF2"/>
    <w:rsid w:val="00E8702D"/>
    <w:rsid w:val="00E905F4"/>
    <w:rsid w:val="00E916A9"/>
    <w:rsid w:val="00E916DE"/>
    <w:rsid w:val="00E925AD"/>
    <w:rsid w:val="00E96630"/>
    <w:rsid w:val="00ED18DC"/>
    <w:rsid w:val="00ED6201"/>
    <w:rsid w:val="00ED7A2A"/>
    <w:rsid w:val="00EF18E5"/>
    <w:rsid w:val="00EF1D7F"/>
    <w:rsid w:val="00F0137E"/>
    <w:rsid w:val="00F21786"/>
    <w:rsid w:val="00F3742B"/>
    <w:rsid w:val="00F41FDB"/>
    <w:rsid w:val="00F44E9D"/>
    <w:rsid w:val="00F56D63"/>
    <w:rsid w:val="00F609A9"/>
    <w:rsid w:val="00F80C99"/>
    <w:rsid w:val="00F867EC"/>
    <w:rsid w:val="00F91B2B"/>
    <w:rsid w:val="00FA5F5F"/>
    <w:rsid w:val="00FC03CD"/>
    <w:rsid w:val="00FC0646"/>
    <w:rsid w:val="00FC3074"/>
    <w:rsid w:val="00FC68B7"/>
    <w:rsid w:val="00FC7BA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5962"/>
  <w15:docId w15:val="{FB2C52B8-FEBB-4820-8818-2E1F169C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customStyle="1" w:styleId="ui-provider">
    <w:name w:val="ui-provider"/>
    <w:basedOn w:val="DefaultParagraphFont"/>
    <w:rsid w:val="00AD0D64"/>
  </w:style>
  <w:style w:type="character" w:customStyle="1" w:styleId="FootnoteTextChar">
    <w:name w:val="Footnote Text Char"/>
    <w:aliases w:val="5_G Char,5_GR Char,Footnote Creating Char"/>
    <w:link w:val="FootnoteText"/>
    <w:rsid w:val="00EF18E5"/>
    <w:rPr>
      <w:sz w:val="18"/>
      <w:lang w:val="en-GB"/>
    </w:rPr>
  </w:style>
  <w:style w:type="character" w:customStyle="1" w:styleId="SingleTxtGChar">
    <w:name w:val="_ Single Txt_G Char"/>
    <w:link w:val="SingleTxtG"/>
    <w:qFormat/>
    <w:rsid w:val="007F669A"/>
    <w:rPr>
      <w:lang w:val="en-GB"/>
    </w:rPr>
  </w:style>
  <w:style w:type="character" w:customStyle="1" w:styleId="HChGChar">
    <w:name w:val="_ H _Ch_G Char"/>
    <w:link w:val="HChG"/>
    <w:rsid w:val="00FA5F5F"/>
    <w:rPr>
      <w:b/>
      <w:sz w:val="28"/>
      <w:lang w:val="en-GB"/>
    </w:rPr>
  </w:style>
  <w:style w:type="paragraph" w:styleId="NormalWeb">
    <w:name w:val="Normal (Web)"/>
    <w:basedOn w:val="Normal"/>
    <w:uiPriority w:val="99"/>
    <w:unhideWhenUsed/>
    <w:rsid w:val="00FA5F5F"/>
    <w:pPr>
      <w:spacing w:before="100" w:beforeAutospacing="1" w:after="100" w:afterAutospacing="1" w:line="240" w:lineRule="auto"/>
    </w:pPr>
    <w:rPr>
      <w:sz w:val="24"/>
      <w:szCs w:val="24"/>
      <w:lang w:val="fr-CH" w:eastAsia="zh-CN"/>
    </w:rPr>
  </w:style>
  <w:style w:type="character" w:styleId="UnresolvedMention">
    <w:name w:val="Unresolved Mention"/>
    <w:basedOn w:val="DefaultParagraphFont"/>
    <w:uiPriority w:val="99"/>
    <w:semiHidden/>
    <w:unhideWhenUsed/>
    <w:rsid w:val="00AE17A9"/>
    <w:rPr>
      <w:color w:val="605E5C"/>
      <w:shd w:val="clear" w:color="auto" w:fill="E1DFDD"/>
    </w:rPr>
  </w:style>
  <w:style w:type="character" w:styleId="CommentReference">
    <w:name w:val="annotation reference"/>
    <w:basedOn w:val="DefaultParagraphFont"/>
    <w:semiHidden/>
    <w:unhideWhenUsed/>
    <w:rsid w:val="00464DA7"/>
    <w:rPr>
      <w:sz w:val="16"/>
      <w:szCs w:val="16"/>
    </w:rPr>
  </w:style>
  <w:style w:type="paragraph" w:styleId="CommentText">
    <w:name w:val="annotation text"/>
    <w:basedOn w:val="Normal"/>
    <w:link w:val="CommentTextChar"/>
    <w:unhideWhenUsed/>
    <w:rsid w:val="00464DA7"/>
    <w:pPr>
      <w:suppressAutoHyphens/>
      <w:spacing w:line="240" w:lineRule="auto"/>
    </w:pPr>
    <w:rPr>
      <w:rFonts w:eastAsia="SimSun"/>
    </w:rPr>
  </w:style>
  <w:style w:type="character" w:customStyle="1" w:styleId="CommentTextChar">
    <w:name w:val="Comment Text Char"/>
    <w:basedOn w:val="DefaultParagraphFont"/>
    <w:link w:val="CommentText"/>
    <w:rsid w:val="00464DA7"/>
    <w:rPr>
      <w:rFonts w:eastAsia="SimSun"/>
      <w:lang w:val="en-GB"/>
    </w:rPr>
  </w:style>
  <w:style w:type="character" w:customStyle="1" w:styleId="H1GChar">
    <w:name w:val="_ H_1_G Char"/>
    <w:link w:val="H1G"/>
    <w:rsid w:val="009C0F15"/>
    <w:rPr>
      <w:b/>
      <w:sz w:val="24"/>
      <w:lang w:val="en-GB"/>
    </w:rPr>
  </w:style>
  <w:style w:type="paragraph" w:styleId="ListParagraph">
    <w:name w:val="List Paragraph"/>
    <w:basedOn w:val="Normal"/>
    <w:uiPriority w:val="34"/>
    <w:semiHidden/>
    <w:qFormat/>
    <w:rsid w:val="00D41E47"/>
    <w:pPr>
      <w:ind w:left="720"/>
      <w:contextualSpacing/>
    </w:pPr>
  </w:style>
  <w:style w:type="character" w:customStyle="1" w:styleId="normaltextrun">
    <w:name w:val="normaltextrun"/>
    <w:basedOn w:val="DefaultParagraphFont"/>
    <w:rsid w:val="00E05F12"/>
  </w:style>
  <w:style w:type="paragraph" w:styleId="Revision">
    <w:name w:val="Revision"/>
    <w:hidden/>
    <w:uiPriority w:val="99"/>
    <w:semiHidden/>
    <w:rsid w:val="008708B6"/>
    <w:pPr>
      <w:spacing w:line="240" w:lineRule="auto"/>
    </w:pPr>
    <w:rPr>
      <w:lang w:val="en-GB"/>
    </w:rPr>
  </w:style>
  <w:style w:type="paragraph" w:styleId="CommentSubject">
    <w:name w:val="annotation subject"/>
    <w:basedOn w:val="CommentText"/>
    <w:next w:val="CommentText"/>
    <w:link w:val="CommentSubjectChar"/>
    <w:semiHidden/>
    <w:unhideWhenUsed/>
    <w:rsid w:val="008708B6"/>
    <w:pPr>
      <w:suppressAutoHyphens w:val="0"/>
    </w:pPr>
    <w:rPr>
      <w:rFonts w:eastAsia="Times New Roman"/>
      <w:b/>
      <w:bCs/>
    </w:rPr>
  </w:style>
  <w:style w:type="character" w:customStyle="1" w:styleId="CommentSubjectChar">
    <w:name w:val="Comment Subject Char"/>
    <w:basedOn w:val="CommentTextChar"/>
    <w:link w:val="CommentSubject"/>
    <w:semiHidden/>
    <w:rsid w:val="008708B6"/>
    <w:rPr>
      <w:rFonts w:eastAsia="SimSu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itc-structure" TargetMode="External"/><Relationship Id="rId2" Type="http://schemas.openxmlformats.org/officeDocument/2006/relationships/hyperlink" Target="https://www.oecd-ilibrary.org/transport/itf-transport-outlook-2023_b6cc9ad5-en" TargetMode="External"/><Relationship Id="rId1" Type="http://schemas.openxmlformats.org/officeDocument/2006/relationships/hyperlink" Target="https://report.ipcc.ch/ar6/wg3/IPCC_AR6_WGIII_Ful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Georgios Georgiadis</DisplayName>
        <AccountId>41</AccountId>
        <AccountType/>
      </UserInfo>
      <UserInfo>
        <DisplayName>Christine Seifert</DisplayName>
        <AccountId>941</AccountId>
        <AccountType/>
      </UserInfo>
      <UserInfo>
        <DisplayName>Yuwei Li</DisplayName>
        <AccountId>42</AccountId>
        <AccountType/>
      </UserInfo>
      <UserInfo>
        <DisplayName>Franziska Hirsch</DisplayName>
        <AccountId>1339</AccountId>
        <AccountType/>
      </UserInfo>
      <UserInfo>
        <DisplayName>Anastasia Barinova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974A-EE5F-4EF9-92BB-6FB7948AB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4.xml><?xml version="1.0" encoding="utf-8"?>
<ds:datastoreItem xmlns:ds="http://schemas.openxmlformats.org/officeDocument/2006/customXml" ds:itemID="{3BE40994-831A-4FA1-84DB-B1683544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6</TotalTime>
  <Pages>16</Pages>
  <Words>6919</Words>
  <Characters>39442</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ECE/TRANS/2024/3</vt:lpstr>
      <vt:lpstr/>
    </vt:vector>
  </TitlesOfParts>
  <Company>CSD</Company>
  <LinksUpToDate>false</LinksUpToDate>
  <CharactersWithSpaces>46269</CharactersWithSpaces>
  <SharedDoc>false</SharedDoc>
  <HLinks>
    <vt:vector size="24" baseType="variant">
      <vt:variant>
        <vt:i4>3211296</vt:i4>
      </vt:variant>
      <vt:variant>
        <vt:i4>9</vt:i4>
      </vt:variant>
      <vt:variant>
        <vt:i4>0</vt:i4>
      </vt:variant>
      <vt:variant>
        <vt:i4>5</vt:i4>
      </vt:variant>
      <vt:variant>
        <vt:lpwstr>https://unece.org/itc-structure</vt:lpwstr>
      </vt:variant>
      <vt:variant>
        <vt:lpwstr/>
      </vt:variant>
      <vt:variant>
        <vt:i4>3735610</vt:i4>
      </vt:variant>
      <vt:variant>
        <vt:i4>6</vt:i4>
      </vt:variant>
      <vt:variant>
        <vt:i4>0</vt:i4>
      </vt:variant>
      <vt:variant>
        <vt:i4>5</vt:i4>
      </vt:variant>
      <vt:variant>
        <vt:lpwstr>https://www.itf-oecd.org/decarbonising-transport</vt:lpwstr>
      </vt:variant>
      <vt:variant>
        <vt:lpwstr>:~:text=The%20Decarbonising%20Transport%20initiative%20promotes,affects%20lives%20around%20the%20globe</vt:lpwstr>
      </vt:variant>
      <vt:variant>
        <vt:i4>2490452</vt:i4>
      </vt:variant>
      <vt:variant>
        <vt:i4>3</vt:i4>
      </vt:variant>
      <vt:variant>
        <vt:i4>0</vt:i4>
      </vt:variant>
      <vt:variant>
        <vt:i4>5</vt:i4>
      </vt:variant>
      <vt:variant>
        <vt:lpwstr>https://www.oecd-ilibrary.org/transport/itf-transport-outlook-2023_b6cc9ad5-en</vt:lpwstr>
      </vt:variant>
      <vt:variant>
        <vt:lpwstr/>
      </vt:variant>
      <vt:variant>
        <vt:i4>3801148</vt:i4>
      </vt:variant>
      <vt:variant>
        <vt:i4>0</vt:i4>
      </vt:variant>
      <vt:variant>
        <vt:i4>0</vt:i4>
      </vt:variant>
      <vt:variant>
        <vt:i4>5</vt:i4>
      </vt:variant>
      <vt:variant>
        <vt:lpwstr>https://report.ipcc.ch/ar6/wg3/IPCC_AR6_WGIII_Full_Report.pdf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dc:title>
  <dc:subject/>
  <dc:creator>Secretariat</dc:creator>
  <cp:keywords/>
  <cp:lastModifiedBy>Christine Seifert</cp:lastModifiedBy>
  <cp:revision>3</cp:revision>
  <cp:lastPrinted>2009-02-18T09:36:00Z</cp:lastPrinted>
  <dcterms:created xsi:type="dcterms:W3CDTF">2024-02-09T13:38:00Z</dcterms:created>
  <dcterms:modified xsi:type="dcterms:W3CDTF">2024-02-09T13:38:00Z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