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431335FF" w:rsidR="00157609" w:rsidRPr="00170046" w:rsidRDefault="00157609" w:rsidP="00C31681">
            <w:pPr>
              <w:jc w:val="right"/>
              <w:rPr>
                <w:b/>
                <w:bCs/>
                <w:lang w:val="en-US"/>
              </w:rPr>
            </w:pPr>
            <w:r w:rsidRPr="00DA5948">
              <w:rPr>
                <w:b/>
                <w:bCs/>
                <w:sz w:val="40"/>
              </w:rPr>
              <w:t>INF.</w:t>
            </w:r>
            <w:r w:rsidR="00817A17">
              <w:rPr>
                <w:b/>
                <w:bCs/>
                <w:sz w:val="40"/>
              </w:rPr>
              <w:t>9</w:t>
            </w:r>
          </w:p>
        </w:tc>
      </w:tr>
      <w:tr w:rsidR="00157609" w14:paraId="24ABEA35" w14:textId="77777777" w:rsidTr="005E01F0">
        <w:trPr>
          <w:cantSplit/>
          <w:trHeight w:hRule="exact" w:val="3977"/>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55ED75DC" w14:textId="2E703EE3" w:rsidR="00995888" w:rsidRDefault="00995888" w:rsidP="00995888">
            <w:pPr>
              <w:rPr>
                <w:lang w:val="en-US"/>
              </w:rPr>
            </w:pPr>
            <w:r>
              <w:rPr>
                <w:lang w:val="en-US"/>
              </w:rPr>
              <w:t xml:space="preserve">Item </w:t>
            </w:r>
            <w:r w:rsidR="00F54E80">
              <w:rPr>
                <w:lang w:val="en-US"/>
              </w:rPr>
              <w:t>5</w:t>
            </w:r>
            <w:r>
              <w:rPr>
                <w:lang w:val="en-US"/>
              </w:rPr>
              <w:t xml:space="preserve"> (</w:t>
            </w:r>
            <w:r w:rsidR="00787CE1">
              <w:rPr>
                <w:lang w:val="en-US"/>
              </w:rPr>
              <w:t>a</w:t>
            </w:r>
            <w:r>
              <w:rPr>
                <w:lang w:val="en-US"/>
              </w:rPr>
              <w:t>) of the provisional agenda</w:t>
            </w:r>
          </w:p>
          <w:p w14:paraId="5AB40389" w14:textId="77777777" w:rsidR="005E01F0" w:rsidRDefault="005E01F0" w:rsidP="00AC42C0">
            <w:pPr>
              <w:contextualSpacing/>
              <w:rPr>
                <w:b/>
                <w:bCs/>
              </w:rPr>
            </w:pPr>
            <w:r w:rsidRPr="005E01F0">
              <w:rPr>
                <w:b/>
                <w:bCs/>
              </w:rPr>
              <w:t>Proposals for amendments to the Regulations annexed to ADN:</w:t>
            </w:r>
          </w:p>
          <w:p w14:paraId="45E162B7" w14:textId="60522389" w:rsidR="00E277FB" w:rsidRDefault="00487408" w:rsidP="00AC42C0">
            <w:pPr>
              <w:contextualSpacing/>
              <w:rPr>
                <w:b/>
                <w:bCs/>
              </w:rPr>
            </w:pPr>
            <w:r w:rsidRPr="007F08FD">
              <w:rPr>
                <w:b/>
                <w:bCs/>
              </w:rPr>
              <w:t>work of the RID/ADR/ADN Joint Meeting</w:t>
            </w:r>
          </w:p>
          <w:p w14:paraId="333197FE" w14:textId="46F87D07" w:rsidR="005E01F0" w:rsidRPr="008A105B" w:rsidRDefault="005E01F0" w:rsidP="00AC42C0">
            <w:pPr>
              <w:contextualSpacing/>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0060B3BB" w:rsidR="00157609" w:rsidRDefault="00310E74" w:rsidP="00C31681">
            <w:pPr>
              <w:spacing w:line="240" w:lineRule="exact"/>
            </w:pPr>
            <w:r>
              <w:t>2</w:t>
            </w:r>
            <w:r w:rsidR="002D41FA">
              <w:t>8</w:t>
            </w:r>
            <w:r w:rsidR="00AA3E74">
              <w:t xml:space="preserve"> Dec</w:t>
            </w:r>
            <w:r w:rsidR="00D81C7A">
              <w:t>ember</w:t>
            </w:r>
            <w:r w:rsidR="00157609">
              <w:t xml:space="preserve"> 2023</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60675923" w14:textId="77777777" w:rsidR="001023E7" w:rsidRPr="0019219E" w:rsidRDefault="001023E7" w:rsidP="001023E7">
      <w:pPr>
        <w:pStyle w:val="HChG"/>
      </w:pPr>
      <w:r w:rsidRPr="0019219E">
        <w:tab/>
      </w:r>
      <w:r w:rsidRPr="0019219E">
        <w:tab/>
      </w:r>
      <w:r w:rsidRPr="00504B41">
        <w:t>Consequential amendments to degree of filling and filling ratio</w:t>
      </w:r>
    </w:p>
    <w:p w14:paraId="77D36B4E" w14:textId="77777777" w:rsidR="001023E7" w:rsidRPr="0019219E" w:rsidRDefault="001023E7" w:rsidP="001023E7">
      <w:pPr>
        <w:pStyle w:val="H1G"/>
      </w:pPr>
      <w:r w:rsidRPr="0019219E">
        <w:rPr>
          <w:lang w:eastAsia="en-US"/>
        </w:rPr>
        <w:tab/>
      </w:r>
      <w:r w:rsidRPr="0019219E">
        <w:rPr>
          <w:lang w:eastAsia="en-US"/>
        </w:rPr>
        <w:tab/>
      </w:r>
      <w:r>
        <w:rPr>
          <w:lang w:val="en-US" w:eastAsia="en-US"/>
        </w:rPr>
        <w:t>Submitted by Austria</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605EA" w14:paraId="1092E454" w14:textId="77777777">
        <w:trPr>
          <w:jc w:val="center"/>
        </w:trPr>
        <w:tc>
          <w:tcPr>
            <w:tcW w:w="9629" w:type="dxa"/>
            <w:shd w:val="clear" w:color="auto" w:fill="auto"/>
          </w:tcPr>
          <w:p w14:paraId="0A3AE5E9" w14:textId="77777777" w:rsidR="00C605EA" w:rsidRDefault="00C605EA">
            <w:pPr>
              <w:spacing w:before="240" w:after="120"/>
              <w:ind w:left="255"/>
              <w:rPr>
                <w:i/>
                <w:sz w:val="24"/>
              </w:rPr>
            </w:pPr>
            <w:r>
              <w:rPr>
                <w:i/>
                <w:sz w:val="24"/>
              </w:rPr>
              <w:t>Summary</w:t>
            </w:r>
          </w:p>
        </w:tc>
      </w:tr>
      <w:tr w:rsidR="00C605EA" w14:paraId="68B2F56E" w14:textId="77777777">
        <w:trPr>
          <w:jc w:val="center"/>
        </w:trPr>
        <w:tc>
          <w:tcPr>
            <w:tcW w:w="9629" w:type="dxa"/>
            <w:shd w:val="clear" w:color="auto" w:fill="auto"/>
          </w:tcPr>
          <w:p w14:paraId="6E4E2555" w14:textId="2253C199" w:rsidR="00C605EA" w:rsidRPr="00573705" w:rsidRDefault="00C605EA">
            <w:pPr>
              <w:ind w:left="3392" w:right="558" w:hanging="2268"/>
            </w:pPr>
            <w:r>
              <w:rPr>
                <w:b/>
                <w:bCs/>
                <w:lang w:eastAsia="en-US"/>
              </w:rPr>
              <w:t>Executive summary:</w:t>
            </w:r>
            <w:r>
              <w:rPr>
                <w:b/>
                <w:bCs/>
                <w:lang w:eastAsia="en-US"/>
              </w:rPr>
              <w:tab/>
            </w:r>
            <w:r w:rsidR="00975EFC">
              <w:rPr>
                <w:lang w:val="en-US"/>
              </w:rPr>
              <w:t xml:space="preserve">Amendments from the </w:t>
            </w:r>
            <w:r w:rsidR="00C5198C" w:rsidRPr="00D92C10">
              <w:t>RID/ADR/ADN</w:t>
            </w:r>
            <w:r w:rsidR="00C5198C">
              <w:rPr>
                <w:lang w:val="en-US"/>
              </w:rPr>
              <w:t xml:space="preserve"> </w:t>
            </w:r>
            <w:r w:rsidR="00975EFC">
              <w:rPr>
                <w:lang w:val="en-US"/>
              </w:rPr>
              <w:t xml:space="preserve">Joint Meeting and </w:t>
            </w:r>
            <w:r w:rsidR="00DA471C" w:rsidRPr="00D92C10">
              <w:t>the Working Party on the Transport of Dangerous Goods</w:t>
            </w:r>
            <w:r w:rsidR="00DA471C">
              <w:rPr>
                <w:lang w:val="en-US"/>
              </w:rPr>
              <w:t xml:space="preserve"> (</w:t>
            </w:r>
            <w:r w:rsidR="00975EFC">
              <w:rPr>
                <w:lang w:val="en-US"/>
              </w:rPr>
              <w:t>WP.15</w:t>
            </w:r>
            <w:r w:rsidR="00DA471C">
              <w:rPr>
                <w:lang w:val="en-US"/>
              </w:rPr>
              <w:t>)</w:t>
            </w:r>
            <w:r w:rsidR="00975EFC">
              <w:rPr>
                <w:lang w:val="en-US"/>
              </w:rPr>
              <w:t xml:space="preserve"> were presented in document </w:t>
            </w:r>
            <w:r w:rsidR="00D35EA1">
              <w:rPr>
                <w:lang w:val="en-US"/>
              </w:rPr>
              <w:t>ECE/TRANS/</w:t>
            </w:r>
            <w:r w:rsidR="00975EFC">
              <w:rPr>
                <w:lang w:val="en-US"/>
              </w:rPr>
              <w:t>WP.15/AC.2/2024/30. Among other things, the definitions for "degree of filling" (for solids and liquids) and for "filling ratio" (for gases) are adopted into the ADN. However, the ADN also contains a definition for "filling ratio (cargo tanks)", which needs to be revised as a result. For all references to the terms mentioned, it should be clarified which of the new terms is actually meant.</w:t>
            </w:r>
          </w:p>
          <w:p w14:paraId="46FB1E45" w14:textId="4FA7870F" w:rsidR="00C605EA" w:rsidRPr="00573705" w:rsidRDefault="00C605EA">
            <w:pPr>
              <w:spacing w:after="120"/>
              <w:ind w:left="3392" w:right="714" w:hanging="2226"/>
              <w:jc w:val="both"/>
            </w:pPr>
            <w:r>
              <w:rPr>
                <w:b/>
              </w:rPr>
              <w:t>Action to be taken</w:t>
            </w:r>
            <w:r w:rsidRPr="00573705">
              <w:t>:</w:t>
            </w:r>
            <w:r w:rsidRPr="00573705">
              <w:tab/>
            </w:r>
            <w:r w:rsidR="00B15183">
              <w:rPr>
                <w:lang w:val="en-US"/>
              </w:rPr>
              <w:t xml:space="preserve">The discussion of the solution approach in this </w:t>
            </w:r>
            <w:r w:rsidR="00A551D2">
              <w:rPr>
                <w:lang w:val="en-US"/>
              </w:rPr>
              <w:t>informal</w:t>
            </w:r>
            <w:r w:rsidR="00B32E53">
              <w:rPr>
                <w:lang w:val="en-US"/>
              </w:rPr>
              <w:t xml:space="preserve"> document, </w:t>
            </w:r>
            <w:r w:rsidR="00B15183">
              <w:rPr>
                <w:lang w:val="en-US"/>
              </w:rPr>
              <w:t>INF</w:t>
            </w:r>
            <w:r w:rsidR="00B32E53">
              <w:rPr>
                <w:lang w:val="en-US"/>
              </w:rPr>
              <w:t>.9,</w:t>
            </w:r>
            <w:r w:rsidR="00B15183">
              <w:rPr>
                <w:lang w:val="en-US"/>
              </w:rPr>
              <w:t xml:space="preserve"> forms the basis for the preparation of a formal amendment.</w:t>
            </w:r>
          </w:p>
          <w:p w14:paraId="04F879C4" w14:textId="27108A40" w:rsidR="00911729" w:rsidRDefault="00C605EA">
            <w:pPr>
              <w:spacing w:before="120"/>
              <w:ind w:left="3392" w:hanging="2268"/>
              <w:rPr>
                <w:lang w:val="en-US"/>
              </w:rPr>
            </w:pPr>
            <w:r>
              <w:rPr>
                <w:b/>
                <w:bCs/>
              </w:rPr>
              <w:t>Related documents:</w:t>
            </w:r>
            <w:r w:rsidRPr="00057A7A">
              <w:tab/>
            </w:r>
            <w:r w:rsidR="006F1060">
              <w:t>ECE/TRANS/</w:t>
            </w:r>
            <w:r w:rsidR="00911729">
              <w:rPr>
                <w:lang w:val="en-US"/>
              </w:rPr>
              <w:t>WP.15/AC.2/2024/30</w:t>
            </w:r>
          </w:p>
          <w:p w14:paraId="4B63F492" w14:textId="68F5184C" w:rsidR="00911729" w:rsidRDefault="00911729">
            <w:pPr>
              <w:ind w:left="3392" w:hanging="2859"/>
              <w:rPr>
                <w:lang w:val="en-US"/>
              </w:rPr>
            </w:pPr>
            <w:r>
              <w:rPr>
                <w:lang w:val="en-US"/>
              </w:rPr>
              <w:tab/>
            </w:r>
            <w:r w:rsidR="00595B93">
              <w:rPr>
                <w:lang w:val="en-US"/>
              </w:rPr>
              <w:t>Informal document INF.11 from the forty-second session</w:t>
            </w:r>
            <w:r w:rsidR="0089224E">
              <w:rPr>
                <w:lang w:val="en-US"/>
              </w:rPr>
              <w:t xml:space="preserve"> </w:t>
            </w:r>
          </w:p>
          <w:p w14:paraId="2AC52897" w14:textId="389CA09B" w:rsidR="00C605EA" w:rsidRDefault="00911729">
            <w:pPr>
              <w:spacing w:after="120"/>
              <w:ind w:left="3392" w:right="714" w:hanging="2265"/>
              <w:jc w:val="both"/>
            </w:pPr>
            <w:r>
              <w:rPr>
                <w:lang w:val="en-US"/>
              </w:rPr>
              <w:tab/>
            </w:r>
          </w:p>
        </w:tc>
      </w:tr>
      <w:tr w:rsidR="00C605EA" w14:paraId="717DDDFB" w14:textId="77777777">
        <w:trPr>
          <w:jc w:val="center"/>
        </w:trPr>
        <w:tc>
          <w:tcPr>
            <w:tcW w:w="9629" w:type="dxa"/>
            <w:shd w:val="clear" w:color="auto" w:fill="auto"/>
          </w:tcPr>
          <w:p w14:paraId="347E6F3A" w14:textId="77777777" w:rsidR="00C605EA" w:rsidRDefault="00C605EA" w:rsidP="00AD2603"/>
        </w:tc>
      </w:tr>
    </w:tbl>
    <w:p w14:paraId="1B90A6DB" w14:textId="0CFE5260" w:rsidR="005E700E" w:rsidRPr="00504B41" w:rsidRDefault="005E700E" w:rsidP="005E700E">
      <w:pPr>
        <w:pStyle w:val="HChG"/>
        <w:rPr>
          <w:lang w:val="en-US"/>
        </w:rPr>
      </w:pPr>
      <w:bookmarkStart w:id="0" w:name="_Hlk152841902"/>
      <w:r>
        <w:rPr>
          <w:lang w:val="en-US"/>
        </w:rPr>
        <w:tab/>
      </w:r>
      <w:r>
        <w:rPr>
          <w:lang w:val="en-US"/>
        </w:rPr>
        <w:tab/>
      </w:r>
      <w:r w:rsidRPr="00504B41">
        <w:rPr>
          <w:lang w:val="en-US"/>
        </w:rPr>
        <w:t>Introduction</w:t>
      </w:r>
    </w:p>
    <w:bookmarkEnd w:id="0"/>
    <w:p w14:paraId="175DCF97" w14:textId="63C0155C" w:rsidR="005E700E" w:rsidRPr="009D575C" w:rsidRDefault="005E700E" w:rsidP="005E700E">
      <w:pPr>
        <w:pStyle w:val="SingleTxtG"/>
      </w:pPr>
      <w:r w:rsidRPr="009D575C">
        <w:t>1.</w:t>
      </w:r>
      <w:r w:rsidRPr="009D575C">
        <w:tab/>
        <w:t xml:space="preserve">Document </w:t>
      </w:r>
      <w:r w:rsidR="00C04DD0" w:rsidRPr="009D575C">
        <w:t>ECE/TRANS</w:t>
      </w:r>
      <w:r w:rsidR="00612DF8" w:rsidRPr="009D575C">
        <w:t>/</w:t>
      </w:r>
      <w:r w:rsidRPr="009D575C">
        <w:t xml:space="preserve">WP.15/AC.2/2024/30 presented amendments from the </w:t>
      </w:r>
      <w:r w:rsidR="00E97F30" w:rsidRPr="00B76828">
        <w:t>RID/ADR/ADN</w:t>
      </w:r>
      <w:r w:rsidR="00E97F30" w:rsidRPr="009D575C">
        <w:t xml:space="preserve"> </w:t>
      </w:r>
      <w:r w:rsidRPr="009D575C">
        <w:t xml:space="preserve">Joint Meeting and </w:t>
      </w:r>
      <w:r w:rsidR="00FD43B4" w:rsidRPr="009D575C">
        <w:t>from</w:t>
      </w:r>
      <w:r w:rsidR="0065487C" w:rsidRPr="00B76828">
        <w:t xml:space="preserve"> the Working Party on the Transport of Dangerous Goods</w:t>
      </w:r>
      <w:r w:rsidR="0065487C" w:rsidRPr="009D575C">
        <w:t xml:space="preserve"> (</w:t>
      </w:r>
      <w:r w:rsidRPr="009D575C">
        <w:t>WP.15</w:t>
      </w:r>
      <w:r w:rsidR="0065487C" w:rsidRPr="009D575C">
        <w:t>)</w:t>
      </w:r>
      <w:r w:rsidRPr="009D575C">
        <w:t>. Among other things, this document contains definitions for "degree of filling" (for solids and liquids) and for "filling ratio” (for gases), which are to be adopted in the ADN. As these terms are used in the harmonised parts of the ADN and also in the referenced parts 4 and 6 of the ADR and RID, it is necessary to incorporate these definitions into the ADN.</w:t>
      </w:r>
    </w:p>
    <w:p w14:paraId="04F197E5" w14:textId="719EB61A" w:rsidR="005E700E" w:rsidRDefault="005E700E" w:rsidP="005E700E">
      <w:pPr>
        <w:pStyle w:val="SingleTxtG"/>
        <w:rPr>
          <w:lang w:val="en-US"/>
        </w:rPr>
      </w:pPr>
      <w:r w:rsidRPr="009D575C">
        <w:t>2.</w:t>
      </w:r>
      <w:r w:rsidRPr="009D575C">
        <w:tab/>
        <w:t xml:space="preserve">However, the ADN also contains a definition of "filling ratio (cargo tanks)" that differs from the harmonised definitions. In the ADN 2005, this definition still referred to a temperature of 15 °C. However, this reference temperature was already deleted in the first </w:t>
      </w:r>
      <w:r w:rsidRPr="0062041E">
        <w:rPr>
          <w:lang w:val="en-US"/>
        </w:rPr>
        <w:t xml:space="preserve">official edition of the ADN 2009. It is therefore no longer permitted to exceed the maximum permissible filling level mark when filling a cargo tank with a liquid with a temperature higher than 15 °C. If the definition "filling </w:t>
      </w:r>
      <w:r>
        <w:rPr>
          <w:lang w:val="en-US"/>
        </w:rPr>
        <w:t>ratio</w:t>
      </w:r>
      <w:r w:rsidRPr="0062041E">
        <w:rPr>
          <w:lang w:val="en-US"/>
        </w:rPr>
        <w:t xml:space="preserve"> (cargo tank)" were now </w:t>
      </w:r>
      <w:r w:rsidRPr="0062041E">
        <w:rPr>
          <w:lang w:val="en-US"/>
        </w:rPr>
        <w:lastRenderedPageBreak/>
        <w:t xml:space="preserve">deleted, the situation prior to 2009 would be restored, which is not desirable. The temperature-independent definition "filling </w:t>
      </w:r>
      <w:r>
        <w:rPr>
          <w:lang w:val="en-US"/>
        </w:rPr>
        <w:t>ratio</w:t>
      </w:r>
      <w:r w:rsidRPr="0062041E">
        <w:rPr>
          <w:lang w:val="en-US"/>
        </w:rPr>
        <w:t xml:space="preserve"> (cargo tank)" should therefore be retained.</w:t>
      </w:r>
    </w:p>
    <w:p w14:paraId="5C95F972" w14:textId="397FCF88" w:rsidR="005E700E" w:rsidRDefault="005E700E" w:rsidP="005E700E">
      <w:pPr>
        <w:pStyle w:val="SingleTxtG"/>
        <w:rPr>
          <w:lang w:val="en-US"/>
        </w:rPr>
      </w:pPr>
      <w:r>
        <w:rPr>
          <w:lang w:val="en-US"/>
        </w:rPr>
        <w:t>3.</w:t>
      </w:r>
      <w:r>
        <w:rPr>
          <w:lang w:val="en-US"/>
        </w:rPr>
        <w:tab/>
      </w:r>
      <w:r w:rsidRPr="00DA755E">
        <w:rPr>
          <w:lang w:val="en-US"/>
        </w:rPr>
        <w:t xml:space="preserve">However, the two new, harmonised definitions make it clear that for liquids and solids a </w:t>
      </w:r>
      <w:r>
        <w:rPr>
          <w:lang w:val="en-US"/>
        </w:rPr>
        <w:t xml:space="preserve">degree of </w:t>
      </w:r>
      <w:r w:rsidRPr="00DA755E">
        <w:rPr>
          <w:lang w:val="en-US"/>
        </w:rPr>
        <w:t xml:space="preserve">filling in volume percentage is to be specified, while for gases a filling </w:t>
      </w:r>
      <w:r>
        <w:rPr>
          <w:lang w:val="en-US"/>
        </w:rPr>
        <w:t>ratio</w:t>
      </w:r>
      <w:r w:rsidRPr="00DA755E">
        <w:rPr>
          <w:lang w:val="en-US"/>
        </w:rPr>
        <w:t xml:space="preserve"> in mass percentage is to be used. Previously, the German version of Table C used the term "maximal zulässiger Tankfüllungsgrad in %", which made it possible to use the definition "Füllungsgrad (Ladetank)" for liquids and the previous definition "Füllungsgrad" for gases, which referred to gases. As the second definition has now been changed to "filling factor", this interpretation is no longer possible. It is therefore necessary to clarify what column 11 refers to.</w:t>
      </w:r>
    </w:p>
    <w:p w14:paraId="008F8513" w14:textId="77777777" w:rsidR="005E700E" w:rsidRPr="00DA755E" w:rsidRDefault="005E700E" w:rsidP="005E700E">
      <w:pPr>
        <w:pStyle w:val="SingleTxtG"/>
        <w:rPr>
          <w:lang w:val="en-US"/>
        </w:rPr>
      </w:pPr>
      <w:r>
        <w:rPr>
          <w:lang w:val="en-US"/>
        </w:rPr>
        <w:t>4.</w:t>
      </w:r>
      <w:r>
        <w:rPr>
          <w:lang w:val="en-US"/>
        </w:rPr>
        <w:tab/>
        <w:t>In the English version Table C uses “maximum degree of filling in %” while 1.2.1 is containing definitions for “Fillig ratio” (for gases) and “Filling ratio (cargo tanks)”. In the French version Table C uses “</w:t>
      </w:r>
      <w:r w:rsidRPr="00DA755E">
        <w:rPr>
          <w:lang w:val="en-US"/>
        </w:rPr>
        <w:t>Degré maximal de remplissage</w:t>
      </w:r>
      <w:r>
        <w:rPr>
          <w:lang w:val="en-US"/>
        </w:rPr>
        <w:t xml:space="preserve"> </w:t>
      </w:r>
      <w:r w:rsidRPr="00DA755E">
        <w:rPr>
          <w:lang w:val="en-US"/>
        </w:rPr>
        <w:t>en %</w:t>
      </w:r>
      <w:r>
        <w:rPr>
          <w:lang w:val="en-US"/>
        </w:rPr>
        <w:t>” while 1.2.1 is containing definitions for “</w:t>
      </w:r>
      <w:r w:rsidRPr="00111E65">
        <w:rPr>
          <w:lang w:val="en-US"/>
        </w:rPr>
        <w:t>Taux de remplissage</w:t>
      </w:r>
      <w:r>
        <w:rPr>
          <w:lang w:val="en-US"/>
        </w:rPr>
        <w:t>” (for gases) and “</w:t>
      </w:r>
      <w:r w:rsidRPr="00111E65">
        <w:rPr>
          <w:lang w:val="en-US"/>
        </w:rPr>
        <w:t>Taux de remplissage (citerne à cargaison)</w:t>
      </w:r>
      <w:r>
        <w:rPr>
          <w:lang w:val="en-US"/>
        </w:rPr>
        <w:t>”. A clarification is needed in both languages.</w:t>
      </w:r>
    </w:p>
    <w:p w14:paraId="61666D05" w14:textId="77777777" w:rsidR="005E700E" w:rsidRDefault="005E700E" w:rsidP="005E700E">
      <w:pPr>
        <w:pStyle w:val="SingleTxtG"/>
        <w:rPr>
          <w:lang w:val="en-US"/>
        </w:rPr>
      </w:pPr>
      <w:r>
        <w:rPr>
          <w:lang w:val="en-US"/>
        </w:rPr>
        <w:t>5.</w:t>
      </w:r>
      <w:r>
        <w:rPr>
          <w:lang w:val="en-US"/>
        </w:rPr>
        <w:tab/>
      </w:r>
      <w:r w:rsidRPr="00DA755E">
        <w:rPr>
          <w:lang w:val="en-US"/>
        </w:rPr>
        <w:t>It should also be clarified for all other references to the terms mentioned which of the new terms is actually meant.</w:t>
      </w:r>
    </w:p>
    <w:p w14:paraId="6045067E" w14:textId="6468DBF3" w:rsidR="005E700E" w:rsidRPr="009D575C" w:rsidRDefault="005E700E" w:rsidP="005E700E">
      <w:pPr>
        <w:pStyle w:val="HChG"/>
      </w:pPr>
      <w:bookmarkStart w:id="1" w:name="_Hlk152842019"/>
      <w:r w:rsidRPr="009D575C">
        <w:tab/>
        <w:t>I.</w:t>
      </w:r>
      <w:r w:rsidRPr="009D575C">
        <w:tab/>
        <w:t>Proposal</w:t>
      </w:r>
    </w:p>
    <w:bookmarkEnd w:id="1"/>
    <w:p w14:paraId="4B216F9E" w14:textId="77777777" w:rsidR="00E06D8C" w:rsidRDefault="004E3582" w:rsidP="00931AFE">
      <w:pPr>
        <w:pStyle w:val="SingleTxtG"/>
      </w:pPr>
      <w:r w:rsidRPr="00777E3E">
        <w:t>6.</w:t>
      </w:r>
      <w:r w:rsidRPr="00777E3E">
        <w:tab/>
      </w:r>
      <w:r w:rsidR="005E700E" w:rsidRPr="00777E3E">
        <w:t>1.2.1</w:t>
      </w:r>
      <w:r w:rsidR="009C1983" w:rsidRPr="00777E3E">
        <w:t>.</w:t>
      </w:r>
      <w:r w:rsidR="005E700E" w:rsidRPr="00777E3E">
        <w:t xml:space="preserve"> Definition of "</w:t>
      </w:r>
      <w:r w:rsidR="005E700E" w:rsidRPr="00777E3E">
        <w:rPr>
          <w:i/>
        </w:rPr>
        <w:t>degree of filling</w:t>
      </w:r>
      <w:r w:rsidR="005E700E" w:rsidRPr="00777E3E">
        <w:t>"</w:t>
      </w:r>
      <w:r w:rsidR="00777E3E">
        <w:t xml:space="preserve"> </w:t>
      </w:r>
      <w:r w:rsidR="005E700E" w:rsidRPr="00777E3E">
        <w:t xml:space="preserve">add the following remark: </w:t>
      </w:r>
    </w:p>
    <w:p w14:paraId="5317087B" w14:textId="71E72272" w:rsidR="005E700E" w:rsidRPr="00777E3E" w:rsidRDefault="005E700E" w:rsidP="00931AFE">
      <w:pPr>
        <w:pStyle w:val="SingleTxtG"/>
      </w:pPr>
      <w:r w:rsidRPr="00777E3E">
        <w:t>"</w:t>
      </w:r>
      <w:r w:rsidRPr="00777E3E">
        <w:rPr>
          <w:b/>
        </w:rPr>
        <w:t>Note</w:t>
      </w:r>
      <w:r w:rsidRPr="00777E3E">
        <w:t>: For the degree of filling of cargo tanks, see degree of filling of a cargo tank."</w:t>
      </w:r>
    </w:p>
    <w:p w14:paraId="35AD486D" w14:textId="3EF00E9D" w:rsidR="005E700E" w:rsidRPr="009D575C" w:rsidRDefault="005306DF" w:rsidP="00931AFE">
      <w:pPr>
        <w:pStyle w:val="SingleTxtG"/>
      </w:pPr>
      <w:r w:rsidRPr="009D575C">
        <w:t>7.</w:t>
      </w:r>
      <w:r w:rsidR="005E700E" w:rsidRPr="009D575C">
        <w:tab/>
        <w:t>1.2.1</w:t>
      </w:r>
      <w:r w:rsidRPr="009D575C">
        <w:t>.</w:t>
      </w:r>
      <w:r w:rsidR="005E700E" w:rsidRPr="009D575C">
        <w:t xml:space="preserve"> The definition "</w:t>
      </w:r>
      <w:r w:rsidR="005E700E" w:rsidRPr="009D575C">
        <w:rPr>
          <w:i/>
        </w:rPr>
        <w:t>filling ratio (cargo tanks)</w:t>
      </w:r>
      <w:r w:rsidR="005E700E" w:rsidRPr="009D575C">
        <w:t>" is replaced by: "</w:t>
      </w:r>
      <w:r w:rsidR="005E700E" w:rsidRPr="009D575C">
        <w:rPr>
          <w:i/>
        </w:rPr>
        <w:t>degree of filling of a cargo tank</w:t>
      </w:r>
      <w:r w:rsidR="005E700E" w:rsidRPr="009D575C">
        <w:t xml:space="preserve">: if a filling ratio is specified for cargo tanks for the carriage of liquid or molten substances, this refers to the percentage of the cargo tank volume that is filled with liquid. For the carriage of gases in pressurised tanks, the cargo tank filling factor is the ratio between the mass of gas and the mass of water at 15 °C that would completely fill the pressurised tank, which corresponds to a </w:t>
      </w:r>
      <w:r w:rsidR="005E700E" w:rsidRPr="009D575C">
        <w:rPr>
          <w:i/>
        </w:rPr>
        <w:t>filling ratio</w:t>
      </w:r>
      <w:r w:rsidR="005E700E" w:rsidRPr="009D575C">
        <w:t>.".</w:t>
      </w:r>
    </w:p>
    <w:p w14:paraId="53C04D18" w14:textId="78805826" w:rsidR="005E700E" w:rsidRPr="009D575C" w:rsidRDefault="005306DF" w:rsidP="00931AFE">
      <w:pPr>
        <w:pStyle w:val="SingleTxtG"/>
      </w:pPr>
      <w:r w:rsidRPr="009D575C">
        <w:t>8.</w:t>
      </w:r>
      <w:r w:rsidR="005E700E" w:rsidRPr="009D575C">
        <w:tab/>
        <w:t>1.6.7.2.2.2: In the transitional provision for 9.3.3.21.1 b), "degree of filling" is replaced by "degree of filling of a cargo tank".</w:t>
      </w:r>
    </w:p>
    <w:p w14:paraId="135A8736" w14:textId="47057A66" w:rsidR="005E700E" w:rsidRPr="009D575C" w:rsidRDefault="005306DF" w:rsidP="00931AFE">
      <w:pPr>
        <w:pStyle w:val="SingleTxtG"/>
      </w:pPr>
      <w:r w:rsidRPr="009D575C">
        <w:t>9.</w:t>
      </w:r>
      <w:r w:rsidR="005E700E" w:rsidRPr="009D575C">
        <w:tab/>
        <w:t>2.2.2.1.1: “filling ratio” is replaced by “filling ratio, degree of filling of a cargo tank”.</w:t>
      </w:r>
    </w:p>
    <w:p w14:paraId="1301CEE7" w14:textId="3178A986" w:rsidR="005E700E" w:rsidRPr="009D575C" w:rsidRDefault="005306DF" w:rsidP="00931AFE">
      <w:pPr>
        <w:pStyle w:val="SingleTxtG"/>
      </w:pPr>
      <w:r w:rsidRPr="009D575C">
        <w:t>10.</w:t>
      </w:r>
      <w:r w:rsidR="005E700E" w:rsidRPr="009D575C">
        <w:tab/>
        <w:t>3.2.3.1</w:t>
      </w:r>
      <w:r w:rsidR="00BE1DC4" w:rsidRPr="009D575C">
        <w:t>.</w:t>
      </w:r>
      <w:r w:rsidR="005E700E" w:rsidRPr="009D575C">
        <w:t xml:space="preserve"> Explanatory note to column (11)</w:t>
      </w:r>
      <w:r w:rsidR="00BE1DC4" w:rsidRPr="009D575C">
        <w:t>.</w:t>
      </w:r>
      <w:r w:rsidR="00D06B39">
        <w:t xml:space="preserve"> </w:t>
      </w:r>
      <w:r w:rsidR="005E700E" w:rsidRPr="009D575C">
        <w:t>In the heading, “degree of filling” is replaced by "degree of filling of a cargo tank".</w:t>
      </w:r>
    </w:p>
    <w:p w14:paraId="476B34CE" w14:textId="7D0C3B3D" w:rsidR="005E700E" w:rsidRPr="009D575C" w:rsidRDefault="005306DF" w:rsidP="00931AFE">
      <w:pPr>
        <w:pStyle w:val="SingleTxtG"/>
      </w:pPr>
      <w:r w:rsidRPr="009D575C">
        <w:t>11.</w:t>
      </w:r>
      <w:r w:rsidR="005E700E" w:rsidRPr="009D575C">
        <w:tab/>
        <w:t>3.2.3.1</w:t>
      </w:r>
      <w:r w:rsidR="002E2566" w:rsidRPr="009D575C">
        <w:t>.</w:t>
      </w:r>
      <w:r w:rsidR="005E700E" w:rsidRPr="009D575C">
        <w:t xml:space="preserve"> Explanatory note no. 42 to column (20)</w:t>
      </w:r>
      <w:r w:rsidR="00D06B39">
        <w:t xml:space="preserve"> </w:t>
      </w:r>
      <w:r w:rsidR="005E700E" w:rsidRPr="009D575C">
        <w:t>"degree of filling" is changed to "degree of filling of a cargo tank".</w:t>
      </w:r>
    </w:p>
    <w:p w14:paraId="76D5A836" w14:textId="594990E3" w:rsidR="005E700E" w:rsidRPr="009D575C" w:rsidRDefault="002E2566" w:rsidP="00931AFE">
      <w:pPr>
        <w:pStyle w:val="SingleTxtG"/>
      </w:pPr>
      <w:r w:rsidRPr="009D575C">
        <w:t>12.</w:t>
      </w:r>
      <w:r w:rsidR="005E700E" w:rsidRPr="009D575C">
        <w:tab/>
        <w:t>3.2.3.2</w:t>
      </w:r>
      <w:r w:rsidR="005551FD" w:rsidRPr="009D575C">
        <w:t>.</w:t>
      </w:r>
      <w:r w:rsidR="005E700E" w:rsidRPr="009D575C">
        <w:t xml:space="preserve"> Table C, heading of column (11): "Maximum degree of filling in %". Replaced by "Maximum degree of filling of a cargo tank in %".</w:t>
      </w:r>
    </w:p>
    <w:p w14:paraId="7DA3169A" w14:textId="4EBA033E" w:rsidR="005E700E" w:rsidRPr="009D575C" w:rsidRDefault="005551FD" w:rsidP="00931AFE">
      <w:pPr>
        <w:pStyle w:val="SingleTxtG"/>
      </w:pPr>
      <w:r w:rsidRPr="009D575C">
        <w:t>13.</w:t>
      </w:r>
      <w:r w:rsidR="005E700E" w:rsidRPr="009D575C">
        <w:tab/>
        <w:t>3.3.1</w:t>
      </w:r>
      <w:r w:rsidR="00875975" w:rsidRPr="009D575C">
        <w:t>.</w:t>
      </w:r>
      <w:r w:rsidR="005E700E" w:rsidRPr="009D575C">
        <w:t xml:space="preserve"> </w:t>
      </w:r>
      <w:r w:rsidR="00EB193E">
        <w:t>Special Provision</w:t>
      </w:r>
      <w:r w:rsidR="00EB193E" w:rsidRPr="009D575C">
        <w:t xml:space="preserve"> </w:t>
      </w:r>
      <w:r w:rsidR="005E700E" w:rsidRPr="009D575C">
        <w:t>392 letter f): (does not apply to the English version)</w:t>
      </w:r>
    </w:p>
    <w:p w14:paraId="74A6FCDD" w14:textId="51ACF667" w:rsidR="005E700E" w:rsidRPr="00E45029" w:rsidRDefault="00875975" w:rsidP="00931AFE">
      <w:pPr>
        <w:pStyle w:val="SingleTxtG"/>
        <w:rPr>
          <w:lang w:val="en-US"/>
        </w:rPr>
      </w:pPr>
      <w:r>
        <w:rPr>
          <w:lang w:val="en-US"/>
        </w:rPr>
        <w:t>14.</w:t>
      </w:r>
      <w:r w:rsidR="005E700E">
        <w:rPr>
          <w:lang w:val="en-US"/>
        </w:rPr>
        <w:tab/>
      </w:r>
      <w:r w:rsidR="005E700E" w:rsidRPr="00E45029">
        <w:rPr>
          <w:lang w:val="en-US"/>
        </w:rPr>
        <w:t>7.2.4.16.17, third indent: "</w:t>
      </w:r>
      <w:r w:rsidR="005E700E">
        <w:rPr>
          <w:lang w:val="en-US"/>
        </w:rPr>
        <w:t>degree of f</w:t>
      </w:r>
      <w:r w:rsidR="005E700E" w:rsidRPr="00E45029">
        <w:rPr>
          <w:lang w:val="en-US"/>
        </w:rPr>
        <w:t>illing" is replaced by "</w:t>
      </w:r>
      <w:r w:rsidR="005E700E">
        <w:rPr>
          <w:lang w:val="en-US"/>
        </w:rPr>
        <w:t>degree of f</w:t>
      </w:r>
      <w:r w:rsidR="005E700E" w:rsidRPr="00E45029">
        <w:rPr>
          <w:lang w:val="en-US"/>
        </w:rPr>
        <w:t xml:space="preserve">illing of </w:t>
      </w:r>
      <w:r w:rsidR="005E700E">
        <w:rPr>
          <w:lang w:val="en-US"/>
        </w:rPr>
        <w:t>a</w:t>
      </w:r>
      <w:r w:rsidR="005E700E" w:rsidRPr="00E45029">
        <w:rPr>
          <w:lang w:val="en-US"/>
        </w:rPr>
        <w:t xml:space="preserve"> cargo tank".</w:t>
      </w:r>
    </w:p>
    <w:p w14:paraId="453FB248" w14:textId="7AD92336" w:rsidR="005E700E" w:rsidRPr="00E45029" w:rsidRDefault="00D91C07" w:rsidP="00931AFE">
      <w:pPr>
        <w:pStyle w:val="SingleTxtG"/>
        <w:rPr>
          <w:lang w:val="en-US"/>
        </w:rPr>
      </w:pPr>
      <w:r>
        <w:rPr>
          <w:lang w:val="en-US"/>
        </w:rPr>
        <w:t>15.</w:t>
      </w:r>
      <w:r w:rsidR="005E700E" w:rsidRPr="00E45029">
        <w:rPr>
          <w:lang w:val="en-US"/>
        </w:rPr>
        <w:tab/>
        <w:t>7.2.4.21.1: "</w:t>
      </w:r>
      <w:r w:rsidR="005E700E" w:rsidRPr="00C64738">
        <w:rPr>
          <w:lang w:val="en-US"/>
        </w:rPr>
        <w:t>The degree of filling given in column (11) of Table C of Chapter 3.2 or calculated in accordance with 7.2.4.21.3 for the individual cargo tank shall not be exceeded.</w:t>
      </w:r>
      <w:r w:rsidR="005E700E" w:rsidRPr="00E45029">
        <w:rPr>
          <w:lang w:val="en-US"/>
        </w:rPr>
        <w:t>" is replaced by "</w:t>
      </w:r>
      <w:r w:rsidR="005E700E" w:rsidRPr="004A0B7B">
        <w:rPr>
          <w:lang w:val="en-US"/>
        </w:rPr>
        <w:t>The degree of filling of a cargo tank given in column (11) of Table C of Chapter 3.2 or calculated in accordance with 7.2.4.21.3 shall not be exceeded.</w:t>
      </w:r>
      <w:r w:rsidR="005E700E" w:rsidRPr="00E45029">
        <w:rPr>
          <w:lang w:val="en-US"/>
        </w:rPr>
        <w:t>".</w:t>
      </w:r>
    </w:p>
    <w:p w14:paraId="37A741B5" w14:textId="07BFA187" w:rsidR="005E700E" w:rsidRPr="00E45029" w:rsidRDefault="00D91C07" w:rsidP="00931AFE">
      <w:pPr>
        <w:pStyle w:val="SingleTxtG"/>
        <w:rPr>
          <w:lang w:val="en-US"/>
        </w:rPr>
      </w:pPr>
      <w:r>
        <w:rPr>
          <w:lang w:val="en-US"/>
        </w:rPr>
        <w:t>16.</w:t>
      </w:r>
      <w:r w:rsidR="005E700E" w:rsidRPr="00E45029">
        <w:rPr>
          <w:lang w:val="en-US"/>
        </w:rPr>
        <w:tab/>
        <w:t>7.2.4.21.2: "</w:t>
      </w:r>
      <w:r w:rsidR="005E700E">
        <w:rPr>
          <w:lang w:val="en-US"/>
        </w:rPr>
        <w:t>degree of f</w:t>
      </w:r>
      <w:r w:rsidR="005E700E" w:rsidRPr="00E45029">
        <w:rPr>
          <w:lang w:val="en-US"/>
        </w:rPr>
        <w:t>illing" is replaced by "</w:t>
      </w:r>
      <w:r w:rsidR="005E700E">
        <w:rPr>
          <w:lang w:val="en-US"/>
        </w:rPr>
        <w:t>degree of f</w:t>
      </w:r>
      <w:r w:rsidR="005E700E" w:rsidRPr="00E45029">
        <w:rPr>
          <w:lang w:val="en-US"/>
        </w:rPr>
        <w:t xml:space="preserve">illing of </w:t>
      </w:r>
      <w:r w:rsidR="005E700E">
        <w:rPr>
          <w:lang w:val="en-US"/>
        </w:rPr>
        <w:t>a</w:t>
      </w:r>
      <w:r w:rsidR="005E700E" w:rsidRPr="00E45029">
        <w:rPr>
          <w:lang w:val="en-US"/>
        </w:rPr>
        <w:t xml:space="preserve"> cargo tank" (twice).</w:t>
      </w:r>
    </w:p>
    <w:p w14:paraId="07A38448" w14:textId="695B3B29" w:rsidR="00F348C9" w:rsidRDefault="00D91C07" w:rsidP="00931AFE">
      <w:pPr>
        <w:pStyle w:val="SingleTxtG"/>
      </w:pPr>
      <w:r>
        <w:t>17.</w:t>
      </w:r>
      <w:r w:rsidR="005E700E" w:rsidRPr="00F348C9">
        <w:tab/>
        <w:t>7.2.4.21.3 already refers to "degree of filling of the cargo tank" in the introductory sentence. In the following and in 7.2.4.21.4, "degree of filling" is used. As the term here is clearly linked to the introductory sentence, it does not appear necessary to replace it each time with "degree of filling of the cargo tank".</w:t>
      </w:r>
    </w:p>
    <w:p w14:paraId="13EB3706" w14:textId="3D5205EF" w:rsidR="005E700E" w:rsidRPr="00E45029" w:rsidRDefault="006F0C97" w:rsidP="00931AFE">
      <w:pPr>
        <w:pStyle w:val="SingleTxtG"/>
        <w:rPr>
          <w:lang w:val="en-US"/>
        </w:rPr>
      </w:pPr>
      <w:r>
        <w:rPr>
          <w:lang w:val="en-US"/>
        </w:rPr>
        <w:lastRenderedPageBreak/>
        <w:t>18.</w:t>
      </w:r>
      <w:r>
        <w:rPr>
          <w:lang w:val="en-US"/>
        </w:rPr>
        <w:tab/>
      </w:r>
      <w:r w:rsidR="005E700E" w:rsidRPr="00E45029">
        <w:rPr>
          <w:lang w:val="en-US"/>
        </w:rPr>
        <w:t>8.2.2.3.3.1: "</w:t>
      </w:r>
      <w:r w:rsidR="005E700E">
        <w:rPr>
          <w:lang w:val="en-US"/>
        </w:rPr>
        <w:t>degree of f</w:t>
      </w:r>
      <w:r w:rsidR="005E700E" w:rsidRPr="00E45029">
        <w:rPr>
          <w:lang w:val="en-US"/>
        </w:rPr>
        <w:t>illing" is replaced by "</w:t>
      </w:r>
      <w:r w:rsidR="005E700E">
        <w:rPr>
          <w:lang w:val="en-US"/>
        </w:rPr>
        <w:t>degree of f</w:t>
      </w:r>
      <w:r w:rsidR="005E700E" w:rsidRPr="00E45029">
        <w:rPr>
          <w:lang w:val="en-US"/>
        </w:rPr>
        <w:t xml:space="preserve">illing of </w:t>
      </w:r>
      <w:r w:rsidR="005E700E">
        <w:rPr>
          <w:lang w:val="en-US"/>
        </w:rPr>
        <w:t>a</w:t>
      </w:r>
      <w:r w:rsidR="005E700E" w:rsidRPr="00E45029">
        <w:rPr>
          <w:lang w:val="en-US"/>
        </w:rPr>
        <w:t xml:space="preserve"> cargo tank" (twice).</w:t>
      </w:r>
    </w:p>
    <w:p w14:paraId="41AA9854" w14:textId="2D28E129" w:rsidR="005E700E" w:rsidRPr="00E45029" w:rsidRDefault="006F0C97" w:rsidP="00931AFE">
      <w:pPr>
        <w:pStyle w:val="SingleTxtG"/>
        <w:rPr>
          <w:lang w:val="en-US"/>
        </w:rPr>
      </w:pPr>
      <w:r>
        <w:rPr>
          <w:lang w:val="en-US"/>
        </w:rPr>
        <w:t>19.</w:t>
      </w:r>
      <w:r w:rsidR="005E700E" w:rsidRPr="00E45029">
        <w:rPr>
          <w:lang w:val="en-US"/>
        </w:rPr>
        <w:tab/>
        <w:t>8.2.2.3.3.2: "</w:t>
      </w:r>
      <w:r w:rsidR="005E700E">
        <w:rPr>
          <w:lang w:val="en-US"/>
        </w:rPr>
        <w:t>degree of f</w:t>
      </w:r>
      <w:r w:rsidR="005E700E" w:rsidRPr="00E45029">
        <w:rPr>
          <w:lang w:val="en-US"/>
        </w:rPr>
        <w:t>illing" is replaced by "</w:t>
      </w:r>
      <w:r w:rsidR="005E700E">
        <w:rPr>
          <w:lang w:val="en-US"/>
        </w:rPr>
        <w:t>degree of f</w:t>
      </w:r>
      <w:r w:rsidR="005E700E" w:rsidRPr="00E45029">
        <w:rPr>
          <w:lang w:val="en-US"/>
        </w:rPr>
        <w:t xml:space="preserve">illing of </w:t>
      </w:r>
      <w:r w:rsidR="005E700E">
        <w:rPr>
          <w:lang w:val="en-US"/>
        </w:rPr>
        <w:t>a</w:t>
      </w:r>
      <w:r w:rsidR="005E700E" w:rsidRPr="00E45029">
        <w:rPr>
          <w:lang w:val="en-US"/>
        </w:rPr>
        <w:t xml:space="preserve"> cargo tank" (twice).</w:t>
      </w:r>
    </w:p>
    <w:p w14:paraId="48A29C5E" w14:textId="74CEF2C7" w:rsidR="005E700E" w:rsidRPr="00E45029" w:rsidRDefault="006F0C97" w:rsidP="00931AFE">
      <w:pPr>
        <w:pStyle w:val="SingleTxtG"/>
        <w:rPr>
          <w:lang w:val="en-US"/>
        </w:rPr>
      </w:pPr>
      <w:r>
        <w:rPr>
          <w:lang w:val="en-US"/>
        </w:rPr>
        <w:t>20.</w:t>
      </w:r>
      <w:r w:rsidR="005E700E" w:rsidRPr="00E45029">
        <w:rPr>
          <w:lang w:val="en-US"/>
        </w:rPr>
        <w:tab/>
        <w:t xml:space="preserve">9.1.0.40.2.10, 9.1.0.40.2.11, 9.1.0.40.2.13, 9.3.x.40.2.10, 9.3.x.40.2.11, 9.3.x.40.2.13: </w:t>
      </w:r>
      <w:r w:rsidR="005E700E">
        <w:rPr>
          <w:lang w:val="en-US"/>
        </w:rPr>
        <w:t>(does not apply to the English version)</w:t>
      </w:r>
    </w:p>
    <w:p w14:paraId="2155916D" w14:textId="7F3BD3BA" w:rsidR="005E700E" w:rsidRDefault="006F0C97" w:rsidP="00931AFE">
      <w:pPr>
        <w:pStyle w:val="SingleTxtG"/>
        <w:rPr>
          <w:lang w:val="en-US"/>
        </w:rPr>
      </w:pPr>
      <w:r>
        <w:rPr>
          <w:lang w:val="en-US"/>
        </w:rPr>
        <w:t>21</w:t>
      </w:r>
      <w:r w:rsidR="00A7427D">
        <w:rPr>
          <w:lang w:val="en-US"/>
        </w:rPr>
        <w:t>.</w:t>
      </w:r>
      <w:r w:rsidR="005E700E">
        <w:rPr>
          <w:lang w:val="en-US"/>
        </w:rPr>
        <w:tab/>
        <w:t>9.3.1.21.1 (c) and (d): "degree of filling" is replaced by "</w:t>
      </w:r>
      <w:r w:rsidR="005E700E" w:rsidRPr="00601788">
        <w:rPr>
          <w:lang w:val="en-US"/>
        </w:rPr>
        <w:t>degree of filling of the cargo tank".</w:t>
      </w:r>
    </w:p>
    <w:p w14:paraId="6AB8BCD1" w14:textId="3CC7213F" w:rsidR="005E700E" w:rsidRPr="00E45029" w:rsidRDefault="00A7427D" w:rsidP="00931AFE">
      <w:pPr>
        <w:pStyle w:val="SingleTxtG"/>
        <w:rPr>
          <w:lang w:val="en-US"/>
        </w:rPr>
      </w:pPr>
      <w:r>
        <w:rPr>
          <w:lang w:val="en-US"/>
        </w:rPr>
        <w:t>22.</w:t>
      </w:r>
      <w:r w:rsidR="005E700E" w:rsidRPr="00E45029">
        <w:rPr>
          <w:lang w:val="en-US"/>
        </w:rPr>
        <w:tab/>
        <w:t xml:space="preserve">9.3.1.21.2: "degree of filling" is replaced by "degree of filling of </w:t>
      </w:r>
      <w:r w:rsidR="005E700E">
        <w:rPr>
          <w:lang w:val="en-US"/>
        </w:rPr>
        <w:t>a</w:t>
      </w:r>
      <w:r w:rsidR="005E700E" w:rsidRPr="00E45029">
        <w:rPr>
          <w:lang w:val="en-US"/>
        </w:rPr>
        <w:t xml:space="preserve"> cargo tank".</w:t>
      </w:r>
    </w:p>
    <w:p w14:paraId="4C307CEF" w14:textId="5DDEFE0A" w:rsidR="005E700E" w:rsidRPr="00701F24" w:rsidRDefault="00A7427D" w:rsidP="00931AFE">
      <w:pPr>
        <w:pStyle w:val="SingleTxtG"/>
        <w:rPr>
          <w:lang w:val="en-US"/>
        </w:rPr>
      </w:pPr>
      <w:r>
        <w:rPr>
          <w:lang w:val="en-US"/>
        </w:rPr>
        <w:t>23.</w:t>
      </w:r>
      <w:r w:rsidR="005E700E" w:rsidRPr="00E45029">
        <w:rPr>
          <w:lang w:val="en-US"/>
        </w:rPr>
        <w:tab/>
      </w:r>
      <w:r w:rsidR="005E700E" w:rsidRPr="00701F24">
        <w:rPr>
          <w:lang w:val="en-US"/>
        </w:rPr>
        <w:t>9.3.2.21.1 (a): "</w:t>
      </w:r>
      <w:r w:rsidR="005E700E">
        <w:rPr>
          <w:lang w:val="en-US"/>
        </w:rPr>
        <w:t>liquid level</w:t>
      </w:r>
      <w:r w:rsidR="005E700E" w:rsidRPr="00701F24">
        <w:rPr>
          <w:lang w:val="en-US"/>
        </w:rPr>
        <w:t>" is replaced by "degree of</w:t>
      </w:r>
      <w:r w:rsidR="005E700E">
        <w:rPr>
          <w:lang w:val="en-US"/>
        </w:rPr>
        <w:t xml:space="preserve"> filling of the cargo tank";</w:t>
      </w:r>
    </w:p>
    <w:p w14:paraId="7B35C2F3" w14:textId="65B91BB5" w:rsidR="005E700E" w:rsidRDefault="00A7427D" w:rsidP="00931AFE">
      <w:pPr>
        <w:pStyle w:val="SingleTxtG"/>
        <w:rPr>
          <w:lang w:val="en-US"/>
        </w:rPr>
      </w:pPr>
      <w:r>
        <w:rPr>
          <w:lang w:val="en-US"/>
        </w:rPr>
        <w:t>24.</w:t>
      </w:r>
      <w:r w:rsidR="005E700E" w:rsidRPr="00701F24">
        <w:rPr>
          <w:lang w:val="en-US"/>
        </w:rPr>
        <w:tab/>
        <w:t>9.3.2.21.1 (c) and (d): "</w:t>
      </w:r>
      <w:r w:rsidR="005E700E">
        <w:rPr>
          <w:lang w:val="en-US"/>
        </w:rPr>
        <w:t>degree of filling</w:t>
      </w:r>
      <w:r w:rsidR="005E700E" w:rsidRPr="00701F24">
        <w:rPr>
          <w:lang w:val="en-US"/>
        </w:rPr>
        <w:t xml:space="preserve">" is replaced by "degree of filling of </w:t>
      </w:r>
      <w:r w:rsidR="005E700E">
        <w:rPr>
          <w:lang w:val="en-US"/>
        </w:rPr>
        <w:t>a</w:t>
      </w:r>
      <w:r w:rsidR="005E700E" w:rsidRPr="00701F24">
        <w:rPr>
          <w:lang w:val="en-US"/>
        </w:rPr>
        <w:t xml:space="preserve"> cargo tank".</w:t>
      </w:r>
    </w:p>
    <w:p w14:paraId="5884D438" w14:textId="000A9044" w:rsidR="005E700E" w:rsidRPr="00E45029" w:rsidRDefault="00A7427D" w:rsidP="00931AFE">
      <w:pPr>
        <w:pStyle w:val="SingleTxtG"/>
        <w:rPr>
          <w:lang w:val="en-US"/>
        </w:rPr>
      </w:pPr>
      <w:r>
        <w:rPr>
          <w:lang w:val="en-US"/>
        </w:rPr>
        <w:t>25.</w:t>
      </w:r>
      <w:r w:rsidR="005E700E" w:rsidRPr="00701F24">
        <w:rPr>
          <w:lang w:val="en-US"/>
        </w:rPr>
        <w:tab/>
      </w:r>
      <w:r w:rsidR="005E700E" w:rsidRPr="00E45029">
        <w:rPr>
          <w:lang w:val="en-US"/>
        </w:rPr>
        <w:t>9.3.2.21.2: "degree of filling" is replaced by "degree of filling of the cargo tank".</w:t>
      </w:r>
    </w:p>
    <w:p w14:paraId="7ACE5091" w14:textId="3EB2A897" w:rsidR="005E700E" w:rsidRPr="00701F24" w:rsidRDefault="00A7427D" w:rsidP="00931AFE">
      <w:pPr>
        <w:pStyle w:val="SingleTxtG"/>
        <w:rPr>
          <w:lang w:val="en-US"/>
        </w:rPr>
      </w:pPr>
      <w:r>
        <w:rPr>
          <w:lang w:val="en-US"/>
        </w:rPr>
        <w:t>26.</w:t>
      </w:r>
      <w:r w:rsidR="005E700E" w:rsidRPr="00E45029">
        <w:rPr>
          <w:lang w:val="en-US"/>
        </w:rPr>
        <w:tab/>
      </w:r>
      <w:r w:rsidR="005E700E">
        <w:rPr>
          <w:lang w:val="en-US"/>
        </w:rPr>
        <w:t>9.3.3</w:t>
      </w:r>
      <w:r w:rsidR="005E700E" w:rsidRPr="00701F24">
        <w:rPr>
          <w:lang w:val="en-US"/>
        </w:rPr>
        <w:t>.21.1 (a): "</w:t>
      </w:r>
      <w:r w:rsidR="005E700E">
        <w:rPr>
          <w:lang w:val="en-US"/>
        </w:rPr>
        <w:t>liquid level</w:t>
      </w:r>
      <w:r w:rsidR="005E700E" w:rsidRPr="00701F24">
        <w:rPr>
          <w:lang w:val="en-US"/>
        </w:rPr>
        <w:t>" is replaced by "degree of</w:t>
      </w:r>
      <w:r w:rsidR="005E700E">
        <w:rPr>
          <w:lang w:val="en-US"/>
        </w:rPr>
        <w:t xml:space="preserve"> filling of the cargo tank";</w:t>
      </w:r>
    </w:p>
    <w:p w14:paraId="57F5BDEA" w14:textId="5C5DBCF7" w:rsidR="005E700E" w:rsidRDefault="00A7427D" w:rsidP="00931AFE">
      <w:pPr>
        <w:pStyle w:val="SingleTxtG"/>
        <w:rPr>
          <w:lang w:val="en-US"/>
        </w:rPr>
      </w:pPr>
      <w:r>
        <w:rPr>
          <w:lang w:val="en-US"/>
        </w:rPr>
        <w:t>27.</w:t>
      </w:r>
      <w:r w:rsidR="005E700E">
        <w:rPr>
          <w:lang w:val="en-US"/>
        </w:rPr>
        <w:tab/>
        <w:t>9.3.3</w:t>
      </w:r>
      <w:r w:rsidR="005E700E" w:rsidRPr="00701F24">
        <w:rPr>
          <w:lang w:val="en-US"/>
        </w:rPr>
        <w:t>.21.1 (c) and (d): "</w:t>
      </w:r>
      <w:r w:rsidR="005E700E">
        <w:rPr>
          <w:lang w:val="en-US"/>
        </w:rPr>
        <w:t>degree of filling</w:t>
      </w:r>
      <w:r w:rsidR="005E700E" w:rsidRPr="00701F24">
        <w:rPr>
          <w:lang w:val="en-US"/>
        </w:rPr>
        <w:t xml:space="preserve">" is replaced by "degree of filling of </w:t>
      </w:r>
      <w:r w:rsidR="005E700E">
        <w:rPr>
          <w:lang w:val="en-US"/>
        </w:rPr>
        <w:t>a</w:t>
      </w:r>
      <w:r w:rsidR="005E700E" w:rsidRPr="00701F24">
        <w:rPr>
          <w:lang w:val="en-US"/>
        </w:rPr>
        <w:t xml:space="preserve"> cargo tank".</w:t>
      </w:r>
    </w:p>
    <w:p w14:paraId="0983A1F0" w14:textId="5A4EB791" w:rsidR="005E700E" w:rsidRPr="007817D1" w:rsidRDefault="00A7427D" w:rsidP="00931AFE">
      <w:pPr>
        <w:pStyle w:val="SingleTxtG"/>
        <w:rPr>
          <w:lang w:val="en-US"/>
        </w:rPr>
      </w:pPr>
      <w:r>
        <w:rPr>
          <w:lang w:val="en-US"/>
        </w:rPr>
        <w:t>28.</w:t>
      </w:r>
      <w:r w:rsidR="005E700E">
        <w:rPr>
          <w:lang w:val="en-US"/>
        </w:rPr>
        <w:tab/>
      </w:r>
      <w:r w:rsidR="005E700E" w:rsidRPr="00E45029">
        <w:rPr>
          <w:lang w:val="en-US"/>
        </w:rPr>
        <w:t>9.3.3.21.2: "Filling level" is replaced by "Filling level of the cargo tank".</w:t>
      </w:r>
    </w:p>
    <w:p w14:paraId="79E79AB2" w14:textId="145C8F67" w:rsidR="005E700E" w:rsidRPr="00504B41" w:rsidRDefault="00931AFE" w:rsidP="00931AFE">
      <w:pPr>
        <w:pStyle w:val="HChG"/>
        <w:rPr>
          <w:lang w:val="en-US"/>
        </w:rPr>
      </w:pPr>
      <w:bookmarkStart w:id="2" w:name="_Hlk152842107"/>
      <w:r>
        <w:rPr>
          <w:lang w:val="en-US"/>
        </w:rPr>
        <w:tab/>
      </w:r>
      <w:r w:rsidR="005E700E">
        <w:rPr>
          <w:lang w:val="en-US"/>
        </w:rPr>
        <w:t>II.</w:t>
      </w:r>
      <w:r w:rsidR="005E700E">
        <w:rPr>
          <w:lang w:val="en-US"/>
        </w:rPr>
        <w:tab/>
        <w:t>Justification</w:t>
      </w:r>
    </w:p>
    <w:bookmarkEnd w:id="2"/>
    <w:p w14:paraId="0BCF0EB2" w14:textId="40AF7935" w:rsidR="0039074D" w:rsidRDefault="00080521" w:rsidP="009D575C">
      <w:pPr>
        <w:pStyle w:val="H23G"/>
        <w:rPr>
          <w:lang w:val="en-US"/>
        </w:rPr>
      </w:pPr>
      <w:r>
        <w:rPr>
          <w:lang w:val="en-US"/>
        </w:rPr>
        <w:tab/>
      </w:r>
      <w:r>
        <w:rPr>
          <w:lang w:val="en-US"/>
        </w:rPr>
        <w:tab/>
      </w:r>
      <w:r w:rsidR="005E700E" w:rsidRPr="00251A5F">
        <w:rPr>
          <w:lang w:val="en-US"/>
        </w:rPr>
        <w:t xml:space="preserve">Safety: </w:t>
      </w:r>
    </w:p>
    <w:p w14:paraId="45268CF5" w14:textId="7E44CFC6" w:rsidR="005E700E" w:rsidRPr="00251A5F" w:rsidRDefault="0039074D" w:rsidP="00931AFE">
      <w:pPr>
        <w:pStyle w:val="SingleTxtG"/>
        <w:rPr>
          <w:lang w:val="en-US"/>
        </w:rPr>
      </w:pPr>
      <w:r>
        <w:rPr>
          <w:lang w:val="en-US"/>
        </w:rPr>
        <w:t>29</w:t>
      </w:r>
      <w:r w:rsidR="00080521">
        <w:rPr>
          <w:lang w:val="en-US"/>
        </w:rPr>
        <w:t>.</w:t>
      </w:r>
      <w:r w:rsidR="00080521">
        <w:rPr>
          <w:lang w:val="en-US"/>
        </w:rPr>
        <w:tab/>
      </w:r>
      <w:r w:rsidR="005E700E" w:rsidRPr="00251A5F">
        <w:rPr>
          <w:lang w:val="en-US"/>
        </w:rPr>
        <w:t>The editorial changes ensure that the introduction of new definitions has no impact on safety.</w:t>
      </w:r>
    </w:p>
    <w:p w14:paraId="289496A5" w14:textId="77777777" w:rsidR="00080521" w:rsidRPr="009D575C" w:rsidRDefault="005E700E" w:rsidP="00931AFE">
      <w:pPr>
        <w:pStyle w:val="SingleTxtG"/>
        <w:rPr>
          <w:b/>
          <w:bCs/>
          <w:lang w:val="en-US"/>
        </w:rPr>
      </w:pPr>
      <w:r w:rsidRPr="009D575C">
        <w:rPr>
          <w:b/>
          <w:bCs/>
          <w:lang w:val="en-US"/>
        </w:rPr>
        <w:t xml:space="preserve">Transition period: </w:t>
      </w:r>
    </w:p>
    <w:p w14:paraId="72FA7B3A" w14:textId="29D7BDE7" w:rsidR="005E700E" w:rsidRPr="00251A5F" w:rsidRDefault="00080521" w:rsidP="00931AFE">
      <w:pPr>
        <w:pStyle w:val="SingleTxtG"/>
        <w:rPr>
          <w:lang w:val="en-US"/>
        </w:rPr>
      </w:pPr>
      <w:r>
        <w:rPr>
          <w:lang w:val="en-US"/>
        </w:rPr>
        <w:t>30.</w:t>
      </w:r>
      <w:r>
        <w:rPr>
          <w:lang w:val="en-US"/>
        </w:rPr>
        <w:tab/>
      </w:r>
      <w:r w:rsidR="005E700E" w:rsidRPr="00251A5F">
        <w:rPr>
          <w:lang w:val="en-US"/>
        </w:rPr>
        <w:t>No transition period is required.</w:t>
      </w:r>
    </w:p>
    <w:p w14:paraId="28C59D60" w14:textId="77777777" w:rsidR="00080521" w:rsidRPr="009D575C" w:rsidRDefault="005E700E" w:rsidP="00931AFE">
      <w:pPr>
        <w:pStyle w:val="SingleTxtG"/>
        <w:rPr>
          <w:b/>
          <w:bCs/>
          <w:lang w:val="en-US"/>
        </w:rPr>
      </w:pPr>
      <w:r w:rsidRPr="009D575C">
        <w:rPr>
          <w:b/>
          <w:bCs/>
          <w:lang w:val="en-US"/>
        </w:rPr>
        <w:t xml:space="preserve">Enforceability: </w:t>
      </w:r>
    </w:p>
    <w:p w14:paraId="0E565350" w14:textId="3DE612DF" w:rsidR="005E700E" w:rsidRPr="007817D1" w:rsidRDefault="00080521" w:rsidP="00931AFE">
      <w:pPr>
        <w:pStyle w:val="SingleTxtG"/>
        <w:rPr>
          <w:lang w:val="en-US"/>
        </w:rPr>
      </w:pPr>
      <w:r>
        <w:rPr>
          <w:lang w:val="en-US"/>
        </w:rPr>
        <w:t>31.</w:t>
      </w:r>
      <w:r>
        <w:rPr>
          <w:lang w:val="en-US"/>
        </w:rPr>
        <w:tab/>
      </w:r>
      <w:r w:rsidR="005E700E" w:rsidRPr="00251A5F">
        <w:rPr>
          <w:lang w:val="en-US"/>
        </w:rPr>
        <w:t>The text is made clearer by the editorial changes</w:t>
      </w:r>
      <w:r w:rsidR="005E700E" w:rsidRPr="00111E65">
        <w:rPr>
          <w:lang w:val="en-US"/>
        </w:rPr>
        <w:t>.</w:t>
      </w:r>
    </w:p>
    <w:p w14:paraId="2FAFD906" w14:textId="2972023E" w:rsidR="007228D3" w:rsidRPr="00931AFE" w:rsidRDefault="00931AFE" w:rsidP="00931AFE">
      <w:pPr>
        <w:spacing w:before="240"/>
        <w:jc w:val="center"/>
        <w:rPr>
          <w:u w:val="single"/>
          <w:lang w:val="de-CH"/>
        </w:rPr>
      </w:pPr>
      <w:r>
        <w:rPr>
          <w:u w:val="single"/>
          <w:lang w:val="de-CH"/>
        </w:rPr>
        <w:tab/>
      </w:r>
      <w:r>
        <w:rPr>
          <w:u w:val="single"/>
          <w:lang w:val="de-CH"/>
        </w:rPr>
        <w:tab/>
      </w:r>
      <w:r>
        <w:rPr>
          <w:u w:val="single"/>
          <w:lang w:val="de-CH"/>
        </w:rPr>
        <w:tab/>
      </w:r>
    </w:p>
    <w:sectPr w:rsidR="007228D3" w:rsidRPr="00931AFE"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7AD9" w14:textId="77777777" w:rsidR="00457696" w:rsidRDefault="00457696"/>
  </w:endnote>
  <w:endnote w:type="continuationSeparator" w:id="0">
    <w:p w14:paraId="072DB6D5" w14:textId="77777777" w:rsidR="00457696" w:rsidRDefault="00457696"/>
  </w:endnote>
  <w:endnote w:type="continuationNotice" w:id="1">
    <w:p w14:paraId="43C32120" w14:textId="77777777" w:rsidR="00457696" w:rsidRDefault="00457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54C9" w14:textId="77777777" w:rsidR="00457696" w:rsidRPr="000B175B" w:rsidRDefault="00457696" w:rsidP="000B175B">
      <w:pPr>
        <w:tabs>
          <w:tab w:val="right" w:pos="2155"/>
        </w:tabs>
        <w:spacing w:after="80"/>
        <w:ind w:left="680"/>
        <w:rPr>
          <w:u w:val="single"/>
        </w:rPr>
      </w:pPr>
      <w:r>
        <w:rPr>
          <w:u w:val="single"/>
        </w:rPr>
        <w:tab/>
      </w:r>
    </w:p>
  </w:footnote>
  <w:footnote w:type="continuationSeparator" w:id="0">
    <w:p w14:paraId="1CED0A5C" w14:textId="77777777" w:rsidR="00457696" w:rsidRPr="00FC68B7" w:rsidRDefault="00457696" w:rsidP="00FC68B7">
      <w:pPr>
        <w:tabs>
          <w:tab w:val="left" w:pos="2155"/>
        </w:tabs>
        <w:spacing w:after="80"/>
        <w:ind w:left="680"/>
        <w:rPr>
          <w:u w:val="single"/>
        </w:rPr>
      </w:pPr>
      <w:r>
        <w:rPr>
          <w:u w:val="single"/>
        </w:rPr>
        <w:tab/>
      </w:r>
    </w:p>
  </w:footnote>
  <w:footnote w:type="continuationNotice" w:id="1">
    <w:p w14:paraId="1366B92C" w14:textId="77777777" w:rsidR="00457696" w:rsidRDefault="00457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0FF3C3A" w:rsidR="00335B02" w:rsidRPr="00F54205" w:rsidRDefault="00236A03" w:rsidP="00F54205">
    <w:pPr>
      <w:pStyle w:val="Header"/>
    </w:pPr>
    <w:r>
      <w:t>INF.</w:t>
    </w:r>
    <w:r w:rsidR="005E700E">
      <w:t>9</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1A618327" w:rsidR="00335B02" w:rsidRPr="00EA42C1" w:rsidRDefault="00B5117E" w:rsidP="00EA42C1">
    <w:pPr>
      <w:pStyle w:val="Header"/>
      <w:jc w:val="right"/>
    </w:pPr>
    <w:r>
      <w:t>INF.</w:t>
    </w:r>
    <w:r w:rsidR="005E700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8"/>
  </w:num>
  <w:num w:numId="12" w16cid:durableId="138766385">
    <w:abstractNumId w:val="15"/>
  </w:num>
  <w:num w:numId="13" w16cid:durableId="2105681482">
    <w:abstractNumId w:val="11"/>
  </w:num>
  <w:num w:numId="14" w16cid:durableId="1465004137">
    <w:abstractNumId w:val="13"/>
  </w:num>
  <w:num w:numId="15" w16cid:durableId="411239685">
    <w:abstractNumId w:val="19"/>
  </w:num>
  <w:num w:numId="16" w16cid:durableId="1736125182">
    <w:abstractNumId w:val="14"/>
  </w:num>
  <w:num w:numId="17" w16cid:durableId="711076582">
    <w:abstractNumId w:val="21"/>
  </w:num>
  <w:num w:numId="18" w16cid:durableId="50083596">
    <w:abstractNumId w:val="23"/>
  </w:num>
  <w:num w:numId="19" w16cid:durableId="1413114354">
    <w:abstractNumId w:val="12"/>
  </w:num>
  <w:num w:numId="20" w16cid:durableId="1881743150">
    <w:abstractNumId w:val="12"/>
  </w:num>
  <w:num w:numId="21" w16cid:durableId="1947106276">
    <w:abstractNumId w:val="16"/>
  </w:num>
  <w:num w:numId="22" w16cid:durableId="1861047719">
    <w:abstractNumId w:val="22"/>
  </w:num>
  <w:num w:numId="23" w16cid:durableId="1115830556">
    <w:abstractNumId w:val="10"/>
  </w:num>
  <w:num w:numId="24" w16cid:durableId="1156650093">
    <w:abstractNumId w:val="17"/>
  </w:num>
  <w:num w:numId="25" w16cid:durableId="17502272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41CB3"/>
    <w:rsid w:val="00047CD6"/>
    <w:rsid w:val="00047E5C"/>
    <w:rsid w:val="00050F6B"/>
    <w:rsid w:val="00062927"/>
    <w:rsid w:val="000678CD"/>
    <w:rsid w:val="00072C8C"/>
    <w:rsid w:val="00080521"/>
    <w:rsid w:val="00081CE0"/>
    <w:rsid w:val="00084D30"/>
    <w:rsid w:val="00090320"/>
    <w:rsid w:val="000931C0"/>
    <w:rsid w:val="000A2E09"/>
    <w:rsid w:val="000B004C"/>
    <w:rsid w:val="000B175B"/>
    <w:rsid w:val="000B3813"/>
    <w:rsid w:val="000B3A0F"/>
    <w:rsid w:val="000B3E8E"/>
    <w:rsid w:val="000B617F"/>
    <w:rsid w:val="000B777B"/>
    <w:rsid w:val="000C12CF"/>
    <w:rsid w:val="000E0415"/>
    <w:rsid w:val="000E499D"/>
    <w:rsid w:val="000F4B19"/>
    <w:rsid w:val="000F60D4"/>
    <w:rsid w:val="000F65A3"/>
    <w:rsid w:val="000F7715"/>
    <w:rsid w:val="001023E7"/>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A6390"/>
    <w:rsid w:val="001B1F2E"/>
    <w:rsid w:val="001B4B04"/>
    <w:rsid w:val="001B5875"/>
    <w:rsid w:val="001C4B9C"/>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21E0"/>
    <w:rsid w:val="002043F0"/>
    <w:rsid w:val="00204C1D"/>
    <w:rsid w:val="00206274"/>
    <w:rsid w:val="00211E0B"/>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920CD"/>
    <w:rsid w:val="002974E9"/>
    <w:rsid w:val="002A0778"/>
    <w:rsid w:val="002A192D"/>
    <w:rsid w:val="002A6386"/>
    <w:rsid w:val="002A7F94"/>
    <w:rsid w:val="002B109A"/>
    <w:rsid w:val="002B1BA0"/>
    <w:rsid w:val="002B2B93"/>
    <w:rsid w:val="002B50FE"/>
    <w:rsid w:val="002B7E70"/>
    <w:rsid w:val="002C1005"/>
    <w:rsid w:val="002C6D45"/>
    <w:rsid w:val="002D1ACD"/>
    <w:rsid w:val="002D2369"/>
    <w:rsid w:val="002D41FA"/>
    <w:rsid w:val="002D6E53"/>
    <w:rsid w:val="002E2566"/>
    <w:rsid w:val="002E6905"/>
    <w:rsid w:val="002F046D"/>
    <w:rsid w:val="002F19D6"/>
    <w:rsid w:val="002F2238"/>
    <w:rsid w:val="002F3023"/>
    <w:rsid w:val="002F7BDD"/>
    <w:rsid w:val="00300017"/>
    <w:rsid w:val="00301764"/>
    <w:rsid w:val="00310E74"/>
    <w:rsid w:val="00316C87"/>
    <w:rsid w:val="00316FFE"/>
    <w:rsid w:val="00321CB3"/>
    <w:rsid w:val="003229D8"/>
    <w:rsid w:val="00325311"/>
    <w:rsid w:val="00335B02"/>
    <w:rsid w:val="00336C97"/>
    <w:rsid w:val="00337D1B"/>
    <w:rsid w:val="00337F88"/>
    <w:rsid w:val="003422FC"/>
    <w:rsid w:val="00342432"/>
    <w:rsid w:val="003466CD"/>
    <w:rsid w:val="0035223F"/>
    <w:rsid w:val="00352D4B"/>
    <w:rsid w:val="0035638C"/>
    <w:rsid w:val="003614A1"/>
    <w:rsid w:val="0036440D"/>
    <w:rsid w:val="0036453F"/>
    <w:rsid w:val="00374D51"/>
    <w:rsid w:val="00383FF3"/>
    <w:rsid w:val="0039074D"/>
    <w:rsid w:val="00394F2F"/>
    <w:rsid w:val="003958E2"/>
    <w:rsid w:val="00395BAD"/>
    <w:rsid w:val="003A46BB"/>
    <w:rsid w:val="003A4EC7"/>
    <w:rsid w:val="003A7295"/>
    <w:rsid w:val="003B1F60"/>
    <w:rsid w:val="003C2CC4"/>
    <w:rsid w:val="003C74FF"/>
    <w:rsid w:val="003D11AD"/>
    <w:rsid w:val="003D4B23"/>
    <w:rsid w:val="003E0C40"/>
    <w:rsid w:val="003E278A"/>
    <w:rsid w:val="00400FD1"/>
    <w:rsid w:val="00401B28"/>
    <w:rsid w:val="004031CB"/>
    <w:rsid w:val="00413520"/>
    <w:rsid w:val="0041770D"/>
    <w:rsid w:val="00422024"/>
    <w:rsid w:val="00430635"/>
    <w:rsid w:val="004325CB"/>
    <w:rsid w:val="004343D2"/>
    <w:rsid w:val="00440A07"/>
    <w:rsid w:val="00454D39"/>
    <w:rsid w:val="00456428"/>
    <w:rsid w:val="00457057"/>
    <w:rsid w:val="0045733B"/>
    <w:rsid w:val="00457696"/>
    <w:rsid w:val="00462880"/>
    <w:rsid w:val="00475F08"/>
    <w:rsid w:val="00476F24"/>
    <w:rsid w:val="00487408"/>
    <w:rsid w:val="0048768E"/>
    <w:rsid w:val="00497194"/>
    <w:rsid w:val="004A575C"/>
    <w:rsid w:val="004A6C9B"/>
    <w:rsid w:val="004B09B0"/>
    <w:rsid w:val="004B6706"/>
    <w:rsid w:val="004C1217"/>
    <w:rsid w:val="004C4423"/>
    <w:rsid w:val="004C55B0"/>
    <w:rsid w:val="004C7379"/>
    <w:rsid w:val="004C75CD"/>
    <w:rsid w:val="004E25B3"/>
    <w:rsid w:val="004E3582"/>
    <w:rsid w:val="004E55EF"/>
    <w:rsid w:val="004F6BA0"/>
    <w:rsid w:val="00500315"/>
    <w:rsid w:val="00502435"/>
    <w:rsid w:val="00503BEA"/>
    <w:rsid w:val="00506F46"/>
    <w:rsid w:val="00513E2B"/>
    <w:rsid w:val="00524C4C"/>
    <w:rsid w:val="00527651"/>
    <w:rsid w:val="005306DF"/>
    <w:rsid w:val="00533616"/>
    <w:rsid w:val="00535150"/>
    <w:rsid w:val="00535ABA"/>
    <w:rsid w:val="0053768B"/>
    <w:rsid w:val="005420F2"/>
    <w:rsid w:val="0054285C"/>
    <w:rsid w:val="00545601"/>
    <w:rsid w:val="00547E92"/>
    <w:rsid w:val="00554659"/>
    <w:rsid w:val="005551FD"/>
    <w:rsid w:val="00560D24"/>
    <w:rsid w:val="005633BD"/>
    <w:rsid w:val="00566C91"/>
    <w:rsid w:val="00566E24"/>
    <w:rsid w:val="00570C67"/>
    <w:rsid w:val="0057245D"/>
    <w:rsid w:val="00584173"/>
    <w:rsid w:val="0058524B"/>
    <w:rsid w:val="0058591E"/>
    <w:rsid w:val="00595520"/>
    <w:rsid w:val="00595B93"/>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E01F0"/>
    <w:rsid w:val="005E0374"/>
    <w:rsid w:val="005E700E"/>
    <w:rsid w:val="005F08DF"/>
    <w:rsid w:val="005F3066"/>
    <w:rsid w:val="005F3E61"/>
    <w:rsid w:val="005F4D30"/>
    <w:rsid w:val="00603E67"/>
    <w:rsid w:val="00604DDD"/>
    <w:rsid w:val="00610969"/>
    <w:rsid w:val="006115CC"/>
    <w:rsid w:val="006116E6"/>
    <w:rsid w:val="00611FC4"/>
    <w:rsid w:val="00612DF8"/>
    <w:rsid w:val="00613B39"/>
    <w:rsid w:val="006169FB"/>
    <w:rsid w:val="006176FB"/>
    <w:rsid w:val="00624904"/>
    <w:rsid w:val="00630FCB"/>
    <w:rsid w:val="00640B26"/>
    <w:rsid w:val="00643883"/>
    <w:rsid w:val="0065487C"/>
    <w:rsid w:val="0065766B"/>
    <w:rsid w:val="00660948"/>
    <w:rsid w:val="00662346"/>
    <w:rsid w:val="006770B2"/>
    <w:rsid w:val="00677B3E"/>
    <w:rsid w:val="00686A48"/>
    <w:rsid w:val="006940E1"/>
    <w:rsid w:val="00694920"/>
    <w:rsid w:val="006A02BA"/>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20A8"/>
    <w:rsid w:val="006E564B"/>
    <w:rsid w:val="006E59B4"/>
    <w:rsid w:val="006E7154"/>
    <w:rsid w:val="006F0C97"/>
    <w:rsid w:val="006F1060"/>
    <w:rsid w:val="006F23F0"/>
    <w:rsid w:val="006F38FE"/>
    <w:rsid w:val="006F4047"/>
    <w:rsid w:val="007003CD"/>
    <w:rsid w:val="0070701E"/>
    <w:rsid w:val="007207E5"/>
    <w:rsid w:val="00720B38"/>
    <w:rsid w:val="007228D3"/>
    <w:rsid w:val="0072632A"/>
    <w:rsid w:val="0073010F"/>
    <w:rsid w:val="007358E8"/>
    <w:rsid w:val="00736ECE"/>
    <w:rsid w:val="00737DC9"/>
    <w:rsid w:val="0074533B"/>
    <w:rsid w:val="00751746"/>
    <w:rsid w:val="007643BC"/>
    <w:rsid w:val="00765F4B"/>
    <w:rsid w:val="007661F5"/>
    <w:rsid w:val="007741F9"/>
    <w:rsid w:val="00774DE3"/>
    <w:rsid w:val="00775F97"/>
    <w:rsid w:val="00777E3E"/>
    <w:rsid w:val="00780C68"/>
    <w:rsid w:val="007823D6"/>
    <w:rsid w:val="00786D5E"/>
    <w:rsid w:val="00787CE1"/>
    <w:rsid w:val="007959FE"/>
    <w:rsid w:val="007A0CF1"/>
    <w:rsid w:val="007A18C1"/>
    <w:rsid w:val="007A7FA0"/>
    <w:rsid w:val="007B4319"/>
    <w:rsid w:val="007B6BA5"/>
    <w:rsid w:val="007B7140"/>
    <w:rsid w:val="007C1AFA"/>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17A17"/>
    <w:rsid w:val="00821DA8"/>
    <w:rsid w:val="008242D7"/>
    <w:rsid w:val="0082577B"/>
    <w:rsid w:val="0082692B"/>
    <w:rsid w:val="00830CCA"/>
    <w:rsid w:val="00851D4B"/>
    <w:rsid w:val="008535FF"/>
    <w:rsid w:val="00865A74"/>
    <w:rsid w:val="00866893"/>
    <w:rsid w:val="00866F02"/>
    <w:rsid w:val="00867D18"/>
    <w:rsid w:val="00871F9A"/>
    <w:rsid w:val="00871FD5"/>
    <w:rsid w:val="00875975"/>
    <w:rsid w:val="00877FC0"/>
    <w:rsid w:val="0088172E"/>
    <w:rsid w:val="00881EFA"/>
    <w:rsid w:val="008879CB"/>
    <w:rsid w:val="00891A4B"/>
    <w:rsid w:val="0089224E"/>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F143B"/>
    <w:rsid w:val="008F3882"/>
    <w:rsid w:val="008F4499"/>
    <w:rsid w:val="008F4B7C"/>
    <w:rsid w:val="008F7AD9"/>
    <w:rsid w:val="00906610"/>
    <w:rsid w:val="00906A76"/>
    <w:rsid w:val="009109FD"/>
    <w:rsid w:val="00911006"/>
    <w:rsid w:val="00911729"/>
    <w:rsid w:val="00916A87"/>
    <w:rsid w:val="00920C93"/>
    <w:rsid w:val="00925D29"/>
    <w:rsid w:val="00925DB2"/>
    <w:rsid w:val="009268D2"/>
    <w:rsid w:val="00926E47"/>
    <w:rsid w:val="00931AFE"/>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5EFC"/>
    <w:rsid w:val="00977484"/>
    <w:rsid w:val="00980239"/>
    <w:rsid w:val="0098141B"/>
    <w:rsid w:val="009822AC"/>
    <w:rsid w:val="0098592B"/>
    <w:rsid w:val="00985FC4"/>
    <w:rsid w:val="00987197"/>
    <w:rsid w:val="00990766"/>
    <w:rsid w:val="00991261"/>
    <w:rsid w:val="00995888"/>
    <w:rsid w:val="00995F45"/>
    <w:rsid w:val="009964C4"/>
    <w:rsid w:val="009A2E32"/>
    <w:rsid w:val="009A7B81"/>
    <w:rsid w:val="009B1F85"/>
    <w:rsid w:val="009B480C"/>
    <w:rsid w:val="009B6F8B"/>
    <w:rsid w:val="009C1983"/>
    <w:rsid w:val="009C22D9"/>
    <w:rsid w:val="009C245D"/>
    <w:rsid w:val="009C3B36"/>
    <w:rsid w:val="009D01C0"/>
    <w:rsid w:val="009D42E8"/>
    <w:rsid w:val="009D575C"/>
    <w:rsid w:val="009D6A08"/>
    <w:rsid w:val="009D72CA"/>
    <w:rsid w:val="009E0A16"/>
    <w:rsid w:val="009E6CB7"/>
    <w:rsid w:val="009E7970"/>
    <w:rsid w:val="009F2EAC"/>
    <w:rsid w:val="009F57E3"/>
    <w:rsid w:val="00A05149"/>
    <w:rsid w:val="00A10F4F"/>
    <w:rsid w:val="00A11067"/>
    <w:rsid w:val="00A1704A"/>
    <w:rsid w:val="00A33F67"/>
    <w:rsid w:val="00A375EC"/>
    <w:rsid w:val="00A37B39"/>
    <w:rsid w:val="00A425EB"/>
    <w:rsid w:val="00A51820"/>
    <w:rsid w:val="00A551D2"/>
    <w:rsid w:val="00A66932"/>
    <w:rsid w:val="00A66E77"/>
    <w:rsid w:val="00A715B6"/>
    <w:rsid w:val="00A72F22"/>
    <w:rsid w:val="00A733BC"/>
    <w:rsid w:val="00A7427D"/>
    <w:rsid w:val="00A748A6"/>
    <w:rsid w:val="00A74970"/>
    <w:rsid w:val="00A76A69"/>
    <w:rsid w:val="00A879A4"/>
    <w:rsid w:val="00A9769E"/>
    <w:rsid w:val="00AA0FF8"/>
    <w:rsid w:val="00AA3E74"/>
    <w:rsid w:val="00AA63BF"/>
    <w:rsid w:val="00AB134D"/>
    <w:rsid w:val="00AC0F2C"/>
    <w:rsid w:val="00AC42C0"/>
    <w:rsid w:val="00AC46AB"/>
    <w:rsid w:val="00AC502A"/>
    <w:rsid w:val="00AC7516"/>
    <w:rsid w:val="00AC75B7"/>
    <w:rsid w:val="00AC776A"/>
    <w:rsid w:val="00AD1E81"/>
    <w:rsid w:val="00AD5224"/>
    <w:rsid w:val="00AD68E0"/>
    <w:rsid w:val="00AE3044"/>
    <w:rsid w:val="00AE67A8"/>
    <w:rsid w:val="00AF58C1"/>
    <w:rsid w:val="00AF68B9"/>
    <w:rsid w:val="00B0152A"/>
    <w:rsid w:val="00B030C2"/>
    <w:rsid w:val="00B03102"/>
    <w:rsid w:val="00B04A3F"/>
    <w:rsid w:val="00B06643"/>
    <w:rsid w:val="00B105AE"/>
    <w:rsid w:val="00B15055"/>
    <w:rsid w:val="00B15183"/>
    <w:rsid w:val="00B20551"/>
    <w:rsid w:val="00B23A30"/>
    <w:rsid w:val="00B30179"/>
    <w:rsid w:val="00B32E53"/>
    <w:rsid w:val="00B33898"/>
    <w:rsid w:val="00B33FC7"/>
    <w:rsid w:val="00B37B15"/>
    <w:rsid w:val="00B37B98"/>
    <w:rsid w:val="00B423E4"/>
    <w:rsid w:val="00B45AC8"/>
    <w:rsid w:val="00B45C02"/>
    <w:rsid w:val="00B4683E"/>
    <w:rsid w:val="00B5117E"/>
    <w:rsid w:val="00B534FB"/>
    <w:rsid w:val="00B6009D"/>
    <w:rsid w:val="00B61CE5"/>
    <w:rsid w:val="00B62F65"/>
    <w:rsid w:val="00B70B63"/>
    <w:rsid w:val="00B72A1E"/>
    <w:rsid w:val="00B7404C"/>
    <w:rsid w:val="00B76828"/>
    <w:rsid w:val="00B8105F"/>
    <w:rsid w:val="00B816F7"/>
    <w:rsid w:val="00B81E12"/>
    <w:rsid w:val="00B95A09"/>
    <w:rsid w:val="00BA0C02"/>
    <w:rsid w:val="00BA339B"/>
    <w:rsid w:val="00BA4504"/>
    <w:rsid w:val="00BB6BEC"/>
    <w:rsid w:val="00BC1E7E"/>
    <w:rsid w:val="00BC3BE9"/>
    <w:rsid w:val="00BC74E9"/>
    <w:rsid w:val="00BD00BA"/>
    <w:rsid w:val="00BD2307"/>
    <w:rsid w:val="00BE1DC4"/>
    <w:rsid w:val="00BE1EA4"/>
    <w:rsid w:val="00BE36A9"/>
    <w:rsid w:val="00BE618E"/>
    <w:rsid w:val="00BE7BEC"/>
    <w:rsid w:val="00BF071A"/>
    <w:rsid w:val="00BF0A5A"/>
    <w:rsid w:val="00BF0E63"/>
    <w:rsid w:val="00BF12A3"/>
    <w:rsid w:val="00BF13B9"/>
    <w:rsid w:val="00BF16D7"/>
    <w:rsid w:val="00BF2373"/>
    <w:rsid w:val="00C01DBD"/>
    <w:rsid w:val="00C021CA"/>
    <w:rsid w:val="00C044E2"/>
    <w:rsid w:val="00C048CB"/>
    <w:rsid w:val="00C04DD0"/>
    <w:rsid w:val="00C06575"/>
    <w:rsid w:val="00C066F3"/>
    <w:rsid w:val="00C120F2"/>
    <w:rsid w:val="00C14EA4"/>
    <w:rsid w:val="00C172C8"/>
    <w:rsid w:val="00C26233"/>
    <w:rsid w:val="00C31337"/>
    <w:rsid w:val="00C31681"/>
    <w:rsid w:val="00C3268B"/>
    <w:rsid w:val="00C35AD0"/>
    <w:rsid w:val="00C463DD"/>
    <w:rsid w:val="00C5198C"/>
    <w:rsid w:val="00C5379E"/>
    <w:rsid w:val="00C555B8"/>
    <w:rsid w:val="00C605EA"/>
    <w:rsid w:val="00C6124E"/>
    <w:rsid w:val="00C63E18"/>
    <w:rsid w:val="00C6530C"/>
    <w:rsid w:val="00C6738D"/>
    <w:rsid w:val="00C745C3"/>
    <w:rsid w:val="00C81E40"/>
    <w:rsid w:val="00C8490F"/>
    <w:rsid w:val="00C87E24"/>
    <w:rsid w:val="00C9404B"/>
    <w:rsid w:val="00C978F5"/>
    <w:rsid w:val="00CA24A4"/>
    <w:rsid w:val="00CB086B"/>
    <w:rsid w:val="00CB348D"/>
    <w:rsid w:val="00CB5006"/>
    <w:rsid w:val="00CB6555"/>
    <w:rsid w:val="00CC65C9"/>
    <w:rsid w:val="00CD009C"/>
    <w:rsid w:val="00CD090F"/>
    <w:rsid w:val="00CD0EC1"/>
    <w:rsid w:val="00CD13DD"/>
    <w:rsid w:val="00CD3774"/>
    <w:rsid w:val="00CD46F5"/>
    <w:rsid w:val="00CD479E"/>
    <w:rsid w:val="00CD5449"/>
    <w:rsid w:val="00CD60AC"/>
    <w:rsid w:val="00CE1B7A"/>
    <w:rsid w:val="00CE4A8F"/>
    <w:rsid w:val="00CE6712"/>
    <w:rsid w:val="00CF0011"/>
    <w:rsid w:val="00CF071D"/>
    <w:rsid w:val="00D0123D"/>
    <w:rsid w:val="00D02B0E"/>
    <w:rsid w:val="00D05049"/>
    <w:rsid w:val="00D06B39"/>
    <w:rsid w:val="00D15B04"/>
    <w:rsid w:val="00D2031B"/>
    <w:rsid w:val="00D20CE1"/>
    <w:rsid w:val="00D25FE2"/>
    <w:rsid w:val="00D31DE0"/>
    <w:rsid w:val="00D35EA1"/>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81C7A"/>
    <w:rsid w:val="00D91C07"/>
    <w:rsid w:val="00D922A3"/>
    <w:rsid w:val="00D978C6"/>
    <w:rsid w:val="00DA06BA"/>
    <w:rsid w:val="00DA0956"/>
    <w:rsid w:val="00DA3272"/>
    <w:rsid w:val="00DA357F"/>
    <w:rsid w:val="00DA3E12"/>
    <w:rsid w:val="00DA471C"/>
    <w:rsid w:val="00DA5336"/>
    <w:rsid w:val="00DA545A"/>
    <w:rsid w:val="00DA5948"/>
    <w:rsid w:val="00DB74FE"/>
    <w:rsid w:val="00DB7AA6"/>
    <w:rsid w:val="00DC18AD"/>
    <w:rsid w:val="00DC31E2"/>
    <w:rsid w:val="00DD0BFF"/>
    <w:rsid w:val="00DD5550"/>
    <w:rsid w:val="00DE1BCC"/>
    <w:rsid w:val="00DF61DE"/>
    <w:rsid w:val="00DF7CAE"/>
    <w:rsid w:val="00E06D8C"/>
    <w:rsid w:val="00E22D5B"/>
    <w:rsid w:val="00E23EB6"/>
    <w:rsid w:val="00E24586"/>
    <w:rsid w:val="00E277FB"/>
    <w:rsid w:val="00E339C7"/>
    <w:rsid w:val="00E37D87"/>
    <w:rsid w:val="00E41634"/>
    <w:rsid w:val="00E423C0"/>
    <w:rsid w:val="00E4440C"/>
    <w:rsid w:val="00E61AF1"/>
    <w:rsid w:val="00E62DF9"/>
    <w:rsid w:val="00E637B3"/>
    <w:rsid w:val="00E6414C"/>
    <w:rsid w:val="00E66A41"/>
    <w:rsid w:val="00E704E2"/>
    <w:rsid w:val="00E71140"/>
    <w:rsid w:val="00E71611"/>
    <w:rsid w:val="00E7260F"/>
    <w:rsid w:val="00E72735"/>
    <w:rsid w:val="00E75AE1"/>
    <w:rsid w:val="00E778EF"/>
    <w:rsid w:val="00E8702D"/>
    <w:rsid w:val="00E905F4"/>
    <w:rsid w:val="00E916A9"/>
    <w:rsid w:val="00E916DE"/>
    <w:rsid w:val="00E925AD"/>
    <w:rsid w:val="00E92C86"/>
    <w:rsid w:val="00E96630"/>
    <w:rsid w:val="00E97F30"/>
    <w:rsid w:val="00EA42C1"/>
    <w:rsid w:val="00EB193E"/>
    <w:rsid w:val="00EB2D94"/>
    <w:rsid w:val="00EC00FB"/>
    <w:rsid w:val="00EC2AD5"/>
    <w:rsid w:val="00ED18DC"/>
    <w:rsid w:val="00ED3468"/>
    <w:rsid w:val="00ED6201"/>
    <w:rsid w:val="00ED7A2A"/>
    <w:rsid w:val="00EE2E61"/>
    <w:rsid w:val="00EF1D7F"/>
    <w:rsid w:val="00EF4A03"/>
    <w:rsid w:val="00EF684B"/>
    <w:rsid w:val="00F0137E"/>
    <w:rsid w:val="00F03E94"/>
    <w:rsid w:val="00F1558F"/>
    <w:rsid w:val="00F21786"/>
    <w:rsid w:val="00F3378A"/>
    <w:rsid w:val="00F348C9"/>
    <w:rsid w:val="00F36FD5"/>
    <w:rsid w:val="00F3742B"/>
    <w:rsid w:val="00F41FDB"/>
    <w:rsid w:val="00F44FCB"/>
    <w:rsid w:val="00F46874"/>
    <w:rsid w:val="00F46F43"/>
    <w:rsid w:val="00F54205"/>
    <w:rsid w:val="00F54E80"/>
    <w:rsid w:val="00F56D63"/>
    <w:rsid w:val="00F609A9"/>
    <w:rsid w:val="00F61407"/>
    <w:rsid w:val="00F62077"/>
    <w:rsid w:val="00F65C07"/>
    <w:rsid w:val="00F724B1"/>
    <w:rsid w:val="00F7267B"/>
    <w:rsid w:val="00F80C99"/>
    <w:rsid w:val="00F850AC"/>
    <w:rsid w:val="00F867EC"/>
    <w:rsid w:val="00F91B2B"/>
    <w:rsid w:val="00F92E19"/>
    <w:rsid w:val="00F976DB"/>
    <w:rsid w:val="00FA2C33"/>
    <w:rsid w:val="00FA63F6"/>
    <w:rsid w:val="00FC0035"/>
    <w:rsid w:val="00FC03CD"/>
    <w:rsid w:val="00FC0646"/>
    <w:rsid w:val="00FC68B7"/>
    <w:rsid w:val="00FC6CA8"/>
    <w:rsid w:val="00FD43B4"/>
    <w:rsid w:val="00FE4AFA"/>
    <w:rsid w:val="00FE6985"/>
    <w:rsid w:val="00FF09E2"/>
    <w:rsid w:val="00FF1A52"/>
    <w:rsid w:val="00FF1DF7"/>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nhideWhenUsed/>
    <w:rsid w:val="00AD68E0"/>
    <w:pPr>
      <w:spacing w:line="240" w:lineRule="auto"/>
    </w:pPr>
  </w:style>
  <w:style w:type="character" w:customStyle="1" w:styleId="CommentTextChar">
    <w:name w:val="Comment Text Char"/>
    <w:link w:val="CommentText"/>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styleId="Revision">
    <w:name w:val="Revision"/>
    <w:hidden/>
    <w:uiPriority w:val="99"/>
    <w:semiHidden/>
    <w:rsid w:val="00CB086B"/>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F5CFC25A-661A-40FD-AF6A-E9F9B15C1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1120</Words>
  <Characters>6387</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67</cp:revision>
  <cp:lastPrinted>2023-01-25T20:50:00Z</cp:lastPrinted>
  <dcterms:created xsi:type="dcterms:W3CDTF">2023-12-28T14:03:00Z</dcterms:created>
  <dcterms:modified xsi:type="dcterms:W3CDTF">2024-01-17T21:17:00Z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