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FD5B43" w14:paraId="28C38329" w14:textId="77777777" w:rsidTr="001655C1">
        <w:trPr>
          <w:cantSplit/>
          <w:trHeight w:hRule="exact" w:val="851"/>
        </w:trPr>
        <w:tc>
          <w:tcPr>
            <w:tcW w:w="2268" w:type="dxa"/>
            <w:tcBorders>
              <w:bottom w:val="single" w:sz="4" w:space="0" w:color="auto"/>
            </w:tcBorders>
            <w:vAlign w:val="bottom"/>
          </w:tcPr>
          <w:p w14:paraId="21761A41" w14:textId="77777777" w:rsidR="00FD5B43" w:rsidRPr="00B97172" w:rsidRDefault="00FD5B43" w:rsidP="001655C1">
            <w:pPr>
              <w:spacing w:after="80" w:line="300" w:lineRule="exact"/>
              <w:rPr>
                <w:b/>
                <w:sz w:val="24"/>
                <w:szCs w:val="24"/>
              </w:rPr>
            </w:pPr>
          </w:p>
        </w:tc>
        <w:tc>
          <w:tcPr>
            <w:tcW w:w="7230" w:type="dxa"/>
            <w:gridSpan w:val="2"/>
            <w:tcBorders>
              <w:bottom w:val="single" w:sz="4" w:space="0" w:color="auto"/>
            </w:tcBorders>
            <w:vAlign w:val="bottom"/>
          </w:tcPr>
          <w:p w14:paraId="4ADA0375" w14:textId="18A6890C" w:rsidR="00FD5B43" w:rsidRPr="00170046" w:rsidRDefault="00FD5B43" w:rsidP="001655C1">
            <w:pPr>
              <w:jc w:val="right"/>
              <w:rPr>
                <w:b/>
                <w:bCs/>
                <w:lang w:val="en-US"/>
              </w:rPr>
            </w:pPr>
            <w:r w:rsidRPr="00DA5948">
              <w:rPr>
                <w:b/>
                <w:bCs/>
                <w:sz w:val="40"/>
              </w:rPr>
              <w:t>INF.</w:t>
            </w:r>
            <w:r>
              <w:rPr>
                <w:b/>
                <w:bCs/>
                <w:sz w:val="40"/>
              </w:rPr>
              <w:t>32</w:t>
            </w:r>
          </w:p>
        </w:tc>
      </w:tr>
      <w:tr w:rsidR="00FD5B43" w14:paraId="160A70CC" w14:textId="77777777" w:rsidTr="00EA0E54">
        <w:trPr>
          <w:cantSplit/>
          <w:trHeight w:hRule="exact" w:val="3845"/>
        </w:trPr>
        <w:tc>
          <w:tcPr>
            <w:tcW w:w="7797" w:type="dxa"/>
            <w:gridSpan w:val="2"/>
            <w:tcBorders>
              <w:top w:val="single" w:sz="4" w:space="0" w:color="auto"/>
              <w:bottom w:val="single" w:sz="12" w:space="0" w:color="auto"/>
            </w:tcBorders>
          </w:tcPr>
          <w:p w14:paraId="6F8B85B2" w14:textId="77777777" w:rsidR="00FD5B43" w:rsidRDefault="00FD5B43" w:rsidP="001655C1">
            <w:pPr>
              <w:spacing w:before="120" w:line="420" w:lineRule="exact"/>
              <w:rPr>
                <w:b/>
                <w:sz w:val="40"/>
                <w:szCs w:val="40"/>
              </w:rPr>
            </w:pPr>
            <w:r>
              <w:rPr>
                <w:b/>
                <w:sz w:val="40"/>
                <w:szCs w:val="40"/>
              </w:rPr>
              <w:t>Economic and Social Council</w:t>
            </w:r>
          </w:p>
          <w:p w14:paraId="5694FAA5" w14:textId="77777777" w:rsidR="00FD5B43" w:rsidRDefault="00FD5B43" w:rsidP="001655C1">
            <w:pPr>
              <w:spacing w:before="120"/>
              <w:rPr>
                <w:sz w:val="28"/>
                <w:szCs w:val="28"/>
              </w:rPr>
            </w:pPr>
            <w:r w:rsidRPr="006852FE">
              <w:rPr>
                <w:sz w:val="28"/>
                <w:szCs w:val="28"/>
              </w:rPr>
              <w:t>Inland Transport Committee</w:t>
            </w:r>
          </w:p>
          <w:p w14:paraId="2C6064E2" w14:textId="77777777" w:rsidR="00FD5B43" w:rsidRPr="006852FE" w:rsidRDefault="00FD5B43" w:rsidP="001655C1">
            <w:pPr>
              <w:spacing w:before="120"/>
              <w:rPr>
                <w:sz w:val="28"/>
                <w:szCs w:val="28"/>
              </w:rPr>
            </w:pPr>
            <w:r>
              <w:rPr>
                <w:b/>
                <w:sz w:val="24"/>
                <w:szCs w:val="24"/>
              </w:rPr>
              <w:t>Working Party on the Transport of Dangerous Goods</w:t>
            </w:r>
          </w:p>
          <w:p w14:paraId="090AFCE2" w14:textId="77777777" w:rsidR="00FD5B43" w:rsidRPr="006852FE" w:rsidRDefault="00FD5B43" w:rsidP="001655C1">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05942839" w14:textId="77777777" w:rsidR="00FD5B43" w:rsidRPr="003134DF" w:rsidRDefault="00FD5B43" w:rsidP="001655C1">
            <w:pPr>
              <w:spacing w:before="120"/>
              <w:rPr>
                <w:b/>
              </w:rPr>
            </w:pPr>
            <w:r>
              <w:rPr>
                <w:b/>
              </w:rPr>
              <w:t xml:space="preserve">Forty-third </w:t>
            </w:r>
            <w:r w:rsidRPr="003134DF">
              <w:rPr>
                <w:b/>
              </w:rPr>
              <w:t>session</w:t>
            </w:r>
          </w:p>
          <w:p w14:paraId="1FD7B613" w14:textId="77777777" w:rsidR="00FD5B43" w:rsidRDefault="00FD5B43" w:rsidP="001655C1">
            <w:r w:rsidRPr="003134DF">
              <w:t xml:space="preserve">Geneva, </w:t>
            </w:r>
            <w:r>
              <w:t>22-26 January 2024</w:t>
            </w:r>
          </w:p>
          <w:p w14:paraId="3170C68D" w14:textId="77777777" w:rsidR="00FD5B43" w:rsidRPr="003134DF" w:rsidRDefault="00FD5B43" w:rsidP="001655C1">
            <w:r>
              <w:t xml:space="preserve">Item 5(b) </w:t>
            </w:r>
            <w:r w:rsidRPr="003134DF">
              <w:t>of the provisional agenda</w:t>
            </w:r>
          </w:p>
          <w:p w14:paraId="4E7DEC48" w14:textId="77777777" w:rsidR="00FD5B43" w:rsidRPr="00A51776" w:rsidRDefault="00FD5B43" w:rsidP="001655C1">
            <w:pPr>
              <w:contextualSpacing/>
              <w:rPr>
                <w:b/>
              </w:rPr>
            </w:pPr>
            <w:r w:rsidRPr="00A51776">
              <w:rPr>
                <w:b/>
              </w:rPr>
              <w:t>Proposals for amendments to the Regulations annexed to ADN:</w:t>
            </w:r>
          </w:p>
          <w:p w14:paraId="4FDE76EC" w14:textId="77777777" w:rsidR="00FD5B43" w:rsidRPr="008A105B" w:rsidRDefault="00FD5B43" w:rsidP="001655C1">
            <w:pPr>
              <w:contextualSpacing/>
              <w:rPr>
                <w:b/>
                <w:bCs/>
                <w:sz w:val="40"/>
                <w:szCs w:val="40"/>
              </w:rPr>
            </w:pPr>
            <w:r w:rsidRPr="00044AD0">
              <w:rPr>
                <w:b/>
                <w:bCs/>
              </w:rPr>
              <w:t>other proposals</w:t>
            </w:r>
          </w:p>
        </w:tc>
        <w:tc>
          <w:tcPr>
            <w:tcW w:w="1701" w:type="dxa"/>
            <w:tcBorders>
              <w:top w:val="single" w:sz="4" w:space="0" w:color="auto"/>
              <w:bottom w:val="single" w:sz="12" w:space="0" w:color="auto"/>
            </w:tcBorders>
          </w:tcPr>
          <w:p w14:paraId="248523BD" w14:textId="77777777" w:rsidR="00FD5B43" w:rsidRDefault="00FD5B43" w:rsidP="001655C1">
            <w:pPr>
              <w:spacing w:line="240" w:lineRule="exact"/>
            </w:pPr>
          </w:p>
          <w:p w14:paraId="22B8C1A2" w14:textId="77777777" w:rsidR="00FD5B43" w:rsidRDefault="00FD5B43" w:rsidP="001655C1">
            <w:pPr>
              <w:spacing w:line="240" w:lineRule="exact"/>
            </w:pPr>
          </w:p>
          <w:p w14:paraId="24E931A1" w14:textId="77777777" w:rsidR="00FD5B43" w:rsidRDefault="00FD5B43" w:rsidP="001655C1">
            <w:pPr>
              <w:spacing w:line="240" w:lineRule="exact"/>
            </w:pPr>
          </w:p>
          <w:p w14:paraId="2121B5CC" w14:textId="1DB85A51" w:rsidR="00FD5B43" w:rsidRDefault="00FD5B43" w:rsidP="001655C1">
            <w:pPr>
              <w:spacing w:line="240" w:lineRule="exact"/>
            </w:pPr>
            <w:r>
              <w:t>12 January 2024</w:t>
            </w:r>
          </w:p>
          <w:p w14:paraId="25481174" w14:textId="77777777" w:rsidR="00FD5B43" w:rsidRDefault="00FD5B43" w:rsidP="001655C1">
            <w:pPr>
              <w:spacing w:line="240" w:lineRule="exact"/>
            </w:pPr>
          </w:p>
          <w:p w14:paraId="58D24769" w14:textId="77777777" w:rsidR="00FD5B43" w:rsidRDefault="00FD5B43" w:rsidP="001655C1">
            <w:pPr>
              <w:spacing w:line="240" w:lineRule="exact"/>
            </w:pPr>
            <w:r>
              <w:t>Original: English</w:t>
            </w:r>
          </w:p>
        </w:tc>
      </w:tr>
    </w:tbl>
    <w:p w14:paraId="0262F82F" w14:textId="6258B11D" w:rsidR="009C2FF6" w:rsidRPr="006852FE" w:rsidRDefault="009C2FF6" w:rsidP="009C2FF6">
      <w:pPr>
        <w:pStyle w:val="HChG"/>
      </w:pPr>
      <w:r w:rsidRPr="006852FE">
        <w:tab/>
      </w:r>
      <w:r w:rsidRPr="006852FE">
        <w:tab/>
      </w:r>
      <w:r>
        <w:t>7.2.4.22 Opening of openings and the dosing of extra additives</w:t>
      </w:r>
    </w:p>
    <w:p w14:paraId="29D7DAF9" w14:textId="62EC3DC1" w:rsidR="009C2FF6" w:rsidRPr="007C6C41" w:rsidRDefault="009C2FF6" w:rsidP="009C2FF6">
      <w:pPr>
        <w:pStyle w:val="H1G"/>
        <w:rPr>
          <w:sz w:val="22"/>
          <w:szCs w:val="22"/>
        </w:rPr>
      </w:pPr>
      <w:r>
        <w:tab/>
      </w:r>
      <w:r w:rsidRPr="007C6C41">
        <w:rPr>
          <w:sz w:val="22"/>
          <w:szCs w:val="22"/>
        </w:rPr>
        <w:tab/>
        <w:t>Transmitted by FuelsEurope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D2167" w14:paraId="4AAF1450" w14:textId="77777777" w:rsidTr="00F1068D">
        <w:trPr>
          <w:jc w:val="center"/>
        </w:trPr>
        <w:tc>
          <w:tcPr>
            <w:tcW w:w="9637" w:type="dxa"/>
            <w:shd w:val="clear" w:color="auto" w:fill="auto"/>
          </w:tcPr>
          <w:p w14:paraId="7626D465" w14:textId="77777777" w:rsidR="003D2167" w:rsidRPr="00C6263E" w:rsidRDefault="003D2167" w:rsidP="00F1068D">
            <w:pPr>
              <w:spacing w:before="240" w:after="120"/>
              <w:ind w:left="255"/>
              <w:rPr>
                <w:i/>
                <w:sz w:val="24"/>
              </w:rPr>
            </w:pPr>
            <w:r w:rsidRPr="00C6263E">
              <w:rPr>
                <w:i/>
                <w:sz w:val="24"/>
              </w:rPr>
              <w:t>Summary</w:t>
            </w:r>
          </w:p>
        </w:tc>
      </w:tr>
      <w:tr w:rsidR="003D2167" w14:paraId="72136B19" w14:textId="77777777" w:rsidTr="00F1068D">
        <w:trPr>
          <w:jc w:val="center"/>
        </w:trPr>
        <w:tc>
          <w:tcPr>
            <w:tcW w:w="9637" w:type="dxa"/>
            <w:shd w:val="clear" w:color="auto" w:fill="auto"/>
          </w:tcPr>
          <w:p w14:paraId="39AB1103" w14:textId="77777777" w:rsidR="003D2167" w:rsidRDefault="003D2167" w:rsidP="00F1068D">
            <w:pPr>
              <w:pStyle w:val="ListParagraph"/>
              <w:ind w:left="841"/>
            </w:pPr>
            <w:r w:rsidRPr="00043A62">
              <w:rPr>
                <w:b/>
              </w:rPr>
              <w:t>Related documents:</w:t>
            </w:r>
            <w:r>
              <w:t xml:space="preserve"> </w:t>
            </w:r>
            <w:r>
              <w:tab/>
              <w:t>ECE/TRANS/WP.15/AC.2/2024/7 (Germany)</w:t>
            </w:r>
          </w:p>
          <w:p w14:paraId="72B872A8" w14:textId="77777777" w:rsidR="003D2167" w:rsidRDefault="003D2167" w:rsidP="00F1068D">
            <w:pPr>
              <w:pStyle w:val="ListParagraph"/>
              <w:ind w:left="2160"/>
            </w:pPr>
            <w:r>
              <w:t xml:space="preserve">             ECE/TRANS/WP.15/AC.2/2024/20 (FuelsEurope)</w:t>
            </w:r>
          </w:p>
          <w:p w14:paraId="29139DAE" w14:textId="77777777" w:rsidR="003D2167" w:rsidRDefault="003D2167" w:rsidP="00F1068D">
            <w:pPr>
              <w:pStyle w:val="ListParagraph"/>
              <w:ind w:left="2160"/>
            </w:pPr>
          </w:p>
          <w:p w14:paraId="7094DF6B" w14:textId="77777777" w:rsidR="003D2167" w:rsidRDefault="003D2167" w:rsidP="00F1068D">
            <w:pPr>
              <w:pStyle w:val="ListParagraph"/>
              <w:ind w:left="2160"/>
            </w:pPr>
          </w:p>
          <w:p w14:paraId="1A4C0974" w14:textId="562D4EBE" w:rsidR="003D2167" w:rsidRDefault="003D2167" w:rsidP="00F1068D">
            <w:pPr>
              <w:pStyle w:val="HChG"/>
              <w:keepNext w:val="0"/>
              <w:keepLines w:val="0"/>
              <w:spacing w:before="0" w:after="120" w:line="240" w:lineRule="auto"/>
              <w:ind w:left="2824" w:hanging="1985"/>
            </w:pPr>
            <w:r w:rsidRPr="00043A62">
              <w:rPr>
                <w:sz w:val="20"/>
              </w:rPr>
              <w:t>Executive summary:</w:t>
            </w:r>
            <w:r w:rsidRPr="00043A62">
              <w:rPr>
                <w:b w:val="0"/>
                <w:bCs/>
              </w:rPr>
              <w:tab/>
            </w:r>
            <w:r w:rsidRPr="00426508">
              <w:rPr>
                <w:b w:val="0"/>
                <w:bCs/>
                <w:sz w:val="20"/>
              </w:rPr>
              <w:t>A</w:t>
            </w:r>
            <w:r w:rsidRPr="00426508">
              <w:rPr>
                <w:b w:val="0"/>
                <w:sz w:val="20"/>
              </w:rPr>
              <w:t xml:space="preserve">fter publication on UNECE, it appeared that </w:t>
            </w:r>
            <w:r>
              <w:rPr>
                <w:b w:val="0"/>
                <w:sz w:val="20"/>
              </w:rPr>
              <w:t xml:space="preserve">our </w:t>
            </w:r>
            <w:r>
              <w:rPr>
                <w:rStyle w:val="SingleTxtGChar"/>
                <w:b w:val="0"/>
                <w:bCs/>
                <w:sz w:val="20"/>
              </w:rPr>
              <w:t xml:space="preserve">proposals in document 2024/20 no longer align with those referred to in document 2024/7 (Germany). </w:t>
            </w:r>
            <w:r w:rsidRPr="00867ABE">
              <w:rPr>
                <w:rStyle w:val="SingleTxtGChar"/>
                <w:b w:val="0"/>
                <w:bCs/>
                <w:sz w:val="20"/>
              </w:rPr>
              <w:br/>
            </w:r>
            <w:r w:rsidRPr="00867ABE">
              <w:rPr>
                <w:rStyle w:val="SingleTxtGChar"/>
                <w:b w:val="0"/>
                <w:bCs/>
                <w:sz w:val="20"/>
              </w:rPr>
              <w:br/>
            </w:r>
            <w:r>
              <w:rPr>
                <w:rStyle w:val="SingleTxtGChar"/>
                <w:b w:val="0"/>
                <w:bCs/>
                <w:sz w:val="20"/>
              </w:rPr>
              <w:t xml:space="preserve">For improved legibility of FuelsEurope’ s proposals as captured in </w:t>
            </w:r>
            <w:r w:rsidR="003E22DA" w:rsidRPr="003E22DA">
              <w:rPr>
                <w:rStyle w:val="SingleTxtGChar"/>
                <w:b w:val="0"/>
                <w:bCs/>
                <w:sz w:val="20"/>
              </w:rPr>
              <w:t xml:space="preserve">Document </w:t>
            </w:r>
            <w:r>
              <w:rPr>
                <w:rStyle w:val="SingleTxtGChar"/>
                <w:b w:val="0"/>
                <w:bCs/>
                <w:sz w:val="20"/>
              </w:rPr>
              <w:t xml:space="preserve">2024/20, these now follow the structure of working document 2024/7 (Germany).  </w:t>
            </w:r>
          </w:p>
        </w:tc>
      </w:tr>
      <w:tr w:rsidR="00411FC0" w14:paraId="2028E0FF" w14:textId="77777777" w:rsidTr="00F1068D">
        <w:trPr>
          <w:jc w:val="center"/>
        </w:trPr>
        <w:tc>
          <w:tcPr>
            <w:tcW w:w="9637" w:type="dxa"/>
            <w:shd w:val="clear" w:color="auto" w:fill="auto"/>
          </w:tcPr>
          <w:p w14:paraId="1BAEE8E2" w14:textId="77777777" w:rsidR="00411FC0" w:rsidRPr="00043A62" w:rsidRDefault="00411FC0" w:rsidP="00411FC0">
            <w:pPr>
              <w:pStyle w:val="ListParagraph"/>
              <w:ind w:left="1417"/>
              <w:jc w:val="both"/>
              <w:rPr>
                <w:b/>
              </w:rPr>
            </w:pPr>
          </w:p>
        </w:tc>
      </w:tr>
      <w:tr w:rsidR="003D2167" w14:paraId="27525907" w14:textId="77777777" w:rsidTr="00F1068D">
        <w:trPr>
          <w:jc w:val="center"/>
        </w:trPr>
        <w:tc>
          <w:tcPr>
            <w:tcW w:w="9637" w:type="dxa"/>
            <w:shd w:val="clear" w:color="auto" w:fill="auto"/>
          </w:tcPr>
          <w:p w14:paraId="6E00949E" w14:textId="77777777" w:rsidR="003D2167" w:rsidRDefault="003D2167" w:rsidP="00F1068D"/>
        </w:tc>
      </w:tr>
    </w:tbl>
    <w:p w14:paraId="2B82F717" w14:textId="3336CE8F" w:rsidR="00867ABE" w:rsidRPr="00870777" w:rsidRDefault="00867ABE" w:rsidP="00867ABE">
      <w:pPr>
        <w:pStyle w:val="HChG"/>
        <w:rPr>
          <w:lang w:val="en-US"/>
        </w:rPr>
      </w:pPr>
      <w:r>
        <w:rPr>
          <w:lang w:val="en-US"/>
        </w:rPr>
        <w:tab/>
      </w:r>
      <w:r>
        <w:rPr>
          <w:lang w:val="en-US"/>
        </w:rPr>
        <w:tab/>
      </w:r>
      <w:r w:rsidRPr="00870777">
        <w:rPr>
          <w:lang w:val="en-US"/>
        </w:rPr>
        <w:t>I</w:t>
      </w:r>
      <w:r>
        <w:rPr>
          <w:lang w:val="en-US"/>
        </w:rPr>
        <w:t>ntroduction</w:t>
      </w:r>
    </w:p>
    <w:p w14:paraId="7B889C96" w14:textId="29C67052" w:rsidR="00867ABE" w:rsidRPr="003B18EA" w:rsidRDefault="00867ABE" w:rsidP="00867ABE">
      <w:pPr>
        <w:pStyle w:val="SingleTxtG"/>
        <w:rPr>
          <w:lang w:val="en-US"/>
        </w:rPr>
      </w:pPr>
      <w:r w:rsidRPr="00867ABE">
        <w:rPr>
          <w:lang w:val="en-US"/>
        </w:rPr>
        <w:t>1.</w:t>
      </w:r>
      <w:r>
        <w:rPr>
          <w:lang w:val="en-US"/>
        </w:rPr>
        <w:tab/>
      </w:r>
      <w:r w:rsidRPr="003B18EA">
        <w:rPr>
          <w:lang w:val="en-US"/>
        </w:rPr>
        <w:t xml:space="preserve">During the August 2023 </w:t>
      </w:r>
      <w:r w:rsidR="00C0752F">
        <w:rPr>
          <w:lang w:val="en-US"/>
        </w:rPr>
        <w:t>session</w:t>
      </w:r>
      <w:r w:rsidR="00EE4B46">
        <w:rPr>
          <w:lang w:val="en-US"/>
        </w:rPr>
        <w:t xml:space="preserve"> of the AD</w:t>
      </w:r>
      <w:r w:rsidR="00622C30">
        <w:rPr>
          <w:lang w:val="en-US"/>
        </w:rPr>
        <w:t>N</w:t>
      </w:r>
      <w:r w:rsidR="00EE4B46">
        <w:rPr>
          <w:lang w:val="en-US"/>
        </w:rPr>
        <w:t xml:space="preserve"> Safety Committee</w:t>
      </w:r>
      <w:r w:rsidRPr="003B18EA">
        <w:rPr>
          <w:lang w:val="en-US"/>
        </w:rPr>
        <w:t>, the representative of Germany offered to c</w:t>
      </w:r>
      <w:r>
        <w:rPr>
          <w:lang w:val="en-US"/>
        </w:rPr>
        <w:t>onsider</w:t>
      </w:r>
      <w:r w:rsidRPr="003B18EA">
        <w:rPr>
          <w:lang w:val="en-US"/>
        </w:rPr>
        <w:t xml:space="preserve"> additionally received comments on the topic of opening of openings, </w:t>
      </w:r>
      <w:r>
        <w:rPr>
          <w:lang w:val="en-US"/>
        </w:rPr>
        <w:t xml:space="preserve">for discussion </w:t>
      </w:r>
      <w:r w:rsidRPr="003B18EA">
        <w:rPr>
          <w:lang w:val="en-US"/>
        </w:rPr>
        <w:t xml:space="preserve">during the January 2024 session. The specific articles for consideration have been reflected in </w:t>
      </w:r>
      <w:r w:rsidR="00F90313">
        <w:rPr>
          <w:lang w:val="en-US"/>
        </w:rPr>
        <w:t>report</w:t>
      </w:r>
      <w:r w:rsidRPr="003B18EA">
        <w:rPr>
          <w:lang w:val="en-US"/>
        </w:rPr>
        <w:t xml:space="preserve"> </w:t>
      </w:r>
      <w:hyperlink r:id="rId11" w:history="1">
        <w:r w:rsidRPr="00F57F6E">
          <w:rPr>
            <w:rStyle w:val="Hyperlink"/>
            <w:color w:val="auto"/>
            <w:lang w:val="en-US"/>
          </w:rPr>
          <w:t>ECE/TRANS/WP.15/AC.2/86</w:t>
        </w:r>
      </w:hyperlink>
      <w:r w:rsidRPr="00F57F6E">
        <w:rPr>
          <w:rStyle w:val="Hyperlink"/>
          <w:color w:val="auto"/>
          <w:lang w:val="en-US"/>
        </w:rPr>
        <w:t>.</w:t>
      </w:r>
    </w:p>
    <w:p w14:paraId="42EC27AB" w14:textId="003A482F" w:rsidR="00867ABE" w:rsidRPr="003B18EA" w:rsidRDefault="00867ABE" w:rsidP="00867ABE">
      <w:pPr>
        <w:pStyle w:val="SingleTxtG"/>
        <w:rPr>
          <w:lang w:val="en-US"/>
        </w:rPr>
      </w:pPr>
      <w:r>
        <w:rPr>
          <w:lang w:val="en-US"/>
        </w:rPr>
        <w:t>2.</w:t>
      </w:r>
      <w:r>
        <w:rPr>
          <w:lang w:val="en-US"/>
        </w:rPr>
        <w:tab/>
      </w:r>
      <w:r w:rsidR="001C28E3">
        <w:rPr>
          <w:lang w:val="en-US"/>
        </w:rPr>
        <w:t>Fuel</w:t>
      </w:r>
      <w:r w:rsidR="003D2167">
        <w:rPr>
          <w:lang w:val="en-US"/>
        </w:rPr>
        <w:t>s</w:t>
      </w:r>
      <w:r w:rsidR="001C28E3">
        <w:rPr>
          <w:lang w:val="en-US"/>
        </w:rPr>
        <w:t>Europe</w:t>
      </w:r>
      <w:r w:rsidRPr="003B18EA">
        <w:rPr>
          <w:lang w:val="en-US"/>
        </w:rPr>
        <w:t xml:space="preserve"> welcome</w:t>
      </w:r>
      <w:r w:rsidR="001C28E3">
        <w:rPr>
          <w:lang w:val="en-US"/>
        </w:rPr>
        <w:t>s</w:t>
      </w:r>
      <w:r w:rsidRPr="003B18EA">
        <w:rPr>
          <w:lang w:val="en-US"/>
        </w:rPr>
        <w:t xml:space="preserve"> the proposals contained in </w:t>
      </w:r>
      <w:r w:rsidR="00C543DD">
        <w:rPr>
          <w:lang w:val="en-US"/>
        </w:rPr>
        <w:t>document ECE/TRANS/WP.15/AC.2/2023/47</w:t>
      </w:r>
      <w:r w:rsidR="00E7192F">
        <w:rPr>
          <w:lang w:val="en-US"/>
        </w:rPr>
        <w:t>. H</w:t>
      </w:r>
      <w:r w:rsidRPr="003B18EA">
        <w:rPr>
          <w:lang w:val="en-US"/>
        </w:rPr>
        <w:t>owever</w:t>
      </w:r>
      <w:r w:rsidR="007D6AA3">
        <w:rPr>
          <w:lang w:val="en-US"/>
        </w:rPr>
        <w:t>,</w:t>
      </w:r>
      <w:r w:rsidRPr="003B18EA">
        <w:rPr>
          <w:lang w:val="en-US"/>
        </w:rPr>
        <w:t xml:space="preserve"> it was recognized by the industry that these did not take fully into account the current needs of the fillers in the operational process of transporting liquid dangerous goods. </w:t>
      </w:r>
    </w:p>
    <w:p w14:paraId="6A5E938C" w14:textId="7B80B9A3" w:rsidR="003D2167" w:rsidRDefault="00867ABE" w:rsidP="00867ABE">
      <w:pPr>
        <w:pStyle w:val="SingleTxtG"/>
        <w:rPr>
          <w:lang w:val="en-US"/>
        </w:rPr>
      </w:pPr>
      <w:r>
        <w:rPr>
          <w:lang w:val="en-US"/>
        </w:rPr>
        <w:t>3.</w:t>
      </w:r>
      <w:r>
        <w:rPr>
          <w:lang w:val="en-US"/>
        </w:rPr>
        <w:tab/>
      </w:r>
      <w:r w:rsidRPr="003B18EA">
        <w:rPr>
          <w:lang w:val="en-US"/>
        </w:rPr>
        <w:t xml:space="preserve">This need concerns the </w:t>
      </w:r>
      <w:r w:rsidRPr="00A25FC4">
        <w:rPr>
          <w:lang w:val="en-US"/>
        </w:rPr>
        <w:t xml:space="preserve">additional dosing of extra additives on board of inland waterway tankers and FuelsEurope </w:t>
      </w:r>
      <w:r w:rsidR="003D2167">
        <w:rPr>
          <w:lang w:val="en-US"/>
        </w:rPr>
        <w:t>submitted document 2024/20 reflecting proposals in the structure of document 2023/47.</w:t>
      </w:r>
    </w:p>
    <w:p w14:paraId="159E621B" w14:textId="509E7071" w:rsidR="00E03036" w:rsidRDefault="003D2167" w:rsidP="00867ABE">
      <w:pPr>
        <w:pStyle w:val="SingleTxtG"/>
        <w:rPr>
          <w:lang w:val="en-US"/>
        </w:rPr>
      </w:pPr>
      <w:r>
        <w:rPr>
          <w:lang w:val="en-US"/>
        </w:rPr>
        <w:t xml:space="preserve">4. </w:t>
      </w:r>
      <w:r>
        <w:rPr>
          <w:lang w:val="en-US"/>
        </w:rPr>
        <w:tab/>
        <w:t xml:space="preserve">Following the material change of structure now reflected in document 2024/7 there is a need to restructure </w:t>
      </w:r>
      <w:r w:rsidR="00411FC0">
        <w:rPr>
          <w:lang w:val="en-US"/>
        </w:rPr>
        <w:t>the</w:t>
      </w:r>
      <w:r>
        <w:rPr>
          <w:lang w:val="en-US"/>
        </w:rPr>
        <w:t xml:space="preserve"> proposals</w:t>
      </w:r>
      <w:r w:rsidR="00411FC0">
        <w:rPr>
          <w:lang w:val="en-US"/>
        </w:rPr>
        <w:t xml:space="preserve"> as captured in document 2024/20.</w:t>
      </w:r>
    </w:p>
    <w:p w14:paraId="78BAAAA7" w14:textId="1C6C7A94" w:rsidR="00867ABE" w:rsidRPr="00A25FC4" w:rsidRDefault="00E03036" w:rsidP="00867ABE">
      <w:pPr>
        <w:pStyle w:val="SingleTxtG"/>
        <w:rPr>
          <w:lang w:val="en-US"/>
        </w:rPr>
      </w:pPr>
      <w:r>
        <w:rPr>
          <w:lang w:val="en-US"/>
        </w:rPr>
        <w:t xml:space="preserve">5. </w:t>
      </w:r>
      <w:r>
        <w:rPr>
          <w:lang w:val="en-US"/>
        </w:rPr>
        <w:tab/>
        <w:t>T</w:t>
      </w:r>
      <w:r w:rsidR="00867ABE" w:rsidRPr="00A25FC4">
        <w:rPr>
          <w:lang w:val="en-US"/>
        </w:rPr>
        <w:t xml:space="preserve">o facilitate a smooth discussion and comparison of </w:t>
      </w:r>
      <w:r w:rsidR="0006330D" w:rsidRPr="00A25FC4">
        <w:rPr>
          <w:lang w:val="en-US"/>
        </w:rPr>
        <w:t>provisions</w:t>
      </w:r>
      <w:r>
        <w:rPr>
          <w:lang w:val="en-US"/>
        </w:rPr>
        <w:t xml:space="preserve"> and proposals, we hereby present our proposals following the format of document 2024/7.</w:t>
      </w:r>
    </w:p>
    <w:p w14:paraId="2C31B936" w14:textId="151478C8" w:rsidR="00867ABE" w:rsidRPr="003B18EA" w:rsidRDefault="00E03036" w:rsidP="00867ABE">
      <w:pPr>
        <w:pStyle w:val="SingleTxtG"/>
        <w:rPr>
          <w:lang w:val="en-US"/>
        </w:rPr>
      </w:pPr>
      <w:r>
        <w:rPr>
          <w:lang w:val="en-US"/>
        </w:rPr>
        <w:lastRenderedPageBreak/>
        <w:t>6</w:t>
      </w:r>
      <w:r w:rsidR="00867ABE" w:rsidRPr="00A25FC4">
        <w:rPr>
          <w:lang w:val="en-US"/>
        </w:rPr>
        <w:t>.</w:t>
      </w:r>
      <w:r w:rsidR="00867ABE" w:rsidRPr="00A25FC4">
        <w:rPr>
          <w:lang w:val="en-US"/>
        </w:rPr>
        <w:tab/>
        <w:t>Identical to the additional dosing of extra stabilizers as described in the German proposals, additional dosing of other additives on board can also</w:t>
      </w:r>
      <w:r w:rsidR="00867ABE">
        <w:rPr>
          <w:lang w:val="en-US"/>
        </w:rPr>
        <w:t xml:space="preserve"> </w:t>
      </w:r>
      <w:r w:rsidR="00867ABE" w:rsidRPr="003B18EA">
        <w:rPr>
          <w:lang w:val="en-US"/>
        </w:rPr>
        <w:t xml:space="preserve">be done in a safe manner. </w:t>
      </w:r>
    </w:p>
    <w:p w14:paraId="0A9B1FDE" w14:textId="7F5A6E51" w:rsidR="00867ABE" w:rsidRPr="003B18EA" w:rsidRDefault="00E03036" w:rsidP="00867ABE">
      <w:pPr>
        <w:pStyle w:val="SingleTxtG"/>
        <w:rPr>
          <w:lang w:val="en-US"/>
        </w:rPr>
      </w:pPr>
      <w:r>
        <w:rPr>
          <w:lang w:val="en-US"/>
        </w:rPr>
        <w:t>7</w:t>
      </w:r>
      <w:r w:rsidR="00867ABE">
        <w:rPr>
          <w:lang w:val="en-US"/>
        </w:rPr>
        <w:t>.</w:t>
      </w:r>
      <w:r w:rsidR="00867ABE">
        <w:rPr>
          <w:lang w:val="en-US"/>
        </w:rPr>
        <w:tab/>
      </w:r>
      <w:r w:rsidR="00867ABE" w:rsidRPr="003B18EA">
        <w:rPr>
          <w:lang w:val="en-US"/>
        </w:rPr>
        <w:t xml:space="preserve">The proposals fully align with the below </w:t>
      </w:r>
      <w:r w:rsidR="001C013E" w:rsidRPr="003B18EA">
        <w:rPr>
          <w:lang w:val="en-US"/>
        </w:rPr>
        <w:t>Princip</w:t>
      </w:r>
      <w:r w:rsidR="001C013E">
        <w:rPr>
          <w:lang w:val="en-US"/>
        </w:rPr>
        <w:t>les</w:t>
      </w:r>
      <w:r w:rsidR="001C013E" w:rsidRPr="003B18EA">
        <w:rPr>
          <w:lang w:val="en-US"/>
        </w:rPr>
        <w:t xml:space="preserve"> </w:t>
      </w:r>
      <w:r w:rsidR="00867ABE" w:rsidRPr="003B18EA">
        <w:rPr>
          <w:lang w:val="en-US"/>
        </w:rPr>
        <w:t>of the ADN, as agreed between the contracting parties:</w:t>
      </w:r>
    </w:p>
    <w:p w14:paraId="0296ABB5" w14:textId="2F282373" w:rsidR="00235AE2" w:rsidRDefault="00235AE2" w:rsidP="000B4D77">
      <w:pPr>
        <w:rPr>
          <w:b/>
          <w:sz w:val="22"/>
        </w:rPr>
      </w:pPr>
    </w:p>
    <w:p w14:paraId="7D010A86" w14:textId="40C4C88F" w:rsidR="00235AE2" w:rsidRPr="00881B7A" w:rsidRDefault="00EC6EAC" w:rsidP="00235AE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b/>
          <w:sz w:val="22"/>
        </w:rPr>
      </w:pPr>
      <w:r w:rsidRPr="00F57F6E">
        <w:rPr>
          <w:bCs/>
          <w:sz w:val="22"/>
        </w:rPr>
        <w:t>“</w:t>
      </w:r>
      <w:r w:rsidR="00235AE2" w:rsidRPr="00881B7A">
        <w:rPr>
          <w:b/>
          <w:sz w:val="22"/>
        </w:rPr>
        <w:t>EUROPEAN AGREEMENT CONCERNING THE</w:t>
      </w:r>
    </w:p>
    <w:p w14:paraId="2BFDB383" w14:textId="77777777" w:rsidR="00235AE2" w:rsidRPr="00881B7A" w:rsidRDefault="00235AE2" w:rsidP="00235AE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b/>
          <w:sz w:val="22"/>
        </w:rPr>
      </w:pPr>
      <w:r w:rsidRPr="00881B7A">
        <w:rPr>
          <w:b/>
          <w:sz w:val="22"/>
        </w:rPr>
        <w:t>INTERNATIONAL CARRIAGE OF DANGEROUS GOODS</w:t>
      </w:r>
    </w:p>
    <w:p w14:paraId="3EDC73BE" w14:textId="77777777" w:rsidR="00235AE2" w:rsidRPr="00881B7A" w:rsidRDefault="00235AE2" w:rsidP="00235AE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b/>
          <w:sz w:val="22"/>
        </w:rPr>
      </w:pPr>
      <w:r w:rsidRPr="00881B7A">
        <w:rPr>
          <w:b/>
          <w:sz w:val="22"/>
        </w:rPr>
        <w:t>BY INLAND WATERWAYS (ADN)</w:t>
      </w:r>
    </w:p>
    <w:p w14:paraId="789E5001" w14:textId="77777777" w:rsidR="00235AE2" w:rsidRPr="00881B7A" w:rsidRDefault="00235AE2" w:rsidP="00235AE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b/>
          <w:sz w:val="22"/>
        </w:rPr>
      </w:pPr>
    </w:p>
    <w:p w14:paraId="6C70282D" w14:textId="77777777" w:rsidR="00235AE2" w:rsidRPr="00881B7A" w:rsidRDefault="00235AE2" w:rsidP="00235AE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right="1134"/>
        <w:jc w:val="both"/>
        <w:rPr>
          <w:b/>
          <w:sz w:val="22"/>
        </w:rPr>
      </w:pPr>
      <w:r w:rsidRPr="00881B7A">
        <w:rPr>
          <w:b/>
          <w:sz w:val="22"/>
        </w:rPr>
        <w:t>THE CONTRACTING PARTIES,</w:t>
      </w:r>
    </w:p>
    <w:p w14:paraId="25C24341" w14:textId="77777777" w:rsidR="00235AE2" w:rsidRPr="00881B7A" w:rsidRDefault="00235AE2" w:rsidP="00235AE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right="1134"/>
        <w:jc w:val="both"/>
        <w:rPr>
          <w:b/>
          <w:sz w:val="22"/>
        </w:rPr>
      </w:pPr>
      <w:r w:rsidRPr="00881B7A">
        <w:rPr>
          <w:b/>
          <w:sz w:val="22"/>
        </w:rPr>
        <w:tab/>
        <w:t>DESIRING to establish by joint agreement uniform principles and rules, for the purposes of:</w:t>
      </w:r>
    </w:p>
    <w:p w14:paraId="289AE6A9" w14:textId="77777777" w:rsidR="00235AE2" w:rsidRPr="00235AE2" w:rsidRDefault="00235AE2" w:rsidP="00235AE2">
      <w:pPr>
        <w:pStyle w:val="Level1"/>
        <w:widowControl/>
        <w:numPr>
          <w:ilvl w:val="0"/>
          <w:numId w:val="0"/>
        </w:numPr>
        <w:tabs>
          <w:tab w:val="left" w:pos="0"/>
          <w:tab w:val="left" w:pos="566"/>
          <w:tab w:val="num"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2268" w:right="1134" w:hanging="1134"/>
        <w:jc w:val="both"/>
        <w:rPr>
          <w:sz w:val="20"/>
          <w:lang w:val="en-GB"/>
        </w:rPr>
      </w:pPr>
      <w:r w:rsidRPr="00235AE2">
        <w:rPr>
          <w:sz w:val="20"/>
          <w:lang w:val="en-GB"/>
        </w:rPr>
        <w:tab/>
        <w:t>(a)</w:t>
      </w:r>
      <w:r w:rsidRPr="00235AE2">
        <w:rPr>
          <w:sz w:val="20"/>
          <w:lang w:val="en-GB"/>
        </w:rPr>
        <w:tab/>
        <w:t>increasing the safety of international carriage of dangerous goods by inland waterways;</w:t>
      </w:r>
    </w:p>
    <w:p w14:paraId="598FB743" w14:textId="77777777" w:rsidR="00235AE2" w:rsidRPr="00235AE2" w:rsidRDefault="00235AE2" w:rsidP="00235AE2">
      <w:pPr>
        <w:pStyle w:val="Level1"/>
        <w:widowControl/>
        <w:numPr>
          <w:ilvl w:val="0"/>
          <w:numId w:val="0"/>
        </w:numPr>
        <w:tabs>
          <w:tab w:val="left" w:pos="0"/>
          <w:tab w:val="left" w:pos="566"/>
          <w:tab w:val="num"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2268" w:right="1134" w:hanging="1134"/>
        <w:jc w:val="both"/>
        <w:rPr>
          <w:sz w:val="20"/>
          <w:lang w:val="en-GB"/>
        </w:rPr>
      </w:pPr>
      <w:r w:rsidRPr="00235AE2">
        <w:rPr>
          <w:sz w:val="20"/>
          <w:lang w:val="en-GB"/>
        </w:rPr>
        <w:tab/>
        <w:t>(b)</w:t>
      </w:r>
      <w:r w:rsidRPr="00235AE2">
        <w:rPr>
          <w:sz w:val="20"/>
          <w:lang w:val="en-GB"/>
        </w:rPr>
        <w:tab/>
        <w:t>contributing effectively to the protection of the environment, by preventing any pollution resulting from accidents or incidents during such carriage; and</w:t>
      </w:r>
    </w:p>
    <w:p w14:paraId="79766552" w14:textId="405EF837" w:rsidR="00235AE2" w:rsidRPr="00235AE2" w:rsidRDefault="00235AE2" w:rsidP="00235AE2">
      <w:pPr>
        <w:pStyle w:val="Level1"/>
        <w:widowControl/>
        <w:numPr>
          <w:ilvl w:val="0"/>
          <w:numId w:val="0"/>
        </w:numPr>
        <w:tabs>
          <w:tab w:val="left" w:pos="0"/>
          <w:tab w:val="left" w:pos="566"/>
          <w:tab w:val="num"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right="1134"/>
        <w:jc w:val="both"/>
        <w:rPr>
          <w:sz w:val="20"/>
          <w:lang w:val="en-GB"/>
        </w:rPr>
      </w:pPr>
      <w:r w:rsidRPr="00235AE2">
        <w:rPr>
          <w:sz w:val="20"/>
          <w:lang w:val="en-GB"/>
        </w:rPr>
        <w:tab/>
        <w:t>(c)</w:t>
      </w:r>
      <w:r w:rsidRPr="00235AE2">
        <w:rPr>
          <w:sz w:val="20"/>
          <w:lang w:val="en-GB"/>
        </w:rPr>
        <w:tab/>
        <w:t>facilitating transport operations and promoting international trade,</w:t>
      </w:r>
      <w:r>
        <w:rPr>
          <w:sz w:val="20"/>
          <w:lang w:val="en-GB"/>
        </w:rPr>
        <w:t>”</w:t>
      </w:r>
    </w:p>
    <w:p w14:paraId="4012DBCF" w14:textId="0D2EB465" w:rsidR="00867ABE" w:rsidRPr="00870777" w:rsidRDefault="00867ABE" w:rsidP="000B4D77">
      <w:pPr>
        <w:pStyle w:val="HChG"/>
        <w:rPr>
          <w:lang w:val="en-US"/>
        </w:rPr>
      </w:pPr>
      <w:r w:rsidRPr="00867ABE">
        <w:rPr>
          <w:b w:val="0"/>
          <w:lang w:val="en-US"/>
        </w:rPr>
        <w:tab/>
      </w:r>
      <w:r w:rsidRPr="00867ABE">
        <w:rPr>
          <w:bCs/>
          <w:lang w:val="en-US"/>
        </w:rPr>
        <w:t>I.</w:t>
      </w:r>
      <w:r>
        <w:rPr>
          <w:lang w:val="en-US"/>
        </w:rPr>
        <w:tab/>
        <w:t>Our proposals to allow additional dosing of extra additives</w:t>
      </w:r>
    </w:p>
    <w:p w14:paraId="536D80A2" w14:textId="17987BD6" w:rsidR="00EC708A" w:rsidRDefault="00867ABE" w:rsidP="001B4F2F">
      <w:pPr>
        <w:pStyle w:val="SingleTxtG"/>
        <w:rPr>
          <w:b/>
          <w:bCs/>
          <w:lang w:val="en-US"/>
        </w:rPr>
      </w:pPr>
      <w:r w:rsidRPr="003D2167">
        <w:rPr>
          <w:b/>
          <w:bCs/>
          <w:lang w:val="en-US"/>
        </w:rPr>
        <w:t>7.2.4.22, Opening of openings</w:t>
      </w:r>
      <w:r w:rsidR="00A84891" w:rsidRPr="003D2167">
        <w:rPr>
          <w:b/>
          <w:bCs/>
          <w:lang w:val="en-US"/>
        </w:rPr>
        <w:t xml:space="preserve"> of cargo tanks</w:t>
      </w:r>
      <w:r w:rsidR="00A97ED8" w:rsidRPr="003D2167">
        <w:rPr>
          <w:b/>
          <w:bCs/>
          <w:lang w:val="en-US"/>
        </w:rPr>
        <w:t xml:space="preserve"> (general)</w:t>
      </w:r>
      <w:r w:rsidR="00F35B5F" w:rsidRPr="003D2167">
        <w:rPr>
          <w:b/>
          <w:bCs/>
          <w:lang w:val="en-US"/>
        </w:rPr>
        <w:t>:</w:t>
      </w:r>
    </w:p>
    <w:p w14:paraId="6A56F112" w14:textId="5FFE0FA3" w:rsidR="00E03036" w:rsidRPr="00BA6991" w:rsidRDefault="00E03036" w:rsidP="00E03036">
      <w:pPr>
        <w:pStyle w:val="SingleTxtG"/>
        <w:rPr>
          <w:lang w:val="en-US"/>
        </w:rPr>
      </w:pPr>
      <w:r w:rsidRPr="00E03036">
        <w:rPr>
          <w:lang w:val="en-US"/>
        </w:rPr>
        <w:t>8.</w:t>
      </w:r>
      <w:r w:rsidRPr="00E03036">
        <w:rPr>
          <w:lang w:val="en-US"/>
        </w:rPr>
        <w:tab/>
      </w:r>
      <w:r>
        <w:rPr>
          <w:lang w:val="en-US"/>
        </w:rPr>
        <w:t>in 7.2.4.22.1, after “</w:t>
      </w:r>
      <w:r w:rsidRPr="00595408">
        <w:rPr>
          <w:i/>
          <w:iCs/>
          <w:lang w:val="en-US"/>
        </w:rPr>
        <w:t>∙ For the subsequent addition of stabilizer in exceptional cases,</w:t>
      </w:r>
      <w:r>
        <w:rPr>
          <w:i/>
          <w:iCs/>
          <w:lang w:val="en-US"/>
        </w:rPr>
        <w:t>”</w:t>
      </w:r>
      <w:r>
        <w:rPr>
          <w:lang w:val="en-US"/>
        </w:rPr>
        <w:t xml:space="preserve"> add a new indent:</w:t>
      </w:r>
    </w:p>
    <w:p w14:paraId="246B4104" w14:textId="77777777" w:rsidR="00E03036" w:rsidRPr="001B4F2F" w:rsidRDefault="00E03036" w:rsidP="00E03036">
      <w:pPr>
        <w:pStyle w:val="SingleTxtG"/>
        <w:ind w:left="1701"/>
        <w:rPr>
          <w:b/>
          <w:bCs/>
          <w:u w:val="single"/>
        </w:rPr>
      </w:pPr>
      <w:r>
        <w:rPr>
          <w:b/>
          <w:bCs/>
          <w:u w:val="single"/>
        </w:rPr>
        <w:t xml:space="preserve">* </w:t>
      </w:r>
      <w:r w:rsidRPr="001B4F2F">
        <w:rPr>
          <w:b/>
          <w:bCs/>
          <w:u w:val="single"/>
        </w:rPr>
        <w:t>For the subsequent addition of other additives, in exceptional cases, after loading but before the journey commences, or after the journey ends but before the discharge</w:t>
      </w:r>
      <w:r>
        <w:rPr>
          <w:b/>
          <w:bCs/>
          <w:u w:val="single"/>
        </w:rPr>
        <w:t>,</w:t>
      </w:r>
    </w:p>
    <w:p w14:paraId="67C98C32" w14:textId="68BF9F7D" w:rsidR="00B74D65" w:rsidRDefault="00E03036" w:rsidP="00B74D65">
      <w:pPr>
        <w:pStyle w:val="Bullet1G"/>
        <w:rPr>
          <w:lang w:val="en-US"/>
        </w:rPr>
      </w:pPr>
      <w:r>
        <w:rPr>
          <w:lang w:val="en-US"/>
        </w:rPr>
        <w:t xml:space="preserve">In </w:t>
      </w:r>
      <w:r w:rsidR="00867ABE" w:rsidRPr="00BA6991">
        <w:rPr>
          <w:lang w:val="en-US"/>
        </w:rPr>
        <w:t>7.2.4.22.1</w:t>
      </w:r>
      <w:r>
        <w:rPr>
          <w:lang w:val="en-US"/>
        </w:rPr>
        <w:t xml:space="preserve">3, replace “or stabilizer” by </w:t>
      </w:r>
      <w:r w:rsidR="00DE1D18">
        <w:rPr>
          <w:lang w:val="en-US"/>
        </w:rPr>
        <w:t>“</w:t>
      </w:r>
      <w:r w:rsidR="00DE1D18" w:rsidRPr="00B74D65">
        <w:rPr>
          <w:b/>
          <w:bCs/>
          <w:u w:val="single"/>
          <w:lang w:val="en-US"/>
        </w:rPr>
        <w:t>, stabilizer</w:t>
      </w:r>
      <w:r w:rsidRPr="00B74D65">
        <w:rPr>
          <w:b/>
          <w:bCs/>
          <w:u w:val="single"/>
          <w:lang w:val="en-US"/>
        </w:rPr>
        <w:t>, or other additives</w:t>
      </w:r>
      <w:r>
        <w:rPr>
          <w:lang w:val="en-US"/>
        </w:rPr>
        <w:t>”</w:t>
      </w:r>
      <w:r w:rsidR="001A7D85">
        <w:rPr>
          <w:lang w:val="en-US"/>
        </w:rPr>
        <w:t xml:space="preserve"> </w:t>
      </w:r>
    </w:p>
    <w:p w14:paraId="45721E97" w14:textId="4B996E06" w:rsidR="00FE5C2A" w:rsidRPr="00906538" w:rsidRDefault="00FE5C2A" w:rsidP="00B74D65">
      <w:pPr>
        <w:pStyle w:val="Bullet1G"/>
        <w:rPr>
          <w:b/>
          <w:bCs/>
          <w:u w:val="single"/>
          <w:lang w:val="en-US"/>
        </w:rPr>
      </w:pPr>
      <w:r>
        <w:rPr>
          <w:lang w:val="en-US"/>
        </w:rPr>
        <w:tab/>
      </w:r>
      <w:r w:rsidRPr="00BA6991">
        <w:rPr>
          <w:lang w:val="en-US"/>
        </w:rPr>
        <w:t>7.2.4.2</w:t>
      </w:r>
      <w:r w:rsidR="00B74D65">
        <w:rPr>
          <w:lang w:val="en-US"/>
        </w:rPr>
        <w:t>2.</w:t>
      </w:r>
      <w:r w:rsidR="00906538">
        <w:rPr>
          <w:lang w:val="en-US"/>
        </w:rPr>
        <w:t>15</w:t>
      </w:r>
      <w:r w:rsidR="00B74D65">
        <w:rPr>
          <w:lang w:val="en-US"/>
        </w:rPr>
        <w:t>: Rename 7.2.4.22.</w:t>
      </w:r>
      <w:r w:rsidR="00906538">
        <w:rPr>
          <w:lang w:val="en-US"/>
        </w:rPr>
        <w:t>15</w:t>
      </w:r>
      <w:r w:rsidR="00B74D65">
        <w:rPr>
          <w:lang w:val="en-US"/>
        </w:rPr>
        <w:t xml:space="preserve"> </w:t>
      </w:r>
      <w:r w:rsidR="00DE1D18">
        <w:rPr>
          <w:lang w:val="en-US"/>
        </w:rPr>
        <w:t>to read</w:t>
      </w:r>
      <w:r w:rsidR="00906538">
        <w:rPr>
          <w:lang w:val="en-US"/>
        </w:rPr>
        <w:t>: “</w:t>
      </w:r>
      <w:r w:rsidR="00906538" w:rsidRPr="00906538">
        <w:rPr>
          <w:b/>
          <w:bCs/>
          <w:u w:val="single"/>
          <w:lang w:val="en-US"/>
        </w:rPr>
        <w:t>7.2.4.22.</w:t>
      </w:r>
      <w:r w:rsidR="00906538">
        <w:rPr>
          <w:b/>
          <w:bCs/>
          <w:u w:val="single"/>
          <w:lang w:val="en-US"/>
        </w:rPr>
        <w:t>15</w:t>
      </w:r>
      <w:r w:rsidR="00906538" w:rsidRPr="00906538">
        <w:rPr>
          <w:b/>
          <w:bCs/>
          <w:u w:val="single"/>
          <w:lang w:val="en-US"/>
        </w:rPr>
        <w:t xml:space="preserve"> Addition of stabilizer or other additives in exceptional cases</w:t>
      </w:r>
      <w:r w:rsidR="00906538">
        <w:rPr>
          <w:b/>
          <w:bCs/>
          <w:u w:val="single"/>
          <w:lang w:val="en-US"/>
        </w:rPr>
        <w:t>”</w:t>
      </w:r>
      <w:r w:rsidRPr="00906538">
        <w:rPr>
          <w:b/>
          <w:bCs/>
          <w:lang w:val="en-US"/>
        </w:rPr>
        <w:t xml:space="preserve"> </w:t>
      </w:r>
      <w:r w:rsidR="00906538" w:rsidRPr="00906538">
        <w:rPr>
          <w:lang w:val="en-US"/>
        </w:rPr>
        <w:t>and insert new 7.2.4.22.</w:t>
      </w:r>
      <w:r w:rsidR="00906538">
        <w:rPr>
          <w:lang w:val="en-US"/>
        </w:rPr>
        <w:t>15</w:t>
      </w:r>
      <w:r w:rsidR="00906538" w:rsidRPr="00906538">
        <w:rPr>
          <w:lang w:val="en-US"/>
        </w:rPr>
        <w:t>.1</w:t>
      </w:r>
      <w:r w:rsidR="00906538">
        <w:rPr>
          <w:lang w:val="en-US"/>
        </w:rPr>
        <w:t xml:space="preserve"> and 7.2.4.22.15.2:</w:t>
      </w:r>
    </w:p>
    <w:p w14:paraId="19214138" w14:textId="0F25349A" w:rsidR="00906538" w:rsidRPr="00906538" w:rsidRDefault="00906538" w:rsidP="00B74D65">
      <w:pPr>
        <w:pStyle w:val="Bullet1G"/>
        <w:rPr>
          <w:b/>
          <w:bCs/>
          <w:u w:val="single"/>
          <w:lang w:val="en-US"/>
        </w:rPr>
      </w:pPr>
      <w:r w:rsidRPr="00906538">
        <w:rPr>
          <w:b/>
          <w:bCs/>
          <w:u w:val="single"/>
          <w:lang w:val="en-US"/>
        </w:rPr>
        <w:t>7.2.4.22.</w:t>
      </w:r>
      <w:r>
        <w:rPr>
          <w:b/>
          <w:bCs/>
          <w:u w:val="single"/>
          <w:lang w:val="en-US"/>
        </w:rPr>
        <w:t>15</w:t>
      </w:r>
      <w:r w:rsidRPr="00906538">
        <w:rPr>
          <w:b/>
          <w:bCs/>
          <w:u w:val="single"/>
          <w:lang w:val="en-US"/>
        </w:rPr>
        <w:t xml:space="preserve">.1 </w:t>
      </w:r>
      <w:r w:rsidRPr="00906538">
        <w:rPr>
          <w:b/>
          <w:bCs/>
          <w:u w:val="single"/>
          <w:lang w:val="en-US"/>
        </w:rPr>
        <w:tab/>
      </w:r>
      <w:r w:rsidRPr="00906538">
        <w:rPr>
          <w:b/>
          <w:bCs/>
          <w:u w:val="single"/>
        </w:rPr>
        <w:t>If an unforeseen extension of the navigation time requires the addition of extra stabilizer to one or more cargo tanks during transport, this is only permitted through the sampling opening. Electrostatic charges shall be prevented</w:t>
      </w:r>
      <w:r>
        <w:t>.</w:t>
      </w:r>
      <w:r>
        <w:rPr>
          <w:lang w:val="en-US"/>
        </w:rPr>
        <w:tab/>
      </w:r>
    </w:p>
    <w:p w14:paraId="67762E79" w14:textId="0B16FFFC" w:rsidR="00906538" w:rsidRPr="00BA6991" w:rsidRDefault="00906538" w:rsidP="00906538">
      <w:pPr>
        <w:pStyle w:val="SingleTxtG"/>
        <w:ind w:left="1701"/>
        <w:rPr>
          <w:rFonts w:eastAsia="SimSun"/>
          <w:lang w:eastAsia="zh-CN"/>
        </w:rPr>
      </w:pPr>
      <w:r>
        <w:rPr>
          <w:b/>
          <w:bCs/>
          <w:u w:val="single"/>
          <w:lang w:val="en-US"/>
        </w:rPr>
        <w:t>7.2.4.22.15.2</w:t>
      </w:r>
      <w:r>
        <w:rPr>
          <w:b/>
          <w:bCs/>
          <w:u w:val="single"/>
          <w:lang w:val="en-US"/>
        </w:rPr>
        <w:tab/>
      </w:r>
      <w:r w:rsidRPr="00BA6991">
        <w:rPr>
          <w:rFonts w:eastAsia="SimSun"/>
          <w:b/>
          <w:bCs/>
          <w:u w:val="single"/>
          <w:lang w:eastAsia="zh-CN"/>
        </w:rPr>
        <w:t>If measurement data shows a lower than legally prescribed dosing rate in the cargo and if this requires the addition of extra additive to one or more cargo tanks during transport, this is only permitted through the sampling opening. Electrostatic charges shall be prevented</w:t>
      </w:r>
      <w:r w:rsidRPr="00F57F6E">
        <w:rPr>
          <w:rFonts w:eastAsia="SimSun"/>
          <w:lang w:eastAsia="zh-CN"/>
        </w:rPr>
        <w:t>.</w:t>
      </w:r>
    </w:p>
    <w:p w14:paraId="6A88F73D" w14:textId="3BE1D41D" w:rsidR="00906538" w:rsidRPr="00906538" w:rsidRDefault="00906538" w:rsidP="00411FC0">
      <w:pPr>
        <w:pStyle w:val="Bullet1G"/>
        <w:numPr>
          <w:ilvl w:val="0"/>
          <w:numId w:val="0"/>
        </w:numPr>
        <w:ind w:left="1701"/>
        <w:rPr>
          <w:b/>
          <w:bCs/>
          <w:u w:val="single"/>
          <w:lang w:val="en-US"/>
        </w:rPr>
      </w:pPr>
    </w:p>
    <w:p w14:paraId="1FB6FE68" w14:textId="14641ECB" w:rsidR="00867ABE" w:rsidRPr="00BA6991" w:rsidRDefault="005F1C42" w:rsidP="001B4F2F">
      <w:pPr>
        <w:pStyle w:val="SingleTxtG"/>
        <w:rPr>
          <w:lang w:val="en-US"/>
        </w:rPr>
      </w:pPr>
      <w:r>
        <w:rPr>
          <w:lang w:val="en-US"/>
        </w:rPr>
        <w:t>9</w:t>
      </w:r>
      <w:r w:rsidR="001B4F2F">
        <w:rPr>
          <w:lang w:val="en-US"/>
        </w:rPr>
        <w:t>.</w:t>
      </w:r>
      <w:r w:rsidR="001B4F2F">
        <w:rPr>
          <w:lang w:val="en-US"/>
        </w:rPr>
        <w:tab/>
      </w:r>
      <w:r w:rsidR="00867ABE" w:rsidRPr="00BA6991">
        <w:rPr>
          <w:lang w:val="en-US"/>
        </w:rPr>
        <w:t>As a result of proposed amendment of 7.2.4.22.1</w:t>
      </w:r>
      <w:r w:rsidR="00906538">
        <w:rPr>
          <w:lang w:val="en-US"/>
        </w:rPr>
        <w:t>3</w:t>
      </w:r>
      <w:r w:rsidR="00867ABE" w:rsidRPr="00BA6991">
        <w:rPr>
          <w:lang w:val="en-US"/>
        </w:rPr>
        <w:t xml:space="preserve">, we </w:t>
      </w:r>
      <w:r w:rsidR="00D34565">
        <w:rPr>
          <w:lang w:val="en-US"/>
        </w:rPr>
        <w:t xml:space="preserve">repeat our proposal as per working document 2024/20, for an </w:t>
      </w:r>
      <w:r w:rsidR="00867ABE" w:rsidRPr="00BA6991">
        <w:rPr>
          <w:lang w:val="en-US"/>
        </w:rPr>
        <w:t>amendment to</w:t>
      </w:r>
      <w:r w:rsidR="00D34565">
        <w:rPr>
          <w:lang w:val="en-US"/>
        </w:rPr>
        <w:t xml:space="preserve"> </w:t>
      </w:r>
      <w:r w:rsidR="00867ABE" w:rsidRPr="00BA6991">
        <w:rPr>
          <w:lang w:val="en-US"/>
        </w:rPr>
        <w:t>7.2.4.16.8, second paragraph:</w:t>
      </w:r>
    </w:p>
    <w:p w14:paraId="2210E227" w14:textId="27D8342B" w:rsidR="001E1BD7" w:rsidRDefault="001E1BD7" w:rsidP="001B4F2F">
      <w:pPr>
        <w:pStyle w:val="SingleTxtG"/>
        <w:ind w:left="1701"/>
        <w:rPr>
          <w:lang w:val="en-US"/>
        </w:rPr>
      </w:pPr>
      <w:r w:rsidRPr="00BA6991">
        <w:rPr>
          <w:lang w:val="en-US"/>
        </w:rPr>
        <w:t>7.2.4.16.8</w:t>
      </w:r>
      <w:r w:rsidR="00DE1D18">
        <w:rPr>
          <w:lang w:val="en-US"/>
        </w:rPr>
        <w:t>, after:</w:t>
      </w:r>
      <w:r w:rsidR="00DE1D18" w:rsidRPr="00DE1D18">
        <w:rPr>
          <w:i/>
          <w:iCs/>
          <w:lang w:val="en-US"/>
        </w:rPr>
        <w:t xml:space="preserve"> “</w:t>
      </w:r>
      <w:r w:rsidR="006F1668" w:rsidRPr="00DE1D18">
        <w:rPr>
          <w:i/>
          <w:iCs/>
          <w:lang w:val="en-US"/>
        </w:rPr>
        <w:t>…</w:t>
      </w:r>
      <w:r w:rsidR="00DE1D18" w:rsidRPr="00DE1D18">
        <w:rPr>
          <w:i/>
          <w:iCs/>
          <w:lang w:val="en-US"/>
        </w:rPr>
        <w:t>taking samples,”</w:t>
      </w:r>
      <w:r w:rsidR="00DE1D18">
        <w:rPr>
          <w:lang w:val="en-US"/>
        </w:rPr>
        <w:t xml:space="preserve"> and before </w:t>
      </w:r>
      <w:r w:rsidR="00DE1D18" w:rsidRPr="00DE1D18">
        <w:rPr>
          <w:i/>
          <w:iCs/>
          <w:lang w:val="en-US"/>
        </w:rPr>
        <w:t>“or carrying out measurements..”</w:t>
      </w:r>
      <w:r w:rsidR="00DE1D18">
        <w:rPr>
          <w:i/>
          <w:iCs/>
          <w:lang w:val="en-US"/>
        </w:rPr>
        <w:t xml:space="preserve">, </w:t>
      </w:r>
      <w:r w:rsidR="00DE1D18">
        <w:rPr>
          <w:lang w:val="en-US"/>
        </w:rPr>
        <w:t xml:space="preserve">insert : </w:t>
      </w:r>
      <w:r w:rsidR="00DE1D18" w:rsidRPr="00BA6991">
        <w:rPr>
          <w:b/>
          <w:bCs/>
          <w:u w:val="single"/>
          <w:lang w:val="en-US"/>
        </w:rPr>
        <w:t>adding additives (see 7.2.4.22)</w:t>
      </w:r>
    </w:p>
    <w:p w14:paraId="5C875A52" w14:textId="0CB73917" w:rsidR="00867ABE" w:rsidRPr="00BA6991" w:rsidRDefault="001B4F2F" w:rsidP="001B4F2F">
      <w:pPr>
        <w:pStyle w:val="SingleTxtG"/>
        <w:rPr>
          <w:lang w:val="en-US"/>
        </w:rPr>
      </w:pPr>
      <w:r>
        <w:rPr>
          <w:lang w:val="en-US"/>
        </w:rPr>
        <w:t>1</w:t>
      </w:r>
      <w:r w:rsidR="00B767B8">
        <w:rPr>
          <w:lang w:val="en-US"/>
        </w:rPr>
        <w:t>0</w:t>
      </w:r>
      <w:r>
        <w:rPr>
          <w:lang w:val="en-US"/>
        </w:rPr>
        <w:t>.</w:t>
      </w:r>
      <w:r>
        <w:rPr>
          <w:lang w:val="en-US"/>
        </w:rPr>
        <w:tab/>
      </w:r>
      <w:r w:rsidR="00867ABE" w:rsidRPr="00BA6991">
        <w:rPr>
          <w:lang w:val="en-US"/>
        </w:rPr>
        <w:t>Bearing in mind that the additional additivation on board</w:t>
      </w:r>
      <w:r w:rsidR="00D34565">
        <w:rPr>
          <w:lang w:val="en-US"/>
        </w:rPr>
        <w:t xml:space="preserve"> </w:t>
      </w:r>
      <w:r w:rsidR="00867ABE" w:rsidRPr="00BA6991">
        <w:rPr>
          <w:lang w:val="en-US"/>
        </w:rPr>
        <w:t xml:space="preserve">requires packages to be brought into the cargo zone for a short time, we also </w:t>
      </w:r>
      <w:r w:rsidR="00D34565">
        <w:rPr>
          <w:lang w:val="en-US"/>
        </w:rPr>
        <w:t xml:space="preserve">repeat our </w:t>
      </w:r>
      <w:r w:rsidR="00867ABE" w:rsidRPr="00BA6991">
        <w:rPr>
          <w:lang w:val="en-US"/>
        </w:rPr>
        <w:t>propos</w:t>
      </w:r>
      <w:r w:rsidR="00D34565">
        <w:rPr>
          <w:lang w:val="en-US"/>
        </w:rPr>
        <w:t>al as per working document 2024/</w:t>
      </w:r>
      <w:r w:rsidR="008B7779">
        <w:rPr>
          <w:lang w:val="en-US"/>
        </w:rPr>
        <w:t xml:space="preserve">20, </w:t>
      </w:r>
      <w:r w:rsidR="008B7779" w:rsidRPr="00BA6991">
        <w:rPr>
          <w:lang w:val="en-US"/>
        </w:rPr>
        <w:t>to</w:t>
      </w:r>
      <w:r w:rsidR="00867ABE" w:rsidRPr="00BA6991">
        <w:rPr>
          <w:lang w:val="en-US"/>
        </w:rPr>
        <w:t xml:space="preserve"> insert a new 7.2.4.1.5, detailing the conditions to be met:</w:t>
      </w:r>
    </w:p>
    <w:p w14:paraId="6B3E2FFB" w14:textId="3FD1A762" w:rsidR="00867ABE" w:rsidRPr="00BA6991" w:rsidRDefault="00867ABE" w:rsidP="001B4F2F">
      <w:pPr>
        <w:pStyle w:val="SingleTxtG"/>
        <w:ind w:left="1701"/>
        <w:rPr>
          <w:b/>
          <w:bCs/>
          <w:u w:val="single"/>
          <w:lang w:val="en-US"/>
        </w:rPr>
      </w:pPr>
      <w:r w:rsidRPr="00BA6991">
        <w:rPr>
          <w:b/>
          <w:bCs/>
          <w:u w:val="single"/>
          <w:lang w:val="en-US"/>
        </w:rPr>
        <w:t>7.2.4.1.5</w:t>
      </w:r>
      <w:r w:rsidRPr="00BA6991">
        <w:rPr>
          <w:b/>
          <w:bCs/>
          <w:u w:val="single"/>
          <w:lang w:val="en-US"/>
        </w:rPr>
        <w:tab/>
      </w:r>
      <w:r>
        <w:rPr>
          <w:b/>
          <w:bCs/>
          <w:u w:val="single"/>
          <w:lang w:val="en-US"/>
        </w:rPr>
        <w:tab/>
      </w:r>
      <w:r w:rsidRPr="00BA6991">
        <w:rPr>
          <w:b/>
          <w:bCs/>
          <w:u w:val="single"/>
          <w:lang w:val="en-US"/>
        </w:rPr>
        <w:t xml:space="preserve">On board of vessels and for the sole purpose of additivation (see 7.2.4.22) it is allowed to bring packages with additives in the cargo zone for the duration of the additivation operation only. This operation shall take place after </w:t>
      </w:r>
      <w:r w:rsidRPr="00BA6991">
        <w:rPr>
          <w:b/>
          <w:bCs/>
          <w:u w:val="single"/>
          <w:lang w:val="en-US"/>
        </w:rPr>
        <w:lastRenderedPageBreak/>
        <w:t xml:space="preserve">the loading has stopped and before the ship commences its journey, or after the ship ends its journey and before the unloading starts.  The particulars of 7.2.4.22 shall be taken into consideration. </w:t>
      </w:r>
      <w:r w:rsidR="00DE1D18">
        <w:rPr>
          <w:b/>
          <w:bCs/>
          <w:u w:val="single"/>
          <w:lang w:val="en-US"/>
        </w:rPr>
        <w:t>[</w:t>
      </w:r>
      <w:r w:rsidRPr="00BA6991">
        <w:rPr>
          <w:b/>
          <w:bCs/>
          <w:u w:val="single"/>
          <w:lang w:val="en-US"/>
        </w:rPr>
        <w:t xml:space="preserve">The total quantity of the packages shall not exceed … and the total weight of the full packages shall not exceed …kg. The weight of a single package shall be limited to </w:t>
      </w:r>
      <w:r w:rsidR="003F021E">
        <w:rPr>
          <w:b/>
          <w:bCs/>
          <w:u w:val="single"/>
          <w:lang w:val="en-US"/>
        </w:rPr>
        <w:t>…</w:t>
      </w:r>
      <w:r w:rsidRPr="00BA6991">
        <w:rPr>
          <w:b/>
          <w:bCs/>
          <w:u w:val="single"/>
          <w:lang w:val="en-US"/>
        </w:rPr>
        <w:t xml:space="preserve"> kg.</w:t>
      </w:r>
      <w:r w:rsidR="00DE1D18">
        <w:rPr>
          <w:b/>
          <w:bCs/>
          <w:u w:val="single"/>
          <w:lang w:val="en-US"/>
        </w:rPr>
        <w:t>]</w:t>
      </w:r>
    </w:p>
    <w:p w14:paraId="001E3262" w14:textId="146A3BD6" w:rsidR="00867ABE" w:rsidRPr="007505F6" w:rsidRDefault="00DB2C9B" w:rsidP="00DB2C9B">
      <w:pPr>
        <w:pStyle w:val="HChG"/>
        <w:rPr>
          <w:lang w:val="en-US"/>
        </w:rPr>
      </w:pPr>
      <w:r>
        <w:rPr>
          <w:lang w:val="en-US"/>
        </w:rPr>
        <w:tab/>
        <w:t>II.</w:t>
      </w:r>
      <w:r>
        <w:rPr>
          <w:lang w:val="en-US"/>
        </w:rPr>
        <w:tab/>
      </w:r>
      <w:r w:rsidR="00867ABE" w:rsidRPr="007505F6">
        <w:rPr>
          <w:lang w:val="en-US"/>
        </w:rPr>
        <w:t>Justification</w:t>
      </w:r>
    </w:p>
    <w:p w14:paraId="438D1D4B" w14:textId="39AF640A" w:rsidR="00A51D2C" w:rsidRDefault="002F2A50" w:rsidP="005A1916">
      <w:pPr>
        <w:pStyle w:val="SingleTxtG"/>
        <w:rPr>
          <w:lang w:val="en-US"/>
        </w:rPr>
      </w:pPr>
      <w:r>
        <w:rPr>
          <w:lang w:val="en-US"/>
        </w:rPr>
        <w:t>1</w:t>
      </w:r>
      <w:r w:rsidR="00B767B8">
        <w:rPr>
          <w:lang w:val="en-US"/>
        </w:rPr>
        <w:t>1</w:t>
      </w:r>
      <w:r>
        <w:rPr>
          <w:lang w:val="en-US"/>
        </w:rPr>
        <w:t>.</w:t>
      </w:r>
      <w:r>
        <w:rPr>
          <w:lang w:val="en-US"/>
        </w:rPr>
        <w:tab/>
      </w:r>
      <w:r w:rsidR="00906538">
        <w:rPr>
          <w:lang w:val="en-US"/>
        </w:rPr>
        <w:t xml:space="preserve">Safety: </w:t>
      </w:r>
      <w:r w:rsidR="00A51D2C">
        <w:rPr>
          <w:lang w:val="en-US"/>
        </w:rPr>
        <w:t>Less</w:t>
      </w:r>
      <w:r w:rsidR="00DE1D18">
        <w:rPr>
          <w:lang w:val="en-US"/>
        </w:rPr>
        <w:t xml:space="preserve"> additional </w:t>
      </w:r>
      <w:r w:rsidR="00A51D2C">
        <w:rPr>
          <w:lang w:val="en-US"/>
        </w:rPr>
        <w:t>handling /discharge/loading operations</w:t>
      </w:r>
      <w:r w:rsidR="008B7779">
        <w:rPr>
          <w:lang w:val="en-US"/>
        </w:rPr>
        <w:t xml:space="preserve"> and ship movements</w:t>
      </w:r>
      <w:r w:rsidR="00A51D2C">
        <w:rPr>
          <w:lang w:val="en-US"/>
        </w:rPr>
        <w:t xml:space="preserve">:  With dosing </w:t>
      </w:r>
      <w:r w:rsidR="00411FC0">
        <w:rPr>
          <w:lang w:val="en-US"/>
        </w:rPr>
        <w:tab/>
      </w:r>
      <w:r w:rsidR="00A51D2C">
        <w:rPr>
          <w:lang w:val="en-US"/>
        </w:rPr>
        <w:t xml:space="preserve">rate below the legally required norms and no legal means to correct the error on board of ships, ships would have to </w:t>
      </w:r>
      <w:r w:rsidR="005000C4">
        <w:rPr>
          <w:lang w:val="en-US"/>
        </w:rPr>
        <w:t xml:space="preserve">leave their loading installation, </w:t>
      </w:r>
      <w:r w:rsidR="00A51D2C">
        <w:rPr>
          <w:lang w:val="en-US"/>
        </w:rPr>
        <w:t xml:space="preserve">go </w:t>
      </w:r>
      <w:r w:rsidR="005000C4">
        <w:rPr>
          <w:lang w:val="en-US"/>
        </w:rPr>
        <w:t xml:space="preserve">to </w:t>
      </w:r>
      <w:r w:rsidR="00A51D2C">
        <w:rPr>
          <w:lang w:val="en-US"/>
        </w:rPr>
        <w:t xml:space="preserve">somewhere else, then discharge their cargo, load their cargo again. </w:t>
      </w:r>
      <w:r w:rsidR="005000C4">
        <w:rPr>
          <w:lang w:val="en-US"/>
        </w:rPr>
        <w:t xml:space="preserve"> Generally, loading installations cannot take back cargo once it contains additives.</w:t>
      </w:r>
    </w:p>
    <w:p w14:paraId="23E72EEB" w14:textId="115E98C8" w:rsidR="00A51D2C" w:rsidRDefault="00AE2A39" w:rsidP="005A1916">
      <w:pPr>
        <w:pStyle w:val="SingleTxtG"/>
        <w:rPr>
          <w:lang w:val="en-US"/>
        </w:rPr>
      </w:pPr>
      <w:r>
        <w:rPr>
          <w:lang w:val="en-US"/>
        </w:rPr>
        <w:t>12.</w:t>
      </w:r>
      <w:r>
        <w:rPr>
          <w:lang w:val="en-US"/>
        </w:rPr>
        <w:tab/>
      </w:r>
      <w:r w:rsidR="00A51D2C">
        <w:rPr>
          <w:lang w:val="en-US"/>
        </w:rPr>
        <w:t>This is extra handling of hundreds</w:t>
      </w:r>
      <w:r w:rsidR="005000C4">
        <w:rPr>
          <w:lang w:val="en-US"/>
        </w:rPr>
        <w:t xml:space="preserve">, </w:t>
      </w:r>
      <w:r w:rsidR="00A51D2C">
        <w:rPr>
          <w:lang w:val="en-US"/>
        </w:rPr>
        <w:t xml:space="preserve">or thousands of tons of dangerous goods </w:t>
      </w:r>
      <w:r w:rsidR="00DE1D18">
        <w:rPr>
          <w:lang w:val="en-US"/>
        </w:rPr>
        <w:t xml:space="preserve">on already congested waterways in port areas </w:t>
      </w:r>
      <w:r w:rsidR="00A51D2C">
        <w:rPr>
          <w:lang w:val="en-US"/>
        </w:rPr>
        <w:t>and therefore extra</w:t>
      </w:r>
      <w:r w:rsidR="00DE1D18">
        <w:rPr>
          <w:lang w:val="en-US"/>
        </w:rPr>
        <w:t>, avoidable r</w:t>
      </w:r>
      <w:r w:rsidR="00A51D2C">
        <w:rPr>
          <w:lang w:val="en-US"/>
        </w:rPr>
        <w:t xml:space="preserve">isk, versus the safe additional dosing of relatively small volumes via sampling system on board of inland waterway tankers.   </w:t>
      </w:r>
    </w:p>
    <w:p w14:paraId="7FA30487" w14:textId="6DA36D04" w:rsidR="00AC4B84" w:rsidRDefault="00AE2A39" w:rsidP="00605801">
      <w:pPr>
        <w:pStyle w:val="SingleTxtG"/>
        <w:rPr>
          <w:lang w:val="en-US"/>
        </w:rPr>
      </w:pPr>
      <w:r>
        <w:rPr>
          <w:lang w:val="en-US"/>
        </w:rPr>
        <w:t>13.</w:t>
      </w:r>
      <w:r>
        <w:rPr>
          <w:lang w:val="en-US"/>
        </w:rPr>
        <w:tab/>
      </w:r>
      <w:r w:rsidR="00AC4B84">
        <w:rPr>
          <w:lang w:val="en-US"/>
        </w:rPr>
        <w:t xml:space="preserve">Additivation occurs on a case-by-case basis. Shore tanks contain the pure product with no additives. Shore tanks seldom contain additivated products. The discharge of an additivated cargo back in a shore tank means </w:t>
      </w:r>
      <w:r w:rsidR="00AC4B84" w:rsidRPr="00E9723F">
        <w:rPr>
          <w:lang w:val="en-US"/>
        </w:rPr>
        <w:t xml:space="preserve">that the pure product is lost and that the shore piping system (which is also in use for other products) contains unacceptable </w:t>
      </w:r>
      <w:r w:rsidR="00AC4B84">
        <w:rPr>
          <w:lang w:val="en-US"/>
        </w:rPr>
        <w:tab/>
      </w:r>
      <w:r w:rsidR="00AC4B84" w:rsidRPr="00E9723F">
        <w:rPr>
          <w:lang w:val="en-US"/>
        </w:rPr>
        <w:t>levels</w:t>
      </w:r>
      <w:r w:rsidR="00605801">
        <w:rPr>
          <w:lang w:val="en-US"/>
        </w:rPr>
        <w:t xml:space="preserve"> </w:t>
      </w:r>
      <w:r w:rsidR="00AC4B84" w:rsidRPr="00E9723F">
        <w:rPr>
          <w:lang w:val="en-US"/>
        </w:rPr>
        <w:t>of additives</w:t>
      </w:r>
      <w:r w:rsidR="00AC4B84">
        <w:rPr>
          <w:lang w:val="en-US"/>
        </w:rPr>
        <w:t>.</w:t>
      </w:r>
    </w:p>
    <w:p w14:paraId="279BAB36" w14:textId="2240AEA1" w:rsidR="00906538" w:rsidRDefault="00605801" w:rsidP="005A1916">
      <w:pPr>
        <w:pStyle w:val="SingleTxtG"/>
        <w:rPr>
          <w:lang w:val="en-US"/>
        </w:rPr>
      </w:pPr>
      <w:r>
        <w:rPr>
          <w:lang w:val="en-US"/>
        </w:rPr>
        <w:t>14.</w:t>
      </w:r>
      <w:r>
        <w:rPr>
          <w:lang w:val="en-US"/>
        </w:rPr>
        <w:tab/>
      </w:r>
      <w:r w:rsidR="00A51D2C">
        <w:rPr>
          <w:lang w:val="en-US"/>
        </w:rPr>
        <w:t xml:space="preserve">Allowing the described operation of additional </w:t>
      </w:r>
      <w:r w:rsidR="00906538">
        <w:rPr>
          <w:lang w:val="en-US"/>
        </w:rPr>
        <w:t>dosing of extra additives</w:t>
      </w:r>
      <w:r w:rsidR="00A51D2C">
        <w:rPr>
          <w:lang w:val="en-US"/>
        </w:rPr>
        <w:t xml:space="preserve"> via the sampling opening </w:t>
      </w:r>
      <w:r w:rsidR="00906538">
        <w:rPr>
          <w:lang w:val="en-US"/>
        </w:rPr>
        <w:t>in prescribed cases</w:t>
      </w:r>
      <w:r w:rsidR="00A51D2C">
        <w:rPr>
          <w:lang w:val="en-US"/>
        </w:rPr>
        <w:t xml:space="preserve"> will mean </w:t>
      </w:r>
      <w:r w:rsidR="00DE1D18">
        <w:rPr>
          <w:lang w:val="en-US"/>
        </w:rPr>
        <w:t>comparatively very little</w:t>
      </w:r>
      <w:r w:rsidR="00A51D2C">
        <w:rPr>
          <w:lang w:val="en-US"/>
        </w:rPr>
        <w:t xml:space="preserve"> handling</w:t>
      </w:r>
      <w:r w:rsidR="00DE1D18">
        <w:rPr>
          <w:lang w:val="en-US"/>
        </w:rPr>
        <w:t xml:space="preserve"> which means little risk. </w:t>
      </w:r>
    </w:p>
    <w:p w14:paraId="462FAD21" w14:textId="6A3F2B11" w:rsidR="00A51D2C" w:rsidRDefault="00906538" w:rsidP="005A1916">
      <w:pPr>
        <w:pStyle w:val="SingleTxtG"/>
        <w:rPr>
          <w:lang w:val="en-US"/>
        </w:rPr>
      </w:pPr>
      <w:r>
        <w:rPr>
          <w:lang w:val="en-US"/>
        </w:rPr>
        <w:t>1</w:t>
      </w:r>
      <w:r w:rsidR="00605801">
        <w:rPr>
          <w:lang w:val="en-US"/>
        </w:rPr>
        <w:t>5</w:t>
      </w:r>
      <w:r>
        <w:rPr>
          <w:lang w:val="en-US"/>
        </w:rPr>
        <w:t>.</w:t>
      </w:r>
      <w:r w:rsidR="00AE2A39">
        <w:rPr>
          <w:lang w:val="en-US"/>
        </w:rPr>
        <w:tab/>
      </w:r>
      <w:r w:rsidR="00A51D2C">
        <w:rPr>
          <w:lang w:val="en-US"/>
        </w:rPr>
        <w:t xml:space="preserve">For other justification we refer to </w:t>
      </w:r>
      <w:r w:rsidR="00411FC0">
        <w:rPr>
          <w:lang w:val="en-US"/>
        </w:rPr>
        <w:t xml:space="preserve">working </w:t>
      </w:r>
      <w:r w:rsidR="00A51D2C">
        <w:rPr>
          <w:lang w:val="en-US"/>
        </w:rPr>
        <w:t>document 2024/20.</w:t>
      </w:r>
    </w:p>
    <w:p w14:paraId="56E03BF0" w14:textId="5C7A0A96" w:rsidR="00867ABE" w:rsidRPr="007505F6" w:rsidRDefault="00212CF7" w:rsidP="00212CF7">
      <w:pPr>
        <w:pStyle w:val="HChG"/>
        <w:rPr>
          <w:lang w:val="en-US"/>
        </w:rPr>
      </w:pPr>
      <w:r>
        <w:rPr>
          <w:lang w:val="en-US"/>
        </w:rPr>
        <w:tab/>
        <w:t>III.</w:t>
      </w:r>
      <w:r>
        <w:rPr>
          <w:lang w:val="en-US"/>
        </w:rPr>
        <w:tab/>
      </w:r>
      <w:r w:rsidR="00867ABE" w:rsidRPr="007505F6">
        <w:rPr>
          <w:lang w:val="en-US"/>
        </w:rPr>
        <w:t>Conclusion</w:t>
      </w:r>
    </w:p>
    <w:p w14:paraId="35C6FEC1" w14:textId="3E0334B1" w:rsidR="00411FC0" w:rsidRDefault="00476A99" w:rsidP="00212CF7">
      <w:pPr>
        <w:pStyle w:val="SingleTxtG"/>
        <w:rPr>
          <w:lang w:val="en-US"/>
        </w:rPr>
      </w:pPr>
      <w:r>
        <w:rPr>
          <w:lang w:val="en-US"/>
        </w:rPr>
        <w:t>1</w:t>
      </w:r>
      <w:r w:rsidR="00C07820">
        <w:rPr>
          <w:lang w:val="en-US"/>
        </w:rPr>
        <w:t>6</w:t>
      </w:r>
      <w:r w:rsidR="00825D24">
        <w:rPr>
          <w:lang w:val="en-US"/>
        </w:rPr>
        <w:t>.</w:t>
      </w:r>
      <w:r w:rsidR="00825D24">
        <w:rPr>
          <w:lang w:val="en-US"/>
        </w:rPr>
        <w:tab/>
      </w:r>
      <w:r w:rsidR="00867ABE" w:rsidRPr="00BA6991">
        <w:rPr>
          <w:lang w:val="en-US"/>
        </w:rPr>
        <w:t xml:space="preserve">The proposals </w:t>
      </w:r>
      <w:r w:rsidR="00411FC0">
        <w:rPr>
          <w:lang w:val="en-US"/>
        </w:rPr>
        <w:t xml:space="preserve">under </w:t>
      </w:r>
      <w:r w:rsidR="00D34565">
        <w:rPr>
          <w:lang w:val="en-US"/>
        </w:rPr>
        <w:t>paragraph</w:t>
      </w:r>
      <w:r w:rsidR="00411FC0">
        <w:rPr>
          <w:lang w:val="en-US"/>
        </w:rPr>
        <w:t xml:space="preserve"> 8</w:t>
      </w:r>
      <w:r w:rsidR="00D34565">
        <w:rPr>
          <w:lang w:val="en-US"/>
        </w:rPr>
        <w:t xml:space="preserve"> </w:t>
      </w:r>
      <w:r w:rsidR="00411FC0">
        <w:rPr>
          <w:lang w:val="en-US"/>
        </w:rPr>
        <w:t xml:space="preserve">are </w:t>
      </w:r>
      <w:r w:rsidR="00D34565">
        <w:rPr>
          <w:lang w:val="en-US"/>
        </w:rPr>
        <w:t>repeats of those in work</w:t>
      </w:r>
      <w:r w:rsidR="00B14FCF">
        <w:rPr>
          <w:lang w:val="en-US"/>
        </w:rPr>
        <w:t>i</w:t>
      </w:r>
      <w:r w:rsidR="00D34565">
        <w:rPr>
          <w:lang w:val="en-US"/>
        </w:rPr>
        <w:t xml:space="preserve">ng document 2024/20 </w:t>
      </w:r>
      <w:r w:rsidR="00B14FCF">
        <w:rPr>
          <w:lang w:val="en-US"/>
        </w:rPr>
        <w:t xml:space="preserve">but </w:t>
      </w:r>
      <w:r w:rsidR="00411FC0">
        <w:rPr>
          <w:lang w:val="en-US"/>
        </w:rPr>
        <w:t xml:space="preserve">they </w:t>
      </w:r>
      <w:r w:rsidR="00B14FCF">
        <w:rPr>
          <w:lang w:val="en-US"/>
        </w:rPr>
        <w:t xml:space="preserve">now </w:t>
      </w:r>
      <w:r w:rsidR="00411FC0">
        <w:rPr>
          <w:lang w:val="en-US"/>
        </w:rPr>
        <w:t xml:space="preserve">follow the </w:t>
      </w:r>
      <w:r w:rsidR="00D34565">
        <w:rPr>
          <w:lang w:val="en-US"/>
        </w:rPr>
        <w:t xml:space="preserve">new </w:t>
      </w:r>
      <w:r w:rsidR="00411FC0">
        <w:rPr>
          <w:lang w:val="en-US"/>
        </w:rPr>
        <w:t xml:space="preserve">article numbers </w:t>
      </w:r>
      <w:r w:rsidR="00D34565">
        <w:rPr>
          <w:lang w:val="en-US"/>
        </w:rPr>
        <w:t>introduced in</w:t>
      </w:r>
      <w:r w:rsidR="00411FC0">
        <w:rPr>
          <w:lang w:val="en-US"/>
        </w:rPr>
        <w:t xml:space="preserve"> working document 2024/7. </w:t>
      </w:r>
    </w:p>
    <w:p w14:paraId="02B87C87" w14:textId="77D8739B" w:rsidR="00B14FCF" w:rsidRDefault="00411FC0" w:rsidP="00212CF7">
      <w:pPr>
        <w:pStyle w:val="SingleTxtG"/>
        <w:rPr>
          <w:lang w:val="en-US"/>
        </w:rPr>
      </w:pPr>
      <w:r>
        <w:rPr>
          <w:lang w:val="en-US"/>
        </w:rPr>
        <w:t>1</w:t>
      </w:r>
      <w:r w:rsidR="00C07820">
        <w:rPr>
          <w:lang w:val="en-US"/>
        </w:rPr>
        <w:t>7</w:t>
      </w:r>
      <w:r>
        <w:rPr>
          <w:lang w:val="en-US"/>
        </w:rPr>
        <w:t>.</w:t>
      </w:r>
      <w:r>
        <w:rPr>
          <w:lang w:val="en-US"/>
        </w:rPr>
        <w:tab/>
      </w:r>
      <w:r w:rsidR="00D34565">
        <w:rPr>
          <w:lang w:val="en-US"/>
        </w:rPr>
        <w:t xml:space="preserve">Likewise, the proposals under paragraph 9 and 10 are </w:t>
      </w:r>
      <w:r w:rsidR="00B14FCF">
        <w:rPr>
          <w:lang w:val="en-US"/>
        </w:rPr>
        <w:t xml:space="preserve">repeats of those </w:t>
      </w:r>
      <w:r w:rsidR="00D34565">
        <w:rPr>
          <w:lang w:val="en-US"/>
        </w:rPr>
        <w:t>in working document 2024/20.  They are mentioned in this INF as the proposals under 8 trigger a change in 7.2.4.16.8 a</w:t>
      </w:r>
      <w:r w:rsidR="00B14FCF">
        <w:rPr>
          <w:lang w:val="en-US"/>
        </w:rPr>
        <w:t xml:space="preserve">nd they trigger the necessity for a new article 7.2.4.1.5. </w:t>
      </w:r>
    </w:p>
    <w:p w14:paraId="04BFF7F0" w14:textId="0726F9BA" w:rsidR="00867ABE" w:rsidRPr="00BA6991" w:rsidRDefault="00B14FCF" w:rsidP="00212CF7">
      <w:pPr>
        <w:pStyle w:val="SingleTxtG"/>
        <w:rPr>
          <w:lang w:val="en-US"/>
        </w:rPr>
      </w:pPr>
      <w:r>
        <w:rPr>
          <w:lang w:val="en-US"/>
        </w:rPr>
        <w:t>1</w:t>
      </w:r>
      <w:r w:rsidR="00C07820">
        <w:rPr>
          <w:lang w:val="en-US"/>
        </w:rPr>
        <w:t>8.</w:t>
      </w:r>
      <w:r>
        <w:rPr>
          <w:lang w:val="en-US"/>
        </w:rPr>
        <w:tab/>
        <w:t>For other conclusions i.e, blending on board; packages in the cargo zone and the safe use of mobile systems we refer to document 2024/20.</w:t>
      </w:r>
      <w:r w:rsidR="00867ABE" w:rsidRPr="00BA6991">
        <w:rPr>
          <w:lang w:val="en-US"/>
        </w:rPr>
        <w:t xml:space="preserve">  </w:t>
      </w:r>
    </w:p>
    <w:p w14:paraId="4C7C5C46" w14:textId="17809AA6" w:rsidR="00867ABE" w:rsidRPr="006852FE" w:rsidRDefault="00867ABE" w:rsidP="00825D24">
      <w:pPr>
        <w:pStyle w:val="HChG"/>
      </w:pPr>
      <w:r>
        <w:tab/>
      </w:r>
      <w:r w:rsidR="00825D24">
        <w:t>I</w:t>
      </w:r>
      <w:r>
        <w:t>V.</w:t>
      </w:r>
      <w:r>
        <w:tab/>
        <w:t>I</w:t>
      </w:r>
      <w:r w:rsidRPr="006C464D">
        <w:t xml:space="preserve">nterlinkage to </w:t>
      </w:r>
      <w:r>
        <w:t>S</w:t>
      </w:r>
      <w:r w:rsidRPr="006C464D">
        <w:t xml:space="preserve">ustainable </w:t>
      </w:r>
      <w:r>
        <w:t>D</w:t>
      </w:r>
      <w:r w:rsidRPr="006C464D">
        <w:t xml:space="preserve">evelopment </w:t>
      </w:r>
      <w:r>
        <w:t>G</w:t>
      </w:r>
      <w:r w:rsidRPr="006C464D">
        <w:t>oals</w:t>
      </w:r>
    </w:p>
    <w:p w14:paraId="59ECB555" w14:textId="36F389DF" w:rsidR="00867ABE" w:rsidRPr="00825D24" w:rsidRDefault="00D53423" w:rsidP="00825D24">
      <w:pPr>
        <w:pStyle w:val="SingleTxtG"/>
      </w:pPr>
      <w:r>
        <w:t>1</w:t>
      </w:r>
      <w:r w:rsidR="00EA0E54">
        <w:t>9</w:t>
      </w:r>
      <w:r w:rsidR="00C93563">
        <w:t>.</w:t>
      </w:r>
      <w:r w:rsidR="00867ABE" w:rsidRPr="00825D24">
        <w:tab/>
        <w:t>New insights in handling of (hazardous) materials and considering its consequences on the ongoing safe handling, storage and transport of those hazardous materials can be linked to Sustainable Development Goal 3: Good health and well-being – Reducing health risks of hazardous materials.</w:t>
      </w:r>
    </w:p>
    <w:p w14:paraId="68F557CA" w14:textId="5937BD68" w:rsidR="00867ABE" w:rsidRPr="00825D24" w:rsidRDefault="00EA0E54" w:rsidP="00825D24">
      <w:pPr>
        <w:pStyle w:val="SingleTxtG"/>
      </w:pPr>
      <w:r>
        <w:t>20</w:t>
      </w:r>
      <w:r w:rsidR="00867ABE" w:rsidRPr="00825D24">
        <w:t>.</w:t>
      </w:r>
      <w:r w:rsidR="00867ABE" w:rsidRPr="00825D24">
        <w:tab/>
        <w:t>As this links to sustainable transport, also Sustainable Development Goal 11 can be considered.</w:t>
      </w:r>
    </w:p>
    <w:p w14:paraId="2735DF63" w14:textId="42CA92A4" w:rsidR="00867ABE" w:rsidRPr="006852FE" w:rsidRDefault="00867ABE" w:rsidP="00867ABE">
      <w:pPr>
        <w:pStyle w:val="HChG"/>
      </w:pPr>
      <w:r w:rsidRPr="006852FE">
        <w:tab/>
      </w:r>
      <w:r>
        <w:t>V.</w:t>
      </w:r>
      <w:r w:rsidRPr="006852FE">
        <w:tab/>
        <w:t>Action to be taken</w:t>
      </w:r>
    </w:p>
    <w:p w14:paraId="58C7AE3B" w14:textId="21D14A12" w:rsidR="00867ABE" w:rsidRDefault="00155236" w:rsidP="00C548B3">
      <w:pPr>
        <w:pStyle w:val="SingleTxtG"/>
        <w:rPr>
          <w:lang w:val="en-US"/>
        </w:rPr>
      </w:pPr>
      <w:r>
        <w:rPr>
          <w:lang w:val="en-US"/>
        </w:rPr>
        <w:t>21</w:t>
      </w:r>
      <w:r w:rsidR="00C548B3">
        <w:rPr>
          <w:lang w:val="en-US"/>
        </w:rPr>
        <w:t>.</w:t>
      </w:r>
      <w:r w:rsidR="00C548B3">
        <w:rPr>
          <w:lang w:val="en-US"/>
        </w:rPr>
        <w:tab/>
      </w:r>
      <w:r w:rsidR="00867ABE" w:rsidRPr="00785E99">
        <w:rPr>
          <w:lang w:val="en-US"/>
        </w:rPr>
        <w:t>FuelsEurope therefor</w:t>
      </w:r>
      <w:r w:rsidR="009E52EB">
        <w:rPr>
          <w:lang w:val="en-US"/>
        </w:rPr>
        <w:t>e</w:t>
      </w:r>
      <w:r w:rsidR="00867ABE" w:rsidRPr="00785E99">
        <w:rPr>
          <w:lang w:val="en-US"/>
        </w:rPr>
        <w:t xml:space="preserve"> invites the </w:t>
      </w:r>
      <w:r w:rsidR="009E52EB">
        <w:rPr>
          <w:lang w:val="en-US"/>
        </w:rPr>
        <w:t xml:space="preserve">ADN </w:t>
      </w:r>
      <w:r w:rsidR="00867ABE" w:rsidRPr="00785E99">
        <w:rPr>
          <w:lang w:val="en-US"/>
        </w:rPr>
        <w:t>Safety Committee to consider the proposals tabled under paragraphs 8</w:t>
      </w:r>
      <w:r w:rsidR="009D6607">
        <w:rPr>
          <w:lang w:val="en-US"/>
        </w:rPr>
        <w:t>,</w:t>
      </w:r>
      <w:r w:rsidR="00181C4D">
        <w:rPr>
          <w:lang w:val="en-US"/>
        </w:rPr>
        <w:t xml:space="preserve"> 9</w:t>
      </w:r>
      <w:r w:rsidR="00867ABE" w:rsidRPr="00785E99">
        <w:rPr>
          <w:lang w:val="en-US"/>
        </w:rPr>
        <w:t xml:space="preserve"> and </w:t>
      </w:r>
      <w:r w:rsidR="00181C4D">
        <w:rPr>
          <w:lang w:val="en-US"/>
        </w:rPr>
        <w:t>10</w:t>
      </w:r>
      <w:r w:rsidR="00867ABE" w:rsidRPr="00785E99">
        <w:rPr>
          <w:lang w:val="en-US"/>
        </w:rPr>
        <w:t xml:space="preserve">, considering the justification </w:t>
      </w:r>
      <w:r w:rsidR="006649AB">
        <w:rPr>
          <w:lang w:val="en-US"/>
        </w:rPr>
        <w:t xml:space="preserve">under paragraph 11 and 12, </w:t>
      </w:r>
      <w:r w:rsidR="00867ABE" w:rsidRPr="00785E99">
        <w:rPr>
          <w:lang w:val="en-US"/>
        </w:rPr>
        <w:t>and to act as it deems appropriate, for entry into force</w:t>
      </w:r>
      <w:r w:rsidR="00447208">
        <w:rPr>
          <w:lang w:val="en-US"/>
        </w:rPr>
        <w:t xml:space="preserve"> </w:t>
      </w:r>
      <w:r w:rsidR="00072CBD">
        <w:rPr>
          <w:lang w:val="en-US"/>
        </w:rPr>
        <w:t xml:space="preserve">on 1 January </w:t>
      </w:r>
      <w:r w:rsidR="00447208">
        <w:rPr>
          <w:lang w:val="en-US"/>
        </w:rPr>
        <w:t>2025</w:t>
      </w:r>
      <w:r w:rsidR="00867ABE" w:rsidRPr="00785E99">
        <w:rPr>
          <w:lang w:val="en-US"/>
        </w:rPr>
        <w:t>.</w:t>
      </w:r>
    </w:p>
    <w:p w14:paraId="0B603A78" w14:textId="06812057" w:rsidR="00867ABE" w:rsidRPr="00867ABE" w:rsidRDefault="00867ABE" w:rsidP="00867ABE">
      <w:pPr>
        <w:spacing w:before="240"/>
        <w:jc w:val="center"/>
        <w:rPr>
          <w:u w:val="single"/>
          <w:lang w:val="en-US"/>
        </w:rPr>
      </w:pPr>
      <w:r>
        <w:rPr>
          <w:u w:val="single"/>
          <w:lang w:val="en-US"/>
        </w:rPr>
        <w:tab/>
      </w:r>
      <w:r>
        <w:rPr>
          <w:u w:val="single"/>
          <w:lang w:val="en-US"/>
        </w:rPr>
        <w:tab/>
      </w:r>
      <w:r>
        <w:rPr>
          <w:u w:val="single"/>
          <w:lang w:val="en-US"/>
        </w:rPr>
        <w:tab/>
      </w:r>
    </w:p>
    <w:sectPr w:rsidR="00867ABE" w:rsidRPr="00867ABE" w:rsidSect="009C2FF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4344" w14:textId="77777777" w:rsidR="00F3348D" w:rsidRDefault="00F3348D"/>
  </w:endnote>
  <w:endnote w:type="continuationSeparator" w:id="0">
    <w:p w14:paraId="048F1916" w14:textId="77777777" w:rsidR="00F3348D" w:rsidRDefault="00F3348D"/>
  </w:endnote>
  <w:endnote w:type="continuationNotice" w:id="1">
    <w:p w14:paraId="2E592B22" w14:textId="77777777" w:rsidR="00F3348D" w:rsidRDefault="00F33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EABC" w14:textId="09D9E7A1" w:rsidR="009C2FF6" w:rsidRPr="009C2FF6" w:rsidRDefault="009C2FF6" w:rsidP="009C2FF6">
    <w:pPr>
      <w:pStyle w:val="Footer"/>
      <w:tabs>
        <w:tab w:val="right" w:pos="9638"/>
      </w:tabs>
      <w:rPr>
        <w:sz w:val="18"/>
      </w:rPr>
    </w:pPr>
    <w:r w:rsidRPr="009C2FF6">
      <w:rPr>
        <w:b/>
        <w:sz w:val="18"/>
      </w:rPr>
      <w:fldChar w:fldCharType="begin"/>
    </w:r>
    <w:r w:rsidRPr="009C2FF6">
      <w:rPr>
        <w:b/>
        <w:sz w:val="18"/>
      </w:rPr>
      <w:instrText xml:space="preserve"> PAGE  \* MERGEFORMAT </w:instrText>
    </w:r>
    <w:r w:rsidRPr="009C2FF6">
      <w:rPr>
        <w:b/>
        <w:sz w:val="18"/>
      </w:rPr>
      <w:fldChar w:fldCharType="separate"/>
    </w:r>
    <w:r w:rsidRPr="009C2FF6">
      <w:rPr>
        <w:b/>
        <w:noProof/>
        <w:sz w:val="18"/>
      </w:rPr>
      <w:t>2</w:t>
    </w:r>
    <w:r w:rsidRPr="009C2FF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79DB" w14:textId="7367965A" w:rsidR="009C2FF6" w:rsidRPr="009C2FF6" w:rsidRDefault="009C2FF6" w:rsidP="009C2FF6">
    <w:pPr>
      <w:pStyle w:val="Footer"/>
      <w:tabs>
        <w:tab w:val="right" w:pos="9638"/>
      </w:tabs>
      <w:rPr>
        <w:b/>
        <w:sz w:val="18"/>
      </w:rPr>
    </w:pPr>
    <w:r>
      <w:tab/>
    </w:r>
    <w:r w:rsidRPr="009C2FF6">
      <w:rPr>
        <w:b/>
        <w:sz w:val="18"/>
      </w:rPr>
      <w:fldChar w:fldCharType="begin"/>
    </w:r>
    <w:r w:rsidRPr="009C2FF6">
      <w:rPr>
        <w:b/>
        <w:sz w:val="18"/>
      </w:rPr>
      <w:instrText xml:space="preserve"> PAGE  \* MERGEFORMAT </w:instrText>
    </w:r>
    <w:r w:rsidRPr="009C2FF6">
      <w:rPr>
        <w:b/>
        <w:sz w:val="18"/>
      </w:rPr>
      <w:fldChar w:fldCharType="separate"/>
    </w:r>
    <w:r w:rsidRPr="009C2FF6">
      <w:rPr>
        <w:b/>
        <w:noProof/>
        <w:sz w:val="18"/>
      </w:rPr>
      <w:t>3</w:t>
    </w:r>
    <w:r w:rsidRPr="009C2F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651F" w14:textId="69597366" w:rsidR="00286A27" w:rsidRDefault="00286A27" w:rsidP="00286A27">
    <w:pPr>
      <w:pStyle w:val="Footer"/>
    </w:pPr>
    <w:r w:rsidRPr="0027112F">
      <w:rPr>
        <w:noProof/>
        <w:lang w:val="en-US"/>
      </w:rPr>
      <w:drawing>
        <wp:anchor distT="0" distB="0" distL="114300" distR="114300" simplePos="0" relativeHeight="251659264" behindDoc="0" locked="1" layoutInCell="1" allowOverlap="1" wp14:anchorId="508B2C38" wp14:editId="062C377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15D0" w14:textId="77777777" w:rsidR="00F3348D" w:rsidRPr="000B175B" w:rsidRDefault="00F3348D" w:rsidP="000B175B">
      <w:pPr>
        <w:tabs>
          <w:tab w:val="right" w:pos="2155"/>
        </w:tabs>
        <w:spacing w:after="80"/>
        <w:ind w:left="680"/>
        <w:rPr>
          <w:u w:val="single"/>
        </w:rPr>
      </w:pPr>
      <w:r>
        <w:rPr>
          <w:u w:val="single"/>
        </w:rPr>
        <w:tab/>
      </w:r>
    </w:p>
  </w:footnote>
  <w:footnote w:type="continuationSeparator" w:id="0">
    <w:p w14:paraId="18B4426B" w14:textId="77777777" w:rsidR="00F3348D" w:rsidRPr="00FC68B7" w:rsidRDefault="00F3348D" w:rsidP="00FC68B7">
      <w:pPr>
        <w:tabs>
          <w:tab w:val="left" w:pos="2155"/>
        </w:tabs>
        <w:spacing w:after="80"/>
        <w:ind w:left="680"/>
        <w:rPr>
          <w:u w:val="single"/>
        </w:rPr>
      </w:pPr>
      <w:r>
        <w:rPr>
          <w:u w:val="single"/>
        </w:rPr>
        <w:tab/>
      </w:r>
    </w:p>
  </w:footnote>
  <w:footnote w:type="continuationNotice" w:id="1">
    <w:p w14:paraId="735AA77B" w14:textId="77777777" w:rsidR="00F3348D" w:rsidRDefault="00F33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0F81" w14:textId="0AAFE844" w:rsidR="009C2FF6" w:rsidRPr="009C2FF6" w:rsidRDefault="00B14FCF">
    <w:pPr>
      <w:pStyle w:val="Header"/>
    </w:pPr>
    <w:r>
      <w:t>INF.</w:t>
    </w:r>
    <w:r w:rsidR="00FD5B43">
      <w:t>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C514" w14:textId="0209DAFD" w:rsidR="009C2FF6" w:rsidRPr="009C2FF6" w:rsidRDefault="00B14FCF" w:rsidP="009C2FF6">
    <w:pPr>
      <w:pStyle w:val="Header"/>
      <w:jc w:val="right"/>
    </w:pPr>
    <w:r>
      <w:t>INF.</w:t>
    </w:r>
    <w:r w:rsidR="00FD5B43">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pStyle w:val="Level1"/>
      <w:lvlText w:val="%1."/>
      <w:lvlJc w:val="left"/>
      <w:pPr>
        <w:tabs>
          <w:tab w:val="num" w:pos="566"/>
        </w:tabs>
        <w:ind w:left="566" w:hanging="566"/>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636A43"/>
    <w:multiLevelType w:val="hybridMultilevel"/>
    <w:tmpl w:val="ADB4407E"/>
    <w:lvl w:ilvl="0" w:tplc="0652C99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930217B8">
      <w:start w:val="7"/>
      <w:numFmt w:val="bullet"/>
      <w:lvlText w:val="-"/>
      <w:lvlJc w:val="left"/>
      <w:pPr>
        <w:ind w:left="3600" w:hanging="360"/>
      </w:pPr>
      <w:rPr>
        <w:rFonts w:ascii="Times New Roman" w:eastAsiaTheme="minorHAnsi" w:hAnsi="Times New Roman" w:cs="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43F06D3"/>
    <w:multiLevelType w:val="multilevel"/>
    <w:tmpl w:val="0CF8DB38"/>
    <w:lvl w:ilvl="0">
      <w:start w:val="2"/>
      <w:numFmt w:val="upperRoman"/>
      <w:lvlText w:val="%1"/>
      <w:lvlJc w:val="left"/>
      <w:pPr>
        <w:ind w:left="1080" w:hanging="720"/>
      </w:pPr>
      <w:rPr>
        <w:rFonts w:ascii="Times New Roman" w:hAnsi="Times New Roman" w:hint="default"/>
        <w:b/>
        <w:color w:val="auto"/>
        <w:sz w:val="28"/>
      </w:rPr>
    </w:lvl>
    <w:lvl w:ilvl="1">
      <w:start w:val="6"/>
      <w:numFmt w:val="decimal"/>
      <w:lvlText w:val="%2."/>
      <w:lvlJc w:val="left"/>
      <w:pPr>
        <w:ind w:left="1637"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E67EB7"/>
    <w:multiLevelType w:val="hybridMultilevel"/>
    <w:tmpl w:val="FB1AD8BA"/>
    <w:lvl w:ilvl="0" w:tplc="E348D348">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757FA9"/>
    <w:multiLevelType w:val="multilevel"/>
    <w:tmpl w:val="0413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5558E"/>
    <w:multiLevelType w:val="hybridMultilevel"/>
    <w:tmpl w:val="BF6AC984"/>
    <w:lvl w:ilvl="0" w:tplc="2AE620C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3797698"/>
    <w:multiLevelType w:val="multilevel"/>
    <w:tmpl w:val="38AC8E14"/>
    <w:lvl w:ilvl="0">
      <w:start w:val="4"/>
      <w:numFmt w:val="upperRoman"/>
      <w:lvlText w:val="%1"/>
      <w:lvlJc w:val="left"/>
      <w:pPr>
        <w:ind w:left="1080" w:hanging="720"/>
      </w:pPr>
      <w:rPr>
        <w:rFonts w:ascii="Times New Roman" w:hAnsi="Times New Roman" w:hint="default"/>
        <w:b/>
        <w:color w:val="auto"/>
        <w:sz w:val="28"/>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D54655"/>
    <w:multiLevelType w:val="multilevel"/>
    <w:tmpl w:val="F3CC6A28"/>
    <w:lvl w:ilvl="0">
      <w:start w:val="2"/>
      <w:numFmt w:val="upperRoman"/>
      <w:lvlText w:val="%1"/>
      <w:lvlJc w:val="left"/>
      <w:pPr>
        <w:ind w:left="1080" w:hanging="720"/>
      </w:pPr>
      <w:rPr>
        <w:rFonts w:ascii="Times New Roman" w:hAnsi="Times New Roman" w:hint="default"/>
        <w:b/>
        <w:color w:val="auto"/>
        <w:sz w:val="28"/>
      </w:rPr>
    </w:lvl>
    <w:lvl w:ilvl="1">
      <w:start w:val="6"/>
      <w:numFmt w:val="decimal"/>
      <w:lvlText w:val="%2."/>
      <w:lvlJc w:val="left"/>
      <w:pPr>
        <w:ind w:left="1637"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0A406F4"/>
    <w:multiLevelType w:val="multilevel"/>
    <w:tmpl w:val="CDE2E212"/>
    <w:lvl w:ilvl="0">
      <w:start w:val="3"/>
      <w:numFmt w:val="upperRoman"/>
      <w:lvlText w:val="%1"/>
      <w:lvlJc w:val="left"/>
      <w:pPr>
        <w:ind w:left="1080" w:hanging="720"/>
      </w:pPr>
      <w:rPr>
        <w:rFonts w:ascii="Times New Roman" w:hAnsi="Times New Roman" w:hint="default"/>
        <w:b/>
        <w:color w:val="auto"/>
        <w:sz w:val="28"/>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92A2335"/>
    <w:multiLevelType w:val="multilevel"/>
    <w:tmpl w:val="78F49940"/>
    <w:lvl w:ilvl="0">
      <w:start w:val="2"/>
      <w:numFmt w:val="upperRoman"/>
      <w:lvlText w:val="%1"/>
      <w:lvlJc w:val="left"/>
      <w:pPr>
        <w:ind w:left="1080" w:hanging="720"/>
      </w:pPr>
      <w:rPr>
        <w:rFonts w:ascii="Times New Roman" w:hAnsi="Times New Roman" w:hint="default"/>
        <w:b/>
        <w:color w:val="auto"/>
        <w:sz w:val="28"/>
      </w:rPr>
    </w:lvl>
    <w:lvl w:ilvl="1">
      <w:start w:val="8"/>
      <w:numFmt w:val="decimal"/>
      <w:lvlText w:val="%2."/>
      <w:lvlJc w:val="left"/>
      <w:pPr>
        <w:ind w:left="1637"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4881AFE"/>
    <w:multiLevelType w:val="hybridMultilevel"/>
    <w:tmpl w:val="D3DAE37E"/>
    <w:lvl w:ilvl="0" w:tplc="EDB61D78">
      <w:start w:val="3"/>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1301E3"/>
    <w:multiLevelType w:val="hybridMultilevel"/>
    <w:tmpl w:val="C2CA79B6"/>
    <w:lvl w:ilvl="0" w:tplc="E3B896A6">
      <w:start w:val="20"/>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5D1D7C0D"/>
    <w:multiLevelType w:val="multilevel"/>
    <w:tmpl w:val="9AE6DB4E"/>
    <w:lvl w:ilvl="0">
      <w:start w:val="4"/>
      <w:numFmt w:val="upperRoman"/>
      <w:lvlText w:val="%1"/>
      <w:lvlJc w:val="left"/>
      <w:pPr>
        <w:ind w:left="1080" w:hanging="720"/>
      </w:pPr>
      <w:rPr>
        <w:rFonts w:ascii="Times New Roman" w:hAnsi="Times New Roman" w:hint="default"/>
        <w:b/>
        <w:color w:val="auto"/>
        <w:sz w:val="28"/>
      </w:rPr>
    </w:lvl>
    <w:lvl w:ilvl="1">
      <w:start w:val="16"/>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44C737B"/>
    <w:multiLevelType w:val="multilevel"/>
    <w:tmpl w:val="86E4486E"/>
    <w:lvl w:ilvl="0">
      <w:start w:val="3"/>
      <w:numFmt w:val="upperRoman"/>
      <w:lvlText w:val="%1"/>
      <w:lvlJc w:val="left"/>
      <w:pPr>
        <w:ind w:left="1080" w:hanging="720"/>
      </w:pPr>
      <w:rPr>
        <w:rFonts w:ascii="Times New Roman" w:hAnsi="Times New Roman" w:hint="default"/>
        <w:b/>
        <w:color w:val="auto"/>
        <w:sz w:val="28"/>
      </w:rPr>
    </w:lvl>
    <w:lvl w:ilvl="1">
      <w:start w:val="10"/>
      <w:numFmt w:val="decimal"/>
      <w:lvlText w:val="%2."/>
      <w:lvlJc w:val="left"/>
      <w:pPr>
        <w:ind w:left="2062" w:hanging="360"/>
      </w:pPr>
      <w:rPr>
        <w:rFonts w:hint="default"/>
        <w:b w:val="0"/>
        <w:bCs w:val="0"/>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A5BDC"/>
    <w:multiLevelType w:val="hybridMultilevel"/>
    <w:tmpl w:val="7C24E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E4E50"/>
    <w:multiLevelType w:val="multilevel"/>
    <w:tmpl w:val="936AD88C"/>
    <w:lvl w:ilvl="0">
      <w:start w:val="1"/>
      <w:numFmt w:val="upperRoman"/>
      <w:lvlText w:val="%1"/>
      <w:lvlJc w:val="left"/>
      <w:pPr>
        <w:ind w:left="1080" w:hanging="720"/>
      </w:pPr>
      <w:rPr>
        <w:rFonts w:ascii="Times New Roman" w:hAnsi="Times New Roman" w:hint="default"/>
        <w:b/>
        <w:color w:val="auto"/>
        <w:sz w:val="28"/>
      </w:rPr>
    </w:lvl>
    <w:lvl w:ilvl="1">
      <w:start w:val="1"/>
      <w:numFmt w:val="decimal"/>
      <w:lvlText w:val="%2."/>
      <w:lvlJc w:val="left"/>
      <w:pPr>
        <w:ind w:left="1637"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22990653">
    <w:abstractNumId w:val="1"/>
  </w:num>
  <w:num w:numId="2" w16cid:durableId="2129812674">
    <w:abstractNumId w:val="0"/>
  </w:num>
  <w:num w:numId="3" w16cid:durableId="1685981679">
    <w:abstractNumId w:val="2"/>
  </w:num>
  <w:num w:numId="4" w16cid:durableId="1611666607">
    <w:abstractNumId w:val="3"/>
  </w:num>
  <w:num w:numId="5" w16cid:durableId="1939874890">
    <w:abstractNumId w:val="8"/>
  </w:num>
  <w:num w:numId="6" w16cid:durableId="1681160723">
    <w:abstractNumId w:val="9"/>
  </w:num>
  <w:num w:numId="7" w16cid:durableId="560285634">
    <w:abstractNumId w:val="7"/>
  </w:num>
  <w:num w:numId="8" w16cid:durableId="953634719">
    <w:abstractNumId w:val="6"/>
  </w:num>
  <w:num w:numId="9" w16cid:durableId="983317482">
    <w:abstractNumId w:val="5"/>
  </w:num>
  <w:num w:numId="10" w16cid:durableId="545485347">
    <w:abstractNumId w:val="4"/>
  </w:num>
  <w:num w:numId="11" w16cid:durableId="1423068697">
    <w:abstractNumId w:val="20"/>
  </w:num>
  <w:num w:numId="12" w16cid:durableId="208105833">
    <w:abstractNumId w:val="17"/>
  </w:num>
  <w:num w:numId="13" w16cid:durableId="1007172357">
    <w:abstractNumId w:val="11"/>
  </w:num>
  <w:num w:numId="14" w16cid:durableId="294529938">
    <w:abstractNumId w:val="15"/>
  </w:num>
  <w:num w:numId="15" w16cid:durableId="207184851">
    <w:abstractNumId w:val="23"/>
  </w:num>
  <w:num w:numId="16" w16cid:durableId="1932857998">
    <w:abstractNumId w:val="16"/>
  </w:num>
  <w:num w:numId="17" w16cid:durableId="43140023">
    <w:abstractNumId w:val="31"/>
  </w:num>
  <w:num w:numId="18" w16cid:durableId="1670134983">
    <w:abstractNumId w:val="33"/>
  </w:num>
  <w:num w:numId="19" w16cid:durableId="1497651103">
    <w:abstractNumId w:val="14"/>
  </w:num>
  <w:num w:numId="20" w16cid:durableId="1465276487">
    <w:abstractNumId w:val="14"/>
  </w:num>
  <w:num w:numId="21" w16cid:durableId="943391120">
    <w:abstractNumId w:val="32"/>
  </w:num>
  <w:num w:numId="22" w16cid:durableId="1835146872">
    <w:abstractNumId w:val="34"/>
  </w:num>
  <w:num w:numId="23" w16cid:durableId="589850541">
    <w:abstractNumId w:val="12"/>
  </w:num>
  <w:num w:numId="24" w16cid:durableId="446579638">
    <w:abstractNumId w:val="19"/>
  </w:num>
  <w:num w:numId="25" w16cid:durableId="1843736536">
    <w:abstractNumId w:val="13"/>
  </w:num>
  <w:num w:numId="26" w16cid:durableId="1002584718">
    <w:abstractNumId w:val="24"/>
  </w:num>
  <w:num w:numId="27" w16cid:durableId="646280398">
    <w:abstractNumId w:val="26"/>
  </w:num>
  <w:num w:numId="28" w16cid:durableId="1516967357">
    <w:abstractNumId w:val="25"/>
  </w:num>
  <w:num w:numId="29" w16cid:durableId="709191039">
    <w:abstractNumId w:val="22"/>
  </w:num>
  <w:num w:numId="30" w16cid:durableId="306980320">
    <w:abstractNumId w:val="30"/>
  </w:num>
  <w:num w:numId="31" w16cid:durableId="1039285976">
    <w:abstractNumId w:val="29"/>
  </w:num>
  <w:num w:numId="32" w16cid:durableId="543979684">
    <w:abstractNumId w:val="28"/>
  </w:num>
  <w:num w:numId="33" w16cid:durableId="210508318">
    <w:abstractNumId w:val="21"/>
  </w:num>
  <w:num w:numId="34" w16cid:durableId="555746870">
    <w:abstractNumId w:val="18"/>
  </w:num>
  <w:num w:numId="35" w16cid:durableId="956791145">
    <w:abstractNumId w:val="27"/>
  </w:num>
  <w:num w:numId="36" w16cid:durableId="1922912189">
    <w:abstractNumId w:val="1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16cid:durableId="731584108">
    <w:abstractNumId w:val="1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F6"/>
    <w:rsid w:val="00002A7D"/>
    <w:rsid w:val="000038A8"/>
    <w:rsid w:val="00006790"/>
    <w:rsid w:val="00026333"/>
    <w:rsid w:val="00027624"/>
    <w:rsid w:val="00043A62"/>
    <w:rsid w:val="00044BCF"/>
    <w:rsid w:val="00050F6B"/>
    <w:rsid w:val="00051827"/>
    <w:rsid w:val="00051F3A"/>
    <w:rsid w:val="00052A30"/>
    <w:rsid w:val="0006330D"/>
    <w:rsid w:val="000678CD"/>
    <w:rsid w:val="00072C8C"/>
    <w:rsid w:val="00072CBD"/>
    <w:rsid w:val="00081CE0"/>
    <w:rsid w:val="0008474A"/>
    <w:rsid w:val="00084D30"/>
    <w:rsid w:val="00090320"/>
    <w:rsid w:val="000931C0"/>
    <w:rsid w:val="0009732C"/>
    <w:rsid w:val="00097586"/>
    <w:rsid w:val="000A01F9"/>
    <w:rsid w:val="000A2E09"/>
    <w:rsid w:val="000B175B"/>
    <w:rsid w:val="000B3A0F"/>
    <w:rsid w:val="000B4D77"/>
    <w:rsid w:val="000C6EAF"/>
    <w:rsid w:val="000E0415"/>
    <w:rsid w:val="000F7715"/>
    <w:rsid w:val="00104805"/>
    <w:rsid w:val="001100BE"/>
    <w:rsid w:val="00124DD7"/>
    <w:rsid w:val="001256FA"/>
    <w:rsid w:val="00134A3C"/>
    <w:rsid w:val="00145A1C"/>
    <w:rsid w:val="00155236"/>
    <w:rsid w:val="00156B99"/>
    <w:rsid w:val="00166124"/>
    <w:rsid w:val="00173521"/>
    <w:rsid w:val="00181C4D"/>
    <w:rsid w:val="00184DDA"/>
    <w:rsid w:val="001900CD"/>
    <w:rsid w:val="001A0452"/>
    <w:rsid w:val="001A7D85"/>
    <w:rsid w:val="001B4B04"/>
    <w:rsid w:val="001B4F2F"/>
    <w:rsid w:val="001B5875"/>
    <w:rsid w:val="001C013E"/>
    <w:rsid w:val="001C28E3"/>
    <w:rsid w:val="001C4B9C"/>
    <w:rsid w:val="001C6663"/>
    <w:rsid w:val="001C7895"/>
    <w:rsid w:val="001D26DF"/>
    <w:rsid w:val="001E1BD7"/>
    <w:rsid w:val="001E555D"/>
    <w:rsid w:val="001F1599"/>
    <w:rsid w:val="001F19C4"/>
    <w:rsid w:val="001F37AD"/>
    <w:rsid w:val="002043F0"/>
    <w:rsid w:val="002071AB"/>
    <w:rsid w:val="00211E0B"/>
    <w:rsid w:val="00212CF7"/>
    <w:rsid w:val="00232575"/>
    <w:rsid w:val="00235AE2"/>
    <w:rsid w:val="00247258"/>
    <w:rsid w:val="00257CAC"/>
    <w:rsid w:val="00264441"/>
    <w:rsid w:val="0026777D"/>
    <w:rsid w:val="0027237A"/>
    <w:rsid w:val="002769B8"/>
    <w:rsid w:val="00286A27"/>
    <w:rsid w:val="002974E9"/>
    <w:rsid w:val="002A7F94"/>
    <w:rsid w:val="002B04F5"/>
    <w:rsid w:val="002B109A"/>
    <w:rsid w:val="002C6D45"/>
    <w:rsid w:val="002D6E53"/>
    <w:rsid w:val="002E73B2"/>
    <w:rsid w:val="002F046D"/>
    <w:rsid w:val="002F2A50"/>
    <w:rsid w:val="002F3023"/>
    <w:rsid w:val="00301764"/>
    <w:rsid w:val="0031615A"/>
    <w:rsid w:val="00321199"/>
    <w:rsid w:val="00321EFC"/>
    <w:rsid w:val="003229D8"/>
    <w:rsid w:val="00330C79"/>
    <w:rsid w:val="00336C97"/>
    <w:rsid w:val="00337F88"/>
    <w:rsid w:val="00342432"/>
    <w:rsid w:val="0035223F"/>
    <w:rsid w:val="00352D4B"/>
    <w:rsid w:val="0035638C"/>
    <w:rsid w:val="003660A7"/>
    <w:rsid w:val="003A46BB"/>
    <w:rsid w:val="003A4EC7"/>
    <w:rsid w:val="003A7295"/>
    <w:rsid w:val="003B1F60"/>
    <w:rsid w:val="003B5AFC"/>
    <w:rsid w:val="003C2CC4"/>
    <w:rsid w:val="003D2167"/>
    <w:rsid w:val="003D4B23"/>
    <w:rsid w:val="003E22DA"/>
    <w:rsid w:val="003E278A"/>
    <w:rsid w:val="003F021E"/>
    <w:rsid w:val="00407F0F"/>
    <w:rsid w:val="00411FC0"/>
    <w:rsid w:val="00413520"/>
    <w:rsid w:val="00430D57"/>
    <w:rsid w:val="00431B83"/>
    <w:rsid w:val="004325CB"/>
    <w:rsid w:val="00434FBE"/>
    <w:rsid w:val="00440A07"/>
    <w:rsid w:val="00447208"/>
    <w:rsid w:val="00462880"/>
    <w:rsid w:val="00476A99"/>
    <w:rsid w:val="00476F24"/>
    <w:rsid w:val="004C55B0"/>
    <w:rsid w:val="004F6BA0"/>
    <w:rsid w:val="005000C4"/>
    <w:rsid w:val="00503BEA"/>
    <w:rsid w:val="00513581"/>
    <w:rsid w:val="00523524"/>
    <w:rsid w:val="00533616"/>
    <w:rsid w:val="00535ABA"/>
    <w:rsid w:val="0053768B"/>
    <w:rsid w:val="005420F2"/>
    <w:rsid w:val="0054285C"/>
    <w:rsid w:val="00576390"/>
    <w:rsid w:val="00584173"/>
    <w:rsid w:val="00595520"/>
    <w:rsid w:val="005A1916"/>
    <w:rsid w:val="005A44B9"/>
    <w:rsid w:val="005B1BA0"/>
    <w:rsid w:val="005B3DB3"/>
    <w:rsid w:val="005D15CA"/>
    <w:rsid w:val="005D7969"/>
    <w:rsid w:val="005F08DF"/>
    <w:rsid w:val="005F1C42"/>
    <w:rsid w:val="005F26DA"/>
    <w:rsid w:val="005F3066"/>
    <w:rsid w:val="005F3E61"/>
    <w:rsid w:val="006031B0"/>
    <w:rsid w:val="00604DDD"/>
    <w:rsid w:val="00605801"/>
    <w:rsid w:val="006115CC"/>
    <w:rsid w:val="00611FC4"/>
    <w:rsid w:val="006151E0"/>
    <w:rsid w:val="006176FB"/>
    <w:rsid w:val="00622C30"/>
    <w:rsid w:val="00630FCB"/>
    <w:rsid w:val="00633A6A"/>
    <w:rsid w:val="00640B26"/>
    <w:rsid w:val="00650746"/>
    <w:rsid w:val="0065766B"/>
    <w:rsid w:val="006649AB"/>
    <w:rsid w:val="006770B2"/>
    <w:rsid w:val="00677F45"/>
    <w:rsid w:val="00686A48"/>
    <w:rsid w:val="006940E1"/>
    <w:rsid w:val="006A3C72"/>
    <w:rsid w:val="006A7392"/>
    <w:rsid w:val="006B03A1"/>
    <w:rsid w:val="006B67D9"/>
    <w:rsid w:val="006B7AAA"/>
    <w:rsid w:val="006B7CCA"/>
    <w:rsid w:val="006C1FA7"/>
    <w:rsid w:val="006C5535"/>
    <w:rsid w:val="006D0589"/>
    <w:rsid w:val="006D59B6"/>
    <w:rsid w:val="006E564B"/>
    <w:rsid w:val="006E7154"/>
    <w:rsid w:val="006F1668"/>
    <w:rsid w:val="007003CD"/>
    <w:rsid w:val="0070701E"/>
    <w:rsid w:val="007173E0"/>
    <w:rsid w:val="0072632A"/>
    <w:rsid w:val="007358E8"/>
    <w:rsid w:val="00736ECE"/>
    <w:rsid w:val="0074533B"/>
    <w:rsid w:val="00751675"/>
    <w:rsid w:val="00756CCE"/>
    <w:rsid w:val="007643BC"/>
    <w:rsid w:val="007801C5"/>
    <w:rsid w:val="00780C68"/>
    <w:rsid w:val="007959FE"/>
    <w:rsid w:val="007965C3"/>
    <w:rsid w:val="00796823"/>
    <w:rsid w:val="007A0CF1"/>
    <w:rsid w:val="007A18A2"/>
    <w:rsid w:val="007A478E"/>
    <w:rsid w:val="007A7836"/>
    <w:rsid w:val="007A7EB1"/>
    <w:rsid w:val="007B6BA5"/>
    <w:rsid w:val="007C3390"/>
    <w:rsid w:val="007C42D8"/>
    <w:rsid w:val="007C4F4B"/>
    <w:rsid w:val="007C766A"/>
    <w:rsid w:val="007D6AA3"/>
    <w:rsid w:val="007D7362"/>
    <w:rsid w:val="007E3C7F"/>
    <w:rsid w:val="007F5CE2"/>
    <w:rsid w:val="007F6611"/>
    <w:rsid w:val="00800522"/>
    <w:rsid w:val="00810BAC"/>
    <w:rsid w:val="008175E9"/>
    <w:rsid w:val="008224A1"/>
    <w:rsid w:val="008242D7"/>
    <w:rsid w:val="0082577B"/>
    <w:rsid w:val="00825D24"/>
    <w:rsid w:val="008272DD"/>
    <w:rsid w:val="00830E42"/>
    <w:rsid w:val="00842AD1"/>
    <w:rsid w:val="00866893"/>
    <w:rsid w:val="00866F02"/>
    <w:rsid w:val="00867ABE"/>
    <w:rsid w:val="00867D18"/>
    <w:rsid w:val="00871F9A"/>
    <w:rsid w:val="00871FD5"/>
    <w:rsid w:val="00874146"/>
    <w:rsid w:val="00880E7A"/>
    <w:rsid w:val="0088172E"/>
    <w:rsid w:val="00881EFA"/>
    <w:rsid w:val="008879CB"/>
    <w:rsid w:val="008979B1"/>
    <w:rsid w:val="008A6B25"/>
    <w:rsid w:val="008A6C4F"/>
    <w:rsid w:val="008A77AE"/>
    <w:rsid w:val="008B254F"/>
    <w:rsid w:val="008B389E"/>
    <w:rsid w:val="008B7779"/>
    <w:rsid w:val="008D045E"/>
    <w:rsid w:val="008D325A"/>
    <w:rsid w:val="008D3F25"/>
    <w:rsid w:val="008D4D82"/>
    <w:rsid w:val="008E0E46"/>
    <w:rsid w:val="008E7116"/>
    <w:rsid w:val="008F143B"/>
    <w:rsid w:val="008F3882"/>
    <w:rsid w:val="008F4B7C"/>
    <w:rsid w:val="008F6271"/>
    <w:rsid w:val="00906538"/>
    <w:rsid w:val="00926E47"/>
    <w:rsid w:val="00947162"/>
    <w:rsid w:val="00950290"/>
    <w:rsid w:val="00956F4E"/>
    <w:rsid w:val="009610D0"/>
    <w:rsid w:val="0096375C"/>
    <w:rsid w:val="009662E6"/>
    <w:rsid w:val="0097095E"/>
    <w:rsid w:val="0098592B"/>
    <w:rsid w:val="00985FC4"/>
    <w:rsid w:val="00990766"/>
    <w:rsid w:val="00991261"/>
    <w:rsid w:val="009964C4"/>
    <w:rsid w:val="00996852"/>
    <w:rsid w:val="009A3A03"/>
    <w:rsid w:val="009A7B81"/>
    <w:rsid w:val="009C2FF6"/>
    <w:rsid w:val="009D01C0"/>
    <w:rsid w:val="009D6607"/>
    <w:rsid w:val="009D6A08"/>
    <w:rsid w:val="009E0A16"/>
    <w:rsid w:val="009E137C"/>
    <w:rsid w:val="009E52EB"/>
    <w:rsid w:val="009E6224"/>
    <w:rsid w:val="009E6CB7"/>
    <w:rsid w:val="009E7970"/>
    <w:rsid w:val="009F2EAC"/>
    <w:rsid w:val="009F57E3"/>
    <w:rsid w:val="00A10F4F"/>
    <w:rsid w:val="00A11067"/>
    <w:rsid w:val="00A1704A"/>
    <w:rsid w:val="00A25FC4"/>
    <w:rsid w:val="00A425EB"/>
    <w:rsid w:val="00A51D2C"/>
    <w:rsid w:val="00A72F22"/>
    <w:rsid w:val="00A733BC"/>
    <w:rsid w:val="00A748A6"/>
    <w:rsid w:val="00A76A69"/>
    <w:rsid w:val="00A7759A"/>
    <w:rsid w:val="00A84891"/>
    <w:rsid w:val="00A859D2"/>
    <w:rsid w:val="00A879A4"/>
    <w:rsid w:val="00A97ED8"/>
    <w:rsid w:val="00AA0FF8"/>
    <w:rsid w:val="00AC0F2C"/>
    <w:rsid w:val="00AC2C3E"/>
    <w:rsid w:val="00AC4B84"/>
    <w:rsid w:val="00AC502A"/>
    <w:rsid w:val="00AE2A39"/>
    <w:rsid w:val="00AE54F6"/>
    <w:rsid w:val="00AE5F8D"/>
    <w:rsid w:val="00AF58C1"/>
    <w:rsid w:val="00B04A3F"/>
    <w:rsid w:val="00B06643"/>
    <w:rsid w:val="00B068A4"/>
    <w:rsid w:val="00B14FCF"/>
    <w:rsid w:val="00B15055"/>
    <w:rsid w:val="00B20551"/>
    <w:rsid w:val="00B23D55"/>
    <w:rsid w:val="00B24A99"/>
    <w:rsid w:val="00B30179"/>
    <w:rsid w:val="00B33FC7"/>
    <w:rsid w:val="00B37B15"/>
    <w:rsid w:val="00B45C02"/>
    <w:rsid w:val="00B6425E"/>
    <w:rsid w:val="00B70B63"/>
    <w:rsid w:val="00B72A1E"/>
    <w:rsid w:val="00B74D65"/>
    <w:rsid w:val="00B767B8"/>
    <w:rsid w:val="00B81E12"/>
    <w:rsid w:val="00B90931"/>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0752F"/>
    <w:rsid w:val="00C07820"/>
    <w:rsid w:val="00C16311"/>
    <w:rsid w:val="00C262F1"/>
    <w:rsid w:val="00C408B7"/>
    <w:rsid w:val="00C411EB"/>
    <w:rsid w:val="00C463DD"/>
    <w:rsid w:val="00C543DD"/>
    <w:rsid w:val="00C548B3"/>
    <w:rsid w:val="00C745C3"/>
    <w:rsid w:val="00C93563"/>
    <w:rsid w:val="00C978F5"/>
    <w:rsid w:val="00CA24A4"/>
    <w:rsid w:val="00CB1A05"/>
    <w:rsid w:val="00CB348D"/>
    <w:rsid w:val="00CC58C2"/>
    <w:rsid w:val="00CD46F5"/>
    <w:rsid w:val="00CE4A8F"/>
    <w:rsid w:val="00CE78F6"/>
    <w:rsid w:val="00CF071D"/>
    <w:rsid w:val="00D0123D"/>
    <w:rsid w:val="00D07E1D"/>
    <w:rsid w:val="00D15B04"/>
    <w:rsid w:val="00D2031B"/>
    <w:rsid w:val="00D25FE2"/>
    <w:rsid w:val="00D33E82"/>
    <w:rsid w:val="00D34565"/>
    <w:rsid w:val="00D368BE"/>
    <w:rsid w:val="00D37DA9"/>
    <w:rsid w:val="00D406A7"/>
    <w:rsid w:val="00D40765"/>
    <w:rsid w:val="00D43252"/>
    <w:rsid w:val="00D44D86"/>
    <w:rsid w:val="00D50B7D"/>
    <w:rsid w:val="00D52012"/>
    <w:rsid w:val="00D53423"/>
    <w:rsid w:val="00D704E5"/>
    <w:rsid w:val="00D72727"/>
    <w:rsid w:val="00D91619"/>
    <w:rsid w:val="00D978C6"/>
    <w:rsid w:val="00DA0956"/>
    <w:rsid w:val="00DA357F"/>
    <w:rsid w:val="00DA3E12"/>
    <w:rsid w:val="00DB2C9B"/>
    <w:rsid w:val="00DB6908"/>
    <w:rsid w:val="00DC18AD"/>
    <w:rsid w:val="00DC37AF"/>
    <w:rsid w:val="00DC7791"/>
    <w:rsid w:val="00DE1D18"/>
    <w:rsid w:val="00DE588C"/>
    <w:rsid w:val="00DF7CAE"/>
    <w:rsid w:val="00E03036"/>
    <w:rsid w:val="00E13301"/>
    <w:rsid w:val="00E423C0"/>
    <w:rsid w:val="00E4510E"/>
    <w:rsid w:val="00E47CF7"/>
    <w:rsid w:val="00E6414C"/>
    <w:rsid w:val="00E7192F"/>
    <w:rsid w:val="00E7260F"/>
    <w:rsid w:val="00E73E25"/>
    <w:rsid w:val="00E8702D"/>
    <w:rsid w:val="00E905F4"/>
    <w:rsid w:val="00E916A9"/>
    <w:rsid w:val="00E916DE"/>
    <w:rsid w:val="00E91E42"/>
    <w:rsid w:val="00E925AD"/>
    <w:rsid w:val="00E96630"/>
    <w:rsid w:val="00E9723F"/>
    <w:rsid w:val="00EA0E54"/>
    <w:rsid w:val="00EA6D1C"/>
    <w:rsid w:val="00EA7C6E"/>
    <w:rsid w:val="00EC6EAC"/>
    <w:rsid w:val="00EC708A"/>
    <w:rsid w:val="00ED18DC"/>
    <w:rsid w:val="00ED6201"/>
    <w:rsid w:val="00ED7A2A"/>
    <w:rsid w:val="00EE4B46"/>
    <w:rsid w:val="00EF1D7F"/>
    <w:rsid w:val="00EF3012"/>
    <w:rsid w:val="00EF6EB4"/>
    <w:rsid w:val="00F0053B"/>
    <w:rsid w:val="00F0137E"/>
    <w:rsid w:val="00F10968"/>
    <w:rsid w:val="00F21786"/>
    <w:rsid w:val="00F3348D"/>
    <w:rsid w:val="00F337D6"/>
    <w:rsid w:val="00F35B5F"/>
    <w:rsid w:val="00F35B74"/>
    <w:rsid w:val="00F3742B"/>
    <w:rsid w:val="00F41FDB"/>
    <w:rsid w:val="00F50596"/>
    <w:rsid w:val="00F56D63"/>
    <w:rsid w:val="00F57F6E"/>
    <w:rsid w:val="00F609A9"/>
    <w:rsid w:val="00F80C99"/>
    <w:rsid w:val="00F83130"/>
    <w:rsid w:val="00F867EC"/>
    <w:rsid w:val="00F90313"/>
    <w:rsid w:val="00F91B2B"/>
    <w:rsid w:val="00F93FC8"/>
    <w:rsid w:val="00F97799"/>
    <w:rsid w:val="00FC03CD"/>
    <w:rsid w:val="00FC0646"/>
    <w:rsid w:val="00FC5439"/>
    <w:rsid w:val="00FC68B7"/>
    <w:rsid w:val="00FD5B43"/>
    <w:rsid w:val="00FE0F59"/>
    <w:rsid w:val="00FE5C2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A63A0"/>
  <w15:docId w15:val="{157FF296-6F89-4F4F-BCC6-20861EFC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uiPriority w:val="9"/>
    <w:semiHidden/>
    <w:qFormat/>
    <w:rsid w:val="00E925AD"/>
    <w:pPr>
      <w:spacing w:line="240" w:lineRule="auto"/>
      <w:outlineLvl w:val="2"/>
    </w:pPr>
  </w:style>
  <w:style w:type="paragraph" w:styleId="Heading4">
    <w:name w:val="heading 4"/>
    <w:basedOn w:val="Normal"/>
    <w:next w:val="Normal"/>
    <w:uiPriority w:val="9"/>
    <w:semiHidden/>
    <w:qFormat/>
    <w:rsid w:val="00E925AD"/>
    <w:pPr>
      <w:spacing w:line="240" w:lineRule="auto"/>
      <w:outlineLvl w:val="3"/>
    </w:pPr>
  </w:style>
  <w:style w:type="paragraph" w:styleId="Heading5">
    <w:name w:val="heading 5"/>
    <w:basedOn w:val="Normal"/>
    <w:next w:val="Normal"/>
    <w:uiPriority w:val="9"/>
    <w:semiHidden/>
    <w:qFormat/>
    <w:rsid w:val="00E925AD"/>
    <w:pPr>
      <w:spacing w:line="240" w:lineRule="auto"/>
      <w:outlineLvl w:val="4"/>
    </w:pPr>
  </w:style>
  <w:style w:type="paragraph" w:styleId="Heading6">
    <w:name w:val="heading 6"/>
    <w:basedOn w:val="Normal"/>
    <w:next w:val="Normal"/>
    <w:uiPriority w:val="9"/>
    <w:semiHidden/>
    <w:qFormat/>
    <w:rsid w:val="00E925AD"/>
    <w:pPr>
      <w:spacing w:line="240" w:lineRule="auto"/>
      <w:outlineLvl w:val="5"/>
    </w:pPr>
  </w:style>
  <w:style w:type="paragraph" w:styleId="Heading7">
    <w:name w:val="heading 7"/>
    <w:basedOn w:val="Normal"/>
    <w:next w:val="Normal"/>
    <w:uiPriority w:val="9"/>
    <w:semiHidden/>
    <w:qFormat/>
    <w:rsid w:val="00E925AD"/>
    <w:pPr>
      <w:spacing w:line="240" w:lineRule="auto"/>
      <w:outlineLvl w:val="6"/>
    </w:pPr>
  </w:style>
  <w:style w:type="paragraph" w:styleId="Heading8">
    <w:name w:val="heading 8"/>
    <w:basedOn w:val="Normal"/>
    <w:next w:val="Normal"/>
    <w:uiPriority w:val="9"/>
    <w:semiHidden/>
    <w:qFormat/>
    <w:rsid w:val="00E925AD"/>
    <w:pPr>
      <w:spacing w:line="240" w:lineRule="auto"/>
      <w:outlineLvl w:val="7"/>
    </w:pPr>
  </w:style>
  <w:style w:type="paragraph" w:styleId="Heading9">
    <w:name w:val="heading 9"/>
    <w:basedOn w:val="Normal"/>
    <w:next w:val="Normal"/>
    <w:uiPriority w:val="9"/>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9C2FF6"/>
    <w:rPr>
      <w:sz w:val="18"/>
      <w:lang w:val="en-GB"/>
    </w:rPr>
  </w:style>
  <w:style w:type="paragraph" w:styleId="ListParagraph">
    <w:name w:val="List Paragraph"/>
    <w:basedOn w:val="Normal"/>
    <w:uiPriority w:val="34"/>
    <w:qFormat/>
    <w:rsid w:val="00043A62"/>
    <w:pPr>
      <w:suppressAutoHyphens/>
      <w:ind w:left="720"/>
      <w:contextualSpacing/>
    </w:pPr>
  </w:style>
  <w:style w:type="character" w:customStyle="1" w:styleId="Heading1Char">
    <w:name w:val="Heading 1 Char"/>
    <w:aliases w:val="Table_G Char"/>
    <w:basedOn w:val="DefaultParagraphFont"/>
    <w:link w:val="Heading1"/>
    <w:uiPriority w:val="9"/>
    <w:rsid w:val="00867ABE"/>
    <w:rPr>
      <w:lang w:val="en-GB"/>
    </w:rPr>
  </w:style>
  <w:style w:type="character" w:customStyle="1" w:styleId="Heading2Char">
    <w:name w:val="Heading 2 Char"/>
    <w:basedOn w:val="DefaultParagraphFont"/>
    <w:link w:val="Heading2"/>
    <w:uiPriority w:val="9"/>
    <w:rsid w:val="00867ABE"/>
    <w:rPr>
      <w:lang w:val="en-GB"/>
    </w:rPr>
  </w:style>
  <w:style w:type="paragraph" w:styleId="Revision">
    <w:name w:val="Revision"/>
    <w:hidden/>
    <w:uiPriority w:val="99"/>
    <w:semiHidden/>
    <w:rsid w:val="006B7CCA"/>
    <w:pPr>
      <w:spacing w:line="240" w:lineRule="auto"/>
    </w:pPr>
    <w:rPr>
      <w:lang w:val="en-GB"/>
    </w:rPr>
  </w:style>
  <w:style w:type="character" w:styleId="CommentReference">
    <w:name w:val="annotation reference"/>
    <w:basedOn w:val="DefaultParagraphFont"/>
    <w:semiHidden/>
    <w:unhideWhenUsed/>
    <w:rsid w:val="008224A1"/>
    <w:rPr>
      <w:sz w:val="16"/>
      <w:szCs w:val="16"/>
    </w:rPr>
  </w:style>
  <w:style w:type="paragraph" w:styleId="CommentText">
    <w:name w:val="annotation text"/>
    <w:basedOn w:val="Normal"/>
    <w:link w:val="CommentTextChar"/>
    <w:unhideWhenUsed/>
    <w:rsid w:val="008224A1"/>
    <w:pPr>
      <w:spacing w:line="240" w:lineRule="auto"/>
    </w:pPr>
  </w:style>
  <w:style w:type="character" w:customStyle="1" w:styleId="CommentTextChar">
    <w:name w:val="Comment Text Char"/>
    <w:basedOn w:val="DefaultParagraphFont"/>
    <w:link w:val="CommentText"/>
    <w:rsid w:val="008224A1"/>
    <w:rPr>
      <w:lang w:val="en-GB"/>
    </w:rPr>
  </w:style>
  <w:style w:type="paragraph" w:styleId="CommentSubject">
    <w:name w:val="annotation subject"/>
    <w:basedOn w:val="CommentText"/>
    <w:next w:val="CommentText"/>
    <w:link w:val="CommentSubjectChar"/>
    <w:semiHidden/>
    <w:unhideWhenUsed/>
    <w:rsid w:val="008224A1"/>
    <w:rPr>
      <w:b/>
      <w:bCs/>
    </w:rPr>
  </w:style>
  <w:style w:type="character" w:customStyle="1" w:styleId="CommentSubjectChar">
    <w:name w:val="Comment Subject Char"/>
    <w:basedOn w:val="CommentTextChar"/>
    <w:link w:val="CommentSubject"/>
    <w:semiHidden/>
    <w:rsid w:val="008224A1"/>
    <w:rPr>
      <w:b/>
      <w:bCs/>
      <w:lang w:val="en-GB"/>
    </w:rPr>
  </w:style>
  <w:style w:type="paragraph" w:customStyle="1" w:styleId="Level1">
    <w:name w:val="Level 1"/>
    <w:basedOn w:val="Normal"/>
    <w:rsid w:val="00235AE2"/>
    <w:pPr>
      <w:widowControl w:val="0"/>
      <w:numPr>
        <w:numId w:val="36"/>
      </w:numPr>
      <w:spacing w:line="240" w:lineRule="auto"/>
      <w:outlineLvl w:val="0"/>
    </w:pPr>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3-09/ECE_TRANS_WP.15_AC.2_86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F89A2F21-5FFB-49A5-9EDF-1FFE53897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TRANS_WP1_24_E.dotm</Template>
  <TotalTime>5</TotalTime>
  <Pages>3</Pages>
  <Words>1225</Words>
  <Characters>6874</Characters>
  <Application>Microsoft Office Word</Application>
  <DocSecurity>0</DocSecurity>
  <Lines>146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ECE/TRANS/WP.15/AC.2/2024/20</vt:lpstr>
      <vt:lpstr/>
    </vt:vector>
  </TitlesOfParts>
  <Company>CSD</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ECE/TRANS/WP.15/AC.2/2024/20</dc:title>
  <dc:subject>2321982</dc:subject>
  <dc:creator>Editorial</dc:creator>
  <cp:keywords/>
  <dc:description/>
  <cp:lastModifiedBy>Secretariat</cp:lastModifiedBy>
  <cp:revision>4</cp:revision>
  <cp:lastPrinted>2009-02-18T09:36:00Z</cp:lastPrinted>
  <dcterms:created xsi:type="dcterms:W3CDTF">2024-01-21T21:45:00Z</dcterms:created>
  <dcterms:modified xsi:type="dcterms:W3CDTF">2024-01-21T21:50:00Z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