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4B462CE4" w:rsidR="00157609" w:rsidRPr="00170046" w:rsidRDefault="00157609" w:rsidP="00C31681">
            <w:pPr>
              <w:jc w:val="right"/>
              <w:rPr>
                <w:b/>
                <w:bCs/>
                <w:lang w:val="en-US"/>
              </w:rPr>
            </w:pPr>
            <w:r w:rsidRPr="00DA5948">
              <w:rPr>
                <w:b/>
                <w:bCs/>
                <w:sz w:val="40"/>
              </w:rPr>
              <w:t>INF.</w:t>
            </w:r>
            <w:r w:rsidR="00F12CEC">
              <w:rPr>
                <w:b/>
                <w:bCs/>
                <w:sz w:val="40"/>
              </w:rPr>
              <w:t>17</w:t>
            </w:r>
          </w:p>
        </w:tc>
      </w:tr>
      <w:tr w:rsidR="00157609" w14:paraId="24ABEA35" w14:textId="77777777" w:rsidTr="00EF3D6A">
        <w:trPr>
          <w:cantSplit/>
          <w:trHeight w:hRule="exact" w:val="3693"/>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F9E2AD8" w14:textId="3E4838B1" w:rsidR="007228D3" w:rsidRPr="003134DF" w:rsidRDefault="007228D3" w:rsidP="007228D3">
            <w:r>
              <w:t xml:space="preserve">Item </w:t>
            </w:r>
            <w:r w:rsidR="008A4325">
              <w:t>6</w:t>
            </w:r>
            <w:r>
              <w:t xml:space="preserve"> </w:t>
            </w:r>
            <w:r w:rsidRPr="003134DF">
              <w:t>of the provisional agenda</w:t>
            </w:r>
          </w:p>
          <w:p w14:paraId="74901A9C" w14:textId="5FCF570F" w:rsidR="007228D3" w:rsidRPr="00EF3D6A" w:rsidRDefault="00EF3D6A" w:rsidP="007228D3">
            <w:pPr>
              <w:rPr>
                <w:b/>
                <w:bCs/>
              </w:rPr>
            </w:pPr>
            <w:r w:rsidRPr="00EF3D6A">
              <w:rPr>
                <w:b/>
                <w:bCs/>
              </w:rPr>
              <w:t>Reports of informal working groups</w:t>
            </w:r>
          </w:p>
          <w:p w14:paraId="333197FE" w14:textId="5BCE86E8" w:rsidR="00E277FB" w:rsidRPr="008A105B" w:rsidRDefault="00E277FB" w:rsidP="00570C67">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2BB8BAC6" w:rsidR="00157609" w:rsidRDefault="00F12CEC" w:rsidP="00C31681">
            <w:pPr>
              <w:spacing w:line="240" w:lineRule="exact"/>
            </w:pPr>
            <w:r>
              <w:t>15</w:t>
            </w:r>
            <w:r w:rsidR="00157609">
              <w:t xml:space="preserve"> </w:t>
            </w:r>
            <w:r>
              <w:t>January</w:t>
            </w:r>
            <w:r w:rsidR="00157609">
              <w:t xml:space="preserve"> 202</w:t>
            </w:r>
            <w:r>
              <w:t>4</w:t>
            </w:r>
          </w:p>
          <w:p w14:paraId="1C6A09C9" w14:textId="77777777" w:rsidR="00157609" w:rsidRDefault="00157609" w:rsidP="00C31681">
            <w:pPr>
              <w:spacing w:line="240" w:lineRule="exact"/>
            </w:pPr>
          </w:p>
          <w:p w14:paraId="2B061DA4" w14:textId="13E91FE6" w:rsidR="00157609" w:rsidRDefault="00157609" w:rsidP="00C31681">
            <w:pPr>
              <w:spacing w:line="240" w:lineRule="exact"/>
            </w:pPr>
            <w:r>
              <w:t xml:space="preserve">Original: </w:t>
            </w:r>
            <w:r w:rsidR="003F25FA" w:rsidRPr="00CE531E">
              <w:t xml:space="preserve"> Deutsch</w:t>
            </w:r>
          </w:p>
        </w:tc>
      </w:tr>
    </w:tbl>
    <w:p w14:paraId="0014134D" w14:textId="4E3D81A7" w:rsidR="006409EC" w:rsidRDefault="006409EC" w:rsidP="006409EC">
      <w:pPr>
        <w:pStyle w:val="SingleTxtG"/>
        <w:spacing w:after="0" w:line="240" w:lineRule="auto"/>
      </w:pPr>
    </w:p>
    <w:p w14:paraId="494292E2" w14:textId="77777777" w:rsidR="003F25FA" w:rsidRDefault="003F25FA" w:rsidP="003F25FA">
      <w:pPr>
        <w:pStyle w:val="HChG"/>
        <w:spacing w:before="0" w:after="0" w:line="240" w:lineRule="auto"/>
      </w:pPr>
      <w:r w:rsidRPr="005D0E91">
        <w:tab/>
        <w:t>Korrespondenzgruppe “Begaste Ladung”</w:t>
      </w:r>
    </w:p>
    <w:p w14:paraId="1A09BC66" w14:textId="77777777" w:rsidR="003F25FA" w:rsidRPr="00720F92" w:rsidRDefault="003F25FA" w:rsidP="003F25FA"/>
    <w:p w14:paraId="028D55CC" w14:textId="77777777" w:rsidR="003F25FA" w:rsidRDefault="003F25FA" w:rsidP="003F25FA">
      <w:pPr>
        <w:pStyle w:val="HChG"/>
        <w:spacing w:before="0" w:after="0" w:line="240" w:lineRule="auto"/>
      </w:pPr>
      <w:r w:rsidRPr="005D0E91">
        <w:tab/>
      </w:r>
      <w:r w:rsidRPr="005D0E91">
        <w:tab/>
        <w:t>Bericht ü</w:t>
      </w:r>
      <w:r>
        <w:t>ber ein persönliches Treffen</w:t>
      </w:r>
    </w:p>
    <w:p w14:paraId="03212431" w14:textId="77777777" w:rsidR="003F25FA" w:rsidRDefault="003F25FA" w:rsidP="003F25FA"/>
    <w:p w14:paraId="29761E4E" w14:textId="77777777" w:rsidR="003F25FA" w:rsidRPr="00720F92" w:rsidRDefault="003F25FA" w:rsidP="003F25FA"/>
    <w:p w14:paraId="33757125" w14:textId="77777777" w:rsidR="003F25FA" w:rsidRPr="00533E92" w:rsidRDefault="003F25FA" w:rsidP="003F25FA">
      <w:pPr>
        <w:pStyle w:val="H1G"/>
        <w:spacing w:before="0" w:after="0" w:line="240" w:lineRule="auto"/>
        <w:rPr>
          <w:sz w:val="20"/>
        </w:rPr>
      </w:pPr>
      <w:r w:rsidRPr="005D0E91">
        <w:tab/>
      </w:r>
      <w:r w:rsidRPr="005D0E91">
        <w:tab/>
      </w:r>
      <w:r w:rsidRPr="00533E92">
        <w:t xml:space="preserve">Eingereicht von Deutschland für den Vorsitz der Korrespondenzgruppe </w:t>
      </w:r>
      <w:r w:rsidRPr="00533E92">
        <w:rPr>
          <w:rStyle w:val="FootnoteReference"/>
          <w:sz w:val="20"/>
          <w:vertAlign w:val="baseline"/>
        </w:rPr>
        <w:footnoteReference w:customMarkFollows="1" w:id="2"/>
        <w:t>*</w:t>
      </w:r>
      <w:r w:rsidRPr="00533E92">
        <w:rPr>
          <w:sz w:val="20"/>
          <w:vertAlign w:val="superscript"/>
        </w:rPr>
        <w:t xml:space="preserve">, </w:t>
      </w:r>
      <w:r w:rsidRPr="00533E92">
        <w:rPr>
          <w:rStyle w:val="FootnoteReference"/>
          <w:sz w:val="20"/>
          <w:vertAlign w:val="baseline"/>
        </w:rPr>
        <w:footnoteReference w:customMarkFollows="1" w:id="3"/>
        <w:t>**</w:t>
      </w:r>
    </w:p>
    <w:p w14:paraId="3B827055" w14:textId="77777777" w:rsidR="003F25FA" w:rsidRPr="00533E92" w:rsidRDefault="003F25FA" w:rsidP="003F25FA"/>
    <w:p w14:paraId="161C4932" w14:textId="77777777" w:rsidR="003F25FA" w:rsidRPr="00533E92" w:rsidRDefault="003F25FA" w:rsidP="003F25FA"/>
    <w:p w14:paraId="5630AE3F" w14:textId="77777777" w:rsidR="003F25FA" w:rsidRPr="00533E92" w:rsidRDefault="003F25FA" w:rsidP="003F25FA">
      <w:pPr>
        <w:pStyle w:val="HChG"/>
        <w:spacing w:before="0" w:after="0" w:line="240" w:lineRule="auto"/>
      </w:pPr>
      <w:r w:rsidRPr="00533E92">
        <w:tab/>
      </w:r>
      <w:r w:rsidRPr="00533E92">
        <w:tab/>
        <w:t>Verbundene Dokumente</w:t>
      </w:r>
    </w:p>
    <w:p w14:paraId="249991BD" w14:textId="77777777" w:rsidR="003F25FA" w:rsidRPr="00533E92" w:rsidRDefault="003F25FA" w:rsidP="003F25FA"/>
    <w:p w14:paraId="3278B3E3" w14:textId="77777777" w:rsidR="003F25FA" w:rsidRPr="008B236A" w:rsidRDefault="003F25FA" w:rsidP="003F25FA">
      <w:pPr>
        <w:ind w:left="1134"/>
      </w:pPr>
      <w:r w:rsidRPr="008B236A">
        <w:t>ECE/TRANS/WP.15/AC.2/2023/39</w:t>
      </w:r>
    </w:p>
    <w:p w14:paraId="5B99D618" w14:textId="77777777" w:rsidR="003F25FA" w:rsidRPr="00533E92" w:rsidRDefault="003F25FA" w:rsidP="003F25FA">
      <w:pPr>
        <w:ind w:left="1134"/>
      </w:pPr>
      <w:r w:rsidRPr="00533E92">
        <w:t>CCNR-ZKR/ADN/WP.15/AC.2/2023/39</w:t>
      </w:r>
    </w:p>
    <w:p w14:paraId="37B72D43" w14:textId="77777777" w:rsidR="003F25FA" w:rsidRPr="008B236A" w:rsidRDefault="003F25FA" w:rsidP="003F25FA">
      <w:pPr>
        <w:ind w:left="1134"/>
      </w:pPr>
      <w:r w:rsidRPr="00533E92">
        <w:t xml:space="preserve">ECE/TRANS/WP.15/AC.2/86, para. </w:t>
      </w:r>
      <w:r w:rsidRPr="008B236A">
        <w:t>73</w:t>
      </w:r>
    </w:p>
    <w:p w14:paraId="09503551" w14:textId="77777777" w:rsidR="003F25FA" w:rsidRPr="00533E92" w:rsidRDefault="003F25FA" w:rsidP="003F25FA"/>
    <w:p w14:paraId="651A0CF6" w14:textId="77777777" w:rsidR="003F25FA" w:rsidRPr="00533E92" w:rsidRDefault="003F25FA" w:rsidP="003F25FA"/>
    <w:p w14:paraId="33701D79" w14:textId="77777777" w:rsidR="003F25FA" w:rsidRPr="00533E92" w:rsidRDefault="003F25FA" w:rsidP="003F25FA">
      <w:pPr>
        <w:pStyle w:val="HChG"/>
        <w:spacing w:before="0" w:after="0" w:line="240" w:lineRule="auto"/>
        <w:rPr>
          <w:bCs/>
          <w:szCs w:val="28"/>
        </w:rPr>
      </w:pPr>
      <w:r w:rsidRPr="00533E92">
        <w:tab/>
      </w:r>
      <w:r w:rsidRPr="00533E92">
        <w:tab/>
      </w:r>
      <w:r w:rsidRPr="00533E92">
        <w:tab/>
        <w:t>Einleitung</w:t>
      </w:r>
    </w:p>
    <w:p w14:paraId="6F277835" w14:textId="77777777" w:rsidR="003F25FA" w:rsidRPr="00533E92" w:rsidRDefault="003F25FA" w:rsidP="003F25FA">
      <w:pPr>
        <w:pStyle w:val="SingleTxtG"/>
        <w:spacing w:after="0" w:line="240" w:lineRule="auto"/>
      </w:pPr>
    </w:p>
    <w:p w14:paraId="583B6D82" w14:textId="77777777" w:rsidR="003F25FA" w:rsidRPr="009C4D00" w:rsidRDefault="003F25FA" w:rsidP="003F25FA">
      <w:pPr>
        <w:tabs>
          <w:tab w:val="left" w:pos="1701"/>
        </w:tabs>
        <w:spacing w:line="240" w:lineRule="auto"/>
        <w:ind w:left="1134" w:right="566"/>
        <w:jc w:val="both"/>
      </w:pPr>
      <w:r w:rsidRPr="009C4D00">
        <w:t>1.</w:t>
      </w:r>
      <w:r w:rsidRPr="009C4D00">
        <w:tab/>
        <w:t>Entsprechend dem vom ADN-Sicherheitsausschuss in der 42. Sitzung erteilten Mandat setzte die Gruppen ihre Arbeit fort und berücksichtigte dabei auch die Hinweis</w:t>
      </w:r>
      <w:r>
        <w:t>e</w:t>
      </w:r>
      <w:r w:rsidRPr="009C4D00">
        <w:t>, die in dieser Sitzung gegeben wurden.</w:t>
      </w:r>
    </w:p>
    <w:p w14:paraId="7AE4EF90" w14:textId="77777777" w:rsidR="003F25FA" w:rsidRPr="009C4D00" w:rsidRDefault="003F25FA" w:rsidP="003F25FA">
      <w:pPr>
        <w:tabs>
          <w:tab w:val="left" w:pos="1701"/>
        </w:tabs>
        <w:spacing w:line="240" w:lineRule="auto"/>
        <w:ind w:left="1134" w:right="566"/>
        <w:jc w:val="both"/>
      </w:pPr>
    </w:p>
    <w:p w14:paraId="3BC75143" w14:textId="77777777" w:rsidR="003F25FA" w:rsidRPr="009C4D00" w:rsidRDefault="003F25FA" w:rsidP="003F25FA">
      <w:pPr>
        <w:tabs>
          <w:tab w:val="left" w:pos="1701"/>
        </w:tabs>
        <w:spacing w:line="240" w:lineRule="auto"/>
        <w:ind w:left="1134" w:right="566"/>
        <w:jc w:val="both"/>
      </w:pPr>
      <w:r w:rsidRPr="009C4D00">
        <w:t>2.</w:t>
      </w:r>
      <w:r w:rsidRPr="009C4D00">
        <w:tab/>
        <w:t xml:space="preserve">Zunächst gab es noch eine Korrespondenz per </w:t>
      </w:r>
      <w:r>
        <w:t>E-Mail,</w:t>
      </w:r>
      <w:r w:rsidRPr="009C4D00">
        <w:t xml:space="preserve"> basierend auf Änderungsvorschlägen, die unmittelbar nach der Sitzung des ADN-Sicherheitsausschusses bei informellen Gesprächen der anwesenden Delegierten bearbeitet worden waren</w:t>
      </w:r>
      <w:r>
        <w:t xml:space="preserve"> und</w:t>
      </w:r>
      <w:r w:rsidRPr="009C4D00">
        <w:t xml:space="preserve"> ergänzt durch zusätzliche schriftliche Kommentare einiger Delegierten.</w:t>
      </w:r>
    </w:p>
    <w:p w14:paraId="68854B2F" w14:textId="77777777" w:rsidR="003F25FA" w:rsidRPr="009C4D00" w:rsidRDefault="003F25FA" w:rsidP="003F25FA">
      <w:pPr>
        <w:tabs>
          <w:tab w:val="left" w:pos="1701"/>
        </w:tabs>
        <w:spacing w:line="240" w:lineRule="auto"/>
        <w:ind w:left="1134" w:right="566"/>
        <w:jc w:val="both"/>
      </w:pPr>
    </w:p>
    <w:p w14:paraId="5CA22DBA" w14:textId="77777777" w:rsidR="003F25FA" w:rsidRDefault="003F25FA" w:rsidP="003F25FA">
      <w:pPr>
        <w:tabs>
          <w:tab w:val="left" w:pos="1701"/>
        </w:tabs>
        <w:spacing w:line="240" w:lineRule="auto"/>
        <w:ind w:left="1134" w:right="566"/>
        <w:jc w:val="both"/>
      </w:pPr>
      <w:r w:rsidRPr="009C4D00">
        <w:t>3.</w:t>
      </w:r>
      <w:r w:rsidRPr="009C4D00">
        <w:tab/>
        <w:t xml:space="preserve">Das Ergebnis dieser Konsultationen wurde bei einem persönlichen Treffen der Arbeitsgruppe am 5. und 6. Dezember in Bonn, Deutschland, beim Bundesministerium für Digitales und Verkehr diskutiert. </w:t>
      </w:r>
      <w:r>
        <w:t>e</w:t>
      </w:r>
      <w:r w:rsidRPr="009C4D00">
        <w:t xml:space="preserve">inzelne </w:t>
      </w:r>
      <w:r>
        <w:t>T</w:t>
      </w:r>
      <w:r w:rsidRPr="009C4D00">
        <w:t>eilnehmer waren per Video zugeschaltet. An dem Treffen nahmen Delegierte von Belgien, Deutschland, den Niederlanden, EBU/ESU und GAFTA/UNISTOCK/COCERAL teil.</w:t>
      </w:r>
      <w:r>
        <w:t xml:space="preserve"> </w:t>
      </w:r>
    </w:p>
    <w:p w14:paraId="54C128BD" w14:textId="77777777" w:rsidR="003F25FA" w:rsidRDefault="003F25FA" w:rsidP="003F25FA">
      <w:pPr>
        <w:tabs>
          <w:tab w:val="left" w:pos="1701"/>
        </w:tabs>
        <w:spacing w:line="240" w:lineRule="auto"/>
        <w:ind w:left="1134" w:right="566"/>
        <w:jc w:val="both"/>
      </w:pPr>
    </w:p>
    <w:p w14:paraId="1144B148" w14:textId="77777777" w:rsidR="003F25FA" w:rsidRPr="00626A88" w:rsidRDefault="003F25FA" w:rsidP="003F25FA">
      <w:pPr>
        <w:pStyle w:val="HChG"/>
        <w:spacing w:before="0" w:after="0" w:line="240" w:lineRule="auto"/>
      </w:pPr>
      <w:r>
        <w:tab/>
      </w:r>
      <w:r w:rsidRPr="00533E92">
        <w:t>I.</w:t>
      </w:r>
      <w:r w:rsidRPr="00533E92">
        <w:tab/>
      </w:r>
      <w:r>
        <w:t xml:space="preserve"> </w:t>
      </w:r>
      <w:r w:rsidRPr="00533E92">
        <w:t>Vorüberlegungen</w:t>
      </w:r>
    </w:p>
    <w:p w14:paraId="1351C9BC" w14:textId="77777777" w:rsidR="003F25FA" w:rsidRDefault="003F25FA" w:rsidP="003F25FA">
      <w:pPr>
        <w:tabs>
          <w:tab w:val="left" w:pos="1701"/>
        </w:tabs>
        <w:spacing w:line="240" w:lineRule="auto"/>
        <w:ind w:left="1134" w:right="566"/>
        <w:jc w:val="both"/>
      </w:pPr>
    </w:p>
    <w:p w14:paraId="43B4FC13" w14:textId="77777777" w:rsidR="003F25FA" w:rsidRPr="000B1A1E" w:rsidRDefault="003F25FA" w:rsidP="003F25FA">
      <w:pPr>
        <w:tabs>
          <w:tab w:val="left" w:pos="1701"/>
        </w:tabs>
        <w:spacing w:line="240" w:lineRule="auto"/>
        <w:ind w:left="1134" w:right="566"/>
        <w:jc w:val="both"/>
      </w:pPr>
      <w:r>
        <w:t>4.</w:t>
      </w:r>
      <w:r w:rsidRPr="000B1A1E">
        <w:tab/>
        <w:t>Der Vorsitzende fasste zu B</w:t>
      </w:r>
      <w:r>
        <w:t xml:space="preserve">eginn die bisherigen Arbeiten der Arbeitsgruppe zusammen und erinnerte an die bisher bekannten Zwischenfälle mit Binnenschiffen, die Getreideprodukte in </w:t>
      </w:r>
      <w:r>
        <w:lastRenderedPageBreak/>
        <w:t>begastem Zustand beförderten. Ein weiter Zwischenfall ereignete sich Ende November beim Umladen eines Güterzuges in zwei Binnenschiffe in einem deutschen Rheinhafen.</w:t>
      </w:r>
    </w:p>
    <w:p w14:paraId="11374962" w14:textId="77777777" w:rsidR="003F25FA" w:rsidRPr="000B1A1E" w:rsidRDefault="003F25FA" w:rsidP="003F25FA">
      <w:pPr>
        <w:tabs>
          <w:tab w:val="left" w:pos="1701"/>
        </w:tabs>
        <w:spacing w:line="240" w:lineRule="auto"/>
        <w:ind w:left="1134" w:right="566"/>
        <w:jc w:val="both"/>
      </w:pPr>
    </w:p>
    <w:p w14:paraId="1106FE56" w14:textId="77777777" w:rsidR="003F25FA" w:rsidRDefault="003F25FA" w:rsidP="003F25FA">
      <w:pPr>
        <w:tabs>
          <w:tab w:val="left" w:pos="1701"/>
        </w:tabs>
        <w:spacing w:line="240" w:lineRule="auto"/>
        <w:ind w:left="1134" w:right="566"/>
        <w:jc w:val="both"/>
      </w:pPr>
      <w:r>
        <w:t>5..</w:t>
      </w:r>
      <w:r>
        <w:tab/>
        <w:t>Die Arbeitsgruppe erhielt von Experten aus dem relevanten Sektor der Agrarwirtschaft einige ergänzende Informationen über den Umgang und den Transport mit Getreide.</w:t>
      </w:r>
    </w:p>
    <w:p w14:paraId="5457D287" w14:textId="77777777" w:rsidR="003F25FA" w:rsidRDefault="003F25FA" w:rsidP="003F25FA">
      <w:pPr>
        <w:tabs>
          <w:tab w:val="left" w:pos="1701"/>
        </w:tabs>
        <w:spacing w:line="240" w:lineRule="auto"/>
        <w:ind w:left="1134" w:right="566"/>
        <w:jc w:val="both"/>
      </w:pPr>
    </w:p>
    <w:p w14:paraId="4834621B" w14:textId="77777777" w:rsidR="003F25FA" w:rsidRDefault="003F25FA" w:rsidP="003F25FA">
      <w:pPr>
        <w:tabs>
          <w:tab w:val="left" w:pos="1701"/>
        </w:tabs>
        <w:spacing w:line="240" w:lineRule="auto"/>
        <w:ind w:left="1134" w:right="566"/>
        <w:jc w:val="both"/>
      </w:pPr>
      <w:r>
        <w:t>6..</w:t>
      </w:r>
      <w:r>
        <w:tab/>
        <w:t>Aufgrund dieser Informationen kam die Arbeitsgruppe zu der Erkenntnis, dass</w:t>
      </w:r>
    </w:p>
    <w:p w14:paraId="1CA47037" w14:textId="77777777" w:rsidR="003F25FA" w:rsidRDefault="003F25FA" w:rsidP="003F25FA">
      <w:pPr>
        <w:tabs>
          <w:tab w:val="left" w:pos="1701"/>
        </w:tabs>
        <w:spacing w:line="240" w:lineRule="auto"/>
        <w:ind w:left="1134" w:right="566"/>
        <w:jc w:val="both"/>
      </w:pPr>
    </w:p>
    <w:p w14:paraId="6B71AF9E" w14:textId="77777777" w:rsidR="003F25FA" w:rsidRDefault="003F25FA" w:rsidP="003F25FA">
      <w:pPr>
        <w:tabs>
          <w:tab w:val="left" w:pos="1701"/>
        </w:tabs>
        <w:spacing w:line="240" w:lineRule="auto"/>
        <w:ind w:left="1134" w:right="566"/>
        <w:jc w:val="both"/>
      </w:pPr>
      <w:r>
        <w:t>a.</w:t>
      </w:r>
      <w:r>
        <w:tab/>
        <w:t>folgende Szenarien näher zu betrachten sind:</w:t>
      </w:r>
    </w:p>
    <w:p w14:paraId="036B1EBD" w14:textId="77777777" w:rsidR="003F25FA" w:rsidRPr="00720F92" w:rsidRDefault="003F25FA" w:rsidP="003F25FA">
      <w:pPr>
        <w:tabs>
          <w:tab w:val="left" w:pos="1701"/>
        </w:tabs>
        <w:spacing w:line="240" w:lineRule="auto"/>
        <w:ind w:left="1134" w:right="566"/>
        <w:jc w:val="both"/>
      </w:pPr>
    </w:p>
    <w:p w14:paraId="3F86E026" w14:textId="77777777" w:rsidR="003F25FA" w:rsidRPr="005162BB" w:rsidRDefault="003F25FA" w:rsidP="003F25FA">
      <w:pPr>
        <w:tabs>
          <w:tab w:val="left" w:pos="1701"/>
        </w:tabs>
        <w:spacing w:line="240" w:lineRule="auto"/>
        <w:ind w:left="1701" w:right="566"/>
        <w:jc w:val="both"/>
      </w:pPr>
      <w:r>
        <w:t>i</w:t>
      </w:r>
      <w:r w:rsidRPr="005162BB">
        <w:t>) bef</w:t>
      </w:r>
      <w:r>
        <w:t>ü</w:t>
      </w:r>
      <w:r w:rsidRPr="005162BB">
        <w:t>llen oder entladen ei</w:t>
      </w:r>
      <w:r>
        <w:t>nes Schiffes an einem landseitigen Silo</w:t>
      </w:r>
    </w:p>
    <w:p w14:paraId="3451E114" w14:textId="77777777" w:rsidR="003F25FA" w:rsidRPr="005F116E" w:rsidRDefault="003F25FA" w:rsidP="003F25FA">
      <w:pPr>
        <w:tabs>
          <w:tab w:val="left" w:pos="1701"/>
        </w:tabs>
        <w:spacing w:line="240" w:lineRule="auto"/>
        <w:ind w:left="1701" w:right="566"/>
        <w:jc w:val="both"/>
      </w:pPr>
      <w:r>
        <w:t>ii</w:t>
      </w:r>
      <w:r w:rsidRPr="005F116E">
        <w:t>) Befüllen eines Binnenschiffes unmittelbar aus einem Seeschiff</w:t>
      </w:r>
    </w:p>
    <w:p w14:paraId="44349CD9" w14:textId="77777777" w:rsidR="003F25FA" w:rsidRPr="005F116E" w:rsidRDefault="003F25FA" w:rsidP="003F25FA">
      <w:pPr>
        <w:tabs>
          <w:tab w:val="left" w:pos="1701"/>
        </w:tabs>
        <w:spacing w:line="240" w:lineRule="auto"/>
        <w:ind w:left="1701" w:right="566"/>
        <w:jc w:val="both"/>
      </w:pPr>
      <w:r>
        <w:t>ii</w:t>
      </w:r>
      <w:r w:rsidRPr="005F116E">
        <w:t>) Befüllen eines Binnenschiffes aus einem Schwim</w:t>
      </w:r>
      <w:r>
        <w:t>menden Zwischenlager, das von einem Seeschiff aus befüllt wurde,</w:t>
      </w:r>
    </w:p>
    <w:p w14:paraId="31720FD8" w14:textId="77777777" w:rsidR="003F25FA" w:rsidRPr="005F116E" w:rsidRDefault="003F25FA" w:rsidP="003F25FA">
      <w:pPr>
        <w:tabs>
          <w:tab w:val="left" w:pos="1701"/>
        </w:tabs>
        <w:spacing w:line="240" w:lineRule="auto"/>
        <w:ind w:left="1701" w:right="566"/>
        <w:jc w:val="both"/>
      </w:pPr>
      <w:r>
        <w:t>iv</w:t>
      </w:r>
      <w:r w:rsidRPr="005F116E">
        <w:t xml:space="preserve">) </w:t>
      </w:r>
      <w:r>
        <w:t>Umladen von einem</w:t>
      </w:r>
      <w:r w:rsidRPr="005F116E">
        <w:t xml:space="preserve"> Binnenschiff </w:t>
      </w:r>
      <w:r>
        <w:t>in ein anderes</w:t>
      </w:r>
      <w:r w:rsidRPr="005F116E">
        <w:t xml:space="preserve"> Binne</w:t>
      </w:r>
      <w:r>
        <w:t>nschiff</w:t>
      </w:r>
    </w:p>
    <w:p w14:paraId="7FD6913B" w14:textId="77777777" w:rsidR="003F25FA" w:rsidRPr="00A811D3" w:rsidRDefault="003F25FA" w:rsidP="003F25FA">
      <w:pPr>
        <w:tabs>
          <w:tab w:val="left" w:pos="1701"/>
        </w:tabs>
        <w:spacing w:line="240" w:lineRule="auto"/>
        <w:ind w:left="1701" w:right="566"/>
        <w:jc w:val="both"/>
      </w:pPr>
      <w:r>
        <w:t>v</w:t>
      </w:r>
      <w:r w:rsidRPr="00A811D3">
        <w:t>) Befüllen eines Binnenschiffs au</w:t>
      </w:r>
      <w:r>
        <w:t>s einem Güterzug</w:t>
      </w:r>
    </w:p>
    <w:p w14:paraId="658E7460" w14:textId="77777777" w:rsidR="003F25FA" w:rsidRPr="00A811D3" w:rsidRDefault="003F25FA" w:rsidP="003F25FA">
      <w:pPr>
        <w:tabs>
          <w:tab w:val="left" w:pos="1701"/>
        </w:tabs>
        <w:spacing w:line="240" w:lineRule="auto"/>
        <w:ind w:left="1701" w:right="566"/>
        <w:jc w:val="both"/>
      </w:pPr>
      <w:r>
        <w:t>vi</w:t>
      </w:r>
      <w:r w:rsidRPr="00A811D3">
        <w:t>) Entladen eines Binnenschiffs i</w:t>
      </w:r>
      <w:r>
        <w:t>n ein Straßenfahrzeug,</w:t>
      </w:r>
    </w:p>
    <w:p w14:paraId="25136F1A" w14:textId="77777777" w:rsidR="003F25FA" w:rsidRPr="00A811D3" w:rsidRDefault="003F25FA" w:rsidP="003F25FA">
      <w:pPr>
        <w:tabs>
          <w:tab w:val="left" w:pos="1701"/>
        </w:tabs>
        <w:spacing w:line="240" w:lineRule="auto"/>
        <w:ind w:left="1134" w:right="566"/>
        <w:jc w:val="both"/>
      </w:pPr>
    </w:p>
    <w:p w14:paraId="759A0552" w14:textId="77777777" w:rsidR="003F25FA" w:rsidRPr="00A811D3" w:rsidRDefault="003F25FA" w:rsidP="003F25FA">
      <w:pPr>
        <w:tabs>
          <w:tab w:val="left" w:pos="1701"/>
        </w:tabs>
        <w:spacing w:line="240" w:lineRule="auto"/>
        <w:ind w:left="1701" w:right="566"/>
        <w:jc w:val="both"/>
      </w:pPr>
      <w:r w:rsidRPr="00A811D3">
        <w:t>Schwerwiegende Zwischenfälle wurden bisher in Umladevo</w:t>
      </w:r>
      <w:r>
        <w:t>rgängen nach</w:t>
      </w:r>
      <w:r w:rsidRPr="00A811D3">
        <w:t xml:space="preserve"> </w:t>
      </w:r>
      <w:r>
        <w:t>ii</w:t>
      </w:r>
      <w:r w:rsidRPr="00A811D3">
        <w:t xml:space="preserve">) </w:t>
      </w:r>
      <w:r>
        <w:t>und v</w:t>
      </w:r>
      <w:r w:rsidRPr="00A811D3">
        <w:t>)</w:t>
      </w:r>
      <w:r>
        <w:t>, sowie vor dem Entladen eines Binnenschiffs in einem Donauhafen bekannt;</w:t>
      </w:r>
    </w:p>
    <w:p w14:paraId="30CB0291" w14:textId="77777777" w:rsidR="003F25FA" w:rsidRPr="00A811D3" w:rsidRDefault="003F25FA" w:rsidP="003F25FA">
      <w:pPr>
        <w:tabs>
          <w:tab w:val="left" w:pos="1701"/>
        </w:tabs>
        <w:spacing w:line="240" w:lineRule="auto"/>
        <w:ind w:left="1134" w:right="566"/>
        <w:jc w:val="both"/>
      </w:pPr>
    </w:p>
    <w:p w14:paraId="772E3E2D" w14:textId="77777777" w:rsidR="003F25FA" w:rsidRDefault="003F25FA" w:rsidP="003F25FA">
      <w:pPr>
        <w:tabs>
          <w:tab w:val="left" w:pos="1701"/>
        </w:tabs>
        <w:spacing w:line="240" w:lineRule="auto"/>
        <w:ind w:left="1418" w:right="566" w:hanging="284"/>
        <w:jc w:val="both"/>
      </w:pPr>
      <w:r>
        <w:t>b.</w:t>
      </w:r>
      <w:r>
        <w:tab/>
        <w:t>bei den meisten Stationen in der Transportkette von Getreide, sei es für die Lebensmittelherstellung oder für die Tierernährung, ein Einsatz von Begasungsmitteln zu erwarten ist, damit dem Empfänger vertragsgemäß schädlingsfreie Ware übergeben werden kann;</w:t>
      </w:r>
    </w:p>
    <w:p w14:paraId="44144BD1" w14:textId="77777777" w:rsidR="003F25FA" w:rsidRDefault="003F25FA" w:rsidP="003F25FA">
      <w:pPr>
        <w:tabs>
          <w:tab w:val="left" w:pos="1701"/>
        </w:tabs>
        <w:spacing w:line="240" w:lineRule="auto"/>
        <w:ind w:left="1134" w:right="566"/>
        <w:jc w:val="both"/>
      </w:pPr>
    </w:p>
    <w:p w14:paraId="59AD7A59" w14:textId="77777777" w:rsidR="003F25FA" w:rsidRDefault="003F25FA" w:rsidP="003F25FA">
      <w:pPr>
        <w:tabs>
          <w:tab w:val="left" w:pos="1701"/>
        </w:tabs>
        <w:spacing w:line="240" w:lineRule="auto"/>
        <w:ind w:left="1418" w:right="566" w:hanging="284"/>
        <w:jc w:val="both"/>
      </w:pPr>
      <w:r>
        <w:t xml:space="preserve">c. </w:t>
      </w:r>
      <w:r>
        <w:tab/>
        <w:t>die beschriebenen Fälle als die “Spitze des Eisbergs” angesehen werden können;</w:t>
      </w:r>
    </w:p>
    <w:p w14:paraId="6F3B97F9" w14:textId="77777777" w:rsidR="003F25FA" w:rsidRDefault="003F25FA" w:rsidP="003F25FA">
      <w:pPr>
        <w:tabs>
          <w:tab w:val="left" w:pos="1701"/>
        </w:tabs>
        <w:spacing w:line="240" w:lineRule="auto"/>
        <w:ind w:left="1134" w:right="566"/>
        <w:jc w:val="both"/>
      </w:pPr>
    </w:p>
    <w:p w14:paraId="5C421E05" w14:textId="77777777" w:rsidR="003F25FA" w:rsidRDefault="003F25FA" w:rsidP="003F25FA">
      <w:pPr>
        <w:tabs>
          <w:tab w:val="left" w:pos="1701"/>
        </w:tabs>
        <w:spacing w:line="240" w:lineRule="auto"/>
        <w:ind w:left="1418" w:right="566" w:hanging="284"/>
        <w:jc w:val="both"/>
      </w:pPr>
      <w:r>
        <w:t xml:space="preserve">d. </w:t>
      </w:r>
      <w:r>
        <w:tab/>
        <w:t>durch unsachgemäße Anwendung von Begasungsmitteln und, insbesondere an der Donau, lange Liegezeiten schon beladener Schiffe oftmals noch aktiv wirkendes Begasungsmittel während der Schiffsreise erwartet werden kann;</w:t>
      </w:r>
    </w:p>
    <w:p w14:paraId="6F869BAD" w14:textId="77777777" w:rsidR="003F25FA" w:rsidRDefault="003F25FA" w:rsidP="003F25FA">
      <w:pPr>
        <w:tabs>
          <w:tab w:val="left" w:pos="1701"/>
        </w:tabs>
        <w:spacing w:line="240" w:lineRule="auto"/>
        <w:ind w:left="1134" w:right="566"/>
        <w:jc w:val="both"/>
      </w:pPr>
    </w:p>
    <w:p w14:paraId="1A0F3156" w14:textId="77777777" w:rsidR="003F25FA" w:rsidRDefault="003F25FA" w:rsidP="003F25FA">
      <w:pPr>
        <w:tabs>
          <w:tab w:val="left" w:pos="1701"/>
        </w:tabs>
        <w:spacing w:line="240" w:lineRule="auto"/>
        <w:ind w:left="1418" w:right="566" w:hanging="284"/>
        <w:jc w:val="both"/>
      </w:pPr>
      <w:r>
        <w:t xml:space="preserve">e. </w:t>
      </w:r>
      <w:r>
        <w:tab/>
        <w:t>gegenüber Transporten mit Eisenbahn oder auf der Straße ein grundsätzlicher Unterschied bei der Gefahrenlage darin besteht, dass sich auf Binnenschiffen mehrere Personen für längere Zeit (24 Stunden täglich) in unmittelbarer Nähe einer begasten Ladung aufhalten und dass anders als bei den Fahrzeugführern eines Zuges oder eines Straßenfahrzeug die Besatzung eines Binnenschiffes durch die Anordnung der Laderäume vor Steuerhaus und Wohnung der Ausbreitung von Gaswolken während der Fahrt ausgesetzt ist;</w:t>
      </w:r>
    </w:p>
    <w:p w14:paraId="53E482E3" w14:textId="77777777" w:rsidR="003F25FA" w:rsidRDefault="003F25FA" w:rsidP="003F25FA">
      <w:pPr>
        <w:tabs>
          <w:tab w:val="left" w:pos="1701"/>
        </w:tabs>
        <w:spacing w:line="240" w:lineRule="auto"/>
        <w:ind w:left="1134" w:right="566"/>
        <w:jc w:val="both"/>
      </w:pPr>
    </w:p>
    <w:p w14:paraId="007E25B8" w14:textId="77777777" w:rsidR="003F25FA" w:rsidRDefault="003F25FA" w:rsidP="003F25FA">
      <w:pPr>
        <w:tabs>
          <w:tab w:val="left" w:pos="1701"/>
        </w:tabs>
        <w:spacing w:line="240" w:lineRule="auto"/>
        <w:ind w:left="1418" w:right="566" w:hanging="284"/>
        <w:jc w:val="both"/>
      </w:pPr>
      <w:r>
        <w:t>f.</w:t>
      </w:r>
      <w:r>
        <w:tab/>
        <w:t>es derzeit kein anderes internationales Regelwerk gibt, dass ausreichend Schutz für die Schiffsbesatzung bietet oder Informationspflichten über den begasten Zustand einer Ladung enthält.</w:t>
      </w:r>
    </w:p>
    <w:p w14:paraId="0279C2DD" w14:textId="77777777" w:rsidR="003F25FA" w:rsidRPr="00007D4E" w:rsidRDefault="003F25FA" w:rsidP="003F25FA">
      <w:pPr>
        <w:tabs>
          <w:tab w:val="left" w:pos="1701"/>
        </w:tabs>
        <w:spacing w:line="240" w:lineRule="auto"/>
        <w:ind w:left="1134" w:right="566"/>
        <w:jc w:val="both"/>
      </w:pPr>
    </w:p>
    <w:p w14:paraId="1435428D" w14:textId="77777777" w:rsidR="003F25FA" w:rsidRDefault="003F25FA" w:rsidP="003F25FA">
      <w:pPr>
        <w:tabs>
          <w:tab w:val="left" w:pos="1701"/>
        </w:tabs>
        <w:spacing w:line="240" w:lineRule="auto"/>
        <w:ind w:left="1134" w:right="566"/>
        <w:jc w:val="both"/>
      </w:pPr>
      <w:r>
        <w:t>7.</w:t>
      </w:r>
      <w:r>
        <w:tab/>
        <w:t>Experten der deutschen Delegation informierten die Gruppe über zuverlässige Protokolle und Betriebsweisen in landbasierten Silos, insbesondere Eingangskontrollen des angelieferten Getreides oder Maßnahmen des Vorratsschutzes ohne Einsatz von Begasungsmitteln, mit denen sichergestellt werden kann, dass nur “freigemessene” Ladung an Binnenschiffe abgegeben wird. Es wurde aber auch festgestellt, dass diese hochwertigen Betriebsweisen nicht standardmäßig in allen Vertragsparteien des ADN erwartet werden dürfen, so dass eine internationale Regelung sinnvoll erscheint.</w:t>
      </w:r>
    </w:p>
    <w:p w14:paraId="5A46C4EB" w14:textId="77777777" w:rsidR="003F25FA" w:rsidRDefault="003F25FA" w:rsidP="003F25FA">
      <w:pPr>
        <w:tabs>
          <w:tab w:val="left" w:pos="1701"/>
        </w:tabs>
        <w:spacing w:line="240" w:lineRule="auto"/>
        <w:ind w:left="1134" w:right="566"/>
        <w:jc w:val="both"/>
      </w:pPr>
    </w:p>
    <w:p w14:paraId="67FD4492" w14:textId="77777777" w:rsidR="003F25FA" w:rsidRDefault="003F25FA" w:rsidP="003F25FA">
      <w:pPr>
        <w:tabs>
          <w:tab w:val="left" w:pos="1701"/>
        </w:tabs>
        <w:spacing w:line="240" w:lineRule="auto"/>
        <w:ind w:left="1134" w:right="566"/>
        <w:jc w:val="both"/>
      </w:pPr>
      <w:r>
        <w:t>8.</w:t>
      </w:r>
      <w:r>
        <w:tab/>
        <w:t>Die deutsche Delegation wies auch darauf hin, dass in ihrem Land eine Vielzahl von kleinen Betrieben des Agrarhandels von neuen Vorschriften betroffen wäre.</w:t>
      </w:r>
    </w:p>
    <w:p w14:paraId="7A3C8B6C" w14:textId="77777777" w:rsidR="003F25FA" w:rsidRDefault="003F25FA" w:rsidP="003F25FA">
      <w:pPr>
        <w:tabs>
          <w:tab w:val="left" w:pos="1701"/>
        </w:tabs>
        <w:spacing w:line="240" w:lineRule="auto"/>
        <w:ind w:left="1134" w:right="566"/>
        <w:jc w:val="both"/>
      </w:pPr>
    </w:p>
    <w:p w14:paraId="7FBDAE22" w14:textId="77777777" w:rsidR="003F25FA" w:rsidRDefault="003F25FA" w:rsidP="003F25FA">
      <w:pPr>
        <w:pStyle w:val="HChG"/>
        <w:pageBreakBefore/>
        <w:spacing w:before="0" w:after="0" w:line="240" w:lineRule="auto"/>
      </w:pPr>
      <w:r>
        <w:lastRenderedPageBreak/>
        <w:t xml:space="preserve">II. </w:t>
      </w:r>
      <w:r>
        <w:tab/>
      </w:r>
      <w:r>
        <w:tab/>
        <w:t>Diskussion von Änderungsvorschlägen für das ADN 2027</w:t>
      </w:r>
    </w:p>
    <w:p w14:paraId="2ACE50F4" w14:textId="77777777" w:rsidR="003F25FA" w:rsidRDefault="003F25FA" w:rsidP="003F25FA">
      <w:pPr>
        <w:tabs>
          <w:tab w:val="left" w:pos="1701"/>
        </w:tabs>
        <w:spacing w:line="240" w:lineRule="auto"/>
        <w:ind w:left="1134" w:right="566"/>
        <w:jc w:val="both"/>
      </w:pPr>
    </w:p>
    <w:p w14:paraId="48046B32" w14:textId="77777777" w:rsidR="003F25FA" w:rsidRDefault="003F25FA" w:rsidP="003F25FA">
      <w:pPr>
        <w:tabs>
          <w:tab w:val="left" w:pos="1701"/>
        </w:tabs>
        <w:spacing w:line="240" w:lineRule="auto"/>
        <w:ind w:left="1134" w:right="566"/>
        <w:jc w:val="both"/>
      </w:pPr>
      <w:r>
        <w:t>9.</w:t>
      </w:r>
      <w:r>
        <w:tab/>
        <w:t>Die Gruppe konnte keine andere Möglichkeit ausserhalb des ADN erkennen, um den gewünschten Schutz des Schiffspersonals angemessen zu erreichen. Es bestand Einvernehmen darüber, dass ein neuer Eintrag in Tabelle A geschaffen werden muss, d. h. ein neues Gefahrgut definiert werden muss, damit in der dem ADN beigefügten Verordnung Beförderungsvorschriften ausformuliert werden können. Die Zuweisung von Verantwortlichkeiten innerhalb der Beförderungskette muss sich dann an der bestehenden Rollenverteilung unter den Beteiligten einer Gefahrgutbeförderung ausrichten.</w:t>
      </w:r>
    </w:p>
    <w:p w14:paraId="6C912CBC" w14:textId="77777777" w:rsidR="003F25FA" w:rsidRDefault="003F25FA" w:rsidP="003F25FA">
      <w:pPr>
        <w:tabs>
          <w:tab w:val="left" w:pos="1701"/>
        </w:tabs>
        <w:spacing w:line="240" w:lineRule="auto"/>
        <w:ind w:left="1134" w:right="566"/>
        <w:jc w:val="both"/>
      </w:pPr>
    </w:p>
    <w:p w14:paraId="186E24C1" w14:textId="77777777" w:rsidR="003F25FA" w:rsidRPr="00E44513" w:rsidRDefault="003F25FA" w:rsidP="003F25FA">
      <w:pPr>
        <w:tabs>
          <w:tab w:val="left" w:pos="1701"/>
        </w:tabs>
        <w:spacing w:line="240" w:lineRule="auto"/>
        <w:ind w:left="1134" w:right="566"/>
        <w:jc w:val="both"/>
      </w:pPr>
      <w:r>
        <w:t>10</w:t>
      </w:r>
      <w:r w:rsidRPr="00E44513">
        <w:t>.</w:t>
      </w:r>
      <w:r w:rsidRPr="00E44513">
        <w:tab/>
        <w:t>Die Arbeitsgruppe beriet ausführlich ü</w:t>
      </w:r>
      <w:r>
        <w:t>ber die nachfolgenden Änderungsvorschläge.</w:t>
      </w:r>
    </w:p>
    <w:p w14:paraId="5484CEB6" w14:textId="77777777" w:rsidR="003F25FA" w:rsidRPr="00E44513" w:rsidRDefault="003F25FA" w:rsidP="003F25FA">
      <w:pPr>
        <w:tabs>
          <w:tab w:val="left" w:pos="1701"/>
        </w:tabs>
        <w:spacing w:line="240" w:lineRule="auto"/>
        <w:ind w:left="1134" w:right="566"/>
        <w:jc w:val="both"/>
      </w:pPr>
    </w:p>
    <w:p w14:paraId="05FB0AB7" w14:textId="77777777" w:rsidR="003F25FA" w:rsidRPr="00533E92" w:rsidRDefault="003F25FA" w:rsidP="003F25FA">
      <w:pPr>
        <w:pStyle w:val="H23G"/>
        <w:spacing w:before="0" w:after="0" w:line="240" w:lineRule="auto"/>
      </w:pPr>
      <w:r w:rsidRPr="00E44513">
        <w:tab/>
      </w:r>
      <w:r w:rsidRPr="00E44513">
        <w:tab/>
      </w:r>
      <w:r w:rsidRPr="00533E92">
        <w:t>(a)</w:t>
      </w:r>
      <w:r w:rsidRPr="00533E92">
        <w:tab/>
        <w:t>Section 1.2.1 – Definitions</w:t>
      </w:r>
    </w:p>
    <w:p w14:paraId="0AD6C5DB" w14:textId="77777777" w:rsidR="003F25FA" w:rsidRPr="00533E92" w:rsidRDefault="003F25FA" w:rsidP="003F25FA">
      <w:pPr>
        <w:pStyle w:val="SingleTxtG"/>
        <w:spacing w:after="0" w:line="240" w:lineRule="auto"/>
      </w:pPr>
    </w:p>
    <w:p w14:paraId="6C711EF3" w14:textId="77777777" w:rsidR="003F25FA" w:rsidRPr="00533E92" w:rsidRDefault="003F25FA" w:rsidP="003F25FA">
      <w:pPr>
        <w:pStyle w:val="SingleTxtG"/>
        <w:spacing w:after="0" w:line="240" w:lineRule="auto"/>
        <w:rPr>
          <w:u w:val="single"/>
        </w:rPr>
      </w:pPr>
      <w:r w:rsidRPr="00533E92">
        <w:rPr>
          <w:u w:val="single"/>
        </w:rPr>
        <w:t>Aktueller Entwurf</w:t>
      </w:r>
    </w:p>
    <w:p w14:paraId="4ABD398D" w14:textId="77777777" w:rsidR="003F25FA" w:rsidRPr="00533E92" w:rsidRDefault="003F25FA" w:rsidP="003F25FA">
      <w:pPr>
        <w:pStyle w:val="SingleTxtG"/>
        <w:spacing w:after="0" w:line="240" w:lineRule="auto"/>
      </w:pPr>
    </w:p>
    <w:p w14:paraId="5855B801" w14:textId="77777777" w:rsidR="003F25FA" w:rsidRPr="00AF55BE" w:rsidRDefault="003F25FA" w:rsidP="003F25FA">
      <w:pPr>
        <w:tabs>
          <w:tab w:val="left" w:pos="1701"/>
        </w:tabs>
        <w:ind w:left="1701" w:right="566"/>
        <w:jc w:val="both"/>
        <w:rPr>
          <w:b/>
          <w:bCs/>
        </w:rPr>
      </w:pPr>
      <w:r>
        <w:t>In Abschnitt 1.2.1 die folgende neue Begriffsbestimmung einfügen:</w:t>
      </w:r>
    </w:p>
    <w:p w14:paraId="6B80D9C6" w14:textId="77777777" w:rsidR="003F25FA" w:rsidRDefault="003F25FA" w:rsidP="003F25FA">
      <w:pPr>
        <w:tabs>
          <w:tab w:val="left" w:pos="1701"/>
        </w:tabs>
        <w:ind w:left="1701" w:right="566"/>
        <w:jc w:val="both"/>
        <w:rPr>
          <w:rFonts w:ascii="Arial" w:hAnsi="Arial" w:cs="Arial"/>
          <w:b/>
          <w:i/>
          <w:sz w:val="24"/>
          <w:szCs w:val="24"/>
        </w:rPr>
      </w:pPr>
    </w:p>
    <w:p w14:paraId="492F71D9" w14:textId="77777777" w:rsidR="003F25FA" w:rsidRPr="00D01E82" w:rsidRDefault="003F25FA" w:rsidP="003F25FA">
      <w:pPr>
        <w:tabs>
          <w:tab w:val="left" w:pos="1701"/>
        </w:tabs>
        <w:ind w:left="1701" w:right="566"/>
        <w:jc w:val="both"/>
        <w:rPr>
          <w:sz w:val="16"/>
        </w:rPr>
      </w:pPr>
      <w:r>
        <w:rPr>
          <w:b/>
          <w:i/>
        </w:rPr>
        <w:t>„Begaste Ladung:</w:t>
      </w:r>
      <w:r>
        <w:t xml:space="preserve"> Eine Ladung, die in loser Schüttung befördert wird (wie Getreide, Futtermittel, Holz) und die vor der Beförderung auf Binnenwasserstraßen gezielt unter Einsatz von Biozid-Produkten oder Pflanzenschutzmitteln zur Bekämpfung bestimmter Schadinsekten in dem Produkt und seiner Umschließung behandelt worden ist.“</w:t>
      </w:r>
    </w:p>
    <w:p w14:paraId="3C2F617B" w14:textId="77777777" w:rsidR="003F25FA" w:rsidRPr="00234E03" w:rsidRDefault="003F25FA" w:rsidP="003F25FA">
      <w:pPr>
        <w:pStyle w:val="SingleTxtG"/>
        <w:spacing w:after="0" w:line="240" w:lineRule="auto"/>
        <w:rPr>
          <w:sz w:val="16"/>
        </w:rPr>
      </w:pPr>
    </w:p>
    <w:p w14:paraId="00BB88C0" w14:textId="77777777" w:rsidR="003F25FA" w:rsidRPr="00007D4E" w:rsidRDefault="003F25FA" w:rsidP="003F25FA">
      <w:pPr>
        <w:pStyle w:val="SingleTxtG"/>
        <w:spacing w:after="0" w:line="240" w:lineRule="auto"/>
        <w:rPr>
          <w:iCs/>
          <w:u w:val="single"/>
        </w:rPr>
      </w:pPr>
      <w:r w:rsidRPr="00007D4E">
        <w:rPr>
          <w:iCs/>
          <w:u w:val="single"/>
        </w:rPr>
        <w:t>Überlegungen</w:t>
      </w:r>
    </w:p>
    <w:p w14:paraId="3579D1CB" w14:textId="77777777" w:rsidR="003F25FA" w:rsidRPr="00007D4E" w:rsidRDefault="003F25FA" w:rsidP="003F25FA">
      <w:pPr>
        <w:pStyle w:val="SingleTxtG"/>
        <w:spacing w:after="0" w:line="240" w:lineRule="auto"/>
        <w:rPr>
          <w:sz w:val="16"/>
        </w:rPr>
      </w:pPr>
    </w:p>
    <w:p w14:paraId="1D721A63" w14:textId="77777777" w:rsidR="003F25FA" w:rsidRPr="003F72EA" w:rsidRDefault="003F25FA" w:rsidP="003F25FA">
      <w:pPr>
        <w:pStyle w:val="SingleTxtG"/>
        <w:numPr>
          <w:ilvl w:val="0"/>
          <w:numId w:val="26"/>
        </w:numPr>
        <w:spacing w:after="0" w:line="240" w:lineRule="auto"/>
      </w:pPr>
      <w:r w:rsidRPr="003F72EA">
        <w:t>Der Zusatz</w:t>
      </w:r>
      <w:r>
        <w:t xml:space="preserve"> </w:t>
      </w:r>
      <w:r w:rsidRPr="003F72EA">
        <w:t xml:space="preserve">“non-dangerous </w:t>
      </w:r>
      <w:r w:rsidRPr="00780134">
        <w:rPr>
          <w:u w:val="single"/>
        </w:rPr>
        <w:t>goods cargo</w:t>
      </w:r>
      <w:r>
        <w:t>“</w:t>
      </w:r>
      <w:r w:rsidRPr="003F72EA">
        <w:t xml:space="preserve"> wurde bestätigt</w:t>
      </w:r>
      <w:r>
        <w:t xml:space="preserve"> um k</w:t>
      </w:r>
      <w:r w:rsidRPr="003F72EA">
        <w:t>larzustellen, dass begaste Güter, wenn sie selbst als Gefahrgut klassifiziert werden, vollständig den Vorschriften des AD</w:t>
      </w:r>
      <w:r>
        <w:t>N</w:t>
      </w:r>
      <w:r w:rsidRPr="003F72EA">
        <w:t xml:space="preserve"> unterliegen.</w:t>
      </w:r>
    </w:p>
    <w:p w14:paraId="3D6B0B67" w14:textId="77777777" w:rsidR="003F25FA" w:rsidRPr="003F72EA" w:rsidRDefault="003F25FA" w:rsidP="003F25FA">
      <w:pPr>
        <w:pStyle w:val="SingleTxtG"/>
        <w:numPr>
          <w:ilvl w:val="0"/>
          <w:numId w:val="26"/>
        </w:numPr>
        <w:spacing w:after="0" w:line="240" w:lineRule="auto"/>
      </w:pPr>
      <w:r w:rsidRPr="003F72EA">
        <w:t>Eine belastbare Aussage, dass Güter, die begast wurden, nach einer definierten Zeit völlig frei von Rückständen des Begasungsmittels sind, kann nicht getroffen werden. Insbesondere wechselnde Wetterverhältnisse (Temperatur, Feuchtigkeit) könne die Aktivität der Rückstände von Begasungsmitteln beeinflussen.</w:t>
      </w:r>
    </w:p>
    <w:p w14:paraId="4EA1342D" w14:textId="77777777" w:rsidR="003F25FA" w:rsidRPr="00CE531E" w:rsidRDefault="003F25FA" w:rsidP="003F25FA">
      <w:pPr>
        <w:pStyle w:val="SingleTxtG"/>
        <w:numPr>
          <w:ilvl w:val="0"/>
          <w:numId w:val="26"/>
        </w:numPr>
        <w:spacing w:after="0" w:line="240" w:lineRule="auto"/>
      </w:pPr>
      <w:r w:rsidRPr="003974BB">
        <w:t>Der Ausdruck “and/or plant protection products” soll gestrichen werden. Es wurde darauf hingewiesen, dass alle Mittel unter dem Überbegriff „Biozide“ zusammengefasst werden</w:t>
      </w:r>
      <w:bookmarkStart w:id="0" w:name="_Hlk155962312"/>
      <w:r w:rsidRPr="003974BB">
        <w:t>.</w:t>
      </w:r>
      <w:r>
        <w:t xml:space="preserve"> </w:t>
      </w:r>
      <w:r w:rsidRPr="00CE531E">
        <w:t>(z.B. MSC.1/Circ.1264 - RECOMMENDATIONS ON THE SAFE USE OF PESTICIDES IN SHIPS APPLICABLE TO THE FUMIGATION OF CARGO HOLDS)</w:t>
      </w:r>
      <w:bookmarkEnd w:id="0"/>
    </w:p>
    <w:p w14:paraId="195B804F" w14:textId="77777777" w:rsidR="003F25FA" w:rsidRPr="003F72EA" w:rsidRDefault="003F25FA" w:rsidP="003F25FA">
      <w:pPr>
        <w:pStyle w:val="SingleTxtG"/>
        <w:numPr>
          <w:ilvl w:val="0"/>
          <w:numId w:val="26"/>
        </w:numPr>
        <w:spacing w:after="0" w:line="240" w:lineRule="auto"/>
      </w:pPr>
      <w:r w:rsidRPr="003F72EA">
        <w:t>Die Vertreterin von GAFTA bot an, eine im Agrarsektor übliche Definition von “Begasungsmittel” nachzureichen.</w:t>
      </w:r>
    </w:p>
    <w:p w14:paraId="665627FF" w14:textId="77777777" w:rsidR="003F25FA" w:rsidRPr="00F67B5F" w:rsidRDefault="003F25FA" w:rsidP="003F25FA">
      <w:pPr>
        <w:pStyle w:val="SingleTxtG"/>
        <w:spacing w:after="0" w:line="240" w:lineRule="auto"/>
        <w:rPr>
          <w:sz w:val="16"/>
        </w:rPr>
      </w:pPr>
    </w:p>
    <w:p w14:paraId="12493E8D" w14:textId="77777777" w:rsidR="003F25FA" w:rsidRPr="00234E03" w:rsidRDefault="003F25FA" w:rsidP="003F25FA">
      <w:pPr>
        <w:pStyle w:val="SingleTxtG"/>
        <w:spacing w:after="0" w:line="240" w:lineRule="auto"/>
        <w:rPr>
          <w:iCs/>
          <w:u w:val="single"/>
        </w:rPr>
      </w:pPr>
      <w:r w:rsidRPr="00234E03">
        <w:rPr>
          <w:iCs/>
          <w:u w:val="single"/>
        </w:rPr>
        <w:t>Überarbeiteter Entwurf</w:t>
      </w:r>
    </w:p>
    <w:p w14:paraId="1EF163B1" w14:textId="77777777" w:rsidR="003F25FA" w:rsidRPr="00F67B5F" w:rsidRDefault="003F25FA" w:rsidP="003F25FA">
      <w:pPr>
        <w:pStyle w:val="SingleTxtG"/>
        <w:spacing w:after="0" w:line="240" w:lineRule="auto"/>
        <w:rPr>
          <w:sz w:val="16"/>
        </w:rPr>
      </w:pPr>
    </w:p>
    <w:p w14:paraId="2D8A472E" w14:textId="77777777" w:rsidR="003F25FA" w:rsidRPr="00AF55BE" w:rsidRDefault="003F25FA" w:rsidP="003F25FA">
      <w:pPr>
        <w:tabs>
          <w:tab w:val="left" w:pos="1701"/>
        </w:tabs>
        <w:ind w:left="1701" w:right="566"/>
        <w:jc w:val="both"/>
        <w:rPr>
          <w:b/>
          <w:bCs/>
        </w:rPr>
      </w:pPr>
      <w:r>
        <w:t>In Abschnitt 1.2.1 die folgende neue Begriffsbestimmung einfügen:</w:t>
      </w:r>
    </w:p>
    <w:p w14:paraId="2CD98D4C" w14:textId="77777777" w:rsidR="003F25FA" w:rsidRPr="00496116" w:rsidRDefault="003F25FA" w:rsidP="003F25FA">
      <w:pPr>
        <w:pStyle w:val="SingleTxtG"/>
        <w:spacing w:after="0" w:line="240" w:lineRule="auto"/>
        <w:ind w:left="1701"/>
      </w:pPr>
    </w:p>
    <w:p w14:paraId="310E716E" w14:textId="77777777" w:rsidR="003F25FA" w:rsidRPr="00D01E82" w:rsidRDefault="003F25FA" w:rsidP="003F25FA">
      <w:pPr>
        <w:tabs>
          <w:tab w:val="left" w:pos="1701"/>
        </w:tabs>
        <w:ind w:left="1701" w:right="566"/>
        <w:jc w:val="both"/>
        <w:rPr>
          <w:sz w:val="16"/>
        </w:rPr>
      </w:pPr>
      <w:r>
        <w:rPr>
          <w:b/>
          <w:i/>
        </w:rPr>
        <w:t>„Begaste Ladung:</w:t>
      </w:r>
      <w:r>
        <w:t xml:space="preserve"> Eine Ladung nicht gefährlicher Güter, die in loser Schüttung befördert wird (wie Getreide, Futtermittel, Holz) und die vor der Beförderung auf Binnenwasserstraßen gezielt unter Einsatz </w:t>
      </w:r>
      <w:r w:rsidRPr="00626A88">
        <w:t>von B</w:t>
      </w:r>
      <w:r>
        <w:t>egasungsmitteln zur Bekämpfung bestimmter Schadinsekten in dem Produkt und seiner Umschließung behandelt worden ist.“</w:t>
      </w:r>
    </w:p>
    <w:p w14:paraId="1222541E" w14:textId="77777777" w:rsidR="003F25FA" w:rsidRDefault="003F25FA" w:rsidP="003F25FA">
      <w:pPr>
        <w:pStyle w:val="SingleTxtG"/>
        <w:spacing w:after="0" w:line="240" w:lineRule="auto"/>
        <w:ind w:left="1701"/>
      </w:pPr>
    </w:p>
    <w:p w14:paraId="4A01BD7E" w14:textId="77777777" w:rsidR="003F25FA" w:rsidRPr="00307BAF" w:rsidRDefault="003F25FA" w:rsidP="003F25FA">
      <w:pPr>
        <w:pStyle w:val="ListParagraph"/>
        <w:numPr>
          <w:ilvl w:val="0"/>
          <w:numId w:val="27"/>
        </w:numPr>
        <w:tabs>
          <w:tab w:val="left" w:pos="1701"/>
        </w:tabs>
        <w:suppressAutoHyphens/>
        <w:spacing w:after="0" w:line="240" w:lineRule="atLeast"/>
        <w:ind w:right="566"/>
        <w:jc w:val="both"/>
        <w:rPr>
          <w:b/>
        </w:rPr>
      </w:pPr>
      <w:r w:rsidRPr="00307BAF">
        <w:rPr>
          <w:b/>
        </w:rPr>
        <w:t>Abschnitt 3.2.1 Tabelle A</w:t>
      </w:r>
    </w:p>
    <w:p w14:paraId="3FCF6643" w14:textId="77777777" w:rsidR="003F25FA" w:rsidRDefault="003F25FA" w:rsidP="003F25FA">
      <w:pPr>
        <w:tabs>
          <w:tab w:val="left" w:pos="1701"/>
        </w:tabs>
        <w:ind w:left="1134" w:right="566"/>
        <w:jc w:val="both"/>
      </w:pPr>
    </w:p>
    <w:p w14:paraId="1292E9DD" w14:textId="77777777" w:rsidR="003F25FA" w:rsidRPr="005D0E91" w:rsidRDefault="003F25FA" w:rsidP="003F25FA">
      <w:pPr>
        <w:pStyle w:val="SingleTxtG"/>
        <w:spacing w:after="0" w:line="240" w:lineRule="auto"/>
        <w:rPr>
          <w:u w:val="single"/>
        </w:rPr>
      </w:pPr>
      <w:r>
        <w:rPr>
          <w:u w:val="single"/>
        </w:rPr>
        <w:t>Aktueller Entwurf</w:t>
      </w:r>
    </w:p>
    <w:p w14:paraId="29228EBD" w14:textId="77777777" w:rsidR="003F25FA" w:rsidRPr="00A80EF8" w:rsidRDefault="003F25FA" w:rsidP="003F25FA">
      <w:pPr>
        <w:tabs>
          <w:tab w:val="left" w:pos="1701"/>
        </w:tabs>
        <w:ind w:left="1134" w:right="566"/>
        <w:jc w:val="both"/>
      </w:pPr>
    </w:p>
    <w:p w14:paraId="2DCABF21" w14:textId="77777777" w:rsidR="003F25FA" w:rsidRDefault="003F25FA" w:rsidP="003F25FA">
      <w:pPr>
        <w:tabs>
          <w:tab w:val="left" w:pos="1701"/>
        </w:tabs>
        <w:ind w:left="1701" w:right="566"/>
        <w:jc w:val="both"/>
      </w:pPr>
      <w:r>
        <w:t xml:space="preserve">In der Tabelle A, nach Stoffnummer 9006, einen neuen Eintrag anfügen, wie in Anlage </w:t>
      </w:r>
      <w:r w:rsidRPr="00D33AE9">
        <w:t>zu diesem Dokument enthalten</w:t>
      </w:r>
      <w:r>
        <w:t>.</w:t>
      </w:r>
    </w:p>
    <w:p w14:paraId="56131FFE" w14:textId="77777777" w:rsidR="003F25FA" w:rsidRPr="00A80EF8" w:rsidRDefault="003F25FA" w:rsidP="003F25FA">
      <w:pPr>
        <w:tabs>
          <w:tab w:val="left" w:pos="1701"/>
        </w:tabs>
        <w:spacing w:line="240" w:lineRule="auto"/>
        <w:ind w:left="1134" w:right="566"/>
        <w:jc w:val="both"/>
      </w:pPr>
    </w:p>
    <w:p w14:paraId="36BF264B" w14:textId="77777777" w:rsidR="003F25FA" w:rsidRPr="001228E7" w:rsidRDefault="003F25FA" w:rsidP="003F25FA">
      <w:pPr>
        <w:pStyle w:val="SingleTxtG"/>
        <w:spacing w:after="0" w:line="240" w:lineRule="auto"/>
        <w:rPr>
          <w:iCs/>
          <w:u w:val="single"/>
        </w:rPr>
      </w:pPr>
      <w:r>
        <w:rPr>
          <w:iCs/>
          <w:u w:val="single"/>
        </w:rPr>
        <w:t>Überlegungen</w:t>
      </w:r>
    </w:p>
    <w:p w14:paraId="5E2CEEF9" w14:textId="77777777" w:rsidR="003F25FA" w:rsidRDefault="003F25FA" w:rsidP="003F25FA">
      <w:pPr>
        <w:pStyle w:val="SingleTxtG"/>
        <w:spacing w:after="0" w:line="240" w:lineRule="auto"/>
        <w:rPr>
          <w:iCs/>
        </w:rPr>
      </w:pPr>
    </w:p>
    <w:p w14:paraId="7CD8BD97" w14:textId="77777777" w:rsidR="003F25FA" w:rsidRPr="00C74E7E" w:rsidRDefault="003F25FA" w:rsidP="003F25FA">
      <w:pPr>
        <w:pStyle w:val="SingleTxtG"/>
        <w:numPr>
          <w:ilvl w:val="0"/>
          <w:numId w:val="26"/>
        </w:numPr>
        <w:spacing w:after="0" w:line="240" w:lineRule="auto"/>
        <w:ind w:left="1701" w:firstLine="0"/>
      </w:pPr>
      <w:r w:rsidRPr="00C74E7E">
        <w:t>Der vorliegende Entwurf wurde geprüft und bestätigt.</w:t>
      </w:r>
    </w:p>
    <w:p w14:paraId="21EE42B8" w14:textId="77777777" w:rsidR="003F25FA" w:rsidRDefault="003F25FA" w:rsidP="003F25FA">
      <w:pPr>
        <w:pStyle w:val="SingleTxtG"/>
        <w:spacing w:after="0" w:line="240" w:lineRule="auto"/>
        <w:rPr>
          <w:iCs/>
        </w:rPr>
      </w:pPr>
    </w:p>
    <w:p w14:paraId="4C823FDF" w14:textId="77777777" w:rsidR="003F25FA" w:rsidRPr="00D76744" w:rsidRDefault="003F25FA" w:rsidP="003F25FA">
      <w:pPr>
        <w:pStyle w:val="SingleTxtG"/>
        <w:spacing w:after="0" w:line="240" w:lineRule="auto"/>
        <w:rPr>
          <w:iCs/>
          <w:u w:val="single"/>
        </w:rPr>
      </w:pPr>
      <w:r w:rsidRPr="00D76744">
        <w:rPr>
          <w:iCs/>
          <w:u w:val="single"/>
        </w:rPr>
        <w:br w:type="page"/>
      </w:r>
    </w:p>
    <w:p w14:paraId="3BD91C3D" w14:textId="77777777" w:rsidR="003F25FA" w:rsidRPr="005D0E91" w:rsidRDefault="003F25FA" w:rsidP="003F25FA">
      <w:pPr>
        <w:pStyle w:val="SingleTxtG"/>
        <w:spacing w:after="0" w:line="240" w:lineRule="auto"/>
        <w:rPr>
          <w:iCs/>
          <w:u w:val="single"/>
        </w:rPr>
      </w:pPr>
      <w:r>
        <w:rPr>
          <w:iCs/>
          <w:u w:val="single"/>
        </w:rPr>
        <w:t>Überarbeiteter Entwurf</w:t>
      </w:r>
    </w:p>
    <w:p w14:paraId="131D1BEA" w14:textId="77777777" w:rsidR="003F25FA" w:rsidRPr="005D0E91" w:rsidRDefault="003F25FA" w:rsidP="003F25FA">
      <w:pPr>
        <w:pStyle w:val="SingleTxtG"/>
        <w:spacing w:after="0" w:line="240" w:lineRule="auto"/>
        <w:rPr>
          <w:iCs/>
        </w:rPr>
      </w:pPr>
    </w:p>
    <w:p w14:paraId="5EC4ABFC" w14:textId="77777777" w:rsidR="003F25FA" w:rsidRDefault="003F25FA" w:rsidP="003F25FA">
      <w:pPr>
        <w:pStyle w:val="SingleTxtG"/>
        <w:spacing w:after="0" w:line="240" w:lineRule="auto"/>
        <w:ind w:left="1701"/>
        <w:rPr>
          <w:iCs/>
        </w:rPr>
      </w:pPr>
      <w:r w:rsidRPr="005D0E91">
        <w:rPr>
          <w:iCs/>
        </w:rPr>
        <w:t>Unverändert.</w:t>
      </w:r>
    </w:p>
    <w:p w14:paraId="3A06C36E" w14:textId="77777777" w:rsidR="003F25FA" w:rsidRPr="00307BAF" w:rsidRDefault="003F25FA" w:rsidP="003F25FA">
      <w:pPr>
        <w:pStyle w:val="ListParagraph"/>
        <w:numPr>
          <w:ilvl w:val="0"/>
          <w:numId w:val="27"/>
        </w:numPr>
        <w:tabs>
          <w:tab w:val="left" w:pos="1701"/>
        </w:tabs>
        <w:suppressAutoHyphens/>
        <w:spacing w:after="0" w:line="240" w:lineRule="atLeast"/>
        <w:ind w:right="566"/>
        <w:jc w:val="both"/>
        <w:rPr>
          <w:b/>
        </w:rPr>
      </w:pPr>
      <w:r w:rsidRPr="00307BAF">
        <w:rPr>
          <w:b/>
        </w:rPr>
        <w:t>Abschnitt 3.2.2 Tabelle B</w:t>
      </w:r>
    </w:p>
    <w:p w14:paraId="3084277B" w14:textId="77777777" w:rsidR="003F25FA" w:rsidRDefault="003F25FA" w:rsidP="003F25FA">
      <w:pPr>
        <w:tabs>
          <w:tab w:val="left" w:pos="1701"/>
        </w:tabs>
        <w:ind w:left="1134" w:right="566"/>
        <w:jc w:val="both"/>
      </w:pPr>
    </w:p>
    <w:p w14:paraId="58EB6F53" w14:textId="77777777" w:rsidR="003F25FA" w:rsidRPr="005D0E91" w:rsidRDefault="003F25FA" w:rsidP="003F25FA">
      <w:pPr>
        <w:pStyle w:val="SingleTxtG"/>
        <w:spacing w:after="0" w:line="240" w:lineRule="auto"/>
        <w:rPr>
          <w:u w:val="single"/>
        </w:rPr>
      </w:pPr>
      <w:r>
        <w:rPr>
          <w:u w:val="single"/>
        </w:rPr>
        <w:t>Aktueller Entwurf</w:t>
      </w:r>
    </w:p>
    <w:p w14:paraId="5B1AB498" w14:textId="77777777" w:rsidR="003F25FA" w:rsidRDefault="003F25FA" w:rsidP="003F25FA">
      <w:pPr>
        <w:tabs>
          <w:tab w:val="left" w:pos="1701"/>
        </w:tabs>
        <w:ind w:left="1134" w:right="566"/>
        <w:jc w:val="both"/>
      </w:pPr>
    </w:p>
    <w:p w14:paraId="2A8F0536" w14:textId="77777777" w:rsidR="003F25FA" w:rsidRPr="00351972" w:rsidRDefault="003F25FA" w:rsidP="003F25FA">
      <w:pPr>
        <w:tabs>
          <w:tab w:val="left" w:pos="1701"/>
        </w:tabs>
        <w:ind w:left="1701" w:right="566"/>
        <w:jc w:val="both"/>
      </w:pPr>
      <w:r>
        <w:t>In Abschnitt 3.2.2 Tabelle B an der alphabetisch zutreffenden Stelle den folgenden Eintrag einfügen:</w:t>
      </w:r>
    </w:p>
    <w:p w14:paraId="4BC7A1DD" w14:textId="77777777" w:rsidR="003F25FA" w:rsidRDefault="003F25FA" w:rsidP="003F25FA">
      <w:pPr>
        <w:tabs>
          <w:tab w:val="left" w:pos="1701"/>
        </w:tabs>
        <w:ind w:left="1701" w:right="566"/>
        <w:jc w:val="both"/>
      </w:pPr>
    </w:p>
    <w:tbl>
      <w:tblPr>
        <w:tblW w:w="8188"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1984"/>
        <w:gridCol w:w="1276"/>
        <w:gridCol w:w="2835"/>
      </w:tblGrid>
      <w:tr w:rsidR="00945821" w14:paraId="7EDA927B" w14:textId="77777777">
        <w:tc>
          <w:tcPr>
            <w:tcW w:w="2093" w:type="dxa"/>
            <w:shd w:val="clear" w:color="auto" w:fill="auto"/>
          </w:tcPr>
          <w:p w14:paraId="44996C6F" w14:textId="77777777" w:rsidR="003F25FA" w:rsidRDefault="003F25FA">
            <w:pPr>
              <w:tabs>
                <w:tab w:val="left" w:pos="1701"/>
              </w:tabs>
              <w:ind w:left="111" w:right="566"/>
            </w:pPr>
            <w:r>
              <w:t>Benennung und Beschreibung</w:t>
            </w:r>
          </w:p>
        </w:tc>
        <w:tc>
          <w:tcPr>
            <w:tcW w:w="1984" w:type="dxa"/>
            <w:shd w:val="clear" w:color="auto" w:fill="auto"/>
          </w:tcPr>
          <w:p w14:paraId="4CE1AD4C" w14:textId="77777777" w:rsidR="003F25FA" w:rsidRDefault="003F25FA">
            <w:pPr>
              <w:tabs>
                <w:tab w:val="left" w:pos="1701"/>
              </w:tabs>
              <w:ind w:left="139" w:right="566"/>
              <w:jc w:val="both"/>
            </w:pPr>
            <w:r>
              <w:t>Stoffnummer</w:t>
            </w:r>
          </w:p>
          <w:p w14:paraId="08C227B0" w14:textId="77777777" w:rsidR="003F25FA" w:rsidRDefault="003F25FA">
            <w:pPr>
              <w:tabs>
                <w:tab w:val="left" w:pos="1701"/>
              </w:tabs>
              <w:ind w:left="139" w:right="566"/>
              <w:jc w:val="both"/>
            </w:pPr>
            <w:r>
              <w:t>UN-Nummer</w:t>
            </w:r>
          </w:p>
        </w:tc>
        <w:tc>
          <w:tcPr>
            <w:tcW w:w="1276" w:type="dxa"/>
            <w:shd w:val="clear" w:color="auto" w:fill="auto"/>
          </w:tcPr>
          <w:p w14:paraId="1B792DB5" w14:textId="77777777" w:rsidR="003F25FA" w:rsidRDefault="003F25FA">
            <w:pPr>
              <w:tabs>
                <w:tab w:val="left" w:pos="1701"/>
              </w:tabs>
              <w:ind w:left="139" w:right="316"/>
              <w:jc w:val="both"/>
            </w:pPr>
            <w:r>
              <w:t>Klasse</w:t>
            </w:r>
          </w:p>
        </w:tc>
        <w:tc>
          <w:tcPr>
            <w:tcW w:w="2835" w:type="dxa"/>
            <w:shd w:val="clear" w:color="auto" w:fill="auto"/>
          </w:tcPr>
          <w:p w14:paraId="12DB3706" w14:textId="77777777" w:rsidR="003F25FA" w:rsidRDefault="003F25FA">
            <w:pPr>
              <w:tabs>
                <w:tab w:val="left" w:pos="1701"/>
              </w:tabs>
              <w:ind w:left="143" w:right="566"/>
              <w:jc w:val="both"/>
            </w:pPr>
            <w:r>
              <w:t>Bemerkungen</w:t>
            </w:r>
          </w:p>
        </w:tc>
      </w:tr>
      <w:tr w:rsidR="00945821" w14:paraId="54C9C774" w14:textId="77777777">
        <w:tc>
          <w:tcPr>
            <w:tcW w:w="2093" w:type="dxa"/>
            <w:shd w:val="clear" w:color="auto" w:fill="auto"/>
          </w:tcPr>
          <w:p w14:paraId="22326675" w14:textId="77777777" w:rsidR="003F25FA" w:rsidRDefault="003F25FA">
            <w:pPr>
              <w:tabs>
                <w:tab w:val="left" w:pos="1701"/>
              </w:tabs>
              <w:ind w:left="111" w:right="41"/>
            </w:pPr>
            <w:r>
              <w:t>BEGASTE LADUNG</w:t>
            </w:r>
          </w:p>
        </w:tc>
        <w:tc>
          <w:tcPr>
            <w:tcW w:w="1984" w:type="dxa"/>
            <w:shd w:val="clear" w:color="auto" w:fill="auto"/>
          </w:tcPr>
          <w:p w14:paraId="02914E08" w14:textId="77777777" w:rsidR="003F25FA" w:rsidRDefault="003F25FA">
            <w:pPr>
              <w:tabs>
                <w:tab w:val="left" w:pos="1701"/>
              </w:tabs>
              <w:ind w:left="139" w:right="566"/>
              <w:jc w:val="both"/>
            </w:pPr>
            <w:r>
              <w:t>9007</w:t>
            </w:r>
          </w:p>
        </w:tc>
        <w:tc>
          <w:tcPr>
            <w:tcW w:w="1276" w:type="dxa"/>
            <w:shd w:val="clear" w:color="auto" w:fill="auto"/>
          </w:tcPr>
          <w:p w14:paraId="1B6B2CE0" w14:textId="77777777" w:rsidR="003F25FA" w:rsidRDefault="003F25FA">
            <w:pPr>
              <w:tabs>
                <w:tab w:val="left" w:pos="1701"/>
              </w:tabs>
              <w:ind w:left="139" w:right="566"/>
              <w:jc w:val="both"/>
            </w:pPr>
            <w:r>
              <w:t>9</w:t>
            </w:r>
          </w:p>
        </w:tc>
        <w:tc>
          <w:tcPr>
            <w:tcW w:w="2835" w:type="dxa"/>
            <w:shd w:val="clear" w:color="auto" w:fill="auto"/>
          </w:tcPr>
          <w:p w14:paraId="79A5480B" w14:textId="77777777" w:rsidR="003F25FA" w:rsidRDefault="003F25FA">
            <w:pPr>
              <w:tabs>
                <w:tab w:val="left" w:pos="1701"/>
              </w:tabs>
              <w:ind w:left="143" w:right="566"/>
            </w:pPr>
            <w:r>
              <w:t>Beförderung nur zugelassen nach SV 804</w:t>
            </w:r>
          </w:p>
        </w:tc>
      </w:tr>
    </w:tbl>
    <w:p w14:paraId="5BF597E9" w14:textId="77777777" w:rsidR="003F25FA" w:rsidRPr="00160883" w:rsidRDefault="003F25FA" w:rsidP="003F25FA">
      <w:pPr>
        <w:pStyle w:val="SingleTxtG"/>
        <w:spacing w:after="0" w:line="240" w:lineRule="auto"/>
        <w:rPr>
          <w:iCs/>
          <w:u w:val="single"/>
        </w:rPr>
      </w:pPr>
    </w:p>
    <w:p w14:paraId="77D1BFA0" w14:textId="77777777" w:rsidR="003F25FA" w:rsidRPr="001228E7" w:rsidRDefault="003F25FA" w:rsidP="003F25FA">
      <w:pPr>
        <w:pStyle w:val="SingleTxtG"/>
        <w:spacing w:after="0" w:line="240" w:lineRule="auto"/>
        <w:rPr>
          <w:iCs/>
          <w:u w:val="single"/>
        </w:rPr>
      </w:pPr>
      <w:r>
        <w:rPr>
          <w:iCs/>
          <w:u w:val="single"/>
        </w:rPr>
        <w:t>Überlegungen</w:t>
      </w:r>
    </w:p>
    <w:p w14:paraId="44B1523D" w14:textId="77777777" w:rsidR="003F25FA" w:rsidRDefault="003F25FA" w:rsidP="003F25FA">
      <w:pPr>
        <w:pStyle w:val="SingleTxtG"/>
        <w:spacing w:after="0" w:line="240" w:lineRule="auto"/>
        <w:rPr>
          <w:iCs/>
        </w:rPr>
      </w:pPr>
    </w:p>
    <w:p w14:paraId="61ACC467" w14:textId="77777777" w:rsidR="003F25FA" w:rsidRPr="00C74E7E" w:rsidRDefault="003F25FA" w:rsidP="003F25FA">
      <w:pPr>
        <w:pStyle w:val="SingleTxtG"/>
        <w:numPr>
          <w:ilvl w:val="0"/>
          <w:numId w:val="26"/>
        </w:numPr>
        <w:spacing w:after="0" w:line="240" w:lineRule="auto"/>
      </w:pPr>
      <w:r w:rsidRPr="00C74E7E">
        <w:t>Der vorliegende Entwurf wurde geprüft und bestätigt.</w:t>
      </w:r>
    </w:p>
    <w:p w14:paraId="3BF77FE1" w14:textId="77777777" w:rsidR="003F25FA" w:rsidRDefault="003F25FA" w:rsidP="003F25FA">
      <w:pPr>
        <w:pStyle w:val="SingleTxtG"/>
        <w:spacing w:after="0" w:line="240" w:lineRule="auto"/>
        <w:rPr>
          <w:iCs/>
        </w:rPr>
      </w:pPr>
    </w:p>
    <w:p w14:paraId="20F1BA20" w14:textId="77777777" w:rsidR="003F25FA" w:rsidRPr="005D0E91" w:rsidRDefault="003F25FA" w:rsidP="003F25FA">
      <w:pPr>
        <w:pStyle w:val="SingleTxtG"/>
        <w:spacing w:after="0" w:line="240" w:lineRule="auto"/>
        <w:rPr>
          <w:iCs/>
          <w:u w:val="single"/>
        </w:rPr>
      </w:pPr>
      <w:r>
        <w:rPr>
          <w:iCs/>
          <w:u w:val="single"/>
        </w:rPr>
        <w:t>Überarbeiteter Entwurf</w:t>
      </w:r>
    </w:p>
    <w:p w14:paraId="747E19DD" w14:textId="77777777" w:rsidR="003F25FA" w:rsidRPr="005D0E91" w:rsidRDefault="003F25FA" w:rsidP="003F25FA">
      <w:pPr>
        <w:pStyle w:val="SingleTxtG"/>
        <w:spacing w:after="0" w:line="240" w:lineRule="auto"/>
        <w:rPr>
          <w:iCs/>
        </w:rPr>
      </w:pPr>
    </w:p>
    <w:p w14:paraId="24B334FD" w14:textId="77777777" w:rsidR="003F25FA" w:rsidRPr="00160883" w:rsidRDefault="003F25FA" w:rsidP="003F25FA">
      <w:pPr>
        <w:tabs>
          <w:tab w:val="left" w:pos="1701"/>
        </w:tabs>
        <w:ind w:left="1701" w:right="566"/>
        <w:jc w:val="both"/>
      </w:pPr>
      <w:r w:rsidRPr="00160883">
        <w:t>Unverändert.</w:t>
      </w:r>
    </w:p>
    <w:p w14:paraId="0A049193" w14:textId="77777777" w:rsidR="003F25FA" w:rsidRPr="005D0E91" w:rsidRDefault="003F25FA" w:rsidP="003F25FA">
      <w:pPr>
        <w:pStyle w:val="SingleTxtG"/>
        <w:spacing w:after="0" w:line="240" w:lineRule="auto"/>
        <w:rPr>
          <w:iCs/>
        </w:rPr>
      </w:pPr>
    </w:p>
    <w:p w14:paraId="6C5168B3" w14:textId="77777777" w:rsidR="003F25FA" w:rsidRPr="005D0E91" w:rsidRDefault="003F25FA" w:rsidP="003F25FA">
      <w:pPr>
        <w:pStyle w:val="SingleTxtG"/>
        <w:spacing w:after="0" w:line="240" w:lineRule="auto"/>
        <w:rPr>
          <w:iCs/>
        </w:rPr>
      </w:pPr>
    </w:p>
    <w:p w14:paraId="0A2A92FE" w14:textId="77777777" w:rsidR="003F25FA" w:rsidRPr="00307BAF" w:rsidRDefault="003F25FA" w:rsidP="003F25FA">
      <w:pPr>
        <w:pStyle w:val="ListParagraph"/>
        <w:numPr>
          <w:ilvl w:val="0"/>
          <w:numId w:val="27"/>
        </w:numPr>
        <w:tabs>
          <w:tab w:val="left" w:pos="1701"/>
        </w:tabs>
        <w:suppressAutoHyphens/>
        <w:spacing w:after="0" w:line="240" w:lineRule="atLeast"/>
        <w:ind w:right="566"/>
        <w:jc w:val="both"/>
        <w:rPr>
          <w:b/>
        </w:rPr>
      </w:pPr>
      <w:r w:rsidRPr="00307BAF">
        <w:rPr>
          <w:b/>
        </w:rPr>
        <w:t>Unterabschnitt 2.2.9.2 Klasse 9 – nicht zur Beförderung zugelassene Stoffe und Gegenstände</w:t>
      </w:r>
    </w:p>
    <w:p w14:paraId="1E55C669" w14:textId="77777777" w:rsidR="003F25FA" w:rsidRPr="00AF55BE" w:rsidRDefault="003F25FA" w:rsidP="003F25FA">
      <w:pPr>
        <w:tabs>
          <w:tab w:val="left" w:pos="1701"/>
        </w:tabs>
        <w:ind w:left="1134" w:right="566"/>
        <w:jc w:val="both"/>
      </w:pPr>
    </w:p>
    <w:p w14:paraId="5BA95D18" w14:textId="77777777" w:rsidR="003F25FA" w:rsidRPr="00533E92" w:rsidRDefault="003F25FA" w:rsidP="003F25FA">
      <w:pPr>
        <w:pStyle w:val="SingleTxtG"/>
        <w:spacing w:after="0" w:line="240" w:lineRule="auto"/>
        <w:rPr>
          <w:u w:val="single"/>
        </w:rPr>
      </w:pPr>
      <w:r w:rsidRPr="00533E92">
        <w:rPr>
          <w:u w:val="single"/>
        </w:rPr>
        <w:t>Aktueller Entwurf</w:t>
      </w:r>
    </w:p>
    <w:p w14:paraId="0B654F58" w14:textId="77777777" w:rsidR="003F25FA" w:rsidRDefault="003F25FA" w:rsidP="003F25FA">
      <w:pPr>
        <w:tabs>
          <w:tab w:val="left" w:pos="1701"/>
        </w:tabs>
        <w:ind w:left="1701" w:right="566"/>
        <w:jc w:val="both"/>
      </w:pPr>
    </w:p>
    <w:p w14:paraId="48A18C7B" w14:textId="77777777" w:rsidR="003F25FA" w:rsidRPr="000B531A" w:rsidRDefault="003F25FA" w:rsidP="003F25FA">
      <w:pPr>
        <w:tabs>
          <w:tab w:val="left" w:pos="1701"/>
        </w:tabs>
        <w:ind w:left="1701" w:right="566"/>
        <w:jc w:val="both"/>
      </w:pPr>
      <w:r>
        <w:t>In Unterabschnitt 2.2.9.2 folgenden Spiegelstrich anfügen:</w:t>
      </w:r>
    </w:p>
    <w:p w14:paraId="78971648" w14:textId="77777777" w:rsidR="003F25FA" w:rsidRPr="00AF55BE" w:rsidRDefault="003F25FA" w:rsidP="003F25FA">
      <w:pPr>
        <w:tabs>
          <w:tab w:val="left" w:pos="1701"/>
        </w:tabs>
        <w:ind w:left="1701" w:right="566"/>
        <w:jc w:val="both"/>
      </w:pPr>
    </w:p>
    <w:p w14:paraId="573ED2EC" w14:textId="77777777" w:rsidR="003F25FA" w:rsidRPr="00382CDD" w:rsidRDefault="003F25FA" w:rsidP="003F25FA">
      <w:pPr>
        <w:tabs>
          <w:tab w:val="left" w:pos="-285"/>
          <w:tab w:val="left" w:pos="-2"/>
          <w:tab w:val="left" w:pos="1418"/>
          <w:tab w:val="left" w:pos="2552"/>
          <w:tab w:val="left" w:pos="3119"/>
          <w:tab w:val="left" w:pos="3686"/>
          <w:tab w:val="left" w:pos="4253"/>
          <w:tab w:val="left" w:pos="5101"/>
          <w:tab w:val="left" w:pos="5668"/>
          <w:tab w:val="left" w:pos="6321"/>
          <w:tab w:val="left" w:pos="6984"/>
          <w:tab w:val="left" w:pos="7729"/>
          <w:tab w:val="left" w:pos="8557"/>
          <w:tab w:val="left" w:pos="9302"/>
          <w:tab w:val="left" w:pos="10147"/>
          <w:tab w:val="left" w:pos="10771"/>
          <w:tab w:val="left" w:pos="11041"/>
        </w:tabs>
        <w:spacing w:line="40" w:lineRule="atLeast"/>
        <w:ind w:left="1985" w:hanging="284"/>
        <w:jc w:val="both"/>
        <w:rPr>
          <w:rFonts w:cs="Arial"/>
        </w:rPr>
      </w:pPr>
      <w:r>
        <w:t>„-</w:t>
      </w:r>
      <w:r>
        <w:tab/>
        <w:t>begaste Ladung gemäß der Begriffsbestimmung in Abschnitt 1.2.1, die der Stoffnummer 9007 zugeordnet ist und den Bedingungen der Sondervorschrift 804 nicht entspricht.“</w:t>
      </w:r>
    </w:p>
    <w:p w14:paraId="202E90DC" w14:textId="77777777" w:rsidR="003F25FA" w:rsidRPr="00160883" w:rsidRDefault="003F25FA" w:rsidP="003F25FA">
      <w:pPr>
        <w:pStyle w:val="SingleTxtG"/>
        <w:spacing w:after="0" w:line="240" w:lineRule="auto"/>
        <w:rPr>
          <w:iCs/>
          <w:u w:val="single"/>
        </w:rPr>
      </w:pPr>
    </w:p>
    <w:p w14:paraId="35781BB1" w14:textId="77777777" w:rsidR="003F25FA" w:rsidRPr="001228E7" w:rsidRDefault="003F25FA" w:rsidP="003F25FA">
      <w:pPr>
        <w:pStyle w:val="SingleTxtG"/>
        <w:spacing w:after="0" w:line="240" w:lineRule="auto"/>
        <w:rPr>
          <w:iCs/>
          <w:u w:val="single"/>
        </w:rPr>
      </w:pPr>
      <w:r>
        <w:rPr>
          <w:iCs/>
          <w:u w:val="single"/>
        </w:rPr>
        <w:t>Überlegungen</w:t>
      </w:r>
    </w:p>
    <w:p w14:paraId="5BCB31FC" w14:textId="77777777" w:rsidR="003F25FA" w:rsidRDefault="003F25FA" w:rsidP="003F25FA">
      <w:pPr>
        <w:pStyle w:val="SingleTxtG"/>
        <w:spacing w:after="0" w:line="240" w:lineRule="auto"/>
        <w:rPr>
          <w:iCs/>
        </w:rPr>
      </w:pPr>
    </w:p>
    <w:p w14:paraId="1D4984D7" w14:textId="77777777" w:rsidR="003F25FA" w:rsidRPr="00C74E7E" w:rsidRDefault="003F25FA" w:rsidP="003F25FA">
      <w:pPr>
        <w:pStyle w:val="SingleTxtG"/>
        <w:numPr>
          <w:ilvl w:val="0"/>
          <w:numId w:val="26"/>
        </w:numPr>
        <w:spacing w:after="0" w:line="240" w:lineRule="auto"/>
      </w:pPr>
      <w:r w:rsidRPr="00C74E7E">
        <w:t>Der vorliegende Entwurf wurde geprüft und bestätigt.</w:t>
      </w:r>
    </w:p>
    <w:p w14:paraId="2879DBFD" w14:textId="77777777" w:rsidR="003F25FA" w:rsidRDefault="003F25FA" w:rsidP="003F25FA">
      <w:pPr>
        <w:pStyle w:val="SingleTxtG"/>
        <w:spacing w:after="0" w:line="240" w:lineRule="auto"/>
        <w:rPr>
          <w:iCs/>
        </w:rPr>
      </w:pPr>
    </w:p>
    <w:p w14:paraId="65F92F02" w14:textId="77777777" w:rsidR="003F25FA" w:rsidRPr="005D0E91" w:rsidRDefault="003F25FA" w:rsidP="003F25FA">
      <w:pPr>
        <w:pStyle w:val="SingleTxtG"/>
        <w:spacing w:after="0" w:line="240" w:lineRule="auto"/>
        <w:rPr>
          <w:iCs/>
          <w:u w:val="single"/>
        </w:rPr>
      </w:pPr>
      <w:r>
        <w:rPr>
          <w:iCs/>
          <w:u w:val="single"/>
        </w:rPr>
        <w:t>Überarbeiteter Entwurf</w:t>
      </w:r>
    </w:p>
    <w:p w14:paraId="238D3F1D" w14:textId="77777777" w:rsidR="003F25FA" w:rsidRPr="005D0E91" w:rsidRDefault="003F25FA" w:rsidP="003F25FA">
      <w:pPr>
        <w:pStyle w:val="SingleTxtG"/>
        <w:spacing w:after="0" w:line="240" w:lineRule="auto"/>
        <w:rPr>
          <w:iCs/>
        </w:rPr>
      </w:pPr>
    </w:p>
    <w:p w14:paraId="7CBAF7C6" w14:textId="77777777" w:rsidR="003F25FA" w:rsidRDefault="003F25FA" w:rsidP="003F25FA">
      <w:pPr>
        <w:tabs>
          <w:tab w:val="left" w:pos="1701"/>
        </w:tabs>
        <w:ind w:left="1701" w:right="566"/>
        <w:jc w:val="both"/>
      </w:pPr>
      <w:r w:rsidRPr="00FE2A30">
        <w:t>Unverändert.</w:t>
      </w:r>
    </w:p>
    <w:p w14:paraId="2BC068A2" w14:textId="77777777" w:rsidR="003F25FA" w:rsidRPr="00FE2A30" w:rsidRDefault="003F25FA" w:rsidP="003F25FA">
      <w:pPr>
        <w:tabs>
          <w:tab w:val="left" w:pos="1701"/>
        </w:tabs>
        <w:ind w:left="1701" w:right="566"/>
        <w:jc w:val="both"/>
      </w:pPr>
    </w:p>
    <w:p w14:paraId="0F7AD284" w14:textId="77777777" w:rsidR="003F25FA" w:rsidRPr="00307BAF" w:rsidRDefault="003F25FA" w:rsidP="003F25FA">
      <w:pPr>
        <w:pStyle w:val="ListParagraph"/>
        <w:numPr>
          <w:ilvl w:val="0"/>
          <w:numId w:val="27"/>
        </w:numPr>
        <w:tabs>
          <w:tab w:val="left" w:pos="1701"/>
        </w:tabs>
        <w:suppressAutoHyphens/>
        <w:spacing w:after="0" w:line="240" w:lineRule="atLeast"/>
        <w:ind w:right="566"/>
        <w:jc w:val="both"/>
        <w:rPr>
          <w:b/>
        </w:rPr>
      </w:pPr>
      <w:r w:rsidRPr="00307BAF">
        <w:rPr>
          <w:b/>
        </w:rPr>
        <w:t>Kapitel 3.3 Für Bestimmte Stoffe und Gegenstände geltende Sondervorschriften</w:t>
      </w:r>
    </w:p>
    <w:p w14:paraId="75EAC640" w14:textId="77777777" w:rsidR="003F25FA" w:rsidRPr="00AF55BE" w:rsidRDefault="003F25FA" w:rsidP="003F25FA">
      <w:pPr>
        <w:tabs>
          <w:tab w:val="left" w:pos="1701"/>
        </w:tabs>
        <w:ind w:left="2268" w:right="566" w:hanging="1134"/>
        <w:jc w:val="both"/>
      </w:pPr>
    </w:p>
    <w:p w14:paraId="4AC47D36" w14:textId="77777777" w:rsidR="003F25FA" w:rsidRPr="00533E92" w:rsidRDefault="003F25FA" w:rsidP="003F25FA">
      <w:pPr>
        <w:pStyle w:val="SingleTxtG"/>
        <w:spacing w:after="0" w:line="240" w:lineRule="auto"/>
        <w:rPr>
          <w:u w:val="single"/>
        </w:rPr>
      </w:pPr>
      <w:r w:rsidRPr="00533E92">
        <w:rPr>
          <w:u w:val="single"/>
        </w:rPr>
        <w:t>Aktueller Entwurf</w:t>
      </w:r>
    </w:p>
    <w:p w14:paraId="6F04531C" w14:textId="77777777" w:rsidR="003F25FA" w:rsidRDefault="003F25FA" w:rsidP="003F25FA">
      <w:pPr>
        <w:tabs>
          <w:tab w:val="left" w:pos="1701"/>
        </w:tabs>
        <w:ind w:left="2835" w:right="566" w:hanging="1134"/>
        <w:jc w:val="both"/>
      </w:pPr>
    </w:p>
    <w:p w14:paraId="13F558DA" w14:textId="77777777" w:rsidR="003F25FA" w:rsidRPr="004F0733" w:rsidRDefault="003F25FA" w:rsidP="003F25FA">
      <w:pPr>
        <w:tabs>
          <w:tab w:val="left" w:pos="1701"/>
        </w:tabs>
        <w:ind w:left="2835" w:right="566" w:hanging="1134"/>
        <w:jc w:val="both"/>
        <w:rPr>
          <w:iCs/>
          <w:u w:val="single"/>
        </w:rPr>
      </w:pPr>
      <w:r>
        <w:t>In Kapitel 3.3. am Ende die folgende neue Sondervorschrift anfügen:</w:t>
      </w:r>
    </w:p>
    <w:p w14:paraId="465E6A74" w14:textId="77777777" w:rsidR="003F25FA" w:rsidRDefault="003F25FA" w:rsidP="003F25FA">
      <w:pPr>
        <w:tabs>
          <w:tab w:val="left" w:pos="1701"/>
        </w:tabs>
        <w:ind w:left="2835" w:right="566" w:hanging="1134"/>
        <w:jc w:val="both"/>
      </w:pPr>
    </w:p>
    <w:p w14:paraId="2F26B404" w14:textId="77777777" w:rsidR="003F25FA" w:rsidRDefault="003F25FA" w:rsidP="003F25FA">
      <w:pPr>
        <w:suppressAutoHyphens w:val="0"/>
        <w:spacing w:line="240" w:lineRule="auto"/>
        <w:ind w:left="2835" w:hanging="1134"/>
        <w:jc w:val="both"/>
      </w:pPr>
      <w:r>
        <w:t>„804</w:t>
      </w:r>
      <w:r>
        <w:tab/>
        <w:t>Begaste Ladung gemäß der Begriffsbestimmung in Abschnitt 1.2.1 unterliegt keinen anderen Vorschriften des ADN als den folgenden. Die Beförderung begaster Ladung ist verboten, wenn nicht die nachstehenden Vorschriften erfüllt sind.</w:t>
      </w:r>
    </w:p>
    <w:p w14:paraId="7AD4C90D" w14:textId="77777777" w:rsidR="003F25FA" w:rsidRDefault="003F25FA" w:rsidP="003F25FA">
      <w:pPr>
        <w:pStyle w:val="SingleTxtG"/>
        <w:spacing w:after="0" w:line="240" w:lineRule="auto"/>
        <w:ind w:left="567" w:firstLine="567"/>
        <w:rPr>
          <w:iCs/>
          <w:u w:val="single"/>
        </w:rPr>
      </w:pPr>
    </w:p>
    <w:p w14:paraId="5032027D" w14:textId="77777777" w:rsidR="003F25FA" w:rsidRPr="001228E7" w:rsidRDefault="003F25FA" w:rsidP="003F25FA">
      <w:pPr>
        <w:pStyle w:val="SingleTxtG"/>
        <w:spacing w:after="0" w:line="240" w:lineRule="auto"/>
        <w:ind w:left="567" w:firstLine="567"/>
        <w:rPr>
          <w:iCs/>
          <w:u w:val="single"/>
        </w:rPr>
      </w:pPr>
      <w:r>
        <w:rPr>
          <w:iCs/>
          <w:u w:val="single"/>
        </w:rPr>
        <w:t>Überlegungen</w:t>
      </w:r>
    </w:p>
    <w:p w14:paraId="29965E89" w14:textId="77777777" w:rsidR="003F25FA" w:rsidRDefault="003F25FA" w:rsidP="003F25FA">
      <w:pPr>
        <w:pStyle w:val="SingleTxtG"/>
        <w:spacing w:after="0" w:line="240" w:lineRule="auto"/>
        <w:rPr>
          <w:iCs/>
        </w:rPr>
      </w:pPr>
    </w:p>
    <w:p w14:paraId="08B5818B" w14:textId="77777777" w:rsidR="003F25FA" w:rsidRDefault="003F25FA" w:rsidP="003F25FA">
      <w:pPr>
        <w:pStyle w:val="SingleTxtG"/>
        <w:numPr>
          <w:ilvl w:val="0"/>
          <w:numId w:val="26"/>
        </w:numPr>
        <w:spacing w:after="0" w:line="240" w:lineRule="auto"/>
      </w:pPr>
      <w:r w:rsidRPr="00C74E7E">
        <w:t>Der vorliegende Entwurf wurde geprüft und bestätigt.</w:t>
      </w:r>
    </w:p>
    <w:p w14:paraId="363767D2" w14:textId="77777777" w:rsidR="003F25FA" w:rsidRPr="009445DC" w:rsidRDefault="003F25FA" w:rsidP="003F25FA">
      <w:pPr>
        <w:pStyle w:val="SingleTxtG"/>
        <w:numPr>
          <w:ilvl w:val="0"/>
          <w:numId w:val="26"/>
        </w:numPr>
        <w:spacing w:after="0" w:line="240" w:lineRule="auto"/>
        <w:rPr>
          <w:iCs/>
        </w:rPr>
      </w:pPr>
      <w:r>
        <w:t xml:space="preserve">Die Gruppe verständigte sich darauf, dass die Zuordnung einer Ladung zum Eintrag der neuen Stoffnummer 9007 in der Verantwortung des Absenders im Sinne der Begriffsbestimmung nach 1.2.1 ADN liegen muss. In den handelsrechtlichen </w:t>
      </w:r>
      <w:r>
        <w:lastRenderedPageBreak/>
        <w:t xml:space="preserve">Verträgen anders benannte Partner müssten zukünftig auch als “Absender” im Sinne des ADN identifiziert </w:t>
      </w:r>
      <w:r w:rsidRPr="005123B0">
        <w:t>werden</w:t>
      </w:r>
      <w:r>
        <w:t>.</w:t>
      </w:r>
    </w:p>
    <w:p w14:paraId="0696B138" w14:textId="77777777" w:rsidR="003F25FA" w:rsidRPr="00533E92" w:rsidRDefault="003F25FA" w:rsidP="003F25FA">
      <w:pPr>
        <w:pStyle w:val="SingleTxtG"/>
        <w:spacing w:after="0" w:line="240" w:lineRule="auto"/>
        <w:ind w:left="567" w:firstLine="567"/>
        <w:rPr>
          <w:iCs/>
          <w:u w:val="single"/>
        </w:rPr>
      </w:pPr>
      <w:r w:rsidRPr="00533E92">
        <w:rPr>
          <w:iCs/>
          <w:u w:val="single"/>
        </w:rPr>
        <w:t>Überarbeiteter Entwurf</w:t>
      </w:r>
    </w:p>
    <w:p w14:paraId="5E196139" w14:textId="77777777" w:rsidR="003F25FA" w:rsidRPr="00533E92" w:rsidRDefault="003F25FA" w:rsidP="003F25FA">
      <w:pPr>
        <w:pStyle w:val="SingleTxtG"/>
        <w:spacing w:after="0" w:line="240" w:lineRule="auto"/>
        <w:rPr>
          <w:iCs/>
        </w:rPr>
      </w:pPr>
    </w:p>
    <w:p w14:paraId="0EB3A42C" w14:textId="77777777" w:rsidR="003F25FA" w:rsidRPr="00533E92" w:rsidRDefault="003F25FA" w:rsidP="003F25FA">
      <w:pPr>
        <w:pStyle w:val="SingleTxtG"/>
        <w:spacing w:after="0" w:line="240" w:lineRule="auto"/>
        <w:rPr>
          <w:iCs/>
        </w:rPr>
      </w:pPr>
      <w:r w:rsidRPr="00533E92">
        <w:rPr>
          <w:iCs/>
        </w:rPr>
        <w:t>Unverändert.</w:t>
      </w:r>
    </w:p>
    <w:p w14:paraId="1CADE502" w14:textId="77777777" w:rsidR="003F25FA" w:rsidRPr="00533E92" w:rsidRDefault="003F25FA" w:rsidP="003F25FA">
      <w:pPr>
        <w:pStyle w:val="SingleTxtG"/>
        <w:spacing w:after="0" w:line="240" w:lineRule="auto"/>
        <w:rPr>
          <w:iCs/>
        </w:rPr>
      </w:pPr>
    </w:p>
    <w:p w14:paraId="563739F8" w14:textId="77777777" w:rsidR="003F25FA" w:rsidRPr="00533E92" w:rsidRDefault="003F25FA" w:rsidP="003F25FA">
      <w:pPr>
        <w:pStyle w:val="SingleTxtG"/>
        <w:spacing w:after="0" w:line="240" w:lineRule="auto"/>
        <w:rPr>
          <w:iCs/>
        </w:rPr>
      </w:pPr>
    </w:p>
    <w:p w14:paraId="1FB7BA6F" w14:textId="77777777" w:rsidR="003F25FA" w:rsidRPr="00533E92" w:rsidRDefault="003F25FA" w:rsidP="003F25FA">
      <w:pPr>
        <w:pStyle w:val="SingleTxtG"/>
        <w:spacing w:after="0" w:line="240" w:lineRule="auto"/>
        <w:rPr>
          <w:u w:val="single"/>
        </w:rPr>
      </w:pPr>
      <w:r w:rsidRPr="00533E92">
        <w:rPr>
          <w:u w:val="single"/>
        </w:rPr>
        <w:t>Aktueller Entwurf</w:t>
      </w:r>
    </w:p>
    <w:p w14:paraId="6677F7E8" w14:textId="77777777" w:rsidR="003F25FA" w:rsidRPr="00533E92" w:rsidRDefault="003F25FA" w:rsidP="003F25FA">
      <w:pPr>
        <w:pStyle w:val="SingleTxtG"/>
        <w:spacing w:after="0" w:line="240" w:lineRule="auto"/>
        <w:ind w:left="2268" w:hanging="567"/>
      </w:pPr>
    </w:p>
    <w:p w14:paraId="236E7957" w14:textId="77777777" w:rsidR="003F25FA" w:rsidRPr="002912DC" w:rsidRDefault="003F25FA" w:rsidP="003F25FA">
      <w:pPr>
        <w:pStyle w:val="SingleTxtG"/>
        <w:spacing w:after="0" w:line="240" w:lineRule="auto"/>
        <w:ind w:left="2268" w:hanging="567"/>
      </w:pPr>
      <w:r w:rsidRPr="002912DC">
        <w:t>a)</w:t>
      </w:r>
      <w:r>
        <w:tab/>
      </w:r>
      <w:r w:rsidRPr="002912DC">
        <w:t xml:space="preserve">Der Absender </w:t>
      </w:r>
      <w:r>
        <w:t xml:space="preserve">nach 1.2.1 ADN </w:t>
      </w:r>
      <w:r w:rsidRPr="002912DC">
        <w:t>muss sicherstellen, dass Rückstände von [Tabletten oder Beuteln], sofern solche für die Begasung zum Einsatz gekommen sind, aus Partien, die zum Laden vorgesehen sind, entfernt und ordnungsgemäß entsorgt werden.</w:t>
      </w:r>
    </w:p>
    <w:p w14:paraId="6031D452" w14:textId="77777777" w:rsidR="003F25FA" w:rsidRPr="00D76744" w:rsidRDefault="003F25FA" w:rsidP="003F25FA">
      <w:pPr>
        <w:pStyle w:val="SingleTxtG"/>
        <w:spacing w:after="0" w:line="240" w:lineRule="auto"/>
        <w:rPr>
          <w:iCs/>
          <w:u w:val="single"/>
        </w:rPr>
      </w:pPr>
    </w:p>
    <w:p w14:paraId="72AB4632" w14:textId="77777777" w:rsidR="003F25FA" w:rsidRPr="001228E7" w:rsidRDefault="003F25FA" w:rsidP="003F25FA">
      <w:pPr>
        <w:pStyle w:val="SingleTxtG"/>
        <w:spacing w:after="0" w:line="240" w:lineRule="auto"/>
        <w:rPr>
          <w:iCs/>
          <w:u w:val="single"/>
        </w:rPr>
      </w:pPr>
      <w:r>
        <w:rPr>
          <w:iCs/>
          <w:u w:val="single"/>
        </w:rPr>
        <w:t>Überlegungen</w:t>
      </w:r>
    </w:p>
    <w:p w14:paraId="2FB0E866" w14:textId="77777777" w:rsidR="003F25FA" w:rsidRDefault="003F25FA" w:rsidP="003F25FA">
      <w:pPr>
        <w:pStyle w:val="SingleTxtG"/>
        <w:spacing w:after="0" w:line="240" w:lineRule="auto"/>
        <w:rPr>
          <w:iCs/>
        </w:rPr>
      </w:pPr>
    </w:p>
    <w:p w14:paraId="30D04AD3" w14:textId="77777777" w:rsidR="003F25FA" w:rsidRPr="00725291" w:rsidRDefault="003F25FA" w:rsidP="003F25FA">
      <w:pPr>
        <w:pStyle w:val="SingleTxtG"/>
        <w:numPr>
          <w:ilvl w:val="0"/>
          <w:numId w:val="26"/>
        </w:numPr>
        <w:spacing w:after="0" w:line="240" w:lineRule="auto"/>
      </w:pPr>
      <w:r w:rsidRPr="00725291">
        <w:t>Einerseits erkannte die Gruppe an, dass die Entfernung von unvollständig aufgelösten Tabletten schwer durchzuführen sein könnte und auch die Entsorgung von Beuteln als Abfall eine Herausforderung darstellt.</w:t>
      </w:r>
    </w:p>
    <w:p w14:paraId="41D35C37" w14:textId="77777777" w:rsidR="003F25FA" w:rsidRPr="00725291" w:rsidRDefault="003F25FA" w:rsidP="003F25FA">
      <w:pPr>
        <w:pStyle w:val="SingleTxtG"/>
        <w:numPr>
          <w:ilvl w:val="0"/>
          <w:numId w:val="26"/>
        </w:numPr>
        <w:spacing w:after="0" w:line="240" w:lineRule="auto"/>
      </w:pPr>
      <w:r w:rsidRPr="00725291">
        <w:t>Andererseits sieht die Gruppe die Entfernung von Resten als erste wesentliche Maßnahme an, um Zwischenfälle auf einem Binnenschiff zu verhindern. Das Gebot der Entfernung von Rückständen könnte den Einsatz bestimmter Anwendungsformen ausschließen, bei denen das nicht möglich ist.</w:t>
      </w:r>
    </w:p>
    <w:p w14:paraId="64858278" w14:textId="77777777" w:rsidR="003F25FA" w:rsidRPr="00725291" w:rsidRDefault="003F25FA" w:rsidP="003F25FA">
      <w:pPr>
        <w:pStyle w:val="SingleTxtG"/>
        <w:numPr>
          <w:ilvl w:val="0"/>
          <w:numId w:val="26"/>
        </w:numPr>
        <w:spacing w:after="0" w:line="240" w:lineRule="auto"/>
      </w:pPr>
      <w:r w:rsidRPr="00725291">
        <w:t>Es wurde eine redaktionelle Anpassung bei der Aufzählung der Anwendungsformen befürwortet.</w:t>
      </w:r>
    </w:p>
    <w:p w14:paraId="70EB2349" w14:textId="77777777" w:rsidR="003F25FA" w:rsidRPr="00725291" w:rsidRDefault="003F25FA" w:rsidP="003F25FA">
      <w:pPr>
        <w:pStyle w:val="SingleTxtG"/>
        <w:numPr>
          <w:ilvl w:val="0"/>
          <w:numId w:val="26"/>
        </w:numPr>
        <w:spacing w:after="0" w:line="240" w:lineRule="auto"/>
      </w:pPr>
      <w:r w:rsidRPr="00725291">
        <w:t>Die Gruppe vertrat die Auffassung, dass der Absender dies</w:t>
      </w:r>
      <w:r>
        <w:t>e</w:t>
      </w:r>
      <w:r w:rsidRPr="00725291">
        <w:t xml:space="preserve"> Aufgabe nicht zwingend mit eigenem Personal erfüllen muss, sondern am Ort der Beladung des Schiffes einen Dritten, zum Beispiel den Befüller, </w:t>
      </w:r>
      <w:r>
        <w:t xml:space="preserve">damit </w:t>
      </w:r>
      <w:r w:rsidRPr="00725291">
        <w:t xml:space="preserve">beauftragen kann. In diesem Fall soll die Vorschrift Absatz </w:t>
      </w:r>
      <w:r w:rsidRPr="005D0E91">
        <w:t>1</w:t>
      </w:r>
      <w:r>
        <w:t>.</w:t>
      </w:r>
      <w:r w:rsidRPr="005D0E91">
        <w:t>4</w:t>
      </w:r>
      <w:r>
        <w:t>.</w:t>
      </w:r>
      <w:r w:rsidRPr="005D0E91">
        <w:t>2</w:t>
      </w:r>
      <w:r>
        <w:t>.</w:t>
      </w:r>
      <w:r w:rsidRPr="005D0E91">
        <w:t>1</w:t>
      </w:r>
      <w:r>
        <w:t>.</w:t>
      </w:r>
      <w:r w:rsidRPr="005D0E91">
        <w:t>3</w:t>
      </w:r>
      <w:r w:rsidRPr="00725291">
        <w:t xml:space="preserve"> ADN Anwendung finden.</w:t>
      </w:r>
    </w:p>
    <w:p w14:paraId="07B5A4BA" w14:textId="77777777" w:rsidR="003F25FA" w:rsidRDefault="003F25FA" w:rsidP="003F25FA">
      <w:pPr>
        <w:pStyle w:val="SingleTxtG"/>
        <w:spacing w:after="0" w:line="240" w:lineRule="auto"/>
        <w:rPr>
          <w:iCs/>
        </w:rPr>
      </w:pPr>
    </w:p>
    <w:p w14:paraId="5E7D3B20" w14:textId="77777777" w:rsidR="003F25FA" w:rsidRPr="00C25A8D" w:rsidRDefault="003F25FA" w:rsidP="003F25FA">
      <w:pPr>
        <w:pStyle w:val="SingleTxtG"/>
        <w:spacing w:after="0" w:line="240" w:lineRule="auto"/>
        <w:rPr>
          <w:iCs/>
          <w:u w:val="single"/>
        </w:rPr>
      </w:pPr>
      <w:r w:rsidRPr="00C25A8D">
        <w:rPr>
          <w:iCs/>
          <w:u w:val="single"/>
        </w:rPr>
        <w:t>Überarbeiteter Entwurf</w:t>
      </w:r>
    </w:p>
    <w:p w14:paraId="05522660" w14:textId="77777777" w:rsidR="003F25FA" w:rsidRPr="00C25A8D" w:rsidRDefault="003F25FA" w:rsidP="003F25FA">
      <w:pPr>
        <w:pStyle w:val="SingleTxtG"/>
        <w:spacing w:after="0" w:line="240" w:lineRule="auto"/>
        <w:rPr>
          <w:iCs/>
        </w:rPr>
      </w:pPr>
    </w:p>
    <w:p w14:paraId="3B96EBFE" w14:textId="77777777" w:rsidR="003F25FA" w:rsidRPr="002912DC" w:rsidRDefault="003F25FA" w:rsidP="003F25FA">
      <w:pPr>
        <w:pStyle w:val="SingleTxtG"/>
        <w:spacing w:after="0" w:line="240" w:lineRule="auto"/>
        <w:ind w:left="2268" w:hanging="567"/>
      </w:pPr>
      <w:r w:rsidRPr="002912DC">
        <w:t>a)</w:t>
      </w:r>
      <w:r>
        <w:tab/>
      </w:r>
      <w:r w:rsidRPr="002912DC">
        <w:t xml:space="preserve">Der Absender </w:t>
      </w:r>
      <w:r>
        <w:t xml:space="preserve">nach 1.2.1 ADN </w:t>
      </w:r>
      <w:r w:rsidRPr="002912DC">
        <w:t xml:space="preserve">muss sicherstellen, dass </w:t>
      </w:r>
      <w:r>
        <w:t xml:space="preserve">alle </w:t>
      </w:r>
      <w:r w:rsidRPr="002912DC">
        <w:t xml:space="preserve">Rückstände von </w:t>
      </w:r>
      <w:r>
        <w:t>Begasungsmittel, das sind Tabletten, Schläuche oder Beutel</w:t>
      </w:r>
      <w:r w:rsidRPr="002912DC">
        <w:t xml:space="preserve">, sofern </w:t>
      </w:r>
      <w:r>
        <w:t>verwendet</w:t>
      </w:r>
      <w:r w:rsidRPr="002912DC">
        <w:t xml:space="preserve">, aus Partien, die zum Laden </w:t>
      </w:r>
      <w:r>
        <w:t xml:space="preserve">in das Schiff </w:t>
      </w:r>
      <w:r w:rsidRPr="002912DC">
        <w:t>vorgesehen sind, entfernt und ordnungsgemäß entsorgt werden.</w:t>
      </w:r>
    </w:p>
    <w:p w14:paraId="27E8552D" w14:textId="77777777" w:rsidR="003F25FA" w:rsidRDefault="003F25FA" w:rsidP="003F25FA">
      <w:pPr>
        <w:pStyle w:val="SingleTxtG"/>
        <w:spacing w:after="0" w:line="240" w:lineRule="auto"/>
        <w:rPr>
          <w:u w:val="single"/>
        </w:rPr>
      </w:pPr>
    </w:p>
    <w:p w14:paraId="17187A63" w14:textId="77777777" w:rsidR="003F25FA" w:rsidRPr="0019465D" w:rsidRDefault="003F25FA" w:rsidP="003F25FA">
      <w:pPr>
        <w:pStyle w:val="SingleTxtG"/>
        <w:spacing w:after="0" w:line="240" w:lineRule="auto"/>
        <w:rPr>
          <w:u w:val="single"/>
        </w:rPr>
      </w:pPr>
      <w:r w:rsidRPr="0019465D">
        <w:rPr>
          <w:u w:val="single"/>
        </w:rPr>
        <w:t>Aktueller Entwurf</w:t>
      </w:r>
    </w:p>
    <w:p w14:paraId="211BF60B" w14:textId="77777777" w:rsidR="003F25FA" w:rsidRPr="0019465D" w:rsidRDefault="003F25FA" w:rsidP="003F25FA">
      <w:pPr>
        <w:pStyle w:val="SingleTxtG"/>
        <w:spacing w:after="0" w:line="240" w:lineRule="auto"/>
        <w:ind w:left="2268" w:hanging="567"/>
      </w:pPr>
    </w:p>
    <w:p w14:paraId="48BAC1D0" w14:textId="77777777" w:rsidR="003F25FA" w:rsidRDefault="003F25FA" w:rsidP="003F25FA">
      <w:pPr>
        <w:pStyle w:val="SingleTxtG"/>
        <w:spacing w:after="0" w:line="240" w:lineRule="auto"/>
        <w:ind w:left="2268" w:hanging="567"/>
      </w:pPr>
      <w:r w:rsidRPr="003F472E">
        <w:t>b)</w:t>
      </w:r>
      <w:r>
        <w:tab/>
      </w:r>
      <w:r w:rsidRPr="003F472E">
        <w:t xml:space="preserve">unmittelbar [vor] [nach] </w:t>
      </w:r>
      <w:r w:rsidRPr="00C93825">
        <w:t>dem Einfüllen</w:t>
      </w:r>
      <w:r w:rsidRPr="003F472E">
        <w:t xml:space="preserve"> der</w:t>
      </w:r>
      <w:r>
        <w:t xml:space="preserve"> begasten Ladung in die Laderäume des Schiffes muss die Restkonzentration folgender giftiger Gase und Dämpfe aus Begasungsmitteln [in der Umgebungsluft] unterhalb der folgenden Werte liegen:</w:t>
      </w:r>
    </w:p>
    <w:p w14:paraId="3FAA1CC8" w14:textId="77777777" w:rsidR="003F25FA" w:rsidRPr="0019465D" w:rsidRDefault="003F25FA" w:rsidP="003F25FA">
      <w:pPr>
        <w:pStyle w:val="SingleTxtG"/>
        <w:spacing w:after="0" w:line="240" w:lineRule="auto"/>
        <w:ind w:left="2268" w:hanging="567"/>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9"/>
        <w:gridCol w:w="3040"/>
      </w:tblGrid>
      <w:tr w:rsidR="00945821" w:rsidRPr="007A37A9" w14:paraId="36E9E08E" w14:textId="77777777">
        <w:tc>
          <w:tcPr>
            <w:tcW w:w="3469" w:type="dxa"/>
            <w:shd w:val="clear" w:color="auto" w:fill="auto"/>
          </w:tcPr>
          <w:p w14:paraId="7C1F04C9" w14:textId="77777777" w:rsidR="003F25FA" w:rsidRPr="007A37A9" w:rsidRDefault="003F25FA">
            <w:pPr>
              <w:tabs>
                <w:tab w:val="left" w:pos="1418"/>
                <w:tab w:val="left" w:pos="2552"/>
              </w:tabs>
              <w:spacing w:before="20" w:after="40"/>
            </w:pPr>
            <w:r w:rsidRPr="007A37A9">
              <w:t>Phosphorwasserstoff (Phosphin)</w:t>
            </w:r>
          </w:p>
        </w:tc>
        <w:tc>
          <w:tcPr>
            <w:tcW w:w="3040" w:type="dxa"/>
            <w:shd w:val="clear" w:color="auto" w:fill="auto"/>
          </w:tcPr>
          <w:p w14:paraId="4D0794F2" w14:textId="77777777" w:rsidR="003F25FA" w:rsidRPr="007A37A9" w:rsidRDefault="003F25FA">
            <w:pPr>
              <w:tabs>
                <w:tab w:val="left" w:pos="1418"/>
                <w:tab w:val="left" w:pos="2552"/>
              </w:tabs>
              <w:spacing w:before="20" w:after="40"/>
            </w:pPr>
            <w:r w:rsidRPr="007A37A9">
              <w:t>[0,1 ppm]</w:t>
            </w:r>
          </w:p>
        </w:tc>
      </w:tr>
      <w:tr w:rsidR="00945821" w:rsidRPr="007A37A9" w14:paraId="0A6B6921" w14:textId="77777777">
        <w:tc>
          <w:tcPr>
            <w:tcW w:w="3469" w:type="dxa"/>
            <w:shd w:val="clear" w:color="auto" w:fill="auto"/>
          </w:tcPr>
          <w:p w14:paraId="45587CDB" w14:textId="77777777" w:rsidR="003F25FA" w:rsidRPr="007A37A9" w:rsidRDefault="003F25FA">
            <w:pPr>
              <w:tabs>
                <w:tab w:val="left" w:pos="1418"/>
                <w:tab w:val="left" w:pos="2552"/>
              </w:tabs>
              <w:spacing w:before="20" w:after="40"/>
            </w:pPr>
            <w:r w:rsidRPr="007A37A9">
              <w:t>Sulfurylfluorid</w:t>
            </w:r>
          </w:p>
        </w:tc>
        <w:tc>
          <w:tcPr>
            <w:tcW w:w="3040" w:type="dxa"/>
            <w:shd w:val="clear" w:color="auto" w:fill="auto"/>
          </w:tcPr>
          <w:p w14:paraId="6EBAAC28" w14:textId="77777777" w:rsidR="003F25FA" w:rsidRPr="007A37A9" w:rsidRDefault="003F25FA">
            <w:pPr>
              <w:tabs>
                <w:tab w:val="left" w:pos="1418"/>
                <w:tab w:val="left" w:pos="2552"/>
              </w:tabs>
              <w:spacing w:before="20" w:after="40"/>
            </w:pPr>
            <w:r w:rsidRPr="007A37A9">
              <w:t>[10,0 mg/m³]</w:t>
            </w:r>
          </w:p>
        </w:tc>
      </w:tr>
      <w:tr w:rsidR="00945821" w:rsidRPr="007A37A9" w14:paraId="740FE19E" w14:textId="77777777">
        <w:tc>
          <w:tcPr>
            <w:tcW w:w="3469" w:type="dxa"/>
            <w:shd w:val="clear" w:color="auto" w:fill="auto"/>
          </w:tcPr>
          <w:p w14:paraId="55ACCE5C" w14:textId="77777777" w:rsidR="003F25FA" w:rsidRPr="007A37A9" w:rsidRDefault="003F25FA">
            <w:pPr>
              <w:tabs>
                <w:tab w:val="left" w:pos="1418"/>
                <w:tab w:val="left" w:pos="2552"/>
              </w:tabs>
              <w:spacing w:before="20" w:after="40"/>
            </w:pPr>
            <w:r w:rsidRPr="007A37A9">
              <w:t>Methylbromid</w:t>
            </w:r>
            <w:r>
              <w:rPr>
                <w:vertAlign w:val="superscript"/>
              </w:rPr>
              <w:t>*</w:t>
            </w:r>
          </w:p>
        </w:tc>
        <w:tc>
          <w:tcPr>
            <w:tcW w:w="3040" w:type="dxa"/>
            <w:shd w:val="clear" w:color="auto" w:fill="auto"/>
          </w:tcPr>
          <w:p w14:paraId="6175822D" w14:textId="77777777" w:rsidR="003F25FA" w:rsidRPr="007A37A9" w:rsidRDefault="003F25FA">
            <w:pPr>
              <w:tabs>
                <w:tab w:val="left" w:pos="1418"/>
                <w:tab w:val="left" w:pos="2552"/>
              </w:tabs>
              <w:spacing w:before="20" w:after="40"/>
            </w:pPr>
            <w:r w:rsidRPr="007A37A9">
              <w:t>[1 ppm]</w:t>
            </w:r>
          </w:p>
        </w:tc>
      </w:tr>
    </w:tbl>
    <w:p w14:paraId="204F7278" w14:textId="77777777" w:rsidR="003F25FA" w:rsidRDefault="003F25FA" w:rsidP="003F25FA">
      <w:pPr>
        <w:tabs>
          <w:tab w:val="left" w:pos="1418"/>
          <w:tab w:val="left" w:pos="2552"/>
        </w:tabs>
        <w:spacing w:line="240" w:lineRule="auto"/>
        <w:ind w:left="2836" w:right="1134" w:hanging="284"/>
        <w:rPr>
          <w:sz w:val="18"/>
          <w:vertAlign w:val="superscript"/>
        </w:rPr>
      </w:pPr>
    </w:p>
    <w:p w14:paraId="22E73A0A" w14:textId="77777777" w:rsidR="003F25FA" w:rsidRPr="00643673" w:rsidRDefault="003F25FA" w:rsidP="003F25FA">
      <w:pPr>
        <w:tabs>
          <w:tab w:val="left" w:pos="1418"/>
          <w:tab w:val="left" w:pos="2552"/>
        </w:tabs>
        <w:spacing w:after="240"/>
        <w:ind w:left="2836" w:hanging="284"/>
        <w:rPr>
          <w:sz w:val="18"/>
        </w:rPr>
      </w:pPr>
      <w:r w:rsidRPr="00C93F70">
        <w:rPr>
          <w:sz w:val="18"/>
          <w:vertAlign w:val="superscript"/>
        </w:rPr>
        <w:t>*</w:t>
      </w:r>
      <w:r>
        <w:rPr>
          <w:sz w:val="18"/>
        </w:rPr>
        <w:t xml:space="preserve"> </w:t>
      </w:r>
      <w:r>
        <w:rPr>
          <w:i/>
        </w:rPr>
        <w:t>der Einsatz ist Vertragsparteien, die Mitglieder der Europäischen Union sind, nach EU-Recht verboten.</w:t>
      </w:r>
    </w:p>
    <w:p w14:paraId="1BAA604F" w14:textId="77777777" w:rsidR="003F25FA" w:rsidRPr="0019465D" w:rsidRDefault="003F25FA" w:rsidP="003F25FA">
      <w:pPr>
        <w:pStyle w:val="SingleTxtG"/>
        <w:spacing w:after="0" w:line="240" w:lineRule="auto"/>
        <w:rPr>
          <w:iCs/>
          <w:u w:val="single"/>
        </w:rPr>
      </w:pPr>
    </w:p>
    <w:p w14:paraId="723D85E5" w14:textId="77777777" w:rsidR="003F25FA" w:rsidRPr="001228E7" w:rsidRDefault="003F25FA" w:rsidP="003F25FA">
      <w:pPr>
        <w:pStyle w:val="SingleTxtG"/>
        <w:spacing w:after="0" w:line="240" w:lineRule="auto"/>
        <w:rPr>
          <w:iCs/>
          <w:u w:val="single"/>
        </w:rPr>
      </w:pPr>
      <w:r>
        <w:rPr>
          <w:iCs/>
          <w:u w:val="single"/>
        </w:rPr>
        <w:t>Überlegungen</w:t>
      </w:r>
    </w:p>
    <w:p w14:paraId="3D46A22B" w14:textId="77777777" w:rsidR="003F25FA" w:rsidRDefault="003F25FA" w:rsidP="003F25FA">
      <w:pPr>
        <w:pStyle w:val="SingleTxtG"/>
        <w:spacing w:after="0" w:line="240" w:lineRule="auto"/>
        <w:rPr>
          <w:iCs/>
        </w:rPr>
      </w:pPr>
    </w:p>
    <w:p w14:paraId="59C82EC0" w14:textId="77777777" w:rsidR="003F25FA" w:rsidRDefault="003F25FA" w:rsidP="003F25FA">
      <w:pPr>
        <w:pStyle w:val="SingleTxtG"/>
        <w:numPr>
          <w:ilvl w:val="0"/>
          <w:numId w:val="26"/>
        </w:numPr>
        <w:spacing w:after="0" w:line="240" w:lineRule="auto"/>
      </w:pPr>
      <w:r w:rsidRPr="0047608B">
        <w:t>Es wurde bestätigt, dass es sich bei den drei genannten Mittel um die einzigen handelt, die sinnvollerweise für die Schädlingsbekämpfung in Schüttgütern des Agrarhandels verwendet werden.</w:t>
      </w:r>
    </w:p>
    <w:p w14:paraId="6FB66180" w14:textId="77777777" w:rsidR="003F25FA" w:rsidRDefault="003F25FA" w:rsidP="003F25FA">
      <w:pPr>
        <w:pStyle w:val="SingleTxtG"/>
        <w:numPr>
          <w:ilvl w:val="0"/>
          <w:numId w:val="26"/>
        </w:numPr>
        <w:spacing w:after="0" w:line="240" w:lineRule="auto"/>
      </w:pPr>
      <w:r>
        <w:t>Keine Einigkeit wurde darüber erzielt, ob d</w:t>
      </w:r>
      <w:r w:rsidRPr="00BD0A76">
        <w:t xml:space="preserve">as Begasungsmittel Cyanwasserstoff </w:t>
      </w:r>
      <w:r>
        <w:t>für die Begasung von Lebensmitteln und Futter zugelassen ist, oder ob es nur z.B. in leeren Räumen, Laderäumen und Silos verwendet werden darf.</w:t>
      </w:r>
    </w:p>
    <w:p w14:paraId="42C75EF7" w14:textId="77777777" w:rsidR="003F25FA" w:rsidRPr="0082644F" w:rsidRDefault="003F25FA" w:rsidP="003F25FA">
      <w:pPr>
        <w:pStyle w:val="SingleTxtG"/>
        <w:numPr>
          <w:ilvl w:val="0"/>
          <w:numId w:val="26"/>
        </w:numPr>
        <w:spacing w:after="0" w:line="240" w:lineRule="auto"/>
      </w:pPr>
      <w:r>
        <w:lastRenderedPageBreak/>
        <w:t>In Bezug auf Phosphin wurde erläutert, dass der MAK-Wert von 0,1 ppm für 8 Stunden/Tag, 40 Stunden/Woche gilt. Für 24 Stunden wurde der Wert auf 0,03 ppm (0,1/3) berechnet. Aufgrund der niedrigen LOD von 0,01 ppm für Phosphin wurde der "TLV" für umstehende Personen und unerwartete Bereiche (außerhalb der Gefahrenzone) auf 0,01 ppm festgelegt. Dieser Wert ist durch das EU-Biozid-/Pflanzenschutzrecht legitimiert.</w:t>
      </w:r>
    </w:p>
    <w:p w14:paraId="7593001F" w14:textId="77777777" w:rsidR="003F25FA" w:rsidRPr="0082644F" w:rsidRDefault="003F25FA" w:rsidP="003F25FA">
      <w:pPr>
        <w:pStyle w:val="SingleTxtG"/>
        <w:numPr>
          <w:ilvl w:val="0"/>
          <w:numId w:val="26"/>
        </w:numPr>
        <w:spacing w:after="0" w:line="240" w:lineRule="auto"/>
      </w:pPr>
      <w:r w:rsidRPr="00B41F04">
        <w:t>Gemäß dem einschlägigen EU Recht liegt der z</w:t>
      </w:r>
      <w:r>
        <w:t xml:space="preserve">ulässige Wert für </w:t>
      </w:r>
      <w:r w:rsidRPr="00B41F04">
        <w:t xml:space="preserve">Sulfuryl Fluoride </w:t>
      </w:r>
      <w:r>
        <w:t>bei</w:t>
      </w:r>
      <w:r w:rsidRPr="00B41F04">
        <w:t xml:space="preserve"> 3ppm. </w:t>
      </w:r>
      <w:r w:rsidRPr="002F01BB">
        <w:t>Die Korrespondenzgruppe zog in Betracht, den niedrigsten Grenzwert aus den</w:t>
      </w:r>
      <w:r>
        <w:t xml:space="preserve"> ADN-Vertragsparteien anzusetzen. Der Vertreter der Niederland nannte einen niedrigeren Grenzwert.</w:t>
      </w:r>
    </w:p>
    <w:p w14:paraId="23788FA9" w14:textId="77777777" w:rsidR="003F25FA" w:rsidRPr="0047608B" w:rsidRDefault="003F25FA" w:rsidP="003F25FA">
      <w:pPr>
        <w:pStyle w:val="SingleTxtG"/>
        <w:numPr>
          <w:ilvl w:val="0"/>
          <w:numId w:val="26"/>
        </w:numPr>
        <w:spacing w:after="0" w:line="240" w:lineRule="auto"/>
      </w:pPr>
      <w:r>
        <w:t>Güter, die mit anderen, nicht in der Tabelle enthaltenen Begasungsmitteln behandelt wurden, sollen auf keinen Fall befördert werden dürfen.</w:t>
      </w:r>
    </w:p>
    <w:p w14:paraId="632C1D89" w14:textId="77777777" w:rsidR="003F25FA" w:rsidRPr="0047608B" w:rsidRDefault="003F25FA" w:rsidP="003F25FA">
      <w:pPr>
        <w:pStyle w:val="SingleTxtG"/>
        <w:numPr>
          <w:ilvl w:val="0"/>
          <w:numId w:val="26"/>
        </w:numPr>
        <w:spacing w:after="0" w:line="240" w:lineRule="auto"/>
      </w:pPr>
      <w:r w:rsidRPr="0047608B">
        <w:t>Bei den Grenzwerten soll die maximale Exposition über 24 Stunden zugrunde gelegt werden, weil sich Schiffspersonal rund um die Uhr in der Nähe der Ladung aufhält.</w:t>
      </w:r>
    </w:p>
    <w:p w14:paraId="2E75F420" w14:textId="77777777" w:rsidR="003F25FA" w:rsidRDefault="003F25FA" w:rsidP="003F25FA">
      <w:pPr>
        <w:pStyle w:val="SingleTxtG"/>
        <w:numPr>
          <w:ilvl w:val="0"/>
          <w:numId w:val="26"/>
        </w:numPr>
        <w:spacing w:after="0" w:line="240" w:lineRule="auto"/>
      </w:pPr>
      <w:r w:rsidRPr="00E56DDC">
        <w:t>Für</w:t>
      </w:r>
      <w:r w:rsidRPr="0047608B">
        <w:t xml:space="preserve"> Methyl-Bromid, das eventuell noch in ADN-Vertragsparteien verwendet wird, die nicht Mitglied der Europäischen Union sind, soll der zuletzt vor dem Verbot in den Niederlanden benannte Grenzwert übernommen werden.</w:t>
      </w:r>
    </w:p>
    <w:p w14:paraId="7E2343EA" w14:textId="77777777" w:rsidR="003F25FA" w:rsidRPr="0047608B" w:rsidRDefault="003F25FA" w:rsidP="003F25FA">
      <w:pPr>
        <w:pStyle w:val="SingleTxtG"/>
        <w:numPr>
          <w:ilvl w:val="0"/>
          <w:numId w:val="26"/>
        </w:numPr>
        <w:spacing w:after="0" w:line="240" w:lineRule="auto"/>
      </w:pPr>
      <w:r>
        <w:t>Die Grenzwerte sollen für die Umgebungsluft und nicht für das Schüttgut selbst gelten, weil es um den Schutz von Personen geht, die sich in der Umgebungsluft aufhalten werden.</w:t>
      </w:r>
    </w:p>
    <w:p w14:paraId="29F17579" w14:textId="77777777" w:rsidR="003F25FA" w:rsidRPr="00727441" w:rsidRDefault="003F25FA" w:rsidP="003F25FA">
      <w:pPr>
        <w:pStyle w:val="SingleTxtG"/>
        <w:spacing w:after="0" w:line="240" w:lineRule="auto"/>
        <w:rPr>
          <w:iCs/>
          <w:u w:val="single"/>
        </w:rPr>
      </w:pPr>
    </w:p>
    <w:p w14:paraId="2F347A66" w14:textId="77777777" w:rsidR="003F25FA" w:rsidRPr="00F164A8" w:rsidRDefault="003F25FA" w:rsidP="003F25FA">
      <w:pPr>
        <w:pStyle w:val="SingleTxtG"/>
        <w:spacing w:after="0" w:line="240" w:lineRule="auto"/>
        <w:rPr>
          <w:iCs/>
          <w:u w:val="single"/>
        </w:rPr>
      </w:pPr>
      <w:r w:rsidRPr="00F164A8">
        <w:rPr>
          <w:iCs/>
          <w:u w:val="single"/>
        </w:rPr>
        <w:t>Überarbeiteter Entwurf</w:t>
      </w:r>
    </w:p>
    <w:p w14:paraId="0B4873EC" w14:textId="77777777" w:rsidR="003F25FA" w:rsidRPr="00F164A8" w:rsidRDefault="003F25FA" w:rsidP="003F25FA">
      <w:pPr>
        <w:pStyle w:val="SingleTxtG"/>
        <w:spacing w:after="0" w:line="240" w:lineRule="auto"/>
        <w:ind w:left="2268" w:hanging="567"/>
      </w:pPr>
    </w:p>
    <w:p w14:paraId="7593E88B" w14:textId="77777777" w:rsidR="003F25FA" w:rsidRDefault="003F25FA" w:rsidP="003F25FA">
      <w:pPr>
        <w:pStyle w:val="SingleTxtG"/>
        <w:spacing w:after="0" w:line="240" w:lineRule="auto"/>
        <w:ind w:left="2268" w:hanging="567"/>
      </w:pPr>
      <w:r w:rsidRPr="003F472E">
        <w:t>b)</w:t>
      </w:r>
      <w:r>
        <w:tab/>
      </w:r>
      <w:r w:rsidRPr="003F472E">
        <w:t xml:space="preserve">unmittelbar </w:t>
      </w:r>
      <w:r w:rsidRPr="00F164A8">
        <w:t xml:space="preserve">vor oder während der Befüllung, sowie unmittelbar nach </w:t>
      </w:r>
      <w:r w:rsidRPr="00C93825">
        <w:t>dem Einfüllen</w:t>
      </w:r>
      <w:r w:rsidRPr="003F472E">
        <w:t xml:space="preserve"> der</w:t>
      </w:r>
      <w:r>
        <w:t xml:space="preserve"> begasten Ladung in die Laderäume des Schiffes muss die Restkonzentration folgender giftiger Gase und Dämpfe aus Begasungsmitteln [in der Umgebungsluft] unterhalb der folgenden Werte liegen:</w:t>
      </w:r>
    </w:p>
    <w:p w14:paraId="464D0519" w14:textId="77777777" w:rsidR="003F25FA" w:rsidRPr="0019465D" w:rsidRDefault="003F25FA" w:rsidP="003F25FA">
      <w:pPr>
        <w:pStyle w:val="SingleTxtG"/>
        <w:spacing w:after="0" w:line="240" w:lineRule="auto"/>
        <w:ind w:left="2268" w:hanging="567"/>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9"/>
        <w:gridCol w:w="3040"/>
      </w:tblGrid>
      <w:tr w:rsidR="00945821" w:rsidRPr="007A37A9" w14:paraId="70BCF339" w14:textId="77777777">
        <w:tc>
          <w:tcPr>
            <w:tcW w:w="3469" w:type="dxa"/>
            <w:shd w:val="clear" w:color="auto" w:fill="FFFF00"/>
          </w:tcPr>
          <w:p w14:paraId="13C95971" w14:textId="77777777" w:rsidR="003F25FA" w:rsidRPr="0024743A" w:rsidRDefault="003F25FA">
            <w:pPr>
              <w:tabs>
                <w:tab w:val="left" w:pos="1418"/>
                <w:tab w:val="left" w:pos="2552"/>
              </w:tabs>
              <w:spacing w:before="20" w:after="40"/>
            </w:pPr>
            <w:r w:rsidRPr="0024743A">
              <w:t>Phosphorwasserstoff (Phosphin)</w:t>
            </w:r>
          </w:p>
        </w:tc>
        <w:tc>
          <w:tcPr>
            <w:tcW w:w="3040" w:type="dxa"/>
            <w:shd w:val="clear" w:color="auto" w:fill="FFFF00"/>
          </w:tcPr>
          <w:p w14:paraId="2E78F0DC" w14:textId="77777777" w:rsidR="003F25FA" w:rsidRPr="007A37A9" w:rsidRDefault="003F25FA">
            <w:pPr>
              <w:tabs>
                <w:tab w:val="left" w:pos="1418"/>
                <w:tab w:val="left" w:pos="2552"/>
              </w:tabs>
              <w:spacing w:before="20" w:after="40"/>
              <w:ind w:left="208"/>
            </w:pPr>
            <w:r w:rsidRPr="0024743A">
              <w:t>0,1/0,01 ppm</w:t>
            </w:r>
          </w:p>
        </w:tc>
      </w:tr>
      <w:tr w:rsidR="00945821" w:rsidRPr="007A37A9" w14:paraId="4B22D512" w14:textId="77777777">
        <w:tc>
          <w:tcPr>
            <w:tcW w:w="3469" w:type="dxa"/>
            <w:shd w:val="clear" w:color="auto" w:fill="auto"/>
          </w:tcPr>
          <w:p w14:paraId="1BCBC09A" w14:textId="77777777" w:rsidR="003F25FA" w:rsidRPr="007A37A9" w:rsidRDefault="003F25FA">
            <w:pPr>
              <w:tabs>
                <w:tab w:val="left" w:pos="1418"/>
                <w:tab w:val="left" w:pos="2552"/>
              </w:tabs>
              <w:spacing w:before="20" w:after="40"/>
            </w:pPr>
            <w:r w:rsidRPr="007A37A9">
              <w:t>Sulfurylfluorid</w:t>
            </w:r>
          </w:p>
        </w:tc>
        <w:tc>
          <w:tcPr>
            <w:tcW w:w="3040" w:type="dxa"/>
            <w:shd w:val="clear" w:color="auto" w:fill="auto"/>
          </w:tcPr>
          <w:p w14:paraId="72A8A730" w14:textId="77777777" w:rsidR="003F25FA" w:rsidRPr="007A37A9" w:rsidRDefault="003F25FA">
            <w:pPr>
              <w:tabs>
                <w:tab w:val="left" w:pos="1418"/>
                <w:tab w:val="left" w:pos="2552"/>
              </w:tabs>
              <w:spacing w:before="20" w:after="40"/>
              <w:ind w:left="208"/>
            </w:pPr>
            <w:r>
              <w:t>0.1 ppm</w:t>
            </w:r>
          </w:p>
        </w:tc>
      </w:tr>
      <w:tr w:rsidR="00945821" w:rsidRPr="007A37A9" w14:paraId="24D8DA1B" w14:textId="77777777">
        <w:tc>
          <w:tcPr>
            <w:tcW w:w="3469" w:type="dxa"/>
            <w:shd w:val="clear" w:color="auto" w:fill="auto"/>
          </w:tcPr>
          <w:p w14:paraId="1254FE77" w14:textId="77777777" w:rsidR="003F25FA" w:rsidRPr="007A37A9" w:rsidRDefault="003F25FA">
            <w:pPr>
              <w:tabs>
                <w:tab w:val="left" w:pos="1418"/>
                <w:tab w:val="left" w:pos="2552"/>
              </w:tabs>
              <w:spacing w:before="20" w:after="40"/>
            </w:pPr>
            <w:r w:rsidRPr="007A37A9">
              <w:t>Methylbromid</w:t>
            </w:r>
            <w:r>
              <w:rPr>
                <w:vertAlign w:val="superscript"/>
              </w:rPr>
              <w:t>*</w:t>
            </w:r>
          </w:p>
        </w:tc>
        <w:tc>
          <w:tcPr>
            <w:tcW w:w="3040" w:type="dxa"/>
            <w:shd w:val="clear" w:color="auto" w:fill="auto"/>
          </w:tcPr>
          <w:p w14:paraId="61B2D66C" w14:textId="77777777" w:rsidR="003F25FA" w:rsidRPr="007A37A9" w:rsidRDefault="003F25FA">
            <w:pPr>
              <w:tabs>
                <w:tab w:val="left" w:pos="1418"/>
                <w:tab w:val="left" w:pos="2552"/>
              </w:tabs>
              <w:spacing w:before="20" w:after="40"/>
              <w:ind w:left="208"/>
            </w:pPr>
            <w:r>
              <w:t xml:space="preserve">0,25 </w:t>
            </w:r>
            <w:r w:rsidRPr="007A37A9">
              <w:t>ppm</w:t>
            </w:r>
          </w:p>
        </w:tc>
      </w:tr>
    </w:tbl>
    <w:p w14:paraId="2E3414BA" w14:textId="77777777" w:rsidR="003F25FA" w:rsidRDefault="003F25FA" w:rsidP="003F25FA">
      <w:pPr>
        <w:tabs>
          <w:tab w:val="left" w:pos="1418"/>
          <w:tab w:val="left" w:pos="2552"/>
        </w:tabs>
        <w:spacing w:line="240" w:lineRule="auto"/>
        <w:ind w:left="2836" w:right="1134" w:hanging="284"/>
        <w:rPr>
          <w:sz w:val="18"/>
          <w:vertAlign w:val="superscript"/>
        </w:rPr>
      </w:pPr>
    </w:p>
    <w:p w14:paraId="1F0BF206" w14:textId="77777777" w:rsidR="003F25FA" w:rsidRPr="00643673" w:rsidRDefault="003F25FA" w:rsidP="003F25FA">
      <w:pPr>
        <w:tabs>
          <w:tab w:val="left" w:pos="1418"/>
          <w:tab w:val="left" w:pos="2552"/>
        </w:tabs>
        <w:spacing w:after="240"/>
        <w:ind w:left="2836" w:hanging="284"/>
        <w:rPr>
          <w:sz w:val="18"/>
        </w:rPr>
      </w:pPr>
      <w:r w:rsidRPr="00C93F70">
        <w:rPr>
          <w:sz w:val="18"/>
          <w:vertAlign w:val="superscript"/>
        </w:rPr>
        <w:t>*</w:t>
      </w:r>
      <w:r>
        <w:rPr>
          <w:sz w:val="18"/>
        </w:rPr>
        <w:t xml:space="preserve"> </w:t>
      </w:r>
      <w:r>
        <w:rPr>
          <w:i/>
        </w:rPr>
        <w:t>der Einsatz ist Vertragsparteien, die Mitglieder der Europäischen Union sind, nach EU-Recht verboten.</w:t>
      </w:r>
    </w:p>
    <w:p w14:paraId="28508A7A" w14:textId="77777777" w:rsidR="003F25FA" w:rsidRPr="00533E92" w:rsidRDefault="003F25FA" w:rsidP="003F25FA">
      <w:pPr>
        <w:pStyle w:val="SingleTxtG"/>
        <w:spacing w:after="0" w:line="240" w:lineRule="auto"/>
        <w:rPr>
          <w:iCs/>
        </w:rPr>
      </w:pPr>
    </w:p>
    <w:p w14:paraId="34DD29EF" w14:textId="77777777" w:rsidR="003F25FA" w:rsidRPr="00005EE7" w:rsidRDefault="003F25FA" w:rsidP="003F25FA">
      <w:pPr>
        <w:pStyle w:val="SingleTxtG"/>
        <w:spacing w:after="0" w:line="240" w:lineRule="auto"/>
        <w:rPr>
          <w:u w:val="single"/>
        </w:rPr>
      </w:pPr>
      <w:r w:rsidRPr="00005EE7">
        <w:rPr>
          <w:u w:val="single"/>
        </w:rPr>
        <w:t>Aktueller Entwurf</w:t>
      </w:r>
    </w:p>
    <w:p w14:paraId="239E97D5" w14:textId="77777777" w:rsidR="003F25FA" w:rsidRPr="00005EE7" w:rsidRDefault="003F25FA" w:rsidP="003F25FA">
      <w:pPr>
        <w:pStyle w:val="SingleTxtG"/>
        <w:spacing w:after="0" w:line="240" w:lineRule="auto"/>
        <w:ind w:left="2268" w:hanging="567"/>
      </w:pPr>
    </w:p>
    <w:p w14:paraId="16339056" w14:textId="77777777" w:rsidR="003F25FA" w:rsidRPr="001E38B7" w:rsidRDefault="003F25FA" w:rsidP="003F25FA">
      <w:pPr>
        <w:pStyle w:val="SingleTxtG"/>
        <w:spacing w:after="0" w:line="240" w:lineRule="auto"/>
        <w:ind w:left="2268" w:hanging="567"/>
      </w:pPr>
      <w:bookmarkStart w:id="1" w:name="_Hlk134605917"/>
      <w:r>
        <w:t>c)</w:t>
      </w:r>
      <w:r>
        <w:tab/>
        <w:t>Der Befüller nach 1.2.1 ADN hat sicherzustellen, dass eine Freimessung vorgenommen wurde und dass die obengenannten Grenzwerte eingehalten werden. [Die Mitteilung muss während der Fahrt an Bord mitgeführt werden.]</w:t>
      </w:r>
    </w:p>
    <w:bookmarkEnd w:id="1"/>
    <w:p w14:paraId="5334F16F" w14:textId="77777777" w:rsidR="003F25FA" w:rsidRPr="0055712E" w:rsidRDefault="003F25FA" w:rsidP="003F25FA">
      <w:pPr>
        <w:pStyle w:val="SingleTxtG"/>
        <w:spacing w:after="0" w:line="240" w:lineRule="auto"/>
        <w:ind w:left="2268" w:hanging="567"/>
      </w:pPr>
    </w:p>
    <w:p w14:paraId="311F0006" w14:textId="77777777" w:rsidR="003F25FA" w:rsidRPr="001228E7" w:rsidRDefault="003F25FA" w:rsidP="003F25FA">
      <w:pPr>
        <w:pStyle w:val="SingleTxtG"/>
        <w:spacing w:after="0" w:line="240" w:lineRule="auto"/>
        <w:rPr>
          <w:iCs/>
          <w:u w:val="single"/>
        </w:rPr>
      </w:pPr>
      <w:r>
        <w:rPr>
          <w:iCs/>
          <w:u w:val="single"/>
        </w:rPr>
        <w:t>Überlegungen</w:t>
      </w:r>
    </w:p>
    <w:p w14:paraId="0D50B1B6" w14:textId="77777777" w:rsidR="003F25FA" w:rsidRDefault="003F25FA" w:rsidP="003F25FA">
      <w:pPr>
        <w:pStyle w:val="SingleTxtG"/>
        <w:spacing w:after="0" w:line="240" w:lineRule="auto"/>
        <w:rPr>
          <w:iCs/>
        </w:rPr>
      </w:pPr>
    </w:p>
    <w:p w14:paraId="6BBE4A30" w14:textId="77777777" w:rsidR="003F25FA" w:rsidRPr="0082340F" w:rsidRDefault="003F25FA" w:rsidP="003F25FA">
      <w:pPr>
        <w:pStyle w:val="SingleTxtG"/>
        <w:numPr>
          <w:ilvl w:val="0"/>
          <w:numId w:val="26"/>
        </w:numPr>
        <w:spacing w:after="0" w:line="240" w:lineRule="auto"/>
      </w:pPr>
      <w:r w:rsidRPr="0082340F">
        <w:t>An der Verpflichtung zu Messungen wird festgehalten. Für die Umschlags- oder Silobetriebe wird davon ausgegangen, dass sie schon aus Gründen der allgemeinen Arbeitssicherheit entsprechend qualifiziertes Fachpersonal beschäftigen.</w:t>
      </w:r>
    </w:p>
    <w:p w14:paraId="7E3100AE" w14:textId="77777777" w:rsidR="003F25FA" w:rsidRPr="0082340F" w:rsidRDefault="003F25FA" w:rsidP="003F25FA">
      <w:pPr>
        <w:pStyle w:val="SingleTxtG"/>
        <w:numPr>
          <w:ilvl w:val="0"/>
          <w:numId w:val="26"/>
        </w:numPr>
        <w:spacing w:after="0" w:line="240" w:lineRule="auto"/>
      </w:pPr>
      <w:r w:rsidRPr="0082340F">
        <w:t>Die Information an den Schiffsführer über das Messergebnis wird als sehr wichtiger Baustein angesehen. Sie sollte in „Textform“ an Bord mitgeführt werden.</w:t>
      </w:r>
    </w:p>
    <w:p w14:paraId="38F40D1F" w14:textId="77777777" w:rsidR="003F25FA" w:rsidRDefault="003F25FA" w:rsidP="003F25FA">
      <w:pPr>
        <w:pStyle w:val="SingleTxtG"/>
        <w:numPr>
          <w:ilvl w:val="0"/>
          <w:numId w:val="26"/>
        </w:numPr>
        <w:spacing w:after="0" w:line="240" w:lineRule="auto"/>
      </w:pPr>
      <w:r w:rsidRPr="0082340F">
        <w:t>Eine Benennung bestimmter Messstandards wird nicht als nötig angesehen, weil es hierfür einen internationalen „State-of-the-Art“ gibt.</w:t>
      </w:r>
    </w:p>
    <w:p w14:paraId="05A8261F" w14:textId="77777777" w:rsidR="003F25FA" w:rsidRPr="0082340F" w:rsidRDefault="003F25FA" w:rsidP="003F25FA">
      <w:pPr>
        <w:pStyle w:val="SingleTxtG"/>
        <w:numPr>
          <w:ilvl w:val="0"/>
          <w:numId w:val="26"/>
        </w:numPr>
        <w:spacing w:after="0" w:line="240" w:lineRule="auto"/>
      </w:pPr>
      <w:r>
        <w:t>Wenn die Messungen Werte über den vorgenannten Grenzwerten anzeigen, soll das Binnenschifffahrt die Fahrt nicht antreten.</w:t>
      </w:r>
    </w:p>
    <w:p w14:paraId="1ECB2E28" w14:textId="77777777" w:rsidR="003F25FA" w:rsidRDefault="003F25FA" w:rsidP="003F25FA">
      <w:pPr>
        <w:pStyle w:val="SingleTxtG"/>
        <w:spacing w:after="0" w:line="240" w:lineRule="auto"/>
        <w:rPr>
          <w:iCs/>
        </w:rPr>
      </w:pPr>
    </w:p>
    <w:p w14:paraId="73B68587" w14:textId="77777777" w:rsidR="003F25FA" w:rsidRPr="00F91049" w:rsidRDefault="003F25FA" w:rsidP="003F25FA">
      <w:pPr>
        <w:pStyle w:val="SingleTxtG"/>
        <w:spacing w:after="0" w:line="240" w:lineRule="auto"/>
        <w:rPr>
          <w:iCs/>
          <w:u w:val="single"/>
        </w:rPr>
      </w:pPr>
      <w:r w:rsidRPr="00F91049">
        <w:rPr>
          <w:iCs/>
          <w:u w:val="single"/>
        </w:rPr>
        <w:t>Überarbeiteter Entwurf</w:t>
      </w:r>
    </w:p>
    <w:p w14:paraId="3C2D7372" w14:textId="77777777" w:rsidR="003F25FA" w:rsidRPr="00F91049" w:rsidRDefault="003F25FA" w:rsidP="003F25FA">
      <w:pPr>
        <w:pStyle w:val="SingleTxtG"/>
        <w:spacing w:after="0" w:line="240" w:lineRule="auto"/>
        <w:rPr>
          <w:iCs/>
        </w:rPr>
      </w:pPr>
    </w:p>
    <w:p w14:paraId="36B2A95E" w14:textId="77777777" w:rsidR="003F25FA" w:rsidRPr="001E38B7" w:rsidRDefault="003F25FA" w:rsidP="003F25FA">
      <w:pPr>
        <w:pStyle w:val="SingleTxtG"/>
        <w:spacing w:after="0" w:line="240" w:lineRule="auto"/>
        <w:ind w:left="2268" w:hanging="567"/>
      </w:pPr>
      <w:r>
        <w:t>c)</w:t>
      </w:r>
      <w:r>
        <w:tab/>
        <w:t xml:space="preserve">Der Befüller nach 1.2.1 ADN hat sicherzustellen, dass eine Freimessung vorgenommen wurde und dass die obengenannten Grenzwerte eingehalten </w:t>
      </w:r>
      <w:r>
        <w:lastRenderedPageBreak/>
        <w:t>werden. Die Mitteilung muss während der Fahrt in Textform an Bord mitgeführt werden.</w:t>
      </w:r>
    </w:p>
    <w:p w14:paraId="7F184387" w14:textId="77777777" w:rsidR="003F25FA" w:rsidRDefault="003F25FA" w:rsidP="003F25FA">
      <w:pPr>
        <w:pStyle w:val="SingleTxtG"/>
        <w:spacing w:after="0" w:line="240" w:lineRule="auto"/>
        <w:ind w:left="2268" w:hanging="567"/>
      </w:pPr>
    </w:p>
    <w:p w14:paraId="60E37DB7" w14:textId="77777777" w:rsidR="003F25FA" w:rsidRDefault="003F25FA" w:rsidP="003F25FA">
      <w:pPr>
        <w:pStyle w:val="SingleTxtG"/>
        <w:spacing w:after="0" w:line="240" w:lineRule="auto"/>
        <w:rPr>
          <w:u w:val="single"/>
        </w:rPr>
      </w:pPr>
    </w:p>
    <w:p w14:paraId="125AB012" w14:textId="77777777" w:rsidR="003F25FA" w:rsidRDefault="003F25FA" w:rsidP="003F25FA">
      <w:pPr>
        <w:pStyle w:val="SingleTxtG"/>
        <w:spacing w:after="0" w:line="240" w:lineRule="auto"/>
        <w:rPr>
          <w:u w:val="single"/>
        </w:rPr>
      </w:pPr>
    </w:p>
    <w:p w14:paraId="3C216D2B" w14:textId="77777777" w:rsidR="003F25FA" w:rsidRDefault="003F25FA" w:rsidP="003F25FA">
      <w:pPr>
        <w:pStyle w:val="SingleTxtG"/>
        <w:spacing w:after="0" w:line="240" w:lineRule="auto"/>
        <w:rPr>
          <w:u w:val="single"/>
        </w:rPr>
      </w:pPr>
    </w:p>
    <w:p w14:paraId="6965E129" w14:textId="77777777" w:rsidR="003F25FA" w:rsidRPr="00265FC1" w:rsidRDefault="003F25FA" w:rsidP="003F25FA">
      <w:pPr>
        <w:pStyle w:val="SingleTxtG"/>
        <w:spacing w:after="0" w:line="240" w:lineRule="auto"/>
        <w:rPr>
          <w:u w:val="single"/>
        </w:rPr>
      </w:pPr>
      <w:r w:rsidRPr="00265FC1">
        <w:rPr>
          <w:u w:val="single"/>
        </w:rPr>
        <w:t>Aktueller Entwurf</w:t>
      </w:r>
    </w:p>
    <w:p w14:paraId="047BDA3C" w14:textId="77777777" w:rsidR="003F25FA" w:rsidRDefault="003F25FA" w:rsidP="003F25FA">
      <w:pPr>
        <w:pStyle w:val="SingleTxtG"/>
        <w:spacing w:after="0" w:line="240" w:lineRule="auto"/>
        <w:ind w:left="2268" w:hanging="567"/>
      </w:pPr>
    </w:p>
    <w:p w14:paraId="1E6FD856" w14:textId="77777777" w:rsidR="003F25FA" w:rsidRPr="006D4191" w:rsidRDefault="003F25FA" w:rsidP="003F25FA">
      <w:pPr>
        <w:pStyle w:val="SingleTxtG"/>
        <w:spacing w:after="0" w:line="240" w:lineRule="auto"/>
        <w:ind w:left="1843" w:hanging="567"/>
      </w:pPr>
      <w:r w:rsidRPr="00533E92">
        <w:t>[x)</w:t>
      </w:r>
      <w:r w:rsidRPr="00533E92">
        <w:tab/>
        <w:t xml:space="preserve">Für die Beförderung von zuvor begaster Ladung, UN 9007, ist für die Besatzung ein Eingasmessgerät des zuvor eingesetzten Begasungsmittels vorgeschrieben/empfohlen. </w:t>
      </w:r>
      <w:r w:rsidRPr="006D4191">
        <w:t>Dieses kann auch in Form eines Toximeters bereitgestellt werden.]</w:t>
      </w:r>
    </w:p>
    <w:p w14:paraId="43CB18FC" w14:textId="77777777" w:rsidR="003F25FA" w:rsidRPr="006D4191" w:rsidRDefault="003F25FA" w:rsidP="003F25FA">
      <w:pPr>
        <w:pStyle w:val="SingleTxtG"/>
        <w:spacing w:after="0" w:line="240" w:lineRule="auto"/>
        <w:ind w:left="1843"/>
        <w:rPr>
          <w:iCs/>
          <w:u w:val="single"/>
        </w:rPr>
      </w:pPr>
    </w:p>
    <w:p w14:paraId="618A48CC" w14:textId="77777777" w:rsidR="003F25FA" w:rsidRPr="001228E7" w:rsidRDefault="003F25FA" w:rsidP="003F25FA">
      <w:pPr>
        <w:pStyle w:val="SingleTxtG"/>
        <w:spacing w:after="0" w:line="240" w:lineRule="auto"/>
        <w:rPr>
          <w:iCs/>
          <w:u w:val="single"/>
        </w:rPr>
      </w:pPr>
      <w:r>
        <w:rPr>
          <w:iCs/>
          <w:u w:val="single"/>
        </w:rPr>
        <w:t>Überlegungen</w:t>
      </w:r>
    </w:p>
    <w:p w14:paraId="11179E5E" w14:textId="77777777" w:rsidR="003F25FA" w:rsidRDefault="003F25FA" w:rsidP="003F25FA">
      <w:pPr>
        <w:pStyle w:val="SingleTxtG"/>
        <w:spacing w:after="0" w:line="240" w:lineRule="auto"/>
        <w:rPr>
          <w:iCs/>
        </w:rPr>
      </w:pPr>
    </w:p>
    <w:p w14:paraId="522330F9" w14:textId="77777777" w:rsidR="003F25FA" w:rsidRPr="0006653A" w:rsidRDefault="003F25FA" w:rsidP="003F25FA">
      <w:pPr>
        <w:pStyle w:val="SingleTxtG"/>
        <w:numPr>
          <w:ilvl w:val="0"/>
          <w:numId w:val="26"/>
        </w:numPr>
        <w:spacing w:after="0" w:line="240" w:lineRule="auto"/>
      </w:pPr>
      <w:r w:rsidRPr="0006653A">
        <w:t xml:space="preserve">Die Gruppe </w:t>
      </w:r>
      <w:r>
        <w:t>wollte</w:t>
      </w:r>
      <w:r w:rsidRPr="0006653A">
        <w:t xml:space="preserve"> sich nicht auf eine Pflicht zur Verwendung solcher Warngeräte festlegen, weil dies bereits durch arbeitsschutzrechtliche Vorgaben für das Bordpersonal verlangt werden kann.</w:t>
      </w:r>
    </w:p>
    <w:p w14:paraId="2B1A9C78" w14:textId="77777777" w:rsidR="003F25FA" w:rsidRPr="0006653A" w:rsidRDefault="003F25FA" w:rsidP="003F25FA">
      <w:pPr>
        <w:pStyle w:val="SingleTxtG"/>
        <w:numPr>
          <w:ilvl w:val="0"/>
          <w:numId w:val="26"/>
        </w:numPr>
        <w:spacing w:after="0" w:line="240" w:lineRule="auto"/>
      </w:pPr>
      <w:r w:rsidRPr="0006653A">
        <w:t>Die Aufnahme einer „Empfehlung“ in die dem ADN beigefügten Verordnung ist bisher ohne Beispiel; es soll kein Präzedenzfall für diese Variante geschaffen werden.</w:t>
      </w:r>
    </w:p>
    <w:p w14:paraId="36F18388" w14:textId="77777777" w:rsidR="003F25FA" w:rsidRDefault="003F25FA" w:rsidP="003F25FA">
      <w:pPr>
        <w:pStyle w:val="SingleTxtG"/>
        <w:spacing w:after="0" w:line="240" w:lineRule="auto"/>
        <w:rPr>
          <w:iCs/>
        </w:rPr>
      </w:pPr>
    </w:p>
    <w:p w14:paraId="6A4FCD5F" w14:textId="77777777" w:rsidR="003F25FA" w:rsidRPr="006D4191" w:rsidRDefault="003F25FA" w:rsidP="003F25FA">
      <w:pPr>
        <w:pStyle w:val="SingleTxtG"/>
        <w:spacing w:after="0" w:line="240" w:lineRule="auto"/>
        <w:rPr>
          <w:iCs/>
          <w:u w:val="single"/>
        </w:rPr>
      </w:pPr>
      <w:r w:rsidRPr="006D4191">
        <w:rPr>
          <w:iCs/>
          <w:u w:val="single"/>
        </w:rPr>
        <w:t>Überarbeiteter Entwurf</w:t>
      </w:r>
    </w:p>
    <w:p w14:paraId="1286B4F8" w14:textId="77777777" w:rsidR="003F25FA" w:rsidRDefault="003F25FA" w:rsidP="003F25FA">
      <w:pPr>
        <w:pStyle w:val="SingleTxtG"/>
        <w:spacing w:after="0" w:line="240" w:lineRule="auto"/>
        <w:rPr>
          <w:iCs/>
        </w:rPr>
      </w:pPr>
    </w:p>
    <w:p w14:paraId="54D94072" w14:textId="77777777" w:rsidR="003F25FA" w:rsidRDefault="003F25FA" w:rsidP="003F25FA">
      <w:pPr>
        <w:pStyle w:val="SingleTxtG"/>
        <w:spacing w:after="0" w:line="240" w:lineRule="auto"/>
        <w:ind w:left="1701"/>
        <w:jc w:val="left"/>
      </w:pPr>
      <w:r>
        <w:t>Es wird keine Vorschrift über die Verwendung persönlicher Warngeräte vorgeschlagen.</w:t>
      </w:r>
    </w:p>
    <w:p w14:paraId="2D8A31A7" w14:textId="77777777" w:rsidR="003F25FA" w:rsidRDefault="003F25FA" w:rsidP="003F25FA">
      <w:pPr>
        <w:pStyle w:val="SingleTxtG"/>
        <w:spacing w:after="0" w:line="240" w:lineRule="auto"/>
        <w:rPr>
          <w:iCs/>
        </w:rPr>
      </w:pPr>
    </w:p>
    <w:p w14:paraId="299F9E26" w14:textId="77777777" w:rsidR="003F25FA" w:rsidRDefault="003F25FA" w:rsidP="003F25FA">
      <w:pPr>
        <w:pStyle w:val="SingleTxtG"/>
        <w:spacing w:after="0" w:line="240" w:lineRule="auto"/>
        <w:rPr>
          <w:iCs/>
        </w:rPr>
      </w:pPr>
    </w:p>
    <w:p w14:paraId="6B82E068" w14:textId="77777777" w:rsidR="003F25FA" w:rsidRDefault="003F25FA" w:rsidP="003F25FA">
      <w:pPr>
        <w:pStyle w:val="SingleTxtG"/>
        <w:spacing w:after="0" w:line="240" w:lineRule="auto"/>
        <w:rPr>
          <w:iCs/>
        </w:rPr>
      </w:pPr>
      <w:r>
        <w:rPr>
          <w:iCs/>
        </w:rPr>
        <w:t>11.</w:t>
      </w:r>
      <w:r>
        <w:rPr>
          <w:iCs/>
        </w:rPr>
        <w:tab/>
        <w:t>Die weiteren Bausteine konnten aus Zeitgründen nicht mehr bearbeitet werden.</w:t>
      </w:r>
    </w:p>
    <w:p w14:paraId="16E7F65C" w14:textId="77777777" w:rsidR="003F25FA" w:rsidRDefault="003F25FA" w:rsidP="003F25FA">
      <w:pPr>
        <w:pStyle w:val="SingleTxtG"/>
        <w:spacing w:after="0" w:line="240" w:lineRule="auto"/>
        <w:rPr>
          <w:iCs/>
        </w:rPr>
      </w:pPr>
    </w:p>
    <w:p w14:paraId="5BE2F592" w14:textId="77777777" w:rsidR="003F25FA" w:rsidRDefault="003F25FA" w:rsidP="003F25FA">
      <w:pPr>
        <w:pStyle w:val="SingleTxtG"/>
        <w:spacing w:after="0" w:line="240" w:lineRule="auto"/>
        <w:rPr>
          <w:iCs/>
        </w:rPr>
      </w:pPr>
    </w:p>
    <w:p w14:paraId="2CF3CD30" w14:textId="77777777" w:rsidR="003F25FA" w:rsidRPr="00AF55BE" w:rsidRDefault="003F25FA" w:rsidP="003F25FA">
      <w:pPr>
        <w:pStyle w:val="HChG"/>
        <w:spacing w:before="0" w:after="0" w:line="240" w:lineRule="auto"/>
        <w:rPr>
          <w:bCs/>
          <w:szCs w:val="28"/>
        </w:rPr>
      </w:pPr>
      <w:r>
        <w:tab/>
      </w:r>
      <w:r w:rsidRPr="00B726A7">
        <w:t>I</w:t>
      </w:r>
      <w:r>
        <w:t>I</w:t>
      </w:r>
      <w:r w:rsidRPr="00B726A7">
        <w:t>I</w:t>
      </w:r>
      <w:r>
        <w:t>.</w:t>
      </w:r>
      <w:r>
        <w:tab/>
        <w:t>Weiteres Vorgehen</w:t>
      </w:r>
    </w:p>
    <w:p w14:paraId="20137A8A" w14:textId="77777777" w:rsidR="003F25FA" w:rsidRDefault="003F25FA" w:rsidP="003F25FA">
      <w:pPr>
        <w:pStyle w:val="SingleTxtG"/>
        <w:spacing w:after="0" w:line="240" w:lineRule="auto"/>
      </w:pPr>
    </w:p>
    <w:p w14:paraId="2650BA47" w14:textId="77777777" w:rsidR="003F25FA" w:rsidRDefault="003F25FA" w:rsidP="003F25FA">
      <w:pPr>
        <w:pStyle w:val="SingleTxtG"/>
        <w:spacing w:after="0" w:line="240" w:lineRule="auto"/>
      </w:pPr>
      <w:r>
        <w:t>12.</w:t>
      </w:r>
      <w:r>
        <w:tab/>
        <w:t>Die Arbeitsgruppe sieht die vorstehenden Regeln als geeignet und erforderlich an, um zukünftig ernsthafte Zwischenfälle zu vermeiden und einen guten Schutz der Schiffsbesatzungen, also die „sichere Beförderung“ zu erreichen. In einem zweiten Schritt sollen diese Vorschläge (wenn sie die Zustimmung des Sicherheitsausschusses finden) aber auch darauf hin überprüft werden, ob sie angemessen sind, um internationale Beförderungen nicht übermäßig zu erschweren und den Internationalen Handel mit Agrarprodukten aufrecht zu erhalten. (Vergleiche die Präambel des ADN-Übereinkommens).</w:t>
      </w:r>
    </w:p>
    <w:p w14:paraId="02070DD6" w14:textId="77777777" w:rsidR="003F25FA" w:rsidRDefault="003F25FA" w:rsidP="003F25FA">
      <w:pPr>
        <w:pStyle w:val="SingleTxtG"/>
        <w:spacing w:after="0" w:line="240" w:lineRule="auto"/>
      </w:pPr>
    </w:p>
    <w:p w14:paraId="63AA8EA0" w14:textId="77777777" w:rsidR="003F25FA" w:rsidRDefault="003F25FA" w:rsidP="003F25FA">
      <w:pPr>
        <w:pStyle w:val="SingleTxtG"/>
        <w:spacing w:after="0" w:line="240" w:lineRule="auto"/>
      </w:pPr>
      <w:r>
        <w:t>13.</w:t>
      </w:r>
      <w:r>
        <w:tab/>
        <w:t>Die Arbeitsgruppe bittet den Sicherheitsausschuss, das oben beschriebene Zwischenergebnis zu prüfen, dieses zu bestätigen oder der Gruppe Hinweise für eine Überarbeitung zu geben.</w:t>
      </w:r>
    </w:p>
    <w:p w14:paraId="212E7FB3" w14:textId="77777777" w:rsidR="003F25FA" w:rsidRDefault="003F25FA" w:rsidP="003F25FA">
      <w:pPr>
        <w:pStyle w:val="SingleTxtG"/>
        <w:spacing w:after="0" w:line="240" w:lineRule="auto"/>
      </w:pPr>
    </w:p>
    <w:p w14:paraId="0FE5ABE7" w14:textId="77777777" w:rsidR="003F25FA" w:rsidRDefault="003F25FA" w:rsidP="003F25FA">
      <w:pPr>
        <w:pStyle w:val="SingleTxtG"/>
        <w:spacing w:after="0" w:line="240" w:lineRule="auto"/>
      </w:pPr>
      <w:r>
        <w:t>14</w:t>
      </w:r>
      <w:r w:rsidRPr="00377272">
        <w:t>.</w:t>
      </w:r>
      <w:r w:rsidRPr="00377272">
        <w:tab/>
      </w:r>
      <w:r>
        <w:t>Die Arbeit soll in der Form einer Informellen Arbeitsgruppe mit Präsenzsitzungen oder hybriden Sitzungen fortgeführt werden. Ein weiteres Treffen wurde für Dienstag, den 12. und Mittwoch, den 13. März 2024 vereinbart. Sitzungsort soll wieder Bonn, Deutschland sein.</w:t>
      </w:r>
    </w:p>
    <w:p w14:paraId="79008765" w14:textId="77777777" w:rsidR="003F25FA" w:rsidRDefault="003F25FA" w:rsidP="003F25FA">
      <w:pPr>
        <w:pStyle w:val="SingleTxtG"/>
        <w:spacing w:after="0" w:line="240" w:lineRule="auto"/>
      </w:pPr>
    </w:p>
    <w:p w14:paraId="24571CAA" w14:textId="77777777" w:rsidR="003F25FA" w:rsidRDefault="003F25FA" w:rsidP="003F25FA">
      <w:pPr>
        <w:pStyle w:val="SingleTxtG"/>
        <w:spacing w:after="0" w:line="240" w:lineRule="auto"/>
      </w:pPr>
      <w:r>
        <w:t>15.</w:t>
      </w:r>
      <w:r>
        <w:tab/>
        <w:t>Die Arbeitsgruppe möchte weitere Delegationen zur Mitarbeit einladen. Insbesondere bittet sie alle Delegationen der Vertragsparteien darum, ihr frühzeitig vor der nächsten Zusammenkunft die in den Hoheitsgebieten der Vertragsparteien geltenden Grenzwerte für eine 24-Stunden-Exposition mit den drei benannten Begasungsmitteln mitzuteilen.</w:t>
      </w:r>
    </w:p>
    <w:p w14:paraId="3CF359AF" w14:textId="77777777" w:rsidR="003F25FA" w:rsidRDefault="003F25FA" w:rsidP="003F25FA">
      <w:pPr>
        <w:pStyle w:val="SingleTxtG"/>
        <w:spacing w:after="0" w:line="240" w:lineRule="auto"/>
      </w:pPr>
    </w:p>
    <w:p w14:paraId="5EC463B1" w14:textId="77777777" w:rsidR="003F25FA" w:rsidRDefault="003F25FA" w:rsidP="003F25FA">
      <w:pPr>
        <w:pStyle w:val="SingleTxtG"/>
        <w:spacing w:after="0" w:line="240" w:lineRule="auto"/>
      </w:pPr>
      <w:r>
        <w:t>16.</w:t>
      </w:r>
      <w:r>
        <w:tab/>
        <w:t>Der Vorsitzende bot an, sich um die Möglichkeit der Besichtigung einer Umschlagstelle für Agrarprodukte in der Nähe von Bonn zu bemühen.</w:t>
      </w:r>
    </w:p>
    <w:p w14:paraId="2F316454" w14:textId="77777777" w:rsidR="003F25FA" w:rsidRDefault="003F25FA" w:rsidP="003F25FA">
      <w:pPr>
        <w:pStyle w:val="SingleTxtG"/>
        <w:spacing w:after="0" w:line="240" w:lineRule="auto"/>
      </w:pPr>
    </w:p>
    <w:p w14:paraId="14E2BAFE" w14:textId="77777777" w:rsidR="003F25FA" w:rsidRDefault="003F25FA" w:rsidP="003F25FA">
      <w:pPr>
        <w:pStyle w:val="SingleTxtG"/>
        <w:spacing w:after="0" w:line="240" w:lineRule="auto"/>
      </w:pPr>
    </w:p>
    <w:p w14:paraId="592C58E5" w14:textId="77777777" w:rsidR="003F25FA" w:rsidRDefault="003F25FA" w:rsidP="003F25FA">
      <w:pPr>
        <w:pStyle w:val="SingleTxtG"/>
        <w:spacing w:after="0" w:line="240" w:lineRule="auto"/>
      </w:pPr>
    </w:p>
    <w:p w14:paraId="155B32FE" w14:textId="77777777" w:rsidR="003F25FA" w:rsidRDefault="003F25FA" w:rsidP="003F25FA">
      <w:pPr>
        <w:pStyle w:val="SingleTxtG"/>
        <w:spacing w:after="0" w:line="240" w:lineRule="auto"/>
      </w:pPr>
    </w:p>
    <w:p w14:paraId="66C00008" w14:textId="77777777" w:rsidR="003F25FA" w:rsidRDefault="003F25FA" w:rsidP="003F25FA">
      <w:pPr>
        <w:pStyle w:val="SingleTxtG"/>
        <w:spacing w:after="0" w:line="240" w:lineRule="auto"/>
        <w:rPr>
          <w:b/>
        </w:rPr>
      </w:pPr>
      <w:r w:rsidRPr="00F824CA">
        <w:rPr>
          <w:b/>
          <w:u w:val="single"/>
        </w:rPr>
        <w:t>Anhang</w:t>
      </w:r>
      <w:r w:rsidRPr="00DF0B78">
        <w:rPr>
          <w:b/>
        </w:rPr>
        <w:t>: Entwurf neuer Eintrag in Tabelle A</w:t>
      </w:r>
    </w:p>
    <w:p w14:paraId="28A3D423" w14:textId="77777777" w:rsidR="003F25FA" w:rsidRDefault="003F25FA" w:rsidP="006409EC">
      <w:pPr>
        <w:pStyle w:val="SingleTxtG"/>
        <w:spacing w:after="0" w:line="240" w:lineRule="auto"/>
      </w:pPr>
    </w:p>
    <w:p w14:paraId="1D351158" w14:textId="77777777" w:rsidR="006409EC" w:rsidRDefault="006409EC" w:rsidP="006409EC">
      <w:pPr>
        <w:pStyle w:val="SingleTxtG"/>
        <w:spacing w:after="0" w:line="240" w:lineRule="auto"/>
      </w:pPr>
    </w:p>
    <w:p w14:paraId="17E7226E" w14:textId="5D77AE4B" w:rsidR="006409EC" w:rsidRDefault="006409EC" w:rsidP="006409EC">
      <w:pPr>
        <w:pStyle w:val="SingleTxtG"/>
        <w:spacing w:after="0" w:line="240" w:lineRule="auto"/>
        <w:rPr>
          <w:b/>
        </w:rPr>
      </w:pPr>
    </w:p>
    <w:p w14:paraId="169507E2" w14:textId="77777777" w:rsidR="00BF5928" w:rsidRDefault="00BF5928" w:rsidP="00933D68">
      <w:pPr>
        <w:spacing w:before="240"/>
        <w:jc w:val="center"/>
        <w:rPr>
          <w:u w:val="single"/>
          <w:lang w:val="de-CH"/>
        </w:rPr>
        <w:sectPr w:rsidR="00BF5928"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56D171D7" w14:textId="77777777" w:rsidR="003F25FA" w:rsidRDefault="003F25FA" w:rsidP="003F25FA">
      <w:pPr>
        <w:pStyle w:val="HChG"/>
        <w:spacing w:before="0" w:after="0" w:line="240" w:lineRule="auto"/>
      </w:pPr>
      <w:r>
        <w:lastRenderedPageBreak/>
        <w:t>Anhang</w:t>
      </w:r>
    </w:p>
    <w:p w14:paraId="3C09185A" w14:textId="77777777" w:rsidR="003F25FA" w:rsidRDefault="003F25FA" w:rsidP="003F25FA"/>
    <w:p w14:paraId="43F806F7" w14:textId="77777777" w:rsidR="003F25FA" w:rsidRPr="00F824CA" w:rsidRDefault="003F25FA" w:rsidP="003F25FA"/>
    <w:tbl>
      <w:tblPr>
        <w:tblpPr w:leftFromText="141" w:rightFromText="141" w:vertAnchor="text" w:tblpY="1"/>
        <w:tblOverlap w:val="never"/>
        <w:tblW w:w="14454" w:type="dxa"/>
        <w:tblCellMar>
          <w:left w:w="70" w:type="dxa"/>
          <w:right w:w="70" w:type="dxa"/>
        </w:tblCellMar>
        <w:tblLook w:val="04A0" w:firstRow="1" w:lastRow="0" w:firstColumn="1" w:lastColumn="0" w:noHBand="0" w:noVBand="1"/>
      </w:tblPr>
      <w:tblGrid>
        <w:gridCol w:w="851"/>
        <w:gridCol w:w="2256"/>
        <w:gridCol w:w="567"/>
        <w:gridCol w:w="708"/>
        <w:gridCol w:w="709"/>
        <w:gridCol w:w="567"/>
        <w:gridCol w:w="709"/>
        <w:gridCol w:w="709"/>
        <w:gridCol w:w="630"/>
        <w:gridCol w:w="799"/>
        <w:gridCol w:w="709"/>
        <w:gridCol w:w="567"/>
        <w:gridCol w:w="2410"/>
        <w:gridCol w:w="720"/>
        <w:gridCol w:w="1543"/>
      </w:tblGrid>
      <w:tr w:rsidR="003F25FA" w:rsidRPr="00406418" w14:paraId="76FF9809" w14:textId="77777777" w:rsidTr="009D0913">
        <w:trPr>
          <w:trHeight w:val="136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1D301C81"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Stoffnummer/</w:t>
            </w:r>
            <w:r>
              <w:rPr>
                <w:rFonts w:ascii="Arial" w:hAnsi="Arial"/>
                <w:sz w:val="16"/>
              </w:rPr>
              <w:br/>
              <w:t>UN-Nummer</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59C2547B"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Benennung und Beschreibung</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F2FE7CD"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Klasse</w:t>
            </w:r>
          </w:p>
        </w:tc>
        <w:tc>
          <w:tcPr>
            <w:tcW w:w="708" w:type="dxa"/>
            <w:tcBorders>
              <w:top w:val="single" w:sz="4" w:space="0" w:color="auto"/>
              <w:left w:val="nil"/>
              <w:bottom w:val="single" w:sz="4" w:space="0" w:color="auto"/>
              <w:right w:val="single" w:sz="4" w:space="0" w:color="auto"/>
            </w:tcBorders>
            <w:shd w:val="clear" w:color="auto" w:fill="auto"/>
            <w:textDirection w:val="tbRl"/>
            <w:vAlign w:val="center"/>
            <w:hideMark/>
          </w:tcPr>
          <w:p w14:paraId="3BDC5347"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Klassifizierungs-</w:t>
            </w:r>
            <w:r>
              <w:rPr>
                <w:rFonts w:ascii="Arial" w:hAnsi="Arial"/>
                <w:sz w:val="16"/>
              </w:rPr>
              <w:br/>
              <w:t>code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0E73A04A"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Verpackungs-</w:t>
            </w:r>
            <w:r>
              <w:rPr>
                <w:rFonts w:ascii="Arial" w:hAnsi="Arial"/>
                <w:sz w:val="16"/>
              </w:rPr>
              <w:br/>
              <w:t>gruppe</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04D8F407"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Gefahrzettel</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12166C6A"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Sonder-vorschriften</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0149D702"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begrenzte</w:t>
            </w:r>
            <w:r>
              <w:rPr>
                <w:rFonts w:ascii="Arial" w:hAnsi="Arial"/>
                <w:sz w:val="16"/>
              </w:rPr>
              <w:br/>
              <w:t>Mengen</w:t>
            </w:r>
          </w:p>
        </w:tc>
        <w:tc>
          <w:tcPr>
            <w:tcW w:w="799" w:type="dxa"/>
            <w:tcBorders>
              <w:top w:val="single" w:sz="4" w:space="0" w:color="auto"/>
              <w:left w:val="nil"/>
              <w:bottom w:val="single" w:sz="4" w:space="0" w:color="auto"/>
              <w:right w:val="single" w:sz="4" w:space="0" w:color="auto"/>
            </w:tcBorders>
            <w:shd w:val="clear" w:color="auto" w:fill="auto"/>
            <w:textDirection w:val="tbRl"/>
            <w:vAlign w:val="center"/>
            <w:hideMark/>
          </w:tcPr>
          <w:p w14:paraId="08CA198F"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Beförderung</w:t>
            </w:r>
            <w:r>
              <w:rPr>
                <w:rFonts w:ascii="Arial" w:hAnsi="Arial"/>
                <w:sz w:val="16"/>
              </w:rPr>
              <w:br/>
              <w:t>zugelassen</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4C432E69"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Ausrüstung</w:t>
            </w:r>
            <w:r>
              <w:rPr>
                <w:rFonts w:ascii="Arial" w:hAnsi="Arial"/>
                <w:sz w:val="16"/>
              </w:rPr>
              <w:br/>
              <w:t>erforderlich</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48583E9C"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Lüftung</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66BB56"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Maßnahmen</w:t>
            </w:r>
            <w:r>
              <w:rPr>
                <w:rFonts w:ascii="Arial" w:hAnsi="Arial"/>
                <w:sz w:val="16"/>
              </w:rPr>
              <w:br/>
              <w:t>während des</w:t>
            </w:r>
            <w:r>
              <w:rPr>
                <w:rFonts w:ascii="Arial" w:hAnsi="Arial"/>
                <w:sz w:val="16"/>
              </w:rPr>
              <w:br/>
              <w:t xml:space="preserve">Ladens / </w:t>
            </w:r>
            <w:r>
              <w:rPr>
                <w:rFonts w:ascii="Arial" w:hAnsi="Arial"/>
                <w:sz w:val="16"/>
              </w:rPr>
              <w:br/>
              <w:t>Löschens / Beförderns</w:t>
            </w:r>
          </w:p>
        </w:tc>
        <w:tc>
          <w:tcPr>
            <w:tcW w:w="720" w:type="dxa"/>
            <w:tcBorders>
              <w:top w:val="single" w:sz="4" w:space="0" w:color="auto"/>
              <w:left w:val="nil"/>
              <w:bottom w:val="single" w:sz="4" w:space="0" w:color="auto"/>
              <w:right w:val="single" w:sz="4" w:space="0" w:color="auto"/>
            </w:tcBorders>
            <w:shd w:val="clear" w:color="auto" w:fill="auto"/>
            <w:textDirection w:val="tbRl"/>
            <w:vAlign w:val="center"/>
            <w:hideMark/>
          </w:tcPr>
          <w:p w14:paraId="0C2DDC30"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Anzahl der</w:t>
            </w:r>
            <w:r>
              <w:rPr>
                <w:rFonts w:ascii="Arial" w:hAnsi="Arial"/>
                <w:sz w:val="16"/>
              </w:rPr>
              <w:br/>
              <w:t>Kegel/Lichter</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5664E059"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Bemerkungen</w:t>
            </w:r>
          </w:p>
        </w:tc>
      </w:tr>
      <w:tr w:rsidR="003F25FA" w:rsidRPr="00406418" w14:paraId="0F2AE591" w14:textId="77777777" w:rsidTr="009D0913">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6788C14"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 </w:t>
            </w:r>
          </w:p>
        </w:tc>
        <w:tc>
          <w:tcPr>
            <w:tcW w:w="2256" w:type="dxa"/>
            <w:tcBorders>
              <w:top w:val="nil"/>
              <w:left w:val="nil"/>
              <w:bottom w:val="single" w:sz="4" w:space="0" w:color="auto"/>
              <w:right w:val="single" w:sz="4" w:space="0" w:color="auto"/>
            </w:tcBorders>
            <w:shd w:val="clear" w:color="auto" w:fill="auto"/>
            <w:vAlign w:val="bottom"/>
            <w:hideMark/>
          </w:tcPr>
          <w:p w14:paraId="19A2AA05"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3.1.2</w:t>
            </w:r>
          </w:p>
        </w:tc>
        <w:tc>
          <w:tcPr>
            <w:tcW w:w="567" w:type="dxa"/>
            <w:tcBorders>
              <w:top w:val="nil"/>
              <w:left w:val="nil"/>
              <w:bottom w:val="single" w:sz="4" w:space="0" w:color="auto"/>
              <w:right w:val="single" w:sz="4" w:space="0" w:color="auto"/>
            </w:tcBorders>
            <w:shd w:val="clear" w:color="auto" w:fill="auto"/>
            <w:vAlign w:val="center"/>
            <w:hideMark/>
          </w:tcPr>
          <w:p w14:paraId="106131A0"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2.2</w:t>
            </w:r>
          </w:p>
        </w:tc>
        <w:tc>
          <w:tcPr>
            <w:tcW w:w="708" w:type="dxa"/>
            <w:tcBorders>
              <w:top w:val="nil"/>
              <w:left w:val="nil"/>
              <w:bottom w:val="single" w:sz="4" w:space="0" w:color="auto"/>
              <w:right w:val="single" w:sz="4" w:space="0" w:color="auto"/>
            </w:tcBorders>
            <w:shd w:val="clear" w:color="auto" w:fill="auto"/>
            <w:vAlign w:val="center"/>
            <w:hideMark/>
          </w:tcPr>
          <w:p w14:paraId="7BB97640"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2.2</w:t>
            </w:r>
          </w:p>
        </w:tc>
        <w:tc>
          <w:tcPr>
            <w:tcW w:w="709" w:type="dxa"/>
            <w:tcBorders>
              <w:top w:val="nil"/>
              <w:left w:val="nil"/>
              <w:bottom w:val="single" w:sz="4" w:space="0" w:color="auto"/>
              <w:right w:val="single" w:sz="4" w:space="0" w:color="auto"/>
            </w:tcBorders>
            <w:shd w:val="clear" w:color="auto" w:fill="auto"/>
            <w:vAlign w:val="center"/>
            <w:hideMark/>
          </w:tcPr>
          <w:p w14:paraId="14FA7F1F"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2.1.1.3</w:t>
            </w:r>
          </w:p>
        </w:tc>
        <w:tc>
          <w:tcPr>
            <w:tcW w:w="567" w:type="dxa"/>
            <w:tcBorders>
              <w:top w:val="nil"/>
              <w:left w:val="nil"/>
              <w:bottom w:val="single" w:sz="4" w:space="0" w:color="auto"/>
              <w:right w:val="single" w:sz="4" w:space="0" w:color="auto"/>
            </w:tcBorders>
            <w:shd w:val="clear" w:color="auto" w:fill="auto"/>
            <w:vAlign w:val="center"/>
            <w:hideMark/>
          </w:tcPr>
          <w:p w14:paraId="68EB8421"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5.2.2</w:t>
            </w:r>
          </w:p>
        </w:tc>
        <w:tc>
          <w:tcPr>
            <w:tcW w:w="709" w:type="dxa"/>
            <w:tcBorders>
              <w:top w:val="nil"/>
              <w:left w:val="nil"/>
              <w:bottom w:val="single" w:sz="4" w:space="0" w:color="auto"/>
              <w:right w:val="single" w:sz="4" w:space="0" w:color="auto"/>
            </w:tcBorders>
            <w:shd w:val="clear" w:color="auto" w:fill="auto"/>
            <w:vAlign w:val="center"/>
            <w:hideMark/>
          </w:tcPr>
          <w:p w14:paraId="2E38C4D9"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3.3</w:t>
            </w:r>
          </w:p>
        </w:tc>
        <w:tc>
          <w:tcPr>
            <w:tcW w:w="709" w:type="dxa"/>
            <w:tcBorders>
              <w:top w:val="nil"/>
              <w:left w:val="nil"/>
              <w:bottom w:val="single" w:sz="4" w:space="0" w:color="auto"/>
              <w:right w:val="single" w:sz="4" w:space="0" w:color="auto"/>
            </w:tcBorders>
            <w:shd w:val="clear" w:color="auto" w:fill="auto"/>
            <w:vAlign w:val="center"/>
            <w:hideMark/>
          </w:tcPr>
          <w:p w14:paraId="52E49106"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3.4</w:t>
            </w:r>
          </w:p>
        </w:tc>
        <w:tc>
          <w:tcPr>
            <w:tcW w:w="630" w:type="dxa"/>
            <w:tcBorders>
              <w:top w:val="nil"/>
              <w:left w:val="nil"/>
              <w:bottom w:val="single" w:sz="4" w:space="0" w:color="auto"/>
              <w:right w:val="single" w:sz="4" w:space="0" w:color="auto"/>
            </w:tcBorders>
            <w:shd w:val="clear" w:color="auto" w:fill="auto"/>
            <w:vAlign w:val="center"/>
            <w:hideMark/>
          </w:tcPr>
          <w:p w14:paraId="259C6501"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3.5.1.2</w:t>
            </w:r>
          </w:p>
        </w:tc>
        <w:tc>
          <w:tcPr>
            <w:tcW w:w="799" w:type="dxa"/>
            <w:tcBorders>
              <w:top w:val="nil"/>
              <w:left w:val="nil"/>
              <w:bottom w:val="single" w:sz="4" w:space="0" w:color="auto"/>
              <w:right w:val="single" w:sz="4" w:space="0" w:color="auto"/>
            </w:tcBorders>
            <w:shd w:val="clear" w:color="auto" w:fill="auto"/>
            <w:hideMark/>
          </w:tcPr>
          <w:p w14:paraId="7BDB9853"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3.2.1</w:t>
            </w:r>
          </w:p>
        </w:tc>
        <w:tc>
          <w:tcPr>
            <w:tcW w:w="709" w:type="dxa"/>
            <w:tcBorders>
              <w:top w:val="nil"/>
              <w:left w:val="nil"/>
              <w:bottom w:val="single" w:sz="4" w:space="0" w:color="auto"/>
              <w:right w:val="single" w:sz="4" w:space="0" w:color="auto"/>
            </w:tcBorders>
            <w:shd w:val="clear" w:color="auto" w:fill="auto"/>
            <w:vAlign w:val="center"/>
            <w:hideMark/>
          </w:tcPr>
          <w:p w14:paraId="326F9480"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8.1.5</w:t>
            </w:r>
          </w:p>
        </w:tc>
        <w:tc>
          <w:tcPr>
            <w:tcW w:w="567" w:type="dxa"/>
            <w:tcBorders>
              <w:top w:val="nil"/>
              <w:left w:val="nil"/>
              <w:bottom w:val="single" w:sz="4" w:space="0" w:color="auto"/>
              <w:right w:val="single" w:sz="4" w:space="0" w:color="auto"/>
            </w:tcBorders>
            <w:shd w:val="clear" w:color="auto" w:fill="auto"/>
            <w:vAlign w:val="center"/>
            <w:hideMark/>
          </w:tcPr>
          <w:p w14:paraId="7DA0BF26"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7.1.6</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AD20E0B"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7.1.6</w:t>
            </w:r>
          </w:p>
        </w:tc>
        <w:tc>
          <w:tcPr>
            <w:tcW w:w="720" w:type="dxa"/>
            <w:tcBorders>
              <w:top w:val="nil"/>
              <w:left w:val="nil"/>
              <w:bottom w:val="single" w:sz="4" w:space="0" w:color="auto"/>
              <w:right w:val="single" w:sz="4" w:space="0" w:color="auto"/>
            </w:tcBorders>
            <w:shd w:val="clear" w:color="auto" w:fill="auto"/>
            <w:noWrap/>
            <w:vAlign w:val="bottom"/>
            <w:hideMark/>
          </w:tcPr>
          <w:p w14:paraId="07716B94"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7.1.5</w:t>
            </w:r>
          </w:p>
        </w:tc>
        <w:tc>
          <w:tcPr>
            <w:tcW w:w="1543" w:type="dxa"/>
            <w:tcBorders>
              <w:top w:val="nil"/>
              <w:left w:val="nil"/>
              <w:bottom w:val="single" w:sz="4" w:space="0" w:color="auto"/>
              <w:right w:val="single" w:sz="4" w:space="0" w:color="auto"/>
            </w:tcBorders>
            <w:shd w:val="clear" w:color="auto" w:fill="auto"/>
            <w:vAlign w:val="center"/>
            <w:hideMark/>
          </w:tcPr>
          <w:p w14:paraId="2538CD5B"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3.2.1</w:t>
            </w:r>
          </w:p>
        </w:tc>
      </w:tr>
      <w:tr w:rsidR="003F25FA" w:rsidRPr="00406418" w14:paraId="52715A6A" w14:textId="77777777" w:rsidTr="009D0913">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14:paraId="7BB5A66B"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(1)</w:t>
            </w:r>
          </w:p>
        </w:tc>
        <w:tc>
          <w:tcPr>
            <w:tcW w:w="2256" w:type="dxa"/>
            <w:tcBorders>
              <w:top w:val="nil"/>
              <w:left w:val="nil"/>
              <w:bottom w:val="single" w:sz="4" w:space="0" w:color="auto"/>
              <w:right w:val="single" w:sz="4" w:space="0" w:color="auto"/>
            </w:tcBorders>
            <w:shd w:val="clear" w:color="auto" w:fill="auto"/>
            <w:vAlign w:val="bottom"/>
            <w:hideMark/>
          </w:tcPr>
          <w:p w14:paraId="02BE404D"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(2)</w:t>
            </w:r>
          </w:p>
        </w:tc>
        <w:tc>
          <w:tcPr>
            <w:tcW w:w="567" w:type="dxa"/>
            <w:tcBorders>
              <w:top w:val="nil"/>
              <w:left w:val="nil"/>
              <w:bottom w:val="single" w:sz="4" w:space="0" w:color="auto"/>
              <w:right w:val="single" w:sz="4" w:space="0" w:color="auto"/>
            </w:tcBorders>
            <w:shd w:val="clear" w:color="auto" w:fill="auto"/>
            <w:hideMark/>
          </w:tcPr>
          <w:p w14:paraId="57B56CF7"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(3a)</w:t>
            </w:r>
          </w:p>
        </w:tc>
        <w:tc>
          <w:tcPr>
            <w:tcW w:w="708" w:type="dxa"/>
            <w:tcBorders>
              <w:top w:val="nil"/>
              <w:left w:val="nil"/>
              <w:bottom w:val="single" w:sz="4" w:space="0" w:color="auto"/>
              <w:right w:val="single" w:sz="4" w:space="0" w:color="auto"/>
            </w:tcBorders>
            <w:shd w:val="clear" w:color="auto" w:fill="auto"/>
            <w:hideMark/>
          </w:tcPr>
          <w:p w14:paraId="662212E7"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(3b)</w:t>
            </w:r>
          </w:p>
        </w:tc>
        <w:tc>
          <w:tcPr>
            <w:tcW w:w="709" w:type="dxa"/>
            <w:tcBorders>
              <w:top w:val="nil"/>
              <w:left w:val="nil"/>
              <w:bottom w:val="single" w:sz="4" w:space="0" w:color="auto"/>
              <w:right w:val="single" w:sz="4" w:space="0" w:color="auto"/>
            </w:tcBorders>
            <w:shd w:val="clear" w:color="auto" w:fill="auto"/>
            <w:hideMark/>
          </w:tcPr>
          <w:p w14:paraId="443C0A39"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(4)</w:t>
            </w:r>
          </w:p>
        </w:tc>
        <w:tc>
          <w:tcPr>
            <w:tcW w:w="567" w:type="dxa"/>
            <w:tcBorders>
              <w:top w:val="nil"/>
              <w:left w:val="nil"/>
              <w:bottom w:val="single" w:sz="4" w:space="0" w:color="auto"/>
              <w:right w:val="single" w:sz="4" w:space="0" w:color="auto"/>
            </w:tcBorders>
            <w:shd w:val="clear" w:color="auto" w:fill="auto"/>
            <w:hideMark/>
          </w:tcPr>
          <w:p w14:paraId="4E611289"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(5)</w:t>
            </w:r>
          </w:p>
        </w:tc>
        <w:tc>
          <w:tcPr>
            <w:tcW w:w="709" w:type="dxa"/>
            <w:tcBorders>
              <w:top w:val="nil"/>
              <w:left w:val="nil"/>
              <w:bottom w:val="single" w:sz="4" w:space="0" w:color="auto"/>
              <w:right w:val="single" w:sz="4" w:space="0" w:color="auto"/>
            </w:tcBorders>
            <w:shd w:val="clear" w:color="auto" w:fill="auto"/>
            <w:hideMark/>
          </w:tcPr>
          <w:p w14:paraId="7D10E5D6"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(6)</w:t>
            </w:r>
          </w:p>
        </w:tc>
        <w:tc>
          <w:tcPr>
            <w:tcW w:w="709" w:type="dxa"/>
            <w:tcBorders>
              <w:top w:val="nil"/>
              <w:left w:val="nil"/>
              <w:bottom w:val="single" w:sz="4" w:space="0" w:color="auto"/>
              <w:right w:val="single" w:sz="4" w:space="0" w:color="auto"/>
            </w:tcBorders>
            <w:shd w:val="clear" w:color="auto" w:fill="auto"/>
            <w:hideMark/>
          </w:tcPr>
          <w:p w14:paraId="0C4E3B4E"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(7a)</w:t>
            </w:r>
          </w:p>
        </w:tc>
        <w:tc>
          <w:tcPr>
            <w:tcW w:w="630" w:type="dxa"/>
            <w:tcBorders>
              <w:top w:val="nil"/>
              <w:left w:val="nil"/>
              <w:bottom w:val="single" w:sz="4" w:space="0" w:color="auto"/>
              <w:right w:val="single" w:sz="4" w:space="0" w:color="auto"/>
            </w:tcBorders>
            <w:shd w:val="clear" w:color="auto" w:fill="auto"/>
            <w:hideMark/>
          </w:tcPr>
          <w:p w14:paraId="3045DCDA"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(7b)</w:t>
            </w:r>
          </w:p>
        </w:tc>
        <w:tc>
          <w:tcPr>
            <w:tcW w:w="799" w:type="dxa"/>
            <w:tcBorders>
              <w:top w:val="nil"/>
              <w:left w:val="nil"/>
              <w:bottom w:val="single" w:sz="4" w:space="0" w:color="auto"/>
              <w:right w:val="single" w:sz="4" w:space="0" w:color="auto"/>
            </w:tcBorders>
            <w:shd w:val="clear" w:color="auto" w:fill="auto"/>
            <w:hideMark/>
          </w:tcPr>
          <w:p w14:paraId="033675E9"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(8)</w:t>
            </w:r>
          </w:p>
        </w:tc>
        <w:tc>
          <w:tcPr>
            <w:tcW w:w="709" w:type="dxa"/>
            <w:tcBorders>
              <w:top w:val="nil"/>
              <w:left w:val="nil"/>
              <w:bottom w:val="single" w:sz="4" w:space="0" w:color="auto"/>
              <w:right w:val="single" w:sz="4" w:space="0" w:color="auto"/>
            </w:tcBorders>
            <w:shd w:val="clear" w:color="auto" w:fill="auto"/>
            <w:hideMark/>
          </w:tcPr>
          <w:p w14:paraId="5B560F89"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(9)</w:t>
            </w:r>
          </w:p>
        </w:tc>
        <w:tc>
          <w:tcPr>
            <w:tcW w:w="567" w:type="dxa"/>
            <w:tcBorders>
              <w:top w:val="nil"/>
              <w:left w:val="nil"/>
              <w:bottom w:val="single" w:sz="4" w:space="0" w:color="auto"/>
              <w:right w:val="single" w:sz="4" w:space="0" w:color="auto"/>
            </w:tcBorders>
            <w:shd w:val="clear" w:color="auto" w:fill="auto"/>
            <w:hideMark/>
          </w:tcPr>
          <w:p w14:paraId="0F9ED4D7"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(10)</w:t>
            </w:r>
          </w:p>
        </w:tc>
        <w:tc>
          <w:tcPr>
            <w:tcW w:w="2410" w:type="dxa"/>
            <w:tcBorders>
              <w:top w:val="single" w:sz="4" w:space="0" w:color="auto"/>
              <w:left w:val="nil"/>
              <w:bottom w:val="single" w:sz="4" w:space="0" w:color="auto"/>
              <w:right w:val="single" w:sz="4" w:space="0" w:color="auto"/>
            </w:tcBorders>
            <w:shd w:val="clear" w:color="auto" w:fill="auto"/>
            <w:hideMark/>
          </w:tcPr>
          <w:p w14:paraId="5B57ECF5"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(11)</w:t>
            </w:r>
          </w:p>
        </w:tc>
        <w:tc>
          <w:tcPr>
            <w:tcW w:w="720" w:type="dxa"/>
            <w:tcBorders>
              <w:top w:val="nil"/>
              <w:left w:val="nil"/>
              <w:bottom w:val="single" w:sz="4" w:space="0" w:color="auto"/>
              <w:right w:val="single" w:sz="4" w:space="0" w:color="auto"/>
            </w:tcBorders>
            <w:shd w:val="clear" w:color="auto" w:fill="auto"/>
            <w:hideMark/>
          </w:tcPr>
          <w:p w14:paraId="572A5D53"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(12)</w:t>
            </w:r>
          </w:p>
        </w:tc>
        <w:tc>
          <w:tcPr>
            <w:tcW w:w="1543" w:type="dxa"/>
            <w:tcBorders>
              <w:top w:val="nil"/>
              <w:left w:val="nil"/>
              <w:bottom w:val="single" w:sz="4" w:space="0" w:color="auto"/>
              <w:right w:val="single" w:sz="4" w:space="0" w:color="auto"/>
            </w:tcBorders>
            <w:shd w:val="clear" w:color="auto" w:fill="auto"/>
            <w:hideMark/>
          </w:tcPr>
          <w:p w14:paraId="0F4B2FB1" w14:textId="77777777" w:rsidR="003F25FA" w:rsidRPr="00406418" w:rsidRDefault="003F25FA" w:rsidP="009D0913">
            <w:pPr>
              <w:suppressAutoHyphens w:val="0"/>
              <w:spacing w:line="240" w:lineRule="auto"/>
              <w:jc w:val="center"/>
              <w:rPr>
                <w:rFonts w:ascii="Arial" w:hAnsi="Arial" w:cs="Arial"/>
                <w:sz w:val="16"/>
                <w:szCs w:val="18"/>
              </w:rPr>
            </w:pPr>
            <w:r>
              <w:rPr>
                <w:rFonts w:ascii="Arial" w:hAnsi="Arial"/>
                <w:sz w:val="16"/>
              </w:rPr>
              <w:t>(13)</w:t>
            </w:r>
          </w:p>
        </w:tc>
      </w:tr>
      <w:tr w:rsidR="003F25FA" w:rsidRPr="00406418" w14:paraId="3F2158D8" w14:textId="77777777" w:rsidTr="009D0913">
        <w:trPr>
          <w:trHeight w:val="732"/>
        </w:trPr>
        <w:tc>
          <w:tcPr>
            <w:tcW w:w="851" w:type="dxa"/>
            <w:tcBorders>
              <w:top w:val="nil"/>
              <w:left w:val="single" w:sz="4" w:space="0" w:color="auto"/>
              <w:bottom w:val="single" w:sz="4" w:space="0" w:color="auto"/>
              <w:right w:val="single" w:sz="4" w:space="0" w:color="auto"/>
            </w:tcBorders>
            <w:shd w:val="clear" w:color="auto" w:fill="auto"/>
            <w:noWrap/>
            <w:hideMark/>
          </w:tcPr>
          <w:p w14:paraId="61A6686D" w14:textId="77777777" w:rsidR="003F25FA" w:rsidRPr="00406418" w:rsidRDefault="003F25FA" w:rsidP="009D0913">
            <w:pPr>
              <w:suppressAutoHyphens w:val="0"/>
              <w:spacing w:line="240" w:lineRule="auto"/>
              <w:jc w:val="center"/>
              <w:rPr>
                <w:rFonts w:ascii="Calibri" w:hAnsi="Calibri" w:cs="Calibri"/>
                <w:sz w:val="16"/>
                <w:szCs w:val="22"/>
              </w:rPr>
            </w:pPr>
            <w:r>
              <w:rPr>
                <w:rFonts w:ascii="Calibri" w:hAnsi="Calibri"/>
                <w:sz w:val="16"/>
              </w:rPr>
              <w:t>9007</w:t>
            </w:r>
          </w:p>
        </w:tc>
        <w:tc>
          <w:tcPr>
            <w:tcW w:w="2256" w:type="dxa"/>
            <w:tcBorders>
              <w:top w:val="nil"/>
              <w:left w:val="nil"/>
              <w:bottom w:val="single" w:sz="4" w:space="0" w:color="auto"/>
              <w:right w:val="single" w:sz="4" w:space="0" w:color="auto"/>
            </w:tcBorders>
            <w:shd w:val="clear" w:color="auto" w:fill="auto"/>
            <w:hideMark/>
          </w:tcPr>
          <w:p w14:paraId="48010838" w14:textId="77777777" w:rsidR="003F25FA" w:rsidRPr="00406418" w:rsidRDefault="003F25FA" w:rsidP="009D0913">
            <w:pPr>
              <w:suppressAutoHyphens w:val="0"/>
              <w:spacing w:line="240" w:lineRule="auto"/>
              <w:jc w:val="center"/>
              <w:rPr>
                <w:rFonts w:ascii="Calibri" w:hAnsi="Calibri" w:cs="Calibri"/>
                <w:sz w:val="16"/>
                <w:szCs w:val="22"/>
              </w:rPr>
            </w:pPr>
            <w:r>
              <w:rPr>
                <w:rFonts w:ascii="Calibri" w:hAnsi="Calibri"/>
                <w:sz w:val="16"/>
              </w:rPr>
              <w:t>BEGASTE LADUNG</w:t>
            </w:r>
          </w:p>
        </w:tc>
        <w:tc>
          <w:tcPr>
            <w:tcW w:w="567" w:type="dxa"/>
            <w:tcBorders>
              <w:top w:val="nil"/>
              <w:left w:val="nil"/>
              <w:bottom w:val="single" w:sz="4" w:space="0" w:color="auto"/>
              <w:right w:val="single" w:sz="4" w:space="0" w:color="auto"/>
            </w:tcBorders>
            <w:shd w:val="clear" w:color="auto" w:fill="auto"/>
            <w:noWrap/>
            <w:hideMark/>
          </w:tcPr>
          <w:p w14:paraId="6AA53863" w14:textId="77777777" w:rsidR="003F25FA" w:rsidRPr="00406418" w:rsidRDefault="003F25FA" w:rsidP="009D0913">
            <w:pPr>
              <w:suppressAutoHyphens w:val="0"/>
              <w:spacing w:line="240" w:lineRule="auto"/>
              <w:jc w:val="center"/>
              <w:rPr>
                <w:rFonts w:ascii="Calibri" w:hAnsi="Calibri" w:cs="Calibri"/>
                <w:sz w:val="16"/>
                <w:szCs w:val="22"/>
              </w:rPr>
            </w:pPr>
            <w:r>
              <w:rPr>
                <w:rFonts w:ascii="Calibri" w:hAnsi="Calibri"/>
                <w:sz w:val="16"/>
              </w:rPr>
              <w:t>9</w:t>
            </w:r>
          </w:p>
        </w:tc>
        <w:tc>
          <w:tcPr>
            <w:tcW w:w="708" w:type="dxa"/>
            <w:tcBorders>
              <w:top w:val="nil"/>
              <w:left w:val="nil"/>
              <w:bottom w:val="single" w:sz="4" w:space="0" w:color="auto"/>
              <w:right w:val="single" w:sz="4" w:space="0" w:color="auto"/>
            </w:tcBorders>
            <w:shd w:val="clear" w:color="auto" w:fill="auto"/>
            <w:noWrap/>
            <w:hideMark/>
          </w:tcPr>
          <w:p w14:paraId="5F712B51" w14:textId="77777777" w:rsidR="003F25FA" w:rsidRPr="00406418" w:rsidRDefault="003F25FA" w:rsidP="009D0913">
            <w:pPr>
              <w:suppressAutoHyphens w:val="0"/>
              <w:spacing w:line="240" w:lineRule="auto"/>
              <w:jc w:val="center"/>
              <w:rPr>
                <w:rFonts w:ascii="Calibri" w:hAnsi="Calibri" w:cs="Calibri"/>
                <w:sz w:val="16"/>
                <w:szCs w:val="22"/>
              </w:rPr>
            </w:pPr>
            <w:r>
              <w:rPr>
                <w:rFonts w:ascii="Calibri" w:hAnsi="Calibri"/>
                <w:sz w:val="16"/>
              </w:rPr>
              <w:t>M11</w:t>
            </w:r>
          </w:p>
        </w:tc>
        <w:tc>
          <w:tcPr>
            <w:tcW w:w="709" w:type="dxa"/>
            <w:tcBorders>
              <w:top w:val="nil"/>
              <w:left w:val="nil"/>
              <w:bottom w:val="single" w:sz="4" w:space="0" w:color="auto"/>
              <w:right w:val="single" w:sz="4" w:space="0" w:color="auto"/>
            </w:tcBorders>
            <w:shd w:val="clear" w:color="auto" w:fill="auto"/>
            <w:noWrap/>
            <w:hideMark/>
          </w:tcPr>
          <w:p w14:paraId="1397BE36"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c>
          <w:tcPr>
            <w:tcW w:w="567" w:type="dxa"/>
            <w:tcBorders>
              <w:top w:val="nil"/>
              <w:left w:val="nil"/>
              <w:bottom w:val="single" w:sz="4" w:space="0" w:color="auto"/>
              <w:right w:val="single" w:sz="4" w:space="0" w:color="auto"/>
            </w:tcBorders>
            <w:shd w:val="clear" w:color="auto" w:fill="auto"/>
            <w:noWrap/>
            <w:hideMark/>
          </w:tcPr>
          <w:p w14:paraId="3F68D3CA"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c>
          <w:tcPr>
            <w:tcW w:w="709" w:type="dxa"/>
            <w:tcBorders>
              <w:top w:val="nil"/>
              <w:left w:val="nil"/>
              <w:bottom w:val="single" w:sz="4" w:space="0" w:color="auto"/>
              <w:right w:val="single" w:sz="4" w:space="0" w:color="auto"/>
            </w:tcBorders>
            <w:shd w:val="clear" w:color="auto" w:fill="auto"/>
            <w:noWrap/>
            <w:hideMark/>
          </w:tcPr>
          <w:p w14:paraId="3391D2BC" w14:textId="77777777" w:rsidR="003F25FA" w:rsidRPr="00406418" w:rsidRDefault="003F25FA" w:rsidP="009D0913">
            <w:pPr>
              <w:suppressAutoHyphens w:val="0"/>
              <w:spacing w:line="240" w:lineRule="auto"/>
              <w:jc w:val="center"/>
              <w:rPr>
                <w:rFonts w:ascii="Calibri" w:hAnsi="Calibri" w:cs="Calibri"/>
                <w:sz w:val="16"/>
                <w:szCs w:val="22"/>
              </w:rPr>
            </w:pPr>
            <w:r>
              <w:rPr>
                <w:rFonts w:ascii="Calibri" w:hAnsi="Calibri"/>
                <w:sz w:val="16"/>
              </w:rPr>
              <w:t>804</w:t>
            </w:r>
          </w:p>
        </w:tc>
        <w:tc>
          <w:tcPr>
            <w:tcW w:w="709" w:type="dxa"/>
            <w:tcBorders>
              <w:top w:val="nil"/>
              <w:left w:val="nil"/>
              <w:bottom w:val="single" w:sz="4" w:space="0" w:color="auto"/>
              <w:right w:val="single" w:sz="4" w:space="0" w:color="auto"/>
            </w:tcBorders>
            <w:shd w:val="clear" w:color="auto" w:fill="auto"/>
            <w:noWrap/>
            <w:hideMark/>
          </w:tcPr>
          <w:p w14:paraId="7C4E54C7"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c>
          <w:tcPr>
            <w:tcW w:w="630" w:type="dxa"/>
            <w:tcBorders>
              <w:top w:val="nil"/>
              <w:left w:val="nil"/>
              <w:bottom w:val="single" w:sz="4" w:space="0" w:color="auto"/>
              <w:right w:val="single" w:sz="4" w:space="0" w:color="auto"/>
            </w:tcBorders>
            <w:shd w:val="clear" w:color="auto" w:fill="auto"/>
            <w:noWrap/>
            <w:hideMark/>
          </w:tcPr>
          <w:p w14:paraId="6417585E" w14:textId="77777777" w:rsidR="003F25FA" w:rsidRPr="00406418" w:rsidRDefault="003F25FA" w:rsidP="009D0913">
            <w:pPr>
              <w:suppressAutoHyphens w:val="0"/>
              <w:spacing w:line="240" w:lineRule="auto"/>
              <w:jc w:val="center"/>
              <w:rPr>
                <w:rFonts w:ascii="Calibri" w:hAnsi="Calibri" w:cs="Calibri"/>
                <w:sz w:val="16"/>
                <w:szCs w:val="22"/>
              </w:rPr>
            </w:pPr>
            <w:r>
              <w:rPr>
                <w:rFonts w:ascii="Calibri" w:hAnsi="Calibri"/>
                <w:sz w:val="16"/>
              </w:rPr>
              <w:t>E0</w:t>
            </w:r>
          </w:p>
        </w:tc>
        <w:tc>
          <w:tcPr>
            <w:tcW w:w="799" w:type="dxa"/>
            <w:tcBorders>
              <w:top w:val="nil"/>
              <w:left w:val="nil"/>
              <w:bottom w:val="single" w:sz="4" w:space="0" w:color="auto"/>
              <w:right w:val="single" w:sz="4" w:space="0" w:color="auto"/>
            </w:tcBorders>
            <w:shd w:val="clear" w:color="auto" w:fill="auto"/>
            <w:noWrap/>
            <w:hideMark/>
          </w:tcPr>
          <w:p w14:paraId="6EA5F493" w14:textId="77777777" w:rsidR="003F25FA" w:rsidRPr="00406418" w:rsidRDefault="003F25FA" w:rsidP="009D0913">
            <w:pPr>
              <w:suppressAutoHyphens w:val="0"/>
              <w:spacing w:line="240" w:lineRule="auto"/>
              <w:jc w:val="center"/>
              <w:rPr>
                <w:rFonts w:ascii="Calibri" w:hAnsi="Calibri" w:cs="Calibri"/>
                <w:sz w:val="16"/>
                <w:szCs w:val="22"/>
              </w:rPr>
            </w:pPr>
            <w:r>
              <w:rPr>
                <w:rFonts w:ascii="Calibri" w:hAnsi="Calibri"/>
                <w:sz w:val="16"/>
              </w:rPr>
              <w:t>B</w:t>
            </w:r>
          </w:p>
        </w:tc>
        <w:tc>
          <w:tcPr>
            <w:tcW w:w="709" w:type="dxa"/>
            <w:tcBorders>
              <w:top w:val="nil"/>
              <w:left w:val="nil"/>
              <w:bottom w:val="single" w:sz="4" w:space="0" w:color="auto"/>
              <w:right w:val="single" w:sz="4" w:space="0" w:color="auto"/>
            </w:tcBorders>
            <w:shd w:val="clear" w:color="auto" w:fill="auto"/>
            <w:noWrap/>
            <w:hideMark/>
          </w:tcPr>
          <w:p w14:paraId="6FA490DA"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c>
          <w:tcPr>
            <w:tcW w:w="567" w:type="dxa"/>
            <w:tcBorders>
              <w:top w:val="nil"/>
              <w:left w:val="nil"/>
              <w:bottom w:val="single" w:sz="4" w:space="0" w:color="auto"/>
              <w:right w:val="single" w:sz="4" w:space="0" w:color="auto"/>
            </w:tcBorders>
            <w:shd w:val="clear" w:color="auto" w:fill="auto"/>
            <w:noWrap/>
            <w:hideMark/>
          </w:tcPr>
          <w:p w14:paraId="1755F94D"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c>
          <w:tcPr>
            <w:tcW w:w="2410" w:type="dxa"/>
            <w:tcBorders>
              <w:top w:val="nil"/>
              <w:left w:val="nil"/>
              <w:bottom w:val="single" w:sz="4" w:space="0" w:color="auto"/>
              <w:right w:val="single" w:sz="4" w:space="0" w:color="auto"/>
            </w:tcBorders>
            <w:shd w:val="clear" w:color="auto" w:fill="auto"/>
            <w:noWrap/>
            <w:hideMark/>
          </w:tcPr>
          <w:p w14:paraId="5849CD6C"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c>
          <w:tcPr>
            <w:tcW w:w="720" w:type="dxa"/>
            <w:tcBorders>
              <w:top w:val="nil"/>
              <w:left w:val="nil"/>
              <w:bottom w:val="single" w:sz="4" w:space="0" w:color="auto"/>
              <w:right w:val="single" w:sz="4" w:space="0" w:color="auto"/>
            </w:tcBorders>
            <w:shd w:val="clear" w:color="auto" w:fill="auto"/>
            <w:noWrap/>
            <w:hideMark/>
          </w:tcPr>
          <w:p w14:paraId="225A88E5"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c>
          <w:tcPr>
            <w:tcW w:w="1543" w:type="dxa"/>
            <w:tcBorders>
              <w:top w:val="nil"/>
              <w:left w:val="nil"/>
              <w:bottom w:val="single" w:sz="4" w:space="0" w:color="auto"/>
              <w:right w:val="single" w:sz="4" w:space="0" w:color="auto"/>
            </w:tcBorders>
            <w:shd w:val="clear" w:color="auto" w:fill="auto"/>
            <w:noWrap/>
            <w:hideMark/>
          </w:tcPr>
          <w:p w14:paraId="064278CF" w14:textId="77777777" w:rsidR="003F25FA" w:rsidRPr="00406418" w:rsidRDefault="003F25FA" w:rsidP="009D0913">
            <w:pPr>
              <w:suppressAutoHyphens w:val="0"/>
              <w:spacing w:line="240" w:lineRule="auto"/>
              <w:jc w:val="center"/>
              <w:rPr>
                <w:rFonts w:ascii="Calibri" w:hAnsi="Calibri" w:cs="Calibri"/>
                <w:sz w:val="16"/>
                <w:szCs w:val="22"/>
                <w:lang w:eastAsia="de-DE"/>
              </w:rPr>
            </w:pPr>
          </w:p>
        </w:tc>
      </w:tr>
    </w:tbl>
    <w:p w14:paraId="7D5A206B" w14:textId="77777777" w:rsidR="003F25FA" w:rsidRPr="0051536C" w:rsidRDefault="003F25FA" w:rsidP="003F25FA">
      <w:pPr>
        <w:tabs>
          <w:tab w:val="left" w:pos="1701"/>
        </w:tabs>
        <w:spacing w:line="240" w:lineRule="auto"/>
        <w:ind w:left="1134" w:right="566"/>
      </w:pPr>
    </w:p>
    <w:p w14:paraId="64CE3B9A" w14:textId="77777777" w:rsidR="003F25FA" w:rsidRDefault="003F25FA" w:rsidP="00022248">
      <w:pPr>
        <w:spacing w:before="240"/>
        <w:jc w:val="center"/>
        <w:rPr>
          <w:u w:val="single"/>
        </w:rPr>
      </w:pPr>
    </w:p>
    <w:p w14:paraId="42412258" w14:textId="3EBFF2B1" w:rsidR="00B13198" w:rsidRPr="00022248" w:rsidRDefault="00022248" w:rsidP="00022248">
      <w:pPr>
        <w:spacing w:before="240"/>
        <w:jc w:val="center"/>
        <w:rPr>
          <w:u w:val="single"/>
        </w:rPr>
      </w:pPr>
      <w:r>
        <w:rPr>
          <w:u w:val="single"/>
        </w:rPr>
        <w:tab/>
      </w:r>
      <w:r>
        <w:rPr>
          <w:u w:val="single"/>
        </w:rPr>
        <w:tab/>
      </w:r>
      <w:r>
        <w:rPr>
          <w:u w:val="single"/>
        </w:rPr>
        <w:tab/>
      </w:r>
    </w:p>
    <w:sectPr w:rsidR="00B13198" w:rsidRPr="00022248" w:rsidSect="00BF5928">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5F0A" w14:textId="77777777" w:rsidR="00B31C2D" w:rsidRDefault="00B31C2D"/>
  </w:endnote>
  <w:endnote w:type="continuationSeparator" w:id="0">
    <w:p w14:paraId="3D9EFCB6" w14:textId="77777777" w:rsidR="00B31C2D" w:rsidRDefault="00B31C2D"/>
  </w:endnote>
  <w:endnote w:type="continuationNotice" w:id="1">
    <w:p w14:paraId="3327A8B6" w14:textId="77777777" w:rsidR="00B31C2D" w:rsidRDefault="00B31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741" w14:textId="164AFDD1" w:rsidR="00BF5928" w:rsidRPr="00BF5928" w:rsidRDefault="00BF5928" w:rsidP="00BF59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D0DC" w14:textId="0826B498" w:rsidR="00BF5928" w:rsidRPr="00BF5928" w:rsidRDefault="00BF5928" w:rsidP="00BF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AF97" w14:textId="77777777" w:rsidR="00B31C2D" w:rsidRPr="000B175B" w:rsidRDefault="00B31C2D" w:rsidP="000B175B">
      <w:pPr>
        <w:tabs>
          <w:tab w:val="right" w:pos="2155"/>
        </w:tabs>
        <w:spacing w:after="80"/>
        <w:ind w:left="680"/>
        <w:rPr>
          <w:u w:val="single"/>
        </w:rPr>
      </w:pPr>
      <w:r>
        <w:rPr>
          <w:u w:val="single"/>
        </w:rPr>
        <w:tab/>
      </w:r>
    </w:p>
  </w:footnote>
  <w:footnote w:type="continuationSeparator" w:id="0">
    <w:p w14:paraId="085398A6" w14:textId="77777777" w:rsidR="00B31C2D" w:rsidRPr="00FC68B7" w:rsidRDefault="00B31C2D" w:rsidP="00FC68B7">
      <w:pPr>
        <w:tabs>
          <w:tab w:val="left" w:pos="2155"/>
        </w:tabs>
        <w:spacing w:after="80"/>
        <w:ind w:left="680"/>
        <w:rPr>
          <w:u w:val="single"/>
        </w:rPr>
      </w:pPr>
      <w:r>
        <w:rPr>
          <w:u w:val="single"/>
        </w:rPr>
        <w:tab/>
      </w:r>
    </w:p>
  </w:footnote>
  <w:footnote w:type="continuationNotice" w:id="1">
    <w:p w14:paraId="35D959AE" w14:textId="77777777" w:rsidR="00B31C2D" w:rsidRDefault="00B31C2D"/>
  </w:footnote>
  <w:footnote w:id="2">
    <w:p w14:paraId="6ECE10DD" w14:textId="77777777" w:rsidR="003F25FA" w:rsidRPr="00771558" w:rsidRDefault="003F25FA" w:rsidP="003F25FA">
      <w:pPr>
        <w:pStyle w:val="FootnoteText"/>
        <w:rPr>
          <w:lang w:val="en-US"/>
        </w:rPr>
      </w:pPr>
      <w:r w:rsidRPr="005D0E91">
        <w:rPr>
          <w:rStyle w:val="FootnoteReference"/>
        </w:rPr>
        <w:tab/>
      </w:r>
      <w:r w:rsidRPr="005D0E91">
        <w:rPr>
          <w:rStyle w:val="FootnoteReference"/>
          <w:sz w:val="20"/>
          <w:vertAlign w:val="baseline"/>
        </w:rPr>
        <w:t>*</w:t>
      </w:r>
      <w:r w:rsidRPr="005D0E91">
        <w:rPr>
          <w:rStyle w:val="FootnoteReference"/>
          <w:sz w:val="20"/>
          <w:vertAlign w:val="baseline"/>
        </w:rPr>
        <w:tab/>
      </w:r>
      <w:r w:rsidRPr="005D0E91">
        <w:rPr>
          <w:szCs w:val="18"/>
        </w:rPr>
        <w:t>Distributed in German by the Central Commission for the Navigation of the Rhine under the symbol CCNR-ZKR/ADN/</w:t>
      </w:r>
      <w:r w:rsidRPr="005D0E91">
        <w:t>WP</w:t>
      </w:r>
      <w:r w:rsidRPr="005D0E91">
        <w:rPr>
          <w:szCs w:val="18"/>
        </w:rPr>
        <w:t>.15/AC.2/2023/39</w:t>
      </w:r>
    </w:p>
  </w:footnote>
  <w:footnote w:id="3">
    <w:p w14:paraId="7269E5F1" w14:textId="77777777" w:rsidR="003F25FA" w:rsidRPr="00404A27" w:rsidRDefault="003F25FA" w:rsidP="003F25FA">
      <w:pPr>
        <w:pStyle w:val="FootnoteText"/>
        <w:rPr>
          <w:lang w:val="en-US"/>
        </w:rPr>
      </w:pPr>
      <w:r w:rsidRPr="005D0E91">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AABF646" w:rsidR="00335B02" w:rsidRPr="00F54205" w:rsidRDefault="00236A03" w:rsidP="00F54205">
    <w:pPr>
      <w:pStyle w:val="Header"/>
    </w:pPr>
    <w:r>
      <w:t>INF.</w:t>
    </w:r>
    <w:r w:rsidR="00F176A4">
      <w:t>17</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08874217" w:rsidR="00335B02" w:rsidRPr="00EA42C1" w:rsidRDefault="00B5117E" w:rsidP="00EA42C1">
    <w:pPr>
      <w:pStyle w:val="Header"/>
      <w:jc w:val="right"/>
    </w:pPr>
    <w:r>
      <w:t>INF.</w:t>
    </w:r>
    <w:r w:rsidR="00F176A4">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3769" w14:textId="6360C035" w:rsidR="00BF5928" w:rsidRPr="00BF5928" w:rsidRDefault="00695780" w:rsidP="00BF5928">
    <w:r>
      <w:rPr>
        <w:noProof/>
      </w:rPr>
      <mc:AlternateContent>
        <mc:Choice Requires="wps">
          <w:drawing>
            <wp:anchor distT="0" distB="0" distL="114300" distR="114300" simplePos="0" relativeHeight="251657216" behindDoc="0" locked="0" layoutInCell="1" allowOverlap="1" wp14:anchorId="2713CDF7" wp14:editId="72A29CA8">
              <wp:simplePos x="0" y="0"/>
              <wp:positionH relativeFrom="margin">
                <wp:posOffset>-431800</wp:posOffset>
              </wp:positionH>
              <wp:positionV relativeFrom="margin">
                <wp:posOffset>0</wp:posOffset>
              </wp:positionV>
              <wp:extent cx="215900" cy="6120130"/>
              <wp:effectExtent l="6350" t="0" r="635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4E920" w14:textId="77777777" w:rsidR="00BF5928" w:rsidRPr="00335B02" w:rsidRDefault="00BF5928" w:rsidP="00BF592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p>
                        <w:p w14:paraId="21F5FC18" w14:textId="77777777" w:rsidR="00BF5928" w:rsidRDefault="00BF592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3CDF7" id="_x0000_t202" coordsize="21600,21600" o:spt="202" path="m,l,21600r21600,l21600,xe">
              <v:stroke joinstyle="miter"/>
              <v:path gradientshapeok="t" o:connecttype="rect"/>
            </v:shapetype>
            <v:shape id="Text Box 2" o:spid="_x0000_s1026" type="#_x0000_t202" style="position:absolute;margin-left:-34pt;margin-top:0;width:17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" stroked="f">
              <v:fill opacity="0"/>
              <v:textbox style="layout-flow:vertical" inset="0,0,0,0">
                <w:txbxContent>
                  <w:p w14:paraId="74D4E920" w14:textId="77777777" w:rsidR="00BF5928" w:rsidRPr="00335B02" w:rsidRDefault="00BF5928" w:rsidP="00BF592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p>
                  <w:p w14:paraId="21F5FC18" w14:textId="77777777" w:rsidR="00BF5928" w:rsidRDefault="00BF5928"/>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1" allowOverlap="1" wp14:anchorId="61557A66" wp14:editId="4BFCEA88">
              <wp:simplePos x="0" y="0"/>
              <wp:positionH relativeFrom="page">
                <wp:posOffset>9935845</wp:posOffset>
              </wp:positionH>
              <wp:positionV relativeFrom="margin">
                <wp:posOffset>0</wp:posOffset>
              </wp:positionV>
              <wp:extent cx="215900" cy="6120130"/>
              <wp:effectExtent l="127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1D64E" w14:textId="77777777" w:rsidR="00BF5928" w:rsidRPr="00F54205" w:rsidRDefault="00BF5928" w:rsidP="00BF5928">
                          <w:pPr>
                            <w:pStyle w:val="Header"/>
                          </w:pPr>
                          <w:r>
                            <w:t>INF.17</w:t>
                          </w:r>
                        </w:p>
                        <w:p w14:paraId="2EC73FDC" w14:textId="77777777" w:rsidR="00BF5928" w:rsidRDefault="00BF5928" w:rsidP="00BF5928"/>
                        <w:p w14:paraId="52EB7705" w14:textId="77777777" w:rsidR="00BF5928" w:rsidRDefault="00BF592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7A66" id="Text Box 1" o:spid="_x0000_s1027" type="#_x0000_t202" style="position:absolute;margin-left:782.35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" stroked="f">
              <v:fill opacity="0"/>
              <v:textbox style="layout-flow:vertical" inset="0,0,0,0">
                <w:txbxContent>
                  <w:p w14:paraId="2E41D64E" w14:textId="77777777" w:rsidR="00BF5928" w:rsidRPr="00F54205" w:rsidRDefault="00BF5928" w:rsidP="00BF5928">
                    <w:pPr>
                      <w:pStyle w:val="Header"/>
                    </w:pPr>
                    <w:r>
                      <w:t>INF.17</w:t>
                    </w:r>
                  </w:p>
                  <w:p w14:paraId="2EC73FDC" w14:textId="77777777" w:rsidR="00BF5928" w:rsidRDefault="00BF5928" w:rsidP="00BF5928"/>
                  <w:p w14:paraId="52EB7705" w14:textId="77777777" w:rsidR="00BF5928" w:rsidRDefault="00BF592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89B" w14:textId="55CD9B20" w:rsidR="00BF5928" w:rsidRPr="00BF5928" w:rsidRDefault="00695780" w:rsidP="00BF5928">
    <w:r>
      <w:rPr>
        <w:noProof/>
      </w:rPr>
      <mc:AlternateContent>
        <mc:Choice Requires="wps">
          <w:drawing>
            <wp:anchor distT="0" distB="0" distL="114300" distR="114300" simplePos="0" relativeHeight="251659264" behindDoc="0" locked="0" layoutInCell="1" allowOverlap="1" wp14:anchorId="7F7F8F11" wp14:editId="0FD7686B">
              <wp:simplePos x="0" y="0"/>
              <wp:positionH relativeFrom="margin">
                <wp:posOffset>-431800</wp:posOffset>
              </wp:positionH>
              <wp:positionV relativeFrom="margin">
                <wp:posOffset>0</wp:posOffset>
              </wp:positionV>
              <wp:extent cx="215900" cy="6120130"/>
              <wp:effectExtent l="6350" t="0" r="635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DA823" w14:textId="77777777" w:rsidR="00BF5928" w:rsidRPr="00335B02" w:rsidRDefault="00BF5928" w:rsidP="00BF592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9</w:t>
                          </w:r>
                          <w:r>
                            <w:rPr>
                              <w:b/>
                              <w:sz w:val="18"/>
                            </w:rPr>
                            <w:fldChar w:fldCharType="end"/>
                          </w:r>
                        </w:p>
                        <w:p w14:paraId="36B6A466" w14:textId="77777777" w:rsidR="00BF5928" w:rsidRDefault="00BF592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8F11" id="_x0000_t202" coordsize="21600,21600" o:spt="202" path="m,l,21600r21600,l21600,xe">
              <v:stroke joinstyle="miter"/>
              <v:path gradientshapeok="t" o:connecttype="rect"/>
            </v:shapetype>
            <v:shape id="Text Box 4" o:spid="_x0000_s1028" type="#_x0000_t202" style="position:absolute;margin-left:-34pt;margin-top:0;width:17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" stroked="f">
              <v:fill opacity="0"/>
              <v:textbox style="layout-flow:vertical" inset="0,0,0,0">
                <w:txbxContent>
                  <w:p w14:paraId="17CDA823" w14:textId="77777777" w:rsidR="00BF5928" w:rsidRPr="00335B02" w:rsidRDefault="00BF5928" w:rsidP="00BF592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9</w:t>
                    </w:r>
                    <w:r>
                      <w:rPr>
                        <w:b/>
                        <w:sz w:val="18"/>
                      </w:rPr>
                      <w:fldChar w:fldCharType="end"/>
                    </w:r>
                  </w:p>
                  <w:p w14:paraId="36B6A466" w14:textId="77777777" w:rsidR="00BF5928" w:rsidRDefault="00BF5928"/>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5692C05" wp14:editId="4FA21A4B">
              <wp:simplePos x="0" y="0"/>
              <wp:positionH relativeFrom="page">
                <wp:posOffset>9935845</wp:posOffset>
              </wp:positionH>
              <wp:positionV relativeFrom="margin">
                <wp:posOffset>0</wp:posOffset>
              </wp:positionV>
              <wp:extent cx="215900" cy="6120130"/>
              <wp:effectExtent l="1270" t="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24DD1" w14:textId="77777777" w:rsidR="00BF5928" w:rsidRPr="00EA42C1" w:rsidRDefault="00BF5928" w:rsidP="00BF5928">
                          <w:pPr>
                            <w:pStyle w:val="Header"/>
                            <w:jc w:val="right"/>
                          </w:pPr>
                          <w:r>
                            <w:t>INF.17</w:t>
                          </w:r>
                        </w:p>
                        <w:p w14:paraId="24A3FE5F" w14:textId="77777777" w:rsidR="00BF5928" w:rsidRDefault="00BF592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92C05" id="Text Box 3" o:spid="_x0000_s1029" type="#_x0000_t202" style="position:absolute;margin-left:782.35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" stroked="f">
              <v:fill opacity="0"/>
              <v:textbox style="layout-flow:vertical" inset="0,0,0,0">
                <w:txbxContent>
                  <w:p w14:paraId="42624DD1" w14:textId="77777777" w:rsidR="00BF5928" w:rsidRPr="00EA42C1" w:rsidRDefault="00BF5928" w:rsidP="00BF5928">
                    <w:pPr>
                      <w:pStyle w:val="Header"/>
                      <w:jc w:val="right"/>
                    </w:pPr>
                    <w:r>
                      <w:t>INF.17</w:t>
                    </w:r>
                  </w:p>
                  <w:p w14:paraId="24A3FE5F" w14:textId="77777777" w:rsidR="00BF5928" w:rsidRDefault="00BF592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192F0C"/>
    <w:multiLevelType w:val="hybridMultilevel"/>
    <w:tmpl w:val="D17E5C08"/>
    <w:lvl w:ilvl="0" w:tplc="840E776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0A7966AF"/>
    <w:multiLevelType w:val="hybridMultilevel"/>
    <w:tmpl w:val="22E4E528"/>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0"/>
  </w:num>
  <w:num w:numId="12" w16cid:durableId="138766385">
    <w:abstractNumId w:val="17"/>
  </w:num>
  <w:num w:numId="13" w16cid:durableId="2105681482">
    <w:abstractNumId w:val="11"/>
  </w:num>
  <w:num w:numId="14" w16cid:durableId="1465004137">
    <w:abstractNumId w:val="15"/>
  </w:num>
  <w:num w:numId="15" w16cid:durableId="411239685">
    <w:abstractNumId w:val="21"/>
  </w:num>
  <w:num w:numId="16" w16cid:durableId="1736125182">
    <w:abstractNumId w:val="16"/>
  </w:num>
  <w:num w:numId="17" w16cid:durableId="711076582">
    <w:abstractNumId w:val="23"/>
  </w:num>
  <w:num w:numId="18" w16cid:durableId="50083596">
    <w:abstractNumId w:val="25"/>
  </w:num>
  <w:num w:numId="19" w16cid:durableId="1413114354">
    <w:abstractNumId w:val="14"/>
  </w:num>
  <w:num w:numId="20" w16cid:durableId="1881743150">
    <w:abstractNumId w:val="14"/>
  </w:num>
  <w:num w:numId="21" w16cid:durableId="1947106276">
    <w:abstractNumId w:val="18"/>
  </w:num>
  <w:num w:numId="22" w16cid:durableId="1861047719">
    <w:abstractNumId w:val="24"/>
  </w:num>
  <w:num w:numId="23" w16cid:durableId="1115830556">
    <w:abstractNumId w:val="10"/>
  </w:num>
  <w:num w:numId="24" w16cid:durableId="1156650093">
    <w:abstractNumId w:val="19"/>
  </w:num>
  <w:num w:numId="25" w16cid:durableId="1750227226">
    <w:abstractNumId w:val="22"/>
  </w:num>
  <w:num w:numId="26" w16cid:durableId="234634536">
    <w:abstractNumId w:val="13"/>
  </w:num>
  <w:num w:numId="27" w16cid:durableId="16722168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07A9E"/>
    <w:rsid w:val="000211BF"/>
    <w:rsid w:val="00022248"/>
    <w:rsid w:val="000249BA"/>
    <w:rsid w:val="00025A12"/>
    <w:rsid w:val="00026887"/>
    <w:rsid w:val="000274F8"/>
    <w:rsid w:val="00027624"/>
    <w:rsid w:val="000320C2"/>
    <w:rsid w:val="0003293F"/>
    <w:rsid w:val="00033166"/>
    <w:rsid w:val="00047B17"/>
    <w:rsid w:val="00047CD6"/>
    <w:rsid w:val="00047E5C"/>
    <w:rsid w:val="00050F6B"/>
    <w:rsid w:val="00062927"/>
    <w:rsid w:val="000678CD"/>
    <w:rsid w:val="00072C8C"/>
    <w:rsid w:val="00081CE0"/>
    <w:rsid w:val="00084D30"/>
    <w:rsid w:val="0008675E"/>
    <w:rsid w:val="00090320"/>
    <w:rsid w:val="00092D3C"/>
    <w:rsid w:val="000931C0"/>
    <w:rsid w:val="000A2E09"/>
    <w:rsid w:val="000B175B"/>
    <w:rsid w:val="000B21FA"/>
    <w:rsid w:val="000B3813"/>
    <w:rsid w:val="000B3A0F"/>
    <w:rsid w:val="000B3E8E"/>
    <w:rsid w:val="000B617F"/>
    <w:rsid w:val="000C12CF"/>
    <w:rsid w:val="000D01DC"/>
    <w:rsid w:val="000E0415"/>
    <w:rsid w:val="000E499D"/>
    <w:rsid w:val="000F4B19"/>
    <w:rsid w:val="000F60D4"/>
    <w:rsid w:val="000F65A3"/>
    <w:rsid w:val="000F7715"/>
    <w:rsid w:val="001066DE"/>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160"/>
    <w:rsid w:val="001832E3"/>
    <w:rsid w:val="001849EC"/>
    <w:rsid w:val="00184DDA"/>
    <w:rsid w:val="001900CD"/>
    <w:rsid w:val="001936CA"/>
    <w:rsid w:val="00195529"/>
    <w:rsid w:val="00196A05"/>
    <w:rsid w:val="001A0452"/>
    <w:rsid w:val="001A3F08"/>
    <w:rsid w:val="001B1F2E"/>
    <w:rsid w:val="001B4B04"/>
    <w:rsid w:val="001B4FF3"/>
    <w:rsid w:val="001B5875"/>
    <w:rsid w:val="001C4B9C"/>
    <w:rsid w:val="001C5E3B"/>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E0B"/>
    <w:rsid w:val="00226596"/>
    <w:rsid w:val="002267FF"/>
    <w:rsid w:val="00232575"/>
    <w:rsid w:val="00232C65"/>
    <w:rsid w:val="00236A03"/>
    <w:rsid w:val="00244196"/>
    <w:rsid w:val="00244787"/>
    <w:rsid w:val="0024654B"/>
    <w:rsid w:val="00247258"/>
    <w:rsid w:val="00256B8A"/>
    <w:rsid w:val="00257CAC"/>
    <w:rsid w:val="00266E76"/>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5D48"/>
    <w:rsid w:val="002E6905"/>
    <w:rsid w:val="002F046D"/>
    <w:rsid w:val="002F19D6"/>
    <w:rsid w:val="002F2238"/>
    <w:rsid w:val="002F3023"/>
    <w:rsid w:val="002F7BDD"/>
    <w:rsid w:val="00301764"/>
    <w:rsid w:val="00312AD5"/>
    <w:rsid w:val="00316FFE"/>
    <w:rsid w:val="00321CB3"/>
    <w:rsid w:val="003229D8"/>
    <w:rsid w:val="0033043C"/>
    <w:rsid w:val="0033290D"/>
    <w:rsid w:val="00335B02"/>
    <w:rsid w:val="00336C97"/>
    <w:rsid w:val="00337D1B"/>
    <w:rsid w:val="00337F88"/>
    <w:rsid w:val="003422FC"/>
    <w:rsid w:val="00342432"/>
    <w:rsid w:val="00350BE3"/>
    <w:rsid w:val="0035223F"/>
    <w:rsid w:val="00352D4B"/>
    <w:rsid w:val="00353243"/>
    <w:rsid w:val="0035638C"/>
    <w:rsid w:val="003614A1"/>
    <w:rsid w:val="0036440D"/>
    <w:rsid w:val="00374D51"/>
    <w:rsid w:val="00383FF3"/>
    <w:rsid w:val="0038694F"/>
    <w:rsid w:val="00391241"/>
    <w:rsid w:val="00394F2F"/>
    <w:rsid w:val="003958E2"/>
    <w:rsid w:val="00395BAD"/>
    <w:rsid w:val="00397953"/>
    <w:rsid w:val="003A46BB"/>
    <w:rsid w:val="003A4EC7"/>
    <w:rsid w:val="003A5FAA"/>
    <w:rsid w:val="003A7295"/>
    <w:rsid w:val="003B1C2C"/>
    <w:rsid w:val="003B1F60"/>
    <w:rsid w:val="003B5D8E"/>
    <w:rsid w:val="003C2CC4"/>
    <w:rsid w:val="003C696B"/>
    <w:rsid w:val="003C74FF"/>
    <w:rsid w:val="003D11AD"/>
    <w:rsid w:val="003D4B23"/>
    <w:rsid w:val="003E0C40"/>
    <w:rsid w:val="003E278A"/>
    <w:rsid w:val="003E3CF6"/>
    <w:rsid w:val="003E789F"/>
    <w:rsid w:val="003F25FA"/>
    <w:rsid w:val="00400FD1"/>
    <w:rsid w:val="00401B28"/>
    <w:rsid w:val="004031CB"/>
    <w:rsid w:val="00413520"/>
    <w:rsid w:val="0041770D"/>
    <w:rsid w:val="004212CA"/>
    <w:rsid w:val="00422024"/>
    <w:rsid w:val="00430635"/>
    <w:rsid w:val="004325CB"/>
    <w:rsid w:val="00433B06"/>
    <w:rsid w:val="00440A07"/>
    <w:rsid w:val="00442F38"/>
    <w:rsid w:val="00454D39"/>
    <w:rsid w:val="00456428"/>
    <w:rsid w:val="00457057"/>
    <w:rsid w:val="0045733B"/>
    <w:rsid w:val="00462880"/>
    <w:rsid w:val="00476F24"/>
    <w:rsid w:val="0048768E"/>
    <w:rsid w:val="00497194"/>
    <w:rsid w:val="004A575C"/>
    <w:rsid w:val="004A6C9B"/>
    <w:rsid w:val="004B09B0"/>
    <w:rsid w:val="004B6706"/>
    <w:rsid w:val="004C1217"/>
    <w:rsid w:val="004C55B0"/>
    <w:rsid w:val="004C7379"/>
    <w:rsid w:val="004C75CD"/>
    <w:rsid w:val="004E25B3"/>
    <w:rsid w:val="004E55EF"/>
    <w:rsid w:val="004F6BA0"/>
    <w:rsid w:val="00500315"/>
    <w:rsid w:val="00502435"/>
    <w:rsid w:val="0050249A"/>
    <w:rsid w:val="00503BEA"/>
    <w:rsid w:val="00506F46"/>
    <w:rsid w:val="00513E2B"/>
    <w:rsid w:val="005227B1"/>
    <w:rsid w:val="00524C4C"/>
    <w:rsid w:val="00527651"/>
    <w:rsid w:val="00533616"/>
    <w:rsid w:val="00535150"/>
    <w:rsid w:val="0053527C"/>
    <w:rsid w:val="00535ABA"/>
    <w:rsid w:val="0053768B"/>
    <w:rsid w:val="005420F2"/>
    <w:rsid w:val="0054285C"/>
    <w:rsid w:val="00545601"/>
    <w:rsid w:val="00547E92"/>
    <w:rsid w:val="00551485"/>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F08DF"/>
    <w:rsid w:val="005F2C18"/>
    <w:rsid w:val="005F3066"/>
    <w:rsid w:val="005F3E61"/>
    <w:rsid w:val="005F4D30"/>
    <w:rsid w:val="00603E67"/>
    <w:rsid w:val="006043F7"/>
    <w:rsid w:val="00604DDD"/>
    <w:rsid w:val="0061025D"/>
    <w:rsid w:val="00610969"/>
    <w:rsid w:val="006115CC"/>
    <w:rsid w:val="006116E6"/>
    <w:rsid w:val="00611FC4"/>
    <w:rsid w:val="00613B39"/>
    <w:rsid w:val="006169FB"/>
    <w:rsid w:val="006176FB"/>
    <w:rsid w:val="00617898"/>
    <w:rsid w:val="00624904"/>
    <w:rsid w:val="00630FCB"/>
    <w:rsid w:val="006409EC"/>
    <w:rsid w:val="00640B26"/>
    <w:rsid w:val="00643883"/>
    <w:rsid w:val="00654823"/>
    <w:rsid w:val="0065766B"/>
    <w:rsid w:val="00660948"/>
    <w:rsid w:val="00662346"/>
    <w:rsid w:val="006770B2"/>
    <w:rsid w:val="00677B3E"/>
    <w:rsid w:val="00684391"/>
    <w:rsid w:val="00686A48"/>
    <w:rsid w:val="006906F4"/>
    <w:rsid w:val="006940E1"/>
    <w:rsid w:val="00694920"/>
    <w:rsid w:val="00694998"/>
    <w:rsid w:val="00695780"/>
    <w:rsid w:val="00696357"/>
    <w:rsid w:val="00697C5C"/>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5ED0"/>
    <w:rsid w:val="006E7154"/>
    <w:rsid w:val="006F23F0"/>
    <w:rsid w:val="006F38FE"/>
    <w:rsid w:val="006F4047"/>
    <w:rsid w:val="007003CD"/>
    <w:rsid w:val="0070701E"/>
    <w:rsid w:val="007207E5"/>
    <w:rsid w:val="00720B38"/>
    <w:rsid w:val="007228D3"/>
    <w:rsid w:val="007258F8"/>
    <w:rsid w:val="0072632A"/>
    <w:rsid w:val="00727CC1"/>
    <w:rsid w:val="0073010F"/>
    <w:rsid w:val="00731C20"/>
    <w:rsid w:val="007358E8"/>
    <w:rsid w:val="00736ECE"/>
    <w:rsid w:val="00737DC9"/>
    <w:rsid w:val="0074533B"/>
    <w:rsid w:val="00751746"/>
    <w:rsid w:val="00762AC8"/>
    <w:rsid w:val="007643BC"/>
    <w:rsid w:val="00765F4B"/>
    <w:rsid w:val="007661F5"/>
    <w:rsid w:val="007741F9"/>
    <w:rsid w:val="00774DE3"/>
    <w:rsid w:val="00775F97"/>
    <w:rsid w:val="00780C68"/>
    <w:rsid w:val="00786D5E"/>
    <w:rsid w:val="007952A8"/>
    <w:rsid w:val="007959FE"/>
    <w:rsid w:val="00797A22"/>
    <w:rsid w:val="007A0CF1"/>
    <w:rsid w:val="007A18C1"/>
    <w:rsid w:val="007A7FA0"/>
    <w:rsid w:val="007B1D40"/>
    <w:rsid w:val="007B4319"/>
    <w:rsid w:val="007B6BA5"/>
    <w:rsid w:val="007B7140"/>
    <w:rsid w:val="007B7D14"/>
    <w:rsid w:val="007C1AFA"/>
    <w:rsid w:val="007C3390"/>
    <w:rsid w:val="007C3F37"/>
    <w:rsid w:val="007C42D8"/>
    <w:rsid w:val="007C4F4B"/>
    <w:rsid w:val="007D7362"/>
    <w:rsid w:val="007E48F3"/>
    <w:rsid w:val="007E6254"/>
    <w:rsid w:val="007F235D"/>
    <w:rsid w:val="007F2B38"/>
    <w:rsid w:val="007F3546"/>
    <w:rsid w:val="007F5CE2"/>
    <w:rsid w:val="007F6611"/>
    <w:rsid w:val="00800D33"/>
    <w:rsid w:val="0080216F"/>
    <w:rsid w:val="00805FE3"/>
    <w:rsid w:val="0081067A"/>
    <w:rsid w:val="00810BAC"/>
    <w:rsid w:val="008175E9"/>
    <w:rsid w:val="00821DA8"/>
    <w:rsid w:val="008242D7"/>
    <w:rsid w:val="0082577B"/>
    <w:rsid w:val="0082692B"/>
    <w:rsid w:val="00826D4A"/>
    <w:rsid w:val="00830CCA"/>
    <w:rsid w:val="008535FF"/>
    <w:rsid w:val="00865A74"/>
    <w:rsid w:val="00866893"/>
    <w:rsid w:val="00866F02"/>
    <w:rsid w:val="00867D18"/>
    <w:rsid w:val="00871F9A"/>
    <w:rsid w:val="00871FD5"/>
    <w:rsid w:val="00877FC0"/>
    <w:rsid w:val="0088172E"/>
    <w:rsid w:val="00881EFA"/>
    <w:rsid w:val="008879CB"/>
    <w:rsid w:val="00891A4B"/>
    <w:rsid w:val="008930C7"/>
    <w:rsid w:val="008950ED"/>
    <w:rsid w:val="008951C8"/>
    <w:rsid w:val="008974AA"/>
    <w:rsid w:val="008979B1"/>
    <w:rsid w:val="008A0100"/>
    <w:rsid w:val="008A105B"/>
    <w:rsid w:val="008A1CDC"/>
    <w:rsid w:val="008A310E"/>
    <w:rsid w:val="008A4325"/>
    <w:rsid w:val="008A5037"/>
    <w:rsid w:val="008A6635"/>
    <w:rsid w:val="008A6B25"/>
    <w:rsid w:val="008A6C4F"/>
    <w:rsid w:val="008A76C4"/>
    <w:rsid w:val="008B389E"/>
    <w:rsid w:val="008B5973"/>
    <w:rsid w:val="008B6E42"/>
    <w:rsid w:val="008C4835"/>
    <w:rsid w:val="008D045E"/>
    <w:rsid w:val="008D3F25"/>
    <w:rsid w:val="008D4B04"/>
    <w:rsid w:val="008D4D82"/>
    <w:rsid w:val="008E0E46"/>
    <w:rsid w:val="008E4DD5"/>
    <w:rsid w:val="008E7116"/>
    <w:rsid w:val="008F143B"/>
    <w:rsid w:val="008F3882"/>
    <w:rsid w:val="008F4499"/>
    <w:rsid w:val="008F4B7C"/>
    <w:rsid w:val="008F7AD9"/>
    <w:rsid w:val="008F7C57"/>
    <w:rsid w:val="00906A76"/>
    <w:rsid w:val="009109FD"/>
    <w:rsid w:val="00911006"/>
    <w:rsid w:val="00911D58"/>
    <w:rsid w:val="00916A87"/>
    <w:rsid w:val="00920C93"/>
    <w:rsid w:val="00925D29"/>
    <w:rsid w:val="00925DB2"/>
    <w:rsid w:val="009268D2"/>
    <w:rsid w:val="00926E47"/>
    <w:rsid w:val="00933C6E"/>
    <w:rsid w:val="00933D68"/>
    <w:rsid w:val="009368B4"/>
    <w:rsid w:val="00941162"/>
    <w:rsid w:val="00945821"/>
    <w:rsid w:val="009461B9"/>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87A2E"/>
    <w:rsid w:val="00990766"/>
    <w:rsid w:val="00991261"/>
    <w:rsid w:val="00995F45"/>
    <w:rsid w:val="009964C4"/>
    <w:rsid w:val="009A2E32"/>
    <w:rsid w:val="009A7B81"/>
    <w:rsid w:val="009B1F85"/>
    <w:rsid w:val="009B480C"/>
    <w:rsid w:val="009B6F8B"/>
    <w:rsid w:val="009C0A15"/>
    <w:rsid w:val="009C22D9"/>
    <w:rsid w:val="009C245D"/>
    <w:rsid w:val="009C3B36"/>
    <w:rsid w:val="009D01C0"/>
    <w:rsid w:val="009D2E14"/>
    <w:rsid w:val="009D377A"/>
    <w:rsid w:val="009D42E8"/>
    <w:rsid w:val="009D6A08"/>
    <w:rsid w:val="009D72CA"/>
    <w:rsid w:val="009E0A16"/>
    <w:rsid w:val="009E6CB7"/>
    <w:rsid w:val="009E7970"/>
    <w:rsid w:val="009F2EAC"/>
    <w:rsid w:val="009F57E3"/>
    <w:rsid w:val="00A05149"/>
    <w:rsid w:val="00A10F4F"/>
    <w:rsid w:val="00A11067"/>
    <w:rsid w:val="00A1704A"/>
    <w:rsid w:val="00A20C62"/>
    <w:rsid w:val="00A33F67"/>
    <w:rsid w:val="00A375EC"/>
    <w:rsid w:val="00A37B39"/>
    <w:rsid w:val="00A40594"/>
    <w:rsid w:val="00A425EB"/>
    <w:rsid w:val="00A45D89"/>
    <w:rsid w:val="00A51229"/>
    <w:rsid w:val="00A51820"/>
    <w:rsid w:val="00A553AB"/>
    <w:rsid w:val="00A66932"/>
    <w:rsid w:val="00A66E77"/>
    <w:rsid w:val="00A715B6"/>
    <w:rsid w:val="00A72F22"/>
    <w:rsid w:val="00A733BC"/>
    <w:rsid w:val="00A748A6"/>
    <w:rsid w:val="00A76A69"/>
    <w:rsid w:val="00A80956"/>
    <w:rsid w:val="00A879A4"/>
    <w:rsid w:val="00A9769E"/>
    <w:rsid w:val="00AA0FF8"/>
    <w:rsid w:val="00AA63BF"/>
    <w:rsid w:val="00AB134D"/>
    <w:rsid w:val="00AC0F2C"/>
    <w:rsid w:val="00AC502A"/>
    <w:rsid w:val="00AC7516"/>
    <w:rsid w:val="00AC75B7"/>
    <w:rsid w:val="00AC776A"/>
    <w:rsid w:val="00AD1E81"/>
    <w:rsid w:val="00AD5224"/>
    <w:rsid w:val="00AD68E0"/>
    <w:rsid w:val="00AE3044"/>
    <w:rsid w:val="00AE67A8"/>
    <w:rsid w:val="00AF41D0"/>
    <w:rsid w:val="00AF58C1"/>
    <w:rsid w:val="00B01498"/>
    <w:rsid w:val="00B0152A"/>
    <w:rsid w:val="00B04A3F"/>
    <w:rsid w:val="00B050B4"/>
    <w:rsid w:val="00B06643"/>
    <w:rsid w:val="00B105AE"/>
    <w:rsid w:val="00B13198"/>
    <w:rsid w:val="00B15055"/>
    <w:rsid w:val="00B169BD"/>
    <w:rsid w:val="00B20551"/>
    <w:rsid w:val="00B23A30"/>
    <w:rsid w:val="00B30179"/>
    <w:rsid w:val="00B31C2D"/>
    <w:rsid w:val="00B33898"/>
    <w:rsid w:val="00B33FC7"/>
    <w:rsid w:val="00B37B15"/>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C02"/>
    <w:rsid w:val="00BA339B"/>
    <w:rsid w:val="00BA54CA"/>
    <w:rsid w:val="00BA7D97"/>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BF5928"/>
    <w:rsid w:val="00C01DBD"/>
    <w:rsid w:val="00C0409A"/>
    <w:rsid w:val="00C044E2"/>
    <w:rsid w:val="00C048CB"/>
    <w:rsid w:val="00C06575"/>
    <w:rsid w:val="00C066F3"/>
    <w:rsid w:val="00C07EE9"/>
    <w:rsid w:val="00C120F2"/>
    <w:rsid w:val="00C14EA4"/>
    <w:rsid w:val="00C172C8"/>
    <w:rsid w:val="00C26233"/>
    <w:rsid w:val="00C31337"/>
    <w:rsid w:val="00C31681"/>
    <w:rsid w:val="00C3268B"/>
    <w:rsid w:val="00C35AD0"/>
    <w:rsid w:val="00C363DD"/>
    <w:rsid w:val="00C44408"/>
    <w:rsid w:val="00C463DD"/>
    <w:rsid w:val="00C5379E"/>
    <w:rsid w:val="00C55538"/>
    <w:rsid w:val="00C555B8"/>
    <w:rsid w:val="00C6124E"/>
    <w:rsid w:val="00C63E18"/>
    <w:rsid w:val="00C6530C"/>
    <w:rsid w:val="00C745C3"/>
    <w:rsid w:val="00C763AC"/>
    <w:rsid w:val="00C81E40"/>
    <w:rsid w:val="00C87E24"/>
    <w:rsid w:val="00C9404B"/>
    <w:rsid w:val="00C978F5"/>
    <w:rsid w:val="00CA24A4"/>
    <w:rsid w:val="00CB348D"/>
    <w:rsid w:val="00CB5006"/>
    <w:rsid w:val="00CB6555"/>
    <w:rsid w:val="00CB722B"/>
    <w:rsid w:val="00CC65C9"/>
    <w:rsid w:val="00CD009C"/>
    <w:rsid w:val="00CD090F"/>
    <w:rsid w:val="00CD0EC1"/>
    <w:rsid w:val="00CD13DD"/>
    <w:rsid w:val="00CD46F5"/>
    <w:rsid w:val="00CD479E"/>
    <w:rsid w:val="00CD5449"/>
    <w:rsid w:val="00CD60AC"/>
    <w:rsid w:val="00CE120F"/>
    <w:rsid w:val="00CE4A8F"/>
    <w:rsid w:val="00CE6712"/>
    <w:rsid w:val="00CF0011"/>
    <w:rsid w:val="00CF071D"/>
    <w:rsid w:val="00D0123D"/>
    <w:rsid w:val="00D02B0E"/>
    <w:rsid w:val="00D05049"/>
    <w:rsid w:val="00D15B04"/>
    <w:rsid w:val="00D2031B"/>
    <w:rsid w:val="00D20CE1"/>
    <w:rsid w:val="00D25FE2"/>
    <w:rsid w:val="00D31DE0"/>
    <w:rsid w:val="00D378B6"/>
    <w:rsid w:val="00D37DA9"/>
    <w:rsid w:val="00D37ED9"/>
    <w:rsid w:val="00D406A7"/>
    <w:rsid w:val="00D43252"/>
    <w:rsid w:val="00D44D86"/>
    <w:rsid w:val="00D45DA0"/>
    <w:rsid w:val="00D50B7D"/>
    <w:rsid w:val="00D52012"/>
    <w:rsid w:val="00D55493"/>
    <w:rsid w:val="00D57D04"/>
    <w:rsid w:val="00D63F62"/>
    <w:rsid w:val="00D704E5"/>
    <w:rsid w:val="00D71A5C"/>
    <w:rsid w:val="00D72727"/>
    <w:rsid w:val="00D7486F"/>
    <w:rsid w:val="00D77EE2"/>
    <w:rsid w:val="00D81C7A"/>
    <w:rsid w:val="00D922A3"/>
    <w:rsid w:val="00D93390"/>
    <w:rsid w:val="00D978C6"/>
    <w:rsid w:val="00DA06BA"/>
    <w:rsid w:val="00DA0956"/>
    <w:rsid w:val="00DA3272"/>
    <w:rsid w:val="00DA357F"/>
    <w:rsid w:val="00DA3E12"/>
    <w:rsid w:val="00DA5336"/>
    <w:rsid w:val="00DA545A"/>
    <w:rsid w:val="00DA5948"/>
    <w:rsid w:val="00DB74FE"/>
    <w:rsid w:val="00DB7AA6"/>
    <w:rsid w:val="00DC18AD"/>
    <w:rsid w:val="00DD0BFF"/>
    <w:rsid w:val="00DD5550"/>
    <w:rsid w:val="00DE1BCC"/>
    <w:rsid w:val="00DF0F31"/>
    <w:rsid w:val="00DF52E6"/>
    <w:rsid w:val="00DF61DE"/>
    <w:rsid w:val="00DF7CAE"/>
    <w:rsid w:val="00E22D5B"/>
    <w:rsid w:val="00E23EB6"/>
    <w:rsid w:val="00E24586"/>
    <w:rsid w:val="00E277FB"/>
    <w:rsid w:val="00E339C7"/>
    <w:rsid w:val="00E37D87"/>
    <w:rsid w:val="00E41634"/>
    <w:rsid w:val="00E423C0"/>
    <w:rsid w:val="00E4440C"/>
    <w:rsid w:val="00E57200"/>
    <w:rsid w:val="00E61AF1"/>
    <w:rsid w:val="00E62DF9"/>
    <w:rsid w:val="00E637B3"/>
    <w:rsid w:val="00E6414C"/>
    <w:rsid w:val="00E66A41"/>
    <w:rsid w:val="00E678E5"/>
    <w:rsid w:val="00E71140"/>
    <w:rsid w:val="00E71598"/>
    <w:rsid w:val="00E71611"/>
    <w:rsid w:val="00E7260F"/>
    <w:rsid w:val="00E72735"/>
    <w:rsid w:val="00E75AE1"/>
    <w:rsid w:val="00E778EF"/>
    <w:rsid w:val="00E8702D"/>
    <w:rsid w:val="00E87E6C"/>
    <w:rsid w:val="00E905F4"/>
    <w:rsid w:val="00E916A9"/>
    <w:rsid w:val="00E916DE"/>
    <w:rsid w:val="00E925AD"/>
    <w:rsid w:val="00E92C86"/>
    <w:rsid w:val="00E96630"/>
    <w:rsid w:val="00EA42C1"/>
    <w:rsid w:val="00EB0A8E"/>
    <w:rsid w:val="00EB2D94"/>
    <w:rsid w:val="00EC00FB"/>
    <w:rsid w:val="00EC2AD5"/>
    <w:rsid w:val="00ED18DC"/>
    <w:rsid w:val="00ED3468"/>
    <w:rsid w:val="00ED6201"/>
    <w:rsid w:val="00ED7A2A"/>
    <w:rsid w:val="00EE2E61"/>
    <w:rsid w:val="00EF1D7F"/>
    <w:rsid w:val="00EF3D6A"/>
    <w:rsid w:val="00EF4A03"/>
    <w:rsid w:val="00F0137E"/>
    <w:rsid w:val="00F03E94"/>
    <w:rsid w:val="00F12CEC"/>
    <w:rsid w:val="00F1558F"/>
    <w:rsid w:val="00F176A4"/>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72715"/>
    <w:rsid w:val="00F80C99"/>
    <w:rsid w:val="00F850AC"/>
    <w:rsid w:val="00F867EC"/>
    <w:rsid w:val="00F91B2B"/>
    <w:rsid w:val="00F92E19"/>
    <w:rsid w:val="00F93D93"/>
    <w:rsid w:val="00F947D5"/>
    <w:rsid w:val="00F976DB"/>
    <w:rsid w:val="00FA2C33"/>
    <w:rsid w:val="00FA534B"/>
    <w:rsid w:val="00FA63F6"/>
    <w:rsid w:val="00FB1C84"/>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7558BF22-F125-4A1E-9D01-DEF9DB0A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Footnote Reference/"/>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character" w:customStyle="1" w:styleId="FootnoteTextChar">
    <w:name w:val="Footnote Text Char"/>
    <w:aliases w:val="5_G Char"/>
    <w:link w:val="FootnoteText"/>
    <w:rsid w:val="00DF0F31"/>
    <w:rPr>
      <w:sz w:val="18"/>
      <w:lang w:eastAsia="fr-FR"/>
    </w:rPr>
  </w:style>
  <w:style w:type="paragraph" w:styleId="Revision">
    <w:name w:val="Revision"/>
    <w:hidden/>
    <w:uiPriority w:val="99"/>
    <w:semiHidden/>
    <w:rsid w:val="003A5FAA"/>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FE736907-6B74-4368-BB6F-F1D40868F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2628</Words>
  <Characters>14984</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2</cp:revision>
  <cp:lastPrinted>2024-01-20T19:19:00Z</cp:lastPrinted>
  <dcterms:created xsi:type="dcterms:W3CDTF">2024-01-20T19:26:00Z</dcterms:created>
  <dcterms:modified xsi:type="dcterms:W3CDTF">2024-01-20T19:26:00Z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