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583F" w14:textId="028B76A9" w:rsidR="00545FD7" w:rsidRPr="00A872F9" w:rsidRDefault="001B762C" w:rsidP="00545FD7">
      <w:pPr>
        <w:pStyle w:val="Title"/>
        <w:rPr>
          <w:sz w:val="44"/>
          <w:szCs w:val="44"/>
        </w:rPr>
      </w:pPr>
      <w:r>
        <w:rPr>
          <w:sz w:val="44"/>
          <w:szCs w:val="44"/>
        </w:rPr>
        <w:t xml:space="preserve">Interpretation document with regards to the number of test points </w:t>
      </w:r>
      <w:r w:rsidR="00F43AC9">
        <w:rPr>
          <w:sz w:val="44"/>
          <w:szCs w:val="44"/>
        </w:rPr>
        <w:t>when performing test runs for type approval according to regulation UNECE R41-05</w:t>
      </w:r>
      <w:r w:rsidR="002317F2">
        <w:rPr>
          <w:sz w:val="44"/>
          <w:szCs w:val="44"/>
        </w:rPr>
        <w:t>, Annex 7 “RD-</w:t>
      </w:r>
      <w:proofErr w:type="gramStart"/>
      <w:r w:rsidR="002317F2">
        <w:rPr>
          <w:sz w:val="44"/>
          <w:szCs w:val="44"/>
        </w:rPr>
        <w:t>ASEP</w:t>
      </w:r>
      <w:proofErr w:type="gramEnd"/>
      <w:r w:rsidR="002317F2">
        <w:rPr>
          <w:sz w:val="44"/>
          <w:szCs w:val="44"/>
        </w:rPr>
        <w:t>”</w:t>
      </w:r>
    </w:p>
    <w:p w14:paraId="3AAA5BAD" w14:textId="74F63108" w:rsidR="00545FD7" w:rsidRDefault="00CF4C73" w:rsidP="00545FD7">
      <w:pPr>
        <w:pStyle w:val="Heading1"/>
      </w:pPr>
      <w:r>
        <w:t xml:space="preserve">Purpose of </w:t>
      </w:r>
      <w:r w:rsidR="00253802">
        <w:t>this</w:t>
      </w:r>
      <w:r>
        <w:t xml:space="preserve"> document:</w:t>
      </w:r>
    </w:p>
    <w:p w14:paraId="0D0EF2FF" w14:textId="18385985" w:rsidR="00545FD7" w:rsidRPr="00690130" w:rsidRDefault="00FE309E" w:rsidP="00107610">
      <w:pPr>
        <w:spacing w:after="360"/>
      </w:pPr>
      <w:r>
        <w:t xml:space="preserve">This Document </w:t>
      </w:r>
      <w:r w:rsidR="00101172">
        <w:t>supports the interpretation of the requirements within regulation R41</w:t>
      </w:r>
      <w:r w:rsidR="00C04736">
        <w:t xml:space="preserve">-05, Annex 7 with regards to the maximum number of tests runs, as </w:t>
      </w:r>
      <w:r w:rsidR="00F84F41">
        <w:t>specified in p</w:t>
      </w:r>
      <w:r w:rsidR="00D217AB">
        <w:t>o</w:t>
      </w:r>
      <w:r w:rsidR="00F84F41">
        <w:t>int 3.1</w:t>
      </w:r>
      <w:r w:rsidR="00C12165">
        <w:t>.</w:t>
      </w:r>
      <w:r w:rsidR="003D2275">
        <w:t xml:space="preserve">, and </w:t>
      </w:r>
      <w:r w:rsidR="00987941">
        <w:t>the in</w:t>
      </w:r>
      <w:r w:rsidR="002E6882">
        <w:t>terpretation being in line with the “RD-ASEP” purpose and general principles.</w:t>
      </w:r>
    </w:p>
    <w:p w14:paraId="419D3694" w14:textId="7516CB14" w:rsidR="00111284" w:rsidRPr="005416DD" w:rsidRDefault="0001655B" w:rsidP="00A75BEE">
      <w:pPr>
        <w:pStyle w:val="ListParagraph"/>
        <w:numPr>
          <w:ilvl w:val="0"/>
          <w:numId w:val="5"/>
        </w:numPr>
        <w:rPr>
          <w:b/>
          <w:bCs/>
          <w:sz w:val="24"/>
          <w:szCs w:val="24"/>
          <w:u w:val="single"/>
        </w:rPr>
      </w:pPr>
      <w:r w:rsidRPr="005416DD">
        <w:rPr>
          <w:b/>
          <w:bCs/>
          <w:sz w:val="24"/>
          <w:szCs w:val="24"/>
          <w:u w:val="single"/>
        </w:rPr>
        <w:t xml:space="preserve">“RD-ASEP” purpose and </w:t>
      </w:r>
      <w:r w:rsidR="00752346">
        <w:rPr>
          <w:b/>
          <w:bCs/>
          <w:sz w:val="24"/>
          <w:szCs w:val="24"/>
          <w:u w:val="single"/>
        </w:rPr>
        <w:t>relevant g</w:t>
      </w:r>
      <w:r w:rsidR="00111284" w:rsidRPr="005416DD">
        <w:rPr>
          <w:b/>
          <w:bCs/>
          <w:sz w:val="24"/>
          <w:szCs w:val="24"/>
          <w:u w:val="single"/>
        </w:rPr>
        <w:t>eneral principles</w:t>
      </w:r>
    </w:p>
    <w:p w14:paraId="4BFC116F" w14:textId="7DED2551" w:rsidR="00111284" w:rsidRPr="00106C74" w:rsidRDefault="00D035BA" w:rsidP="00106C74">
      <w:pPr>
        <w:pStyle w:val="ListParagraph"/>
        <w:numPr>
          <w:ilvl w:val="0"/>
          <w:numId w:val="6"/>
        </w:numPr>
        <w:spacing w:before="240"/>
        <w:ind w:left="714" w:hanging="357"/>
        <w:contextualSpacing w:val="0"/>
        <w:rPr>
          <w:sz w:val="24"/>
          <w:szCs w:val="24"/>
        </w:rPr>
      </w:pPr>
      <w:r w:rsidRPr="00106C74">
        <w:rPr>
          <w:sz w:val="24"/>
          <w:szCs w:val="24"/>
        </w:rPr>
        <w:t xml:space="preserve">assessment of noise emissions in </w:t>
      </w:r>
      <w:r w:rsidR="00D42BEB" w:rsidRPr="00106C74">
        <w:rPr>
          <w:sz w:val="24"/>
          <w:szCs w:val="24"/>
        </w:rPr>
        <w:t xml:space="preserve">all </w:t>
      </w:r>
      <w:r w:rsidRPr="00106C74">
        <w:rPr>
          <w:sz w:val="24"/>
          <w:szCs w:val="24"/>
        </w:rPr>
        <w:t>real driving conditions</w:t>
      </w:r>
      <w:r w:rsidR="00D42BEB" w:rsidRPr="00106C74">
        <w:rPr>
          <w:sz w:val="24"/>
          <w:szCs w:val="24"/>
        </w:rPr>
        <w:t xml:space="preserve"> within the </w:t>
      </w:r>
      <w:r w:rsidR="006D3AD4" w:rsidRPr="00106C74">
        <w:rPr>
          <w:sz w:val="24"/>
          <w:szCs w:val="24"/>
        </w:rPr>
        <w:t>RD-</w:t>
      </w:r>
      <w:r w:rsidR="00D42BEB" w:rsidRPr="00106C74">
        <w:rPr>
          <w:sz w:val="24"/>
          <w:szCs w:val="24"/>
        </w:rPr>
        <w:t xml:space="preserve">ASEP </w:t>
      </w:r>
      <w:r w:rsidR="00C44B07" w:rsidRPr="00106C74">
        <w:rPr>
          <w:sz w:val="24"/>
          <w:szCs w:val="24"/>
        </w:rPr>
        <w:t>control range, as defined in point 2.5.</w:t>
      </w:r>
    </w:p>
    <w:p w14:paraId="1519D60D" w14:textId="2DF1FDEE" w:rsidR="006575E4" w:rsidRDefault="006575E4" w:rsidP="00C50217">
      <w:pPr>
        <w:pStyle w:val="ListParagraph"/>
        <w:numPr>
          <w:ilvl w:val="0"/>
          <w:numId w:val="6"/>
        </w:numPr>
        <w:ind w:left="714" w:hanging="357"/>
        <w:contextualSpacing w:val="0"/>
        <w:rPr>
          <w:sz w:val="24"/>
          <w:szCs w:val="24"/>
        </w:rPr>
      </w:pPr>
      <w:r w:rsidRPr="00106C74">
        <w:rPr>
          <w:sz w:val="24"/>
          <w:szCs w:val="24"/>
        </w:rPr>
        <w:t>assessment of noise emissions in vehicle operations</w:t>
      </w:r>
      <w:r w:rsidR="006416DA" w:rsidRPr="00106C74">
        <w:rPr>
          <w:sz w:val="24"/>
          <w:szCs w:val="24"/>
        </w:rPr>
        <w:t xml:space="preserve"> as </w:t>
      </w:r>
      <w:r w:rsidR="00056B92" w:rsidRPr="00106C74">
        <w:rPr>
          <w:sz w:val="24"/>
          <w:szCs w:val="24"/>
        </w:rPr>
        <w:t>defined in point 3.3. and</w:t>
      </w:r>
      <w:r w:rsidRPr="00106C74">
        <w:rPr>
          <w:sz w:val="24"/>
          <w:szCs w:val="24"/>
        </w:rPr>
        <w:t xml:space="preserve"> </w:t>
      </w:r>
      <w:r w:rsidR="00F44D77" w:rsidRPr="00106C74">
        <w:rPr>
          <w:sz w:val="24"/>
          <w:szCs w:val="24"/>
        </w:rPr>
        <w:t>different from</w:t>
      </w:r>
      <w:r w:rsidRPr="00106C74">
        <w:rPr>
          <w:sz w:val="24"/>
          <w:szCs w:val="24"/>
        </w:rPr>
        <w:t xml:space="preserve"> </w:t>
      </w:r>
      <w:r w:rsidR="00F44D77" w:rsidRPr="00106C74">
        <w:rPr>
          <w:sz w:val="24"/>
          <w:szCs w:val="24"/>
        </w:rPr>
        <w:t xml:space="preserve">the operating conditions </w:t>
      </w:r>
      <w:r w:rsidR="00F917B8" w:rsidRPr="00106C74">
        <w:rPr>
          <w:sz w:val="24"/>
          <w:szCs w:val="24"/>
        </w:rPr>
        <w:t>which are applied for the determination of L</w:t>
      </w:r>
      <w:r w:rsidR="00F917B8" w:rsidRPr="00106C74">
        <w:rPr>
          <w:sz w:val="24"/>
          <w:szCs w:val="24"/>
          <w:vertAlign w:val="subscript"/>
        </w:rPr>
        <w:t>urb</w:t>
      </w:r>
      <w:r w:rsidR="00B14187" w:rsidRPr="00106C74">
        <w:rPr>
          <w:sz w:val="24"/>
          <w:szCs w:val="24"/>
        </w:rPr>
        <w:t xml:space="preserve"> </w:t>
      </w:r>
      <w:r w:rsidR="007F700D" w:rsidRPr="00106C74">
        <w:rPr>
          <w:sz w:val="24"/>
          <w:szCs w:val="24"/>
        </w:rPr>
        <w:t>according to Annex 3</w:t>
      </w:r>
    </w:p>
    <w:p w14:paraId="2CB4592C" w14:textId="74A5D87E" w:rsidR="00393CC9" w:rsidRDefault="00AD44C2" w:rsidP="00B83B72">
      <w:pPr>
        <w:pStyle w:val="ListParagraph"/>
        <w:numPr>
          <w:ilvl w:val="0"/>
          <w:numId w:val="6"/>
        </w:numPr>
        <w:ind w:left="714" w:hanging="357"/>
        <w:contextualSpacing w:val="0"/>
        <w:rPr>
          <w:sz w:val="24"/>
          <w:szCs w:val="24"/>
        </w:rPr>
      </w:pPr>
      <w:r>
        <w:rPr>
          <w:sz w:val="24"/>
          <w:szCs w:val="24"/>
        </w:rPr>
        <w:t xml:space="preserve">assessment and prove of compliance of the </w:t>
      </w:r>
      <w:r w:rsidR="008E0496">
        <w:rPr>
          <w:sz w:val="24"/>
          <w:szCs w:val="24"/>
        </w:rPr>
        <w:t xml:space="preserve">motorcycle noise emissions in all operating conditions within the RD-ASEP control range, including </w:t>
      </w:r>
      <w:r w:rsidR="002202F3">
        <w:rPr>
          <w:sz w:val="24"/>
          <w:szCs w:val="24"/>
        </w:rPr>
        <w:t xml:space="preserve">available </w:t>
      </w:r>
      <w:r w:rsidR="00E2177E">
        <w:rPr>
          <w:sz w:val="24"/>
          <w:szCs w:val="24"/>
        </w:rPr>
        <w:t xml:space="preserve">user selectable software programs or </w:t>
      </w:r>
      <w:proofErr w:type="gramStart"/>
      <w:r w:rsidR="00E2177E">
        <w:rPr>
          <w:sz w:val="24"/>
          <w:szCs w:val="24"/>
        </w:rPr>
        <w:t>modes</w:t>
      </w:r>
      <w:proofErr w:type="gramEnd"/>
    </w:p>
    <w:p w14:paraId="120C734B" w14:textId="6D7DFCED" w:rsidR="00C37D0A" w:rsidRPr="00106C74" w:rsidRDefault="007C7464" w:rsidP="00D6566E">
      <w:pPr>
        <w:pStyle w:val="ListParagraph"/>
        <w:numPr>
          <w:ilvl w:val="0"/>
          <w:numId w:val="6"/>
        </w:numPr>
        <w:ind w:left="714" w:hanging="357"/>
        <w:contextualSpacing w:val="0"/>
        <w:rPr>
          <w:sz w:val="24"/>
          <w:szCs w:val="24"/>
        </w:rPr>
      </w:pPr>
      <w:r>
        <w:rPr>
          <w:sz w:val="24"/>
          <w:szCs w:val="24"/>
        </w:rPr>
        <w:t xml:space="preserve">avoid undue workload </w:t>
      </w:r>
      <w:r w:rsidR="00DC4F09">
        <w:rPr>
          <w:sz w:val="24"/>
          <w:szCs w:val="24"/>
        </w:rPr>
        <w:t xml:space="preserve">by </w:t>
      </w:r>
      <w:r w:rsidR="00225434">
        <w:rPr>
          <w:sz w:val="24"/>
          <w:szCs w:val="24"/>
        </w:rPr>
        <w:t>limiting</w:t>
      </w:r>
      <w:r w:rsidR="00DC4F09">
        <w:rPr>
          <w:sz w:val="24"/>
          <w:szCs w:val="24"/>
        </w:rPr>
        <w:t xml:space="preserve"> the </w:t>
      </w:r>
      <w:r w:rsidR="0091507D">
        <w:rPr>
          <w:sz w:val="24"/>
          <w:szCs w:val="24"/>
        </w:rPr>
        <w:t xml:space="preserve">number of RD-ASEP test runs, while </w:t>
      </w:r>
      <w:r w:rsidR="00225434">
        <w:rPr>
          <w:sz w:val="24"/>
          <w:szCs w:val="24"/>
        </w:rPr>
        <w:t xml:space="preserve">granting the effectiveness of the test procedure, by applying </w:t>
      </w:r>
      <w:r w:rsidR="00A82EE8">
        <w:rPr>
          <w:sz w:val="24"/>
          <w:szCs w:val="24"/>
        </w:rPr>
        <w:t xml:space="preserve">the “mystery point concept” – meaning that the </w:t>
      </w:r>
      <w:r w:rsidR="00C200BE">
        <w:rPr>
          <w:sz w:val="24"/>
          <w:szCs w:val="24"/>
        </w:rPr>
        <w:t xml:space="preserve">actual operation conditions are </w:t>
      </w:r>
      <w:r w:rsidR="000C5CCE">
        <w:rPr>
          <w:sz w:val="24"/>
          <w:szCs w:val="24"/>
        </w:rPr>
        <w:t>understood as a spot check</w:t>
      </w:r>
      <w:r w:rsidR="007A6211">
        <w:rPr>
          <w:sz w:val="24"/>
          <w:szCs w:val="24"/>
        </w:rPr>
        <w:t>, for which the applied operating conditions are not know to the applicant</w:t>
      </w:r>
      <w:r w:rsidR="00DA6B5B">
        <w:rPr>
          <w:sz w:val="24"/>
          <w:szCs w:val="24"/>
        </w:rPr>
        <w:t xml:space="preserve"> for approval</w:t>
      </w:r>
      <w:r w:rsidR="007A6211">
        <w:rPr>
          <w:sz w:val="24"/>
          <w:szCs w:val="24"/>
        </w:rPr>
        <w:t xml:space="preserve"> (vehicle manufacturer</w:t>
      </w:r>
      <w:r w:rsidR="00154F96">
        <w:rPr>
          <w:sz w:val="24"/>
          <w:szCs w:val="24"/>
        </w:rPr>
        <w:t>)</w:t>
      </w:r>
      <w:r w:rsidR="007A6211">
        <w:rPr>
          <w:sz w:val="24"/>
          <w:szCs w:val="24"/>
        </w:rPr>
        <w:t xml:space="preserve"> prior to the </w:t>
      </w:r>
      <w:proofErr w:type="gramStart"/>
      <w:r w:rsidR="00612A65">
        <w:rPr>
          <w:sz w:val="24"/>
          <w:szCs w:val="24"/>
        </w:rPr>
        <w:t>type</w:t>
      </w:r>
      <w:proofErr w:type="gramEnd"/>
      <w:r w:rsidR="00612A65">
        <w:rPr>
          <w:sz w:val="24"/>
          <w:szCs w:val="24"/>
        </w:rPr>
        <w:t xml:space="preserve"> approval test</w:t>
      </w:r>
    </w:p>
    <w:p w14:paraId="63134890" w14:textId="77777777" w:rsidR="0056587C" w:rsidRDefault="0056587C" w:rsidP="0056587C">
      <w:pPr>
        <w:pStyle w:val="ListParagraph"/>
        <w:ind w:left="0"/>
        <w:rPr>
          <w:sz w:val="24"/>
          <w:szCs w:val="24"/>
        </w:rPr>
      </w:pPr>
    </w:p>
    <w:p w14:paraId="3C5726FC" w14:textId="53AE99A1" w:rsidR="0056587C" w:rsidRDefault="007E1082" w:rsidP="006D3AD4">
      <w:pPr>
        <w:pStyle w:val="ListParagraph"/>
        <w:ind w:left="0"/>
        <w:rPr>
          <w:sz w:val="24"/>
          <w:szCs w:val="24"/>
        </w:rPr>
      </w:pPr>
      <w:r>
        <w:rPr>
          <w:sz w:val="24"/>
          <w:szCs w:val="24"/>
          <w:u w:val="single"/>
        </w:rPr>
        <w:t>Background</w:t>
      </w:r>
      <w:r w:rsidR="00DC130F">
        <w:rPr>
          <w:sz w:val="24"/>
          <w:szCs w:val="24"/>
          <w:u w:val="single"/>
        </w:rPr>
        <w:t>:</w:t>
      </w:r>
      <w:r w:rsidR="0056587C">
        <w:rPr>
          <w:sz w:val="24"/>
          <w:szCs w:val="24"/>
        </w:rPr>
        <w:t xml:space="preserve"> </w:t>
      </w:r>
      <w:r w:rsidR="00DC130F">
        <w:rPr>
          <w:sz w:val="24"/>
          <w:szCs w:val="24"/>
        </w:rPr>
        <w:t xml:space="preserve">The </w:t>
      </w:r>
      <w:r w:rsidR="0038708F">
        <w:rPr>
          <w:sz w:val="24"/>
          <w:szCs w:val="24"/>
        </w:rPr>
        <w:t xml:space="preserve">assessment of noise emissions in all </w:t>
      </w:r>
      <w:r w:rsidR="00886101">
        <w:rPr>
          <w:sz w:val="24"/>
          <w:szCs w:val="24"/>
        </w:rPr>
        <w:t>possible vehicle operating conditions within the RD-ASEP control range</w:t>
      </w:r>
      <w:r w:rsidR="0038708F">
        <w:rPr>
          <w:sz w:val="24"/>
          <w:szCs w:val="24"/>
        </w:rPr>
        <w:t xml:space="preserve"> cannot be performed</w:t>
      </w:r>
      <w:r w:rsidR="0078281B">
        <w:rPr>
          <w:sz w:val="24"/>
          <w:szCs w:val="24"/>
        </w:rPr>
        <w:t xml:space="preserve">, as this would require an infinite number of </w:t>
      </w:r>
      <w:r w:rsidR="00B7447B">
        <w:rPr>
          <w:sz w:val="24"/>
          <w:szCs w:val="24"/>
        </w:rPr>
        <w:t xml:space="preserve">test runs. </w:t>
      </w:r>
      <w:r w:rsidR="007E793D">
        <w:rPr>
          <w:sz w:val="24"/>
          <w:szCs w:val="24"/>
        </w:rPr>
        <w:t>Instead</w:t>
      </w:r>
      <w:r w:rsidR="00FC5B72">
        <w:rPr>
          <w:sz w:val="24"/>
          <w:szCs w:val="24"/>
        </w:rPr>
        <w:t>,</w:t>
      </w:r>
      <w:r w:rsidR="007E793D">
        <w:rPr>
          <w:sz w:val="24"/>
          <w:szCs w:val="24"/>
        </w:rPr>
        <w:t xml:space="preserve"> a random selection of </w:t>
      </w:r>
      <w:r w:rsidR="000A7C87">
        <w:rPr>
          <w:sz w:val="24"/>
          <w:szCs w:val="24"/>
        </w:rPr>
        <w:t xml:space="preserve">vehicle operation conditions is defined by the technical service or the </w:t>
      </w:r>
      <w:proofErr w:type="gramStart"/>
      <w:r w:rsidR="000A7C87">
        <w:rPr>
          <w:sz w:val="24"/>
          <w:szCs w:val="24"/>
        </w:rPr>
        <w:t>type</w:t>
      </w:r>
      <w:proofErr w:type="gramEnd"/>
      <w:r w:rsidR="000A7C87">
        <w:rPr>
          <w:sz w:val="24"/>
          <w:szCs w:val="24"/>
        </w:rPr>
        <w:t xml:space="preserve"> approval authority</w:t>
      </w:r>
      <w:r w:rsidR="00164697">
        <w:rPr>
          <w:sz w:val="24"/>
          <w:szCs w:val="24"/>
        </w:rPr>
        <w:t>. The random selection of operating conditions is not known to the applicant for type approval prior to the actu</w:t>
      </w:r>
      <w:r w:rsidR="000508AB">
        <w:rPr>
          <w:sz w:val="24"/>
          <w:szCs w:val="24"/>
        </w:rPr>
        <w:t xml:space="preserve">al </w:t>
      </w:r>
      <w:proofErr w:type="gramStart"/>
      <w:r w:rsidR="000508AB">
        <w:rPr>
          <w:sz w:val="24"/>
          <w:szCs w:val="24"/>
        </w:rPr>
        <w:t>type</w:t>
      </w:r>
      <w:proofErr w:type="gramEnd"/>
      <w:r w:rsidR="000508AB">
        <w:rPr>
          <w:sz w:val="24"/>
          <w:szCs w:val="24"/>
        </w:rPr>
        <w:t xml:space="preserve"> approval testing. </w:t>
      </w:r>
      <w:r w:rsidR="00D834C5">
        <w:rPr>
          <w:sz w:val="24"/>
          <w:szCs w:val="24"/>
        </w:rPr>
        <w:t xml:space="preserve">Since the </w:t>
      </w:r>
      <w:r w:rsidR="00BD3C8B">
        <w:rPr>
          <w:sz w:val="24"/>
          <w:szCs w:val="24"/>
        </w:rPr>
        <w:t xml:space="preserve">applicant for type approval does not know </w:t>
      </w:r>
      <w:proofErr w:type="gramStart"/>
      <w:r w:rsidR="007E0760">
        <w:rPr>
          <w:sz w:val="24"/>
          <w:szCs w:val="24"/>
        </w:rPr>
        <w:t>which</w:t>
      </w:r>
      <w:proofErr w:type="gramEnd"/>
      <w:r w:rsidR="00BD3C8B">
        <w:rPr>
          <w:sz w:val="24"/>
          <w:szCs w:val="24"/>
        </w:rPr>
        <w:t xml:space="preserve"> operating conditions will actually be applied during the RD-ASE</w:t>
      </w:r>
      <w:r w:rsidR="003E519A">
        <w:rPr>
          <w:sz w:val="24"/>
          <w:szCs w:val="24"/>
        </w:rPr>
        <w:t>P</w:t>
      </w:r>
      <w:r w:rsidR="00BD3C8B">
        <w:rPr>
          <w:sz w:val="24"/>
          <w:szCs w:val="24"/>
        </w:rPr>
        <w:t xml:space="preserve"> tests, </w:t>
      </w:r>
      <w:r w:rsidR="003E519A">
        <w:rPr>
          <w:sz w:val="24"/>
          <w:szCs w:val="24"/>
        </w:rPr>
        <w:t xml:space="preserve">the vehicle has to be designed </w:t>
      </w:r>
      <w:r w:rsidR="007D5F00">
        <w:rPr>
          <w:sz w:val="24"/>
          <w:szCs w:val="24"/>
        </w:rPr>
        <w:t>for being compliant with all possible operating conditions within the RD-ASE control range.</w:t>
      </w:r>
    </w:p>
    <w:p w14:paraId="53E18B8C" w14:textId="77777777" w:rsidR="00D900BC" w:rsidRDefault="00D900BC" w:rsidP="006D3AD4">
      <w:pPr>
        <w:pStyle w:val="ListParagraph"/>
        <w:ind w:left="0"/>
        <w:rPr>
          <w:sz w:val="24"/>
          <w:szCs w:val="24"/>
        </w:rPr>
      </w:pPr>
    </w:p>
    <w:p w14:paraId="7A5DE8CB" w14:textId="123A38A4" w:rsidR="00D900BC" w:rsidRPr="005416DD" w:rsidRDefault="00D900BC" w:rsidP="00690130">
      <w:pPr>
        <w:pStyle w:val="ListParagraph"/>
        <w:numPr>
          <w:ilvl w:val="0"/>
          <w:numId w:val="7"/>
        </w:numPr>
        <w:rPr>
          <w:b/>
          <w:bCs/>
          <w:sz w:val="24"/>
          <w:szCs w:val="24"/>
          <w:u w:val="single"/>
        </w:rPr>
      </w:pPr>
      <w:r w:rsidRPr="005416DD">
        <w:rPr>
          <w:b/>
          <w:bCs/>
          <w:sz w:val="24"/>
          <w:szCs w:val="24"/>
          <w:u w:val="single"/>
        </w:rPr>
        <w:t>maximum number of RD-ASEP test runs</w:t>
      </w:r>
    </w:p>
    <w:p w14:paraId="11A90DBA" w14:textId="77777777" w:rsidR="00BF2A95" w:rsidRDefault="0071356D" w:rsidP="00B03441">
      <w:pPr>
        <w:pStyle w:val="ListParagraph"/>
        <w:spacing w:before="240"/>
        <w:ind w:left="0"/>
        <w:contextualSpacing w:val="0"/>
        <w:rPr>
          <w:i/>
          <w:iCs/>
          <w:sz w:val="24"/>
          <w:szCs w:val="24"/>
        </w:rPr>
      </w:pPr>
      <w:r>
        <w:rPr>
          <w:sz w:val="24"/>
          <w:szCs w:val="24"/>
        </w:rPr>
        <w:t>Point 3.1. reads, “</w:t>
      </w:r>
      <w:r w:rsidR="00097FE6" w:rsidRPr="00097FE6">
        <w:rPr>
          <w:i/>
          <w:iCs/>
          <w:sz w:val="24"/>
          <w:szCs w:val="24"/>
        </w:rPr>
        <w:t>… testing is restricted to the reference points defined in paragraph 3.2. below and three additional operating conditions as defined in paragraph 3.3. of this Annex per gear. The total number of operating conditions to be tested according to paragraph 3.3. of this Annex shall be reduced by the operating conditions which were applied for tests according to paragraph 3.2. of this Annex and for the determination of L</w:t>
      </w:r>
      <w:r w:rsidR="00097FE6" w:rsidRPr="00C63057">
        <w:rPr>
          <w:i/>
          <w:iCs/>
          <w:sz w:val="24"/>
          <w:szCs w:val="24"/>
          <w:vertAlign w:val="subscript"/>
        </w:rPr>
        <w:t>urb</w:t>
      </w:r>
      <w:r w:rsidR="00097FE6" w:rsidRPr="00097FE6">
        <w:rPr>
          <w:i/>
          <w:iCs/>
          <w:sz w:val="24"/>
          <w:szCs w:val="24"/>
        </w:rPr>
        <w:t xml:space="preserve"> according to Annex 3</w:t>
      </w:r>
      <w:r w:rsidR="00BF2A95">
        <w:rPr>
          <w:i/>
          <w:iCs/>
          <w:sz w:val="24"/>
          <w:szCs w:val="24"/>
        </w:rPr>
        <w:t>.</w:t>
      </w:r>
    </w:p>
    <w:p w14:paraId="28EE63F5" w14:textId="3D158CB2" w:rsidR="00D900BC" w:rsidRDefault="00BF2A95" w:rsidP="00D900BC">
      <w:pPr>
        <w:pStyle w:val="ListParagraph"/>
        <w:ind w:left="0"/>
        <w:rPr>
          <w:sz w:val="24"/>
          <w:szCs w:val="24"/>
        </w:rPr>
      </w:pPr>
      <w:r w:rsidRPr="00BF2A95">
        <w:rPr>
          <w:i/>
          <w:iCs/>
          <w:sz w:val="24"/>
          <w:szCs w:val="24"/>
        </w:rPr>
        <w:lastRenderedPageBreak/>
        <w:t>For vehicles with variable gear ratios or automatic transmission with non-lockable gear ratios testing shall be limited to 6 operating conditions as defined in paragraph 3.3. of this Annex, and different from the operating conditions which were applied for the determination of L</w:t>
      </w:r>
      <w:r w:rsidRPr="00C63057">
        <w:rPr>
          <w:i/>
          <w:iCs/>
          <w:sz w:val="24"/>
          <w:szCs w:val="24"/>
          <w:vertAlign w:val="subscript"/>
        </w:rPr>
        <w:t>urb</w:t>
      </w:r>
      <w:r w:rsidRPr="00BF2A95">
        <w:rPr>
          <w:i/>
          <w:iCs/>
          <w:sz w:val="24"/>
          <w:szCs w:val="24"/>
        </w:rPr>
        <w:t xml:space="preserve"> according to Annex 3.</w:t>
      </w:r>
      <w:r w:rsidR="00097FE6">
        <w:rPr>
          <w:sz w:val="24"/>
          <w:szCs w:val="24"/>
        </w:rPr>
        <w:t>”</w:t>
      </w:r>
    </w:p>
    <w:p w14:paraId="4DB3D23E" w14:textId="77777777" w:rsidR="00097FE6" w:rsidRDefault="00097FE6" w:rsidP="00D900BC">
      <w:pPr>
        <w:pStyle w:val="ListParagraph"/>
        <w:ind w:left="0"/>
        <w:rPr>
          <w:sz w:val="24"/>
          <w:szCs w:val="24"/>
        </w:rPr>
      </w:pPr>
    </w:p>
    <w:p w14:paraId="2921128B" w14:textId="779D2C48" w:rsidR="007362F3" w:rsidRDefault="00097FE6" w:rsidP="00D900BC">
      <w:pPr>
        <w:pStyle w:val="ListParagraph"/>
        <w:ind w:left="0"/>
        <w:rPr>
          <w:sz w:val="24"/>
          <w:szCs w:val="24"/>
        </w:rPr>
      </w:pPr>
      <w:r w:rsidRPr="00BF2A95">
        <w:rPr>
          <w:sz w:val="24"/>
          <w:szCs w:val="24"/>
          <w:u w:val="single"/>
        </w:rPr>
        <w:t>Interpretation</w:t>
      </w:r>
      <w:r>
        <w:rPr>
          <w:sz w:val="24"/>
          <w:szCs w:val="24"/>
        </w:rPr>
        <w:t xml:space="preserve">: </w:t>
      </w:r>
      <w:r w:rsidR="00E745E5">
        <w:rPr>
          <w:sz w:val="24"/>
          <w:szCs w:val="24"/>
        </w:rPr>
        <w:t xml:space="preserve">The total number of RD-ASEP test runs and </w:t>
      </w:r>
      <w:r w:rsidR="006C09D9">
        <w:rPr>
          <w:sz w:val="24"/>
          <w:szCs w:val="24"/>
        </w:rPr>
        <w:t xml:space="preserve">with this, the total number of different operating conditions is defined by the number of gears </w:t>
      </w:r>
      <w:r w:rsidR="00B925B6">
        <w:rPr>
          <w:sz w:val="24"/>
          <w:szCs w:val="24"/>
        </w:rPr>
        <w:t>of motorcycles with manual gear boxes</w:t>
      </w:r>
      <w:r w:rsidR="00CA1F77">
        <w:rPr>
          <w:sz w:val="24"/>
          <w:szCs w:val="24"/>
        </w:rPr>
        <w:t xml:space="preserve"> (</w:t>
      </w:r>
      <w:r w:rsidR="00D817B3">
        <w:rPr>
          <w:sz w:val="24"/>
          <w:szCs w:val="24"/>
        </w:rPr>
        <w:t>“three additional operating conditions per gear”)</w:t>
      </w:r>
      <w:r w:rsidR="003B69AB">
        <w:rPr>
          <w:sz w:val="24"/>
          <w:szCs w:val="24"/>
        </w:rPr>
        <w:t>, and</w:t>
      </w:r>
      <w:r w:rsidR="00B925B6">
        <w:rPr>
          <w:sz w:val="24"/>
          <w:szCs w:val="24"/>
        </w:rPr>
        <w:t xml:space="preserve"> </w:t>
      </w:r>
      <w:r w:rsidR="003B69AB">
        <w:rPr>
          <w:sz w:val="24"/>
          <w:szCs w:val="24"/>
        </w:rPr>
        <w:t>f</w:t>
      </w:r>
      <w:r w:rsidR="00B925B6">
        <w:rPr>
          <w:sz w:val="24"/>
          <w:szCs w:val="24"/>
        </w:rPr>
        <w:t>or motorcycles with</w:t>
      </w:r>
      <w:r w:rsidR="00D817B3">
        <w:rPr>
          <w:sz w:val="24"/>
          <w:szCs w:val="24"/>
        </w:rPr>
        <w:t xml:space="preserve"> </w:t>
      </w:r>
      <w:r w:rsidR="000E6F37">
        <w:rPr>
          <w:sz w:val="24"/>
          <w:szCs w:val="24"/>
        </w:rPr>
        <w:t xml:space="preserve">automatic transmission with non-lockable gear rations, </w:t>
      </w:r>
      <w:r w:rsidR="003B69AB">
        <w:rPr>
          <w:sz w:val="24"/>
          <w:szCs w:val="24"/>
        </w:rPr>
        <w:t xml:space="preserve">for which </w:t>
      </w:r>
      <w:r w:rsidR="000E6F37">
        <w:rPr>
          <w:sz w:val="24"/>
          <w:szCs w:val="24"/>
        </w:rPr>
        <w:t xml:space="preserve">the number is </w:t>
      </w:r>
      <w:r w:rsidR="00913F56">
        <w:rPr>
          <w:sz w:val="24"/>
          <w:szCs w:val="24"/>
        </w:rPr>
        <w:t xml:space="preserve">fixed </w:t>
      </w:r>
      <w:r w:rsidR="007362F3">
        <w:rPr>
          <w:sz w:val="24"/>
          <w:szCs w:val="24"/>
        </w:rPr>
        <w:t>with 6 operating conditions.</w:t>
      </w:r>
    </w:p>
    <w:p w14:paraId="1C2C0D23" w14:textId="54B4246D" w:rsidR="000018FC" w:rsidRDefault="000018FC" w:rsidP="00D900BC">
      <w:pPr>
        <w:pStyle w:val="ListParagraph"/>
        <w:ind w:left="0"/>
        <w:rPr>
          <w:sz w:val="24"/>
          <w:szCs w:val="24"/>
        </w:rPr>
      </w:pPr>
      <w:r>
        <w:rPr>
          <w:sz w:val="24"/>
          <w:szCs w:val="24"/>
        </w:rPr>
        <w:t>The maximum number of RD-ASEP test runs shall be reduced by t</w:t>
      </w:r>
      <w:r w:rsidR="008D4457">
        <w:rPr>
          <w:sz w:val="24"/>
          <w:szCs w:val="24"/>
        </w:rPr>
        <w:t xml:space="preserve">he number of operating conditions which were applied for the </w:t>
      </w:r>
      <w:r w:rsidR="003C6722">
        <w:rPr>
          <w:sz w:val="24"/>
          <w:szCs w:val="24"/>
        </w:rPr>
        <w:t>determination of L</w:t>
      </w:r>
      <w:r w:rsidR="003C6722" w:rsidRPr="00251B03">
        <w:rPr>
          <w:sz w:val="24"/>
          <w:szCs w:val="24"/>
          <w:vertAlign w:val="subscript"/>
        </w:rPr>
        <w:t>urb</w:t>
      </w:r>
      <w:r w:rsidR="003C6722">
        <w:rPr>
          <w:sz w:val="24"/>
          <w:szCs w:val="24"/>
        </w:rPr>
        <w:t xml:space="preserve"> according to Annex 3</w:t>
      </w:r>
      <w:r>
        <w:rPr>
          <w:sz w:val="24"/>
          <w:szCs w:val="24"/>
        </w:rPr>
        <w:t xml:space="preserve"> (</w:t>
      </w:r>
      <w:r w:rsidR="00A054CE">
        <w:rPr>
          <w:sz w:val="24"/>
          <w:szCs w:val="24"/>
        </w:rPr>
        <w:t xml:space="preserve">i.e. </w:t>
      </w:r>
      <w:r w:rsidR="00E0289E">
        <w:rPr>
          <w:sz w:val="24"/>
          <w:szCs w:val="24"/>
        </w:rPr>
        <w:t>two</w:t>
      </w:r>
      <w:r w:rsidR="00A054CE">
        <w:rPr>
          <w:sz w:val="24"/>
          <w:szCs w:val="24"/>
        </w:rPr>
        <w:t xml:space="preserve"> operating conditions for a single gear test</w:t>
      </w:r>
      <w:r w:rsidR="002B66BB">
        <w:rPr>
          <w:sz w:val="24"/>
          <w:szCs w:val="24"/>
        </w:rPr>
        <w:t xml:space="preserve"> or </w:t>
      </w:r>
      <w:r w:rsidR="00811314">
        <w:rPr>
          <w:sz w:val="24"/>
          <w:szCs w:val="24"/>
        </w:rPr>
        <w:t xml:space="preserve">four operation conditions for a </w:t>
      </w:r>
      <w:r w:rsidR="00A263AC">
        <w:rPr>
          <w:sz w:val="24"/>
          <w:szCs w:val="24"/>
        </w:rPr>
        <w:t>two</w:t>
      </w:r>
      <w:r w:rsidR="00811314">
        <w:rPr>
          <w:sz w:val="24"/>
          <w:szCs w:val="24"/>
        </w:rPr>
        <w:t>-gear test</w:t>
      </w:r>
      <w:r w:rsidR="00A054CE">
        <w:rPr>
          <w:sz w:val="24"/>
          <w:szCs w:val="24"/>
        </w:rPr>
        <w:t>; one</w:t>
      </w:r>
      <w:r w:rsidR="00811314">
        <w:rPr>
          <w:sz w:val="24"/>
          <w:szCs w:val="24"/>
        </w:rPr>
        <w:t xml:space="preserve"> or two</w:t>
      </w:r>
      <w:r w:rsidR="00A054CE">
        <w:rPr>
          <w:sz w:val="24"/>
          <w:szCs w:val="24"/>
        </w:rPr>
        <w:t xml:space="preserve"> “constant speed” operation, plus one</w:t>
      </w:r>
      <w:r w:rsidR="00811314">
        <w:rPr>
          <w:sz w:val="24"/>
          <w:szCs w:val="24"/>
        </w:rPr>
        <w:t xml:space="preserve"> or two</w:t>
      </w:r>
      <w:r w:rsidR="00A054CE">
        <w:rPr>
          <w:sz w:val="24"/>
          <w:szCs w:val="24"/>
        </w:rPr>
        <w:t xml:space="preserve"> </w:t>
      </w:r>
      <w:r w:rsidR="00726041">
        <w:rPr>
          <w:sz w:val="24"/>
          <w:szCs w:val="24"/>
        </w:rPr>
        <w:t xml:space="preserve">“wot-acceleration” operation). Furthermore, the maximum number of </w:t>
      </w:r>
      <w:r w:rsidR="002D26FA">
        <w:rPr>
          <w:sz w:val="24"/>
          <w:szCs w:val="24"/>
        </w:rPr>
        <w:t xml:space="preserve">RD-ASEP test runs shall be reduced by the number of operating conditions applied </w:t>
      </w:r>
      <w:r w:rsidR="00C63B88">
        <w:rPr>
          <w:sz w:val="24"/>
          <w:szCs w:val="24"/>
        </w:rPr>
        <w:t xml:space="preserve">as RD-ASEP reference </w:t>
      </w:r>
      <w:r w:rsidR="006548D3">
        <w:rPr>
          <w:sz w:val="24"/>
          <w:szCs w:val="24"/>
        </w:rPr>
        <w:t xml:space="preserve">test conditions, according to point 3.2. (one for </w:t>
      </w:r>
      <w:proofErr w:type="spellStart"/>
      <w:r w:rsidR="00451126">
        <w:rPr>
          <w:sz w:val="24"/>
          <w:szCs w:val="24"/>
        </w:rPr>
        <w:t>v</w:t>
      </w:r>
      <w:r w:rsidR="001D0D2F" w:rsidRPr="00251B03">
        <w:rPr>
          <w:sz w:val="24"/>
          <w:szCs w:val="24"/>
          <w:vertAlign w:val="subscript"/>
        </w:rPr>
        <w:t>PP</w:t>
      </w:r>
      <w:proofErr w:type="spellEnd"/>
      <w:r w:rsidR="001D0D2F" w:rsidRPr="00251B03">
        <w:rPr>
          <w:sz w:val="24"/>
          <w:szCs w:val="24"/>
          <w:vertAlign w:val="subscript"/>
        </w:rPr>
        <w:t>´</w:t>
      </w:r>
      <w:r w:rsidR="001D0D2F">
        <w:rPr>
          <w:sz w:val="24"/>
          <w:szCs w:val="24"/>
        </w:rPr>
        <w:t>=50km/h</w:t>
      </w:r>
      <w:r w:rsidR="00B71473">
        <w:rPr>
          <w:sz w:val="24"/>
          <w:szCs w:val="24"/>
        </w:rPr>
        <w:t xml:space="preserve"> (a), and </w:t>
      </w:r>
      <w:r w:rsidR="00023E94">
        <w:rPr>
          <w:sz w:val="24"/>
          <w:szCs w:val="24"/>
        </w:rPr>
        <w:t xml:space="preserve">at least </w:t>
      </w:r>
      <w:r w:rsidR="00B71473">
        <w:rPr>
          <w:sz w:val="24"/>
          <w:szCs w:val="24"/>
        </w:rPr>
        <w:t xml:space="preserve">one for </w:t>
      </w:r>
      <w:proofErr w:type="spellStart"/>
      <w:r w:rsidR="00265FC1">
        <w:rPr>
          <w:sz w:val="24"/>
          <w:szCs w:val="24"/>
        </w:rPr>
        <w:t>n</w:t>
      </w:r>
      <w:r w:rsidR="00265FC1" w:rsidRPr="00251B03">
        <w:rPr>
          <w:sz w:val="24"/>
          <w:szCs w:val="24"/>
          <w:vertAlign w:val="subscript"/>
        </w:rPr>
        <w:t>BB</w:t>
      </w:r>
      <w:proofErr w:type="spellEnd"/>
      <w:r w:rsidR="00265FC1" w:rsidRPr="00251B03">
        <w:rPr>
          <w:sz w:val="24"/>
          <w:szCs w:val="24"/>
          <w:vertAlign w:val="subscript"/>
        </w:rPr>
        <w:t>’</w:t>
      </w:r>
      <w:r w:rsidR="00265FC1">
        <w:rPr>
          <w:sz w:val="24"/>
          <w:szCs w:val="24"/>
        </w:rPr>
        <w:t>=0.8 x S</w:t>
      </w:r>
      <w:r w:rsidR="00B213B1">
        <w:rPr>
          <w:sz w:val="24"/>
          <w:szCs w:val="24"/>
        </w:rPr>
        <w:t>)</w:t>
      </w:r>
      <w:r w:rsidR="00023E94">
        <w:rPr>
          <w:sz w:val="24"/>
          <w:szCs w:val="24"/>
        </w:rPr>
        <w:t>.</w:t>
      </w:r>
    </w:p>
    <w:p w14:paraId="53B2AC96" w14:textId="7EE518E9" w:rsidR="00C63057" w:rsidRDefault="00F27F6D" w:rsidP="00D900BC">
      <w:pPr>
        <w:pStyle w:val="ListParagraph"/>
        <w:ind w:left="0"/>
        <w:rPr>
          <w:sz w:val="24"/>
          <w:szCs w:val="24"/>
        </w:rPr>
      </w:pPr>
      <w:r>
        <w:rPr>
          <w:sz w:val="24"/>
          <w:szCs w:val="24"/>
        </w:rPr>
        <w:t xml:space="preserve">Since the operating conditions for the </w:t>
      </w:r>
      <w:r w:rsidR="00E153FF">
        <w:rPr>
          <w:sz w:val="24"/>
          <w:szCs w:val="24"/>
        </w:rPr>
        <w:t xml:space="preserve">RD-ASEP reference test </w:t>
      </w:r>
      <w:r w:rsidR="0018049C">
        <w:rPr>
          <w:sz w:val="24"/>
          <w:szCs w:val="24"/>
        </w:rPr>
        <w:t xml:space="preserve">(a) is identical to the “wot acceleration” test of Annex 3, these two tests </w:t>
      </w:r>
      <w:r w:rsidR="00D8389C">
        <w:rPr>
          <w:sz w:val="24"/>
          <w:szCs w:val="24"/>
        </w:rPr>
        <w:t>shall account as one operating condition for the determi</w:t>
      </w:r>
      <w:r w:rsidR="00015852">
        <w:rPr>
          <w:sz w:val="24"/>
          <w:szCs w:val="24"/>
        </w:rPr>
        <w:t>nation of the number of RD-ASEP test runs.</w:t>
      </w:r>
    </w:p>
    <w:p w14:paraId="63CC98C8" w14:textId="284CD663" w:rsidR="000B6061" w:rsidRDefault="0095244D" w:rsidP="00D900BC">
      <w:pPr>
        <w:pStyle w:val="ListParagraph"/>
        <w:ind w:left="0"/>
        <w:rPr>
          <w:sz w:val="24"/>
          <w:szCs w:val="24"/>
        </w:rPr>
      </w:pPr>
      <w:r>
        <w:rPr>
          <w:sz w:val="24"/>
          <w:szCs w:val="24"/>
        </w:rPr>
        <w:t xml:space="preserve">The </w:t>
      </w:r>
      <w:r w:rsidR="00AA794A">
        <w:rPr>
          <w:sz w:val="24"/>
          <w:szCs w:val="24"/>
        </w:rPr>
        <w:t xml:space="preserve">number of </w:t>
      </w:r>
      <w:r>
        <w:rPr>
          <w:sz w:val="24"/>
          <w:szCs w:val="24"/>
        </w:rPr>
        <w:t xml:space="preserve">operating conditions of the test runs of Annex 3 and the </w:t>
      </w:r>
      <w:r w:rsidR="004B66B0">
        <w:rPr>
          <w:sz w:val="24"/>
          <w:szCs w:val="24"/>
        </w:rPr>
        <w:t>RD-ASEP reference test conditions shall not be</w:t>
      </w:r>
      <w:r w:rsidR="00FD5234">
        <w:rPr>
          <w:sz w:val="24"/>
          <w:szCs w:val="24"/>
        </w:rPr>
        <w:t xml:space="preserve"> understood as </w:t>
      </w:r>
      <w:r w:rsidR="00AA794A">
        <w:rPr>
          <w:sz w:val="24"/>
          <w:szCs w:val="24"/>
        </w:rPr>
        <w:t xml:space="preserve">being </w:t>
      </w:r>
      <w:r w:rsidR="00FD5234">
        <w:rPr>
          <w:sz w:val="24"/>
          <w:szCs w:val="24"/>
        </w:rPr>
        <w:t>strictly related to the number of RD-ASEP tests runs in the respective gears</w:t>
      </w:r>
      <w:r w:rsidR="00525829">
        <w:rPr>
          <w:sz w:val="24"/>
          <w:szCs w:val="24"/>
        </w:rPr>
        <w:t xml:space="preserve"> in which these operating conditions </w:t>
      </w:r>
      <w:r w:rsidR="000B6061">
        <w:rPr>
          <w:sz w:val="24"/>
          <w:szCs w:val="24"/>
        </w:rPr>
        <w:t>were</w:t>
      </w:r>
      <w:r w:rsidR="00525829">
        <w:rPr>
          <w:sz w:val="24"/>
          <w:szCs w:val="24"/>
        </w:rPr>
        <w:t xml:space="preserve"> </w:t>
      </w:r>
      <w:r w:rsidR="000B6061">
        <w:rPr>
          <w:sz w:val="24"/>
          <w:szCs w:val="24"/>
        </w:rPr>
        <w:t>applied but</w:t>
      </w:r>
      <w:r w:rsidR="00FD5234">
        <w:rPr>
          <w:sz w:val="24"/>
          <w:szCs w:val="24"/>
        </w:rPr>
        <w:t xml:space="preserve"> may be accounted to </w:t>
      </w:r>
      <w:r w:rsidR="008B407B">
        <w:rPr>
          <w:sz w:val="24"/>
          <w:szCs w:val="24"/>
        </w:rPr>
        <w:t xml:space="preserve">the number of tests in </w:t>
      </w:r>
      <w:r w:rsidR="00FD5234">
        <w:rPr>
          <w:sz w:val="24"/>
          <w:szCs w:val="24"/>
        </w:rPr>
        <w:t>any of the available gears.</w:t>
      </w:r>
    </w:p>
    <w:p w14:paraId="074729DF" w14:textId="77777777" w:rsidR="00656F86" w:rsidRDefault="00656F86" w:rsidP="00D900BC">
      <w:pPr>
        <w:pStyle w:val="ListParagraph"/>
        <w:ind w:left="0"/>
        <w:rPr>
          <w:sz w:val="24"/>
          <w:szCs w:val="24"/>
        </w:rPr>
      </w:pPr>
    </w:p>
    <w:p w14:paraId="707A987D" w14:textId="4F7C3C98" w:rsidR="000B6061" w:rsidRPr="004C1A8D" w:rsidRDefault="0017750A" w:rsidP="0017750A">
      <w:pPr>
        <w:pStyle w:val="ListParagraph"/>
        <w:numPr>
          <w:ilvl w:val="0"/>
          <w:numId w:val="7"/>
        </w:numPr>
        <w:rPr>
          <w:b/>
          <w:bCs/>
          <w:sz w:val="24"/>
          <w:szCs w:val="24"/>
          <w:u w:val="single"/>
        </w:rPr>
      </w:pPr>
      <w:r w:rsidRPr="004C1A8D">
        <w:rPr>
          <w:b/>
          <w:bCs/>
          <w:sz w:val="24"/>
          <w:szCs w:val="24"/>
          <w:u w:val="single"/>
        </w:rPr>
        <w:t xml:space="preserve">user selectable </w:t>
      </w:r>
      <w:r w:rsidR="004C1A8D" w:rsidRPr="004C1A8D">
        <w:rPr>
          <w:b/>
          <w:bCs/>
          <w:sz w:val="24"/>
          <w:szCs w:val="24"/>
          <w:u w:val="single"/>
        </w:rPr>
        <w:t>software programs or modes</w:t>
      </w:r>
    </w:p>
    <w:p w14:paraId="4ADF5B9F" w14:textId="77777777" w:rsidR="0017750A" w:rsidRDefault="0017750A" w:rsidP="00D900BC">
      <w:pPr>
        <w:pStyle w:val="ListParagraph"/>
        <w:ind w:left="0"/>
        <w:rPr>
          <w:sz w:val="24"/>
          <w:szCs w:val="24"/>
        </w:rPr>
      </w:pPr>
    </w:p>
    <w:p w14:paraId="7CD60366" w14:textId="3A0DF45C" w:rsidR="00015852" w:rsidRDefault="00F86ECB" w:rsidP="00D900BC">
      <w:pPr>
        <w:pStyle w:val="ListParagraph"/>
        <w:ind w:left="0"/>
        <w:rPr>
          <w:sz w:val="24"/>
          <w:szCs w:val="24"/>
        </w:rPr>
      </w:pPr>
      <w:r>
        <w:rPr>
          <w:sz w:val="24"/>
          <w:szCs w:val="24"/>
        </w:rPr>
        <w:t>Point 3.3.2. reads, “</w:t>
      </w:r>
      <w:r w:rsidR="00BD5007" w:rsidRPr="00BD5007">
        <w:rPr>
          <w:i/>
          <w:iCs/>
          <w:sz w:val="24"/>
          <w:szCs w:val="24"/>
        </w:rPr>
        <w:t>The vehicle may be tested in any of the available user selectable software programs or modes which affect the sound emissions of the vehicle</w:t>
      </w:r>
      <w:r w:rsidR="00BD5007" w:rsidRPr="00BD5007">
        <w:rPr>
          <w:sz w:val="24"/>
          <w:szCs w:val="24"/>
        </w:rPr>
        <w:t>.</w:t>
      </w:r>
      <w:r w:rsidR="00BD5007">
        <w:rPr>
          <w:sz w:val="24"/>
          <w:szCs w:val="24"/>
        </w:rPr>
        <w:t>”</w:t>
      </w:r>
      <w:r w:rsidR="00AA794A">
        <w:rPr>
          <w:sz w:val="24"/>
          <w:szCs w:val="24"/>
        </w:rPr>
        <w:t xml:space="preserve"> </w:t>
      </w:r>
    </w:p>
    <w:p w14:paraId="55736DFF" w14:textId="77777777" w:rsidR="00BD5007" w:rsidRDefault="00BD5007" w:rsidP="00D900BC">
      <w:pPr>
        <w:pStyle w:val="ListParagraph"/>
        <w:ind w:left="0"/>
        <w:rPr>
          <w:sz w:val="24"/>
          <w:szCs w:val="24"/>
        </w:rPr>
      </w:pPr>
    </w:p>
    <w:p w14:paraId="25C6A2FF" w14:textId="10E066D5" w:rsidR="00542913" w:rsidRDefault="00BD5007" w:rsidP="00D900BC">
      <w:pPr>
        <w:pStyle w:val="ListParagraph"/>
        <w:ind w:left="0"/>
        <w:rPr>
          <w:sz w:val="24"/>
          <w:szCs w:val="24"/>
        </w:rPr>
      </w:pPr>
      <w:r w:rsidRPr="001777BB">
        <w:rPr>
          <w:sz w:val="24"/>
          <w:szCs w:val="24"/>
          <w:u w:val="single"/>
        </w:rPr>
        <w:t>Interpretation:</w:t>
      </w:r>
      <w:r>
        <w:rPr>
          <w:sz w:val="24"/>
          <w:szCs w:val="24"/>
        </w:rPr>
        <w:t xml:space="preserve"> </w:t>
      </w:r>
      <w:r w:rsidR="001E2E79">
        <w:rPr>
          <w:sz w:val="24"/>
          <w:szCs w:val="24"/>
        </w:rPr>
        <w:t xml:space="preserve">The technical service or the approval authority may </w:t>
      </w:r>
      <w:r w:rsidR="00772872">
        <w:rPr>
          <w:sz w:val="24"/>
          <w:szCs w:val="24"/>
        </w:rPr>
        <w:t>select any of the available user selectable software program</w:t>
      </w:r>
      <w:r w:rsidR="000D0CDC">
        <w:rPr>
          <w:sz w:val="24"/>
          <w:szCs w:val="24"/>
        </w:rPr>
        <w:t xml:space="preserve">s </w:t>
      </w:r>
      <w:r w:rsidR="00AB73ED">
        <w:rPr>
          <w:sz w:val="24"/>
          <w:szCs w:val="24"/>
        </w:rPr>
        <w:t xml:space="preserve">or modes </w:t>
      </w:r>
      <w:r w:rsidR="000D0CDC">
        <w:rPr>
          <w:sz w:val="24"/>
          <w:szCs w:val="24"/>
        </w:rPr>
        <w:t xml:space="preserve">for the additional RD-ASEP operating conditions. </w:t>
      </w:r>
      <w:r w:rsidR="00607BFC">
        <w:rPr>
          <w:sz w:val="24"/>
          <w:szCs w:val="24"/>
        </w:rPr>
        <w:t xml:space="preserve">Since for motorcycles with manual transmission, the number of additional operating conditions is </w:t>
      </w:r>
      <w:r w:rsidR="00244C40">
        <w:rPr>
          <w:sz w:val="24"/>
          <w:szCs w:val="24"/>
        </w:rPr>
        <w:t>limited to three per gear</w:t>
      </w:r>
      <w:r w:rsidR="00637A4C">
        <w:rPr>
          <w:sz w:val="24"/>
          <w:szCs w:val="24"/>
        </w:rPr>
        <w:t xml:space="preserve">, </w:t>
      </w:r>
      <w:r w:rsidR="00AB2091">
        <w:rPr>
          <w:sz w:val="24"/>
          <w:szCs w:val="24"/>
        </w:rPr>
        <w:t>and to six additional operating conditions for vehicles with non-lockable automatic trans</w:t>
      </w:r>
      <w:r w:rsidR="001B35CC">
        <w:rPr>
          <w:sz w:val="24"/>
          <w:szCs w:val="24"/>
        </w:rPr>
        <w:t xml:space="preserve">missions, </w:t>
      </w:r>
      <w:r w:rsidR="00637A4C">
        <w:rPr>
          <w:sz w:val="24"/>
          <w:szCs w:val="24"/>
        </w:rPr>
        <w:t xml:space="preserve">situations may occur, </w:t>
      </w:r>
      <w:r w:rsidR="001B35CC">
        <w:rPr>
          <w:sz w:val="24"/>
          <w:szCs w:val="24"/>
        </w:rPr>
        <w:t>where</w:t>
      </w:r>
      <w:r w:rsidR="00637A4C">
        <w:rPr>
          <w:sz w:val="24"/>
          <w:szCs w:val="24"/>
        </w:rPr>
        <w:t xml:space="preserve"> not all available user selectable </w:t>
      </w:r>
      <w:r w:rsidR="007D1423">
        <w:rPr>
          <w:sz w:val="24"/>
          <w:szCs w:val="24"/>
        </w:rPr>
        <w:t xml:space="preserve">software programs or modes can be tested in all gears. </w:t>
      </w:r>
      <w:r w:rsidR="004D2199">
        <w:rPr>
          <w:sz w:val="24"/>
          <w:szCs w:val="24"/>
        </w:rPr>
        <w:t xml:space="preserve">This circumstance shall be acceptable </w:t>
      </w:r>
      <w:r w:rsidR="00542913">
        <w:rPr>
          <w:sz w:val="24"/>
          <w:szCs w:val="24"/>
        </w:rPr>
        <w:t>because the general purpose and principles of RD-ASEP are still met.</w:t>
      </w:r>
    </w:p>
    <w:p w14:paraId="31EF0CF6" w14:textId="7BEAF606" w:rsidR="00BD5007" w:rsidRDefault="000D29EB" w:rsidP="00D900BC">
      <w:pPr>
        <w:pStyle w:val="ListParagraph"/>
        <w:ind w:left="0"/>
        <w:rPr>
          <w:sz w:val="24"/>
          <w:szCs w:val="24"/>
        </w:rPr>
      </w:pPr>
      <w:r>
        <w:rPr>
          <w:sz w:val="24"/>
          <w:szCs w:val="24"/>
        </w:rPr>
        <w:t xml:space="preserve">If the applicant for approval (vehicle manufacturer) can </w:t>
      </w:r>
      <w:r w:rsidR="009154A0">
        <w:rPr>
          <w:sz w:val="24"/>
          <w:szCs w:val="24"/>
        </w:rPr>
        <w:t xml:space="preserve">explain to the satisfaction of the technical service or the approval authority, that </w:t>
      </w:r>
      <w:r w:rsidR="00E20078">
        <w:rPr>
          <w:sz w:val="24"/>
          <w:szCs w:val="24"/>
        </w:rPr>
        <w:t>one or more of the available user selectable software programs or</w:t>
      </w:r>
      <w:r w:rsidR="00542913">
        <w:rPr>
          <w:sz w:val="24"/>
          <w:szCs w:val="24"/>
        </w:rPr>
        <w:t xml:space="preserve"> </w:t>
      </w:r>
      <w:r w:rsidR="00FA53F2">
        <w:rPr>
          <w:sz w:val="24"/>
          <w:szCs w:val="24"/>
        </w:rPr>
        <w:t xml:space="preserve">modes </w:t>
      </w:r>
      <w:r w:rsidR="00ED09FD">
        <w:rPr>
          <w:sz w:val="24"/>
          <w:szCs w:val="24"/>
        </w:rPr>
        <w:t xml:space="preserve">does not affect the sound emissions of the motorcycle, </w:t>
      </w:r>
      <w:r w:rsidR="00887F2A">
        <w:rPr>
          <w:sz w:val="24"/>
          <w:szCs w:val="24"/>
        </w:rPr>
        <w:t xml:space="preserve">the respective user selectable software programs or modes </w:t>
      </w:r>
      <w:r w:rsidR="00204385">
        <w:rPr>
          <w:sz w:val="24"/>
          <w:szCs w:val="24"/>
        </w:rPr>
        <w:t xml:space="preserve">do not need to be considered for </w:t>
      </w:r>
      <w:r w:rsidR="000E7C2C">
        <w:rPr>
          <w:sz w:val="24"/>
          <w:szCs w:val="24"/>
        </w:rPr>
        <w:t>the tests. However, this shall not be understood as justification for a reduction of the maximum number of RD-ASEP test points.</w:t>
      </w:r>
    </w:p>
    <w:p w14:paraId="5175BEE2" w14:textId="3B4493EA" w:rsidR="0063069F" w:rsidRDefault="0063069F" w:rsidP="000F6658">
      <w:pPr>
        <w:rPr>
          <w:sz w:val="24"/>
          <w:szCs w:val="24"/>
        </w:rPr>
      </w:pPr>
    </w:p>
    <w:sectPr w:rsidR="0063069F" w:rsidSect="00704D74">
      <w:headerReference w:type="default" r:id="rId12"/>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FE6F" w14:textId="77777777" w:rsidR="00704D74" w:rsidRDefault="00704D74" w:rsidP="002D52F7">
      <w:pPr>
        <w:spacing w:after="0" w:line="240" w:lineRule="auto"/>
      </w:pPr>
      <w:r>
        <w:separator/>
      </w:r>
    </w:p>
  </w:endnote>
  <w:endnote w:type="continuationSeparator" w:id="0">
    <w:p w14:paraId="7410727E" w14:textId="77777777" w:rsidR="00704D74" w:rsidRDefault="00704D74" w:rsidP="002D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B9E4" w14:textId="77777777" w:rsidR="00704D74" w:rsidRDefault="00704D74" w:rsidP="002D52F7">
      <w:pPr>
        <w:spacing w:after="0" w:line="240" w:lineRule="auto"/>
      </w:pPr>
      <w:r>
        <w:separator/>
      </w:r>
    </w:p>
  </w:footnote>
  <w:footnote w:type="continuationSeparator" w:id="0">
    <w:p w14:paraId="683C5EB7" w14:textId="77777777" w:rsidR="00704D74" w:rsidRDefault="00704D74" w:rsidP="002D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0497" w14:textId="7B0C4B2E" w:rsidR="002D52F7" w:rsidRPr="002D52F7" w:rsidRDefault="002D52F7">
    <w:pPr>
      <w:pStyle w:val="Header"/>
      <w:rPr>
        <w:lang/>
      </w:rPr>
    </w:pPr>
    <w:r>
      <w:rPr>
        <w:lang/>
      </w:rPr>
      <w:t>Submitted by IMMA</w:t>
    </w:r>
    <w:r>
      <w:rPr>
        <w:lang/>
      </w:rPr>
      <w:tab/>
    </w:r>
    <w:r>
      <w:rPr>
        <w:lang/>
      </w:rPr>
      <w:tab/>
      <w:t>informal document GRBP-79-</w:t>
    </w:r>
    <w:r w:rsidR="00FE780E">
      <w:t>15</w:t>
    </w:r>
    <w:r>
      <w:rPr>
        <w:lang/>
      </w:rPr>
      <w:br/>
    </w:r>
    <w:r>
      <w:rPr>
        <w:lang/>
      </w:rPr>
      <w:tab/>
      <w:t xml:space="preserve">                                                                                      </w:t>
    </w:r>
    <w:r w:rsidR="00B30EE4">
      <w:rPr>
        <w:lang/>
      </w:rPr>
      <w:t xml:space="preserve"> </w:t>
    </w:r>
    <w:r w:rsidR="009B3062">
      <w:rPr>
        <w:lang/>
      </w:rPr>
      <w:t xml:space="preserve">    </w:t>
    </w:r>
    <w:r w:rsidR="00FE780E">
      <w:t xml:space="preserve">  </w:t>
    </w:r>
    <w:r>
      <w:rPr>
        <w:lang/>
      </w:rPr>
      <w:t>agenda item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3D54"/>
    <w:multiLevelType w:val="hybridMultilevel"/>
    <w:tmpl w:val="17F44E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EA4036D"/>
    <w:multiLevelType w:val="hybridMultilevel"/>
    <w:tmpl w:val="2CA88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5D1CFB"/>
    <w:multiLevelType w:val="hybridMultilevel"/>
    <w:tmpl w:val="F544BE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6A90324"/>
    <w:multiLevelType w:val="hybridMultilevel"/>
    <w:tmpl w:val="6576F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3F441D"/>
    <w:multiLevelType w:val="hybridMultilevel"/>
    <w:tmpl w:val="A0FC7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066406"/>
    <w:multiLevelType w:val="hybridMultilevel"/>
    <w:tmpl w:val="565EBF0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0C048C9"/>
    <w:multiLevelType w:val="hybridMultilevel"/>
    <w:tmpl w:val="5C1AA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5017123">
    <w:abstractNumId w:val="6"/>
  </w:num>
  <w:num w:numId="2" w16cid:durableId="302344807">
    <w:abstractNumId w:val="3"/>
  </w:num>
  <w:num w:numId="3" w16cid:durableId="893351151">
    <w:abstractNumId w:val="1"/>
  </w:num>
  <w:num w:numId="4" w16cid:durableId="1994286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5973259">
    <w:abstractNumId w:val="5"/>
  </w:num>
  <w:num w:numId="6" w16cid:durableId="1874341891">
    <w:abstractNumId w:val="0"/>
  </w:num>
  <w:num w:numId="7" w16cid:durableId="592784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6E"/>
    <w:rsid w:val="000018FC"/>
    <w:rsid w:val="00015852"/>
    <w:rsid w:val="0001655B"/>
    <w:rsid w:val="00023E94"/>
    <w:rsid w:val="000508AB"/>
    <w:rsid w:val="00056B92"/>
    <w:rsid w:val="00097FE6"/>
    <w:rsid w:val="000A7C87"/>
    <w:rsid w:val="000B212C"/>
    <w:rsid w:val="000B6061"/>
    <w:rsid w:val="000C5CCE"/>
    <w:rsid w:val="000D0CDC"/>
    <w:rsid w:val="000D29EB"/>
    <w:rsid w:val="000E6F37"/>
    <w:rsid w:val="000E7C2C"/>
    <w:rsid w:val="000F6658"/>
    <w:rsid w:val="00101172"/>
    <w:rsid w:val="00106C74"/>
    <w:rsid w:val="00107610"/>
    <w:rsid w:val="00111284"/>
    <w:rsid w:val="001167B1"/>
    <w:rsid w:val="00154F96"/>
    <w:rsid w:val="00164697"/>
    <w:rsid w:val="0016760A"/>
    <w:rsid w:val="00174E49"/>
    <w:rsid w:val="0017750A"/>
    <w:rsid w:val="001777BB"/>
    <w:rsid w:val="0018049C"/>
    <w:rsid w:val="001B35CC"/>
    <w:rsid w:val="001B762C"/>
    <w:rsid w:val="001D0D2F"/>
    <w:rsid w:val="001E2E79"/>
    <w:rsid w:val="00204385"/>
    <w:rsid w:val="002202F3"/>
    <w:rsid w:val="00225434"/>
    <w:rsid w:val="002317F2"/>
    <w:rsid w:val="00244C40"/>
    <w:rsid w:val="00251B03"/>
    <w:rsid w:val="00253802"/>
    <w:rsid w:val="00265FC1"/>
    <w:rsid w:val="002A71E4"/>
    <w:rsid w:val="002B66BB"/>
    <w:rsid w:val="002B7AA5"/>
    <w:rsid w:val="002D26FA"/>
    <w:rsid w:val="002D52F7"/>
    <w:rsid w:val="002E5177"/>
    <w:rsid w:val="002E6882"/>
    <w:rsid w:val="003022B4"/>
    <w:rsid w:val="003068DD"/>
    <w:rsid w:val="0038708F"/>
    <w:rsid w:val="00393CC9"/>
    <w:rsid w:val="00397EE5"/>
    <w:rsid w:val="003B69AB"/>
    <w:rsid w:val="003C6722"/>
    <w:rsid w:val="003C6ABE"/>
    <w:rsid w:val="003D2275"/>
    <w:rsid w:val="003E519A"/>
    <w:rsid w:val="003E5ADC"/>
    <w:rsid w:val="0040630F"/>
    <w:rsid w:val="00407938"/>
    <w:rsid w:val="00451126"/>
    <w:rsid w:val="004B0117"/>
    <w:rsid w:val="004B66B0"/>
    <w:rsid w:val="004C1A8D"/>
    <w:rsid w:val="004D2199"/>
    <w:rsid w:val="00525829"/>
    <w:rsid w:val="005416DD"/>
    <w:rsid w:val="00542913"/>
    <w:rsid w:val="00545FD7"/>
    <w:rsid w:val="0056578B"/>
    <w:rsid w:val="0056587C"/>
    <w:rsid w:val="005670A6"/>
    <w:rsid w:val="005B1A66"/>
    <w:rsid w:val="005D494B"/>
    <w:rsid w:val="00607BFC"/>
    <w:rsid w:val="00612A65"/>
    <w:rsid w:val="0063069F"/>
    <w:rsid w:val="00637A4C"/>
    <w:rsid w:val="006416DA"/>
    <w:rsid w:val="006548D3"/>
    <w:rsid w:val="00656F86"/>
    <w:rsid w:val="006575E4"/>
    <w:rsid w:val="00690130"/>
    <w:rsid w:val="00690FDA"/>
    <w:rsid w:val="00695521"/>
    <w:rsid w:val="006C09D9"/>
    <w:rsid w:val="006D3AD4"/>
    <w:rsid w:val="006D726D"/>
    <w:rsid w:val="006F7BE3"/>
    <w:rsid w:val="00704D74"/>
    <w:rsid w:val="0071356D"/>
    <w:rsid w:val="00726041"/>
    <w:rsid w:val="007362F3"/>
    <w:rsid w:val="00752346"/>
    <w:rsid w:val="00760E30"/>
    <w:rsid w:val="00761F1D"/>
    <w:rsid w:val="00761FF2"/>
    <w:rsid w:val="00772872"/>
    <w:rsid w:val="0078281B"/>
    <w:rsid w:val="00784B02"/>
    <w:rsid w:val="007A2788"/>
    <w:rsid w:val="007A6072"/>
    <w:rsid w:val="007A6211"/>
    <w:rsid w:val="007A7BE0"/>
    <w:rsid w:val="007C7464"/>
    <w:rsid w:val="007D1423"/>
    <w:rsid w:val="007D257D"/>
    <w:rsid w:val="007D5F00"/>
    <w:rsid w:val="007E0760"/>
    <w:rsid w:val="007E1082"/>
    <w:rsid w:val="007E793D"/>
    <w:rsid w:val="007F700D"/>
    <w:rsid w:val="00811314"/>
    <w:rsid w:val="008250B1"/>
    <w:rsid w:val="00837BC3"/>
    <w:rsid w:val="0084490B"/>
    <w:rsid w:val="0084520A"/>
    <w:rsid w:val="008459A1"/>
    <w:rsid w:val="008637B0"/>
    <w:rsid w:val="00886101"/>
    <w:rsid w:val="00887F2A"/>
    <w:rsid w:val="008B407B"/>
    <w:rsid w:val="008B5E5F"/>
    <w:rsid w:val="008D4457"/>
    <w:rsid w:val="008E0496"/>
    <w:rsid w:val="008E33C4"/>
    <w:rsid w:val="008E5816"/>
    <w:rsid w:val="00913F56"/>
    <w:rsid w:val="0091507D"/>
    <w:rsid w:val="009154A0"/>
    <w:rsid w:val="00921D15"/>
    <w:rsid w:val="00932093"/>
    <w:rsid w:val="00936360"/>
    <w:rsid w:val="0095244D"/>
    <w:rsid w:val="00971EE9"/>
    <w:rsid w:val="00972A29"/>
    <w:rsid w:val="00980520"/>
    <w:rsid w:val="00987941"/>
    <w:rsid w:val="00994A6E"/>
    <w:rsid w:val="009B3062"/>
    <w:rsid w:val="00A02928"/>
    <w:rsid w:val="00A054CE"/>
    <w:rsid w:val="00A063DF"/>
    <w:rsid w:val="00A2307F"/>
    <w:rsid w:val="00A260F1"/>
    <w:rsid w:val="00A263AC"/>
    <w:rsid w:val="00A55A77"/>
    <w:rsid w:val="00A57BD5"/>
    <w:rsid w:val="00A75BEE"/>
    <w:rsid w:val="00A82EE8"/>
    <w:rsid w:val="00AA794A"/>
    <w:rsid w:val="00AB2091"/>
    <w:rsid w:val="00AB73ED"/>
    <w:rsid w:val="00AD44C2"/>
    <w:rsid w:val="00B03441"/>
    <w:rsid w:val="00B14187"/>
    <w:rsid w:val="00B213B1"/>
    <w:rsid w:val="00B30EE4"/>
    <w:rsid w:val="00B4556D"/>
    <w:rsid w:val="00B528DF"/>
    <w:rsid w:val="00B63C6C"/>
    <w:rsid w:val="00B7105D"/>
    <w:rsid w:val="00B71473"/>
    <w:rsid w:val="00B7447B"/>
    <w:rsid w:val="00B83B72"/>
    <w:rsid w:val="00B925B6"/>
    <w:rsid w:val="00BD3C8B"/>
    <w:rsid w:val="00BD5007"/>
    <w:rsid w:val="00BE6BA8"/>
    <w:rsid w:val="00BF2A95"/>
    <w:rsid w:val="00C04736"/>
    <w:rsid w:val="00C12165"/>
    <w:rsid w:val="00C200BE"/>
    <w:rsid w:val="00C37D0A"/>
    <w:rsid w:val="00C44B07"/>
    <w:rsid w:val="00C50217"/>
    <w:rsid w:val="00C63057"/>
    <w:rsid w:val="00C63B88"/>
    <w:rsid w:val="00CA1F77"/>
    <w:rsid w:val="00CE3392"/>
    <w:rsid w:val="00CF4C73"/>
    <w:rsid w:val="00D035BA"/>
    <w:rsid w:val="00D217AB"/>
    <w:rsid w:val="00D350D3"/>
    <w:rsid w:val="00D42BEB"/>
    <w:rsid w:val="00D6566E"/>
    <w:rsid w:val="00D817B3"/>
    <w:rsid w:val="00D834C5"/>
    <w:rsid w:val="00D8350A"/>
    <w:rsid w:val="00D8389C"/>
    <w:rsid w:val="00D900BC"/>
    <w:rsid w:val="00DA6B5B"/>
    <w:rsid w:val="00DC130F"/>
    <w:rsid w:val="00DC4F09"/>
    <w:rsid w:val="00DE0BFD"/>
    <w:rsid w:val="00DF3A34"/>
    <w:rsid w:val="00E0289E"/>
    <w:rsid w:val="00E06CAB"/>
    <w:rsid w:val="00E153FF"/>
    <w:rsid w:val="00E20078"/>
    <w:rsid w:val="00E2177E"/>
    <w:rsid w:val="00E745E5"/>
    <w:rsid w:val="00ED09FD"/>
    <w:rsid w:val="00EF6D0C"/>
    <w:rsid w:val="00F2260F"/>
    <w:rsid w:val="00F27F6D"/>
    <w:rsid w:val="00F43AC9"/>
    <w:rsid w:val="00F44D77"/>
    <w:rsid w:val="00F84F41"/>
    <w:rsid w:val="00F86ECB"/>
    <w:rsid w:val="00F917B8"/>
    <w:rsid w:val="00FA53F2"/>
    <w:rsid w:val="00FA68FB"/>
    <w:rsid w:val="00FB1C34"/>
    <w:rsid w:val="00FB7276"/>
    <w:rsid w:val="00FC5B72"/>
    <w:rsid w:val="00FD5234"/>
    <w:rsid w:val="00FE309E"/>
    <w:rsid w:val="00FE780E"/>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27E57"/>
  <w15:chartTrackingRefBased/>
  <w15:docId w15:val="{31F558C9-4453-45D7-89D3-CFCEE225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D7"/>
    <w:rPr>
      <w:kern w:val="2"/>
      <w:lang w:val="en-US"/>
      <w14:ligatures w14:val="standardContextual"/>
    </w:rPr>
  </w:style>
  <w:style w:type="paragraph" w:styleId="Heading1">
    <w:name w:val="heading 1"/>
    <w:basedOn w:val="Normal"/>
    <w:next w:val="Normal"/>
    <w:link w:val="Heading1Char"/>
    <w:uiPriority w:val="9"/>
    <w:qFormat/>
    <w:rsid w:val="00545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FD7"/>
    <w:rPr>
      <w:rFonts w:asciiTheme="majorHAnsi" w:eastAsiaTheme="majorEastAsia" w:hAnsiTheme="majorHAnsi" w:cstheme="majorBidi"/>
      <w:color w:val="2F5496" w:themeColor="accent1" w:themeShade="BF"/>
      <w:kern w:val="2"/>
      <w:sz w:val="32"/>
      <w:szCs w:val="32"/>
      <w:lang w:val="en-US"/>
      <w14:ligatures w14:val="standardContextual"/>
    </w:rPr>
  </w:style>
  <w:style w:type="paragraph" w:styleId="Title">
    <w:name w:val="Title"/>
    <w:basedOn w:val="Normal"/>
    <w:next w:val="Normal"/>
    <w:link w:val="TitleChar"/>
    <w:uiPriority w:val="10"/>
    <w:qFormat/>
    <w:rsid w:val="00545F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FD7"/>
    <w:rPr>
      <w:rFonts w:asciiTheme="majorHAnsi" w:eastAsiaTheme="majorEastAsia" w:hAnsiTheme="majorHAnsi" w:cstheme="majorBidi"/>
      <w:spacing w:val="-10"/>
      <w:kern w:val="28"/>
      <w:sz w:val="56"/>
      <w:szCs w:val="56"/>
      <w:lang w:val="en-US"/>
      <w14:ligatures w14:val="standardContextual"/>
    </w:rPr>
  </w:style>
  <w:style w:type="paragraph" w:styleId="ListParagraph">
    <w:name w:val="List Paragraph"/>
    <w:basedOn w:val="Normal"/>
    <w:uiPriority w:val="34"/>
    <w:qFormat/>
    <w:rsid w:val="00545FD7"/>
    <w:pPr>
      <w:ind w:left="720"/>
      <w:contextualSpacing/>
    </w:pPr>
  </w:style>
  <w:style w:type="paragraph" w:styleId="Revision">
    <w:name w:val="Revision"/>
    <w:hidden/>
    <w:uiPriority w:val="99"/>
    <w:semiHidden/>
    <w:rsid w:val="00761FF2"/>
    <w:pPr>
      <w:spacing w:after="0" w:line="240" w:lineRule="auto"/>
    </w:pPr>
    <w:rPr>
      <w:kern w:val="2"/>
      <w:lang w:val="en-US"/>
      <w14:ligatures w14:val="standardContextual"/>
    </w:rPr>
  </w:style>
  <w:style w:type="paragraph" w:styleId="Header">
    <w:name w:val="header"/>
    <w:basedOn w:val="Normal"/>
    <w:link w:val="HeaderChar"/>
    <w:uiPriority w:val="99"/>
    <w:unhideWhenUsed/>
    <w:rsid w:val="002D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F7"/>
    <w:rPr>
      <w:kern w:val="2"/>
      <w:lang w:val="en-US"/>
      <w14:ligatures w14:val="standardContextual"/>
    </w:rPr>
  </w:style>
  <w:style w:type="paragraph" w:styleId="Footer">
    <w:name w:val="footer"/>
    <w:basedOn w:val="Normal"/>
    <w:link w:val="FooterChar"/>
    <w:uiPriority w:val="99"/>
    <w:unhideWhenUsed/>
    <w:rsid w:val="002D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F7"/>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I1LzAxLzIwMjQgMTQ6MjY6NTM8L0RhdGVUaW1lPjxMYWJlbFN0cmluZz5TZWNyZWN5QjwvTGFiZWxTdHJpbmc+PC9pdGVtPjwvbGFiZWxIaXN0b3J5Pg==</Value>
</WrappedLabelHistory>
</file>

<file path=customXml/item3.xml><?xml version="1.0" encoding="utf-8"?>
<sisl xmlns:xsd="http://www.w3.org/2001/XMLSchema" xmlns:xsi="http://www.w3.org/2001/XMLSchema-instance" xmlns="http://www.boldonjames.com/2008/01/sie/internal/label" sislVersion="0" policy="f93675b6-01a2-4849-a189-2f6615772e13" origin="userSelected">
  <element uid="id_classification_confidenti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626A3-E154-4B3F-BEBA-9D866192A37A}">
  <ds:schemaRefs>
    <ds:schemaRef ds:uri="http://schemas.microsoft.com/office/2006/metadata/properties"/>
    <ds:schemaRef ds:uri="http://schemas.microsoft.com/office/infopath/2007/PartnerControls"/>
    <ds:schemaRef ds:uri="f1399241-a989-480f-baf5-df0145fd33c1"/>
    <ds:schemaRef ds:uri="09e8a590-c961-40b4-b18e-c62bedd2ca74"/>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AB48839-E416-407A-8E88-D5E0821AD5C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880E9F0-7324-4374-9E93-2CF48F8C476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DC6B40B-F692-4EA7-82C1-7AF97B387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DDD100-DD35-49F4-8F2F-79FBEE1C5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921</Words>
  <Characters>4882</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Grugl Karl-Maria</dc:creator>
  <cp:keywords/>
  <dc:description/>
  <cp:lastModifiedBy>Secretariat editorial modifications</cp:lastModifiedBy>
  <cp:revision>5</cp:revision>
  <dcterms:created xsi:type="dcterms:W3CDTF">2024-01-25T16:27:00Z</dcterms:created>
  <dcterms:modified xsi:type="dcterms:W3CDTF">2024-01-25T21:46:00Z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0x010100920BBAF7D611964782A010B76DAADC5A</vt:lpwstr>
  </property>
  <property fmtid="{D5CDD505-2E9C-101B-9397-08002B2CF9AE}" pid="3" name="_dlc_DocIdItemGuid">
    <vt:lpwstr>1987dcdd-57d8-42b6-8360-1d5b310db852</vt:lpwstr>
  </property>
  <property fmtid="{D5CDD505-2E9C-101B-9397-08002B2CF9AE}" pid="4" name="docIndexRef">
    <vt:lpwstr>dd52c5b3-8d37-4a7c-929e-ed363d35e237</vt:lpwstr>
  </property>
  <property fmtid="{D5CDD505-2E9C-101B-9397-08002B2CF9AE}" pid="5" name="bjSaver">
    <vt:lpwstr>Wr/Ax3ShNa7vU+bPvvWmNYShVw6dA7av</vt:lpwstr>
  </property>
  <property fmtid="{D5CDD505-2E9C-101B-9397-08002B2CF9AE}" pid="6"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7" name="bjDocumentLabelXML-0">
    <vt:lpwstr>ames.com/2008/01/sie/internal/label"&gt;&lt;element uid="id_classification_confidential" value="" /&gt;&lt;/sisl&gt;</vt:lpwstr>
  </property>
  <property fmtid="{D5CDD505-2E9C-101B-9397-08002B2CF9AE}" pid="8" name="bjDocumentSecurityLabel">
    <vt:lpwstr>SecrecyB</vt:lpwstr>
  </property>
  <property fmtid="{D5CDD505-2E9C-101B-9397-08002B2CF9AE}" pid="9" name="bjClsUserRVM">
    <vt:lpwstr>[]</vt:lpwstr>
  </property>
  <property fmtid="{D5CDD505-2E9C-101B-9397-08002B2CF9AE}" pid="10" name="bjLabelHistoryID">
    <vt:lpwstr>{0AB48839-E416-407A-8E88-D5E0821AD5C7}</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_x0020_of_x0020_Origin">
    <vt:lpwstr/>
  </property>
  <property fmtid="{D5CDD505-2E9C-101B-9397-08002B2CF9AE}" pid="14" name="Office of Origin">
    <vt:lpwstr/>
  </property>
</Properties>
</file>