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CC51F80" w14:textId="77777777" w:rsidTr="00C97039">
        <w:trPr>
          <w:trHeight w:hRule="exact" w:val="851"/>
        </w:trPr>
        <w:tc>
          <w:tcPr>
            <w:tcW w:w="1276" w:type="dxa"/>
            <w:tcBorders>
              <w:bottom w:val="single" w:sz="4" w:space="0" w:color="auto"/>
            </w:tcBorders>
          </w:tcPr>
          <w:p w14:paraId="4AC45351" w14:textId="77777777" w:rsidR="00F35BAF" w:rsidRPr="00DB58B5" w:rsidRDefault="00F35BAF" w:rsidP="00A2405A"/>
        </w:tc>
        <w:tc>
          <w:tcPr>
            <w:tcW w:w="2268" w:type="dxa"/>
            <w:tcBorders>
              <w:bottom w:val="single" w:sz="4" w:space="0" w:color="auto"/>
            </w:tcBorders>
            <w:vAlign w:val="bottom"/>
          </w:tcPr>
          <w:p w14:paraId="68BD24C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393578" w14:textId="0F1F6989" w:rsidR="00F35BAF" w:rsidRPr="00DB58B5" w:rsidRDefault="00A2405A" w:rsidP="00A2405A">
            <w:pPr>
              <w:jc w:val="right"/>
            </w:pPr>
            <w:r w:rsidRPr="00A2405A">
              <w:rPr>
                <w:sz w:val="40"/>
              </w:rPr>
              <w:t>ECE</w:t>
            </w:r>
            <w:r>
              <w:t>/TRANS/WP.29/2024/29</w:t>
            </w:r>
          </w:p>
        </w:tc>
      </w:tr>
      <w:tr w:rsidR="00F35BAF" w:rsidRPr="00DB58B5" w14:paraId="78A8140A" w14:textId="77777777" w:rsidTr="00C97039">
        <w:trPr>
          <w:trHeight w:hRule="exact" w:val="2835"/>
        </w:trPr>
        <w:tc>
          <w:tcPr>
            <w:tcW w:w="1276" w:type="dxa"/>
            <w:tcBorders>
              <w:top w:val="single" w:sz="4" w:space="0" w:color="auto"/>
              <w:bottom w:val="single" w:sz="12" w:space="0" w:color="auto"/>
            </w:tcBorders>
          </w:tcPr>
          <w:p w14:paraId="51564259" w14:textId="77777777" w:rsidR="00F35BAF" w:rsidRPr="00DB58B5" w:rsidRDefault="00F35BAF" w:rsidP="00C97039">
            <w:pPr>
              <w:spacing w:before="120"/>
              <w:jc w:val="center"/>
            </w:pPr>
            <w:r>
              <w:rPr>
                <w:noProof/>
                <w:lang w:eastAsia="fr-CH"/>
              </w:rPr>
              <w:drawing>
                <wp:inline distT="0" distB="0" distL="0" distR="0" wp14:anchorId="190BFD24" wp14:editId="7BFB19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3C29C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670EDFE" w14:textId="0F94CE41" w:rsidR="00F35BAF" w:rsidRDefault="00A2405A" w:rsidP="00C97039">
            <w:pPr>
              <w:spacing w:before="240"/>
            </w:pPr>
            <w:r>
              <w:t>Distr. générale</w:t>
            </w:r>
          </w:p>
          <w:p w14:paraId="44A567A5" w14:textId="77777777" w:rsidR="00A2405A" w:rsidRDefault="00A2405A" w:rsidP="00A2405A">
            <w:pPr>
              <w:spacing w:line="240" w:lineRule="exact"/>
            </w:pPr>
            <w:r>
              <w:t>21 décembre 2023</w:t>
            </w:r>
          </w:p>
          <w:p w14:paraId="3EB922DA" w14:textId="77777777" w:rsidR="00A2405A" w:rsidRDefault="00A2405A" w:rsidP="00A2405A">
            <w:pPr>
              <w:spacing w:line="240" w:lineRule="exact"/>
            </w:pPr>
            <w:r>
              <w:t>Français</w:t>
            </w:r>
          </w:p>
          <w:p w14:paraId="201C4C4E" w14:textId="1F4A5B54" w:rsidR="00A2405A" w:rsidRPr="00DB58B5" w:rsidRDefault="00A2405A" w:rsidP="00A2405A">
            <w:pPr>
              <w:spacing w:line="240" w:lineRule="exact"/>
            </w:pPr>
            <w:r>
              <w:t>Original</w:t>
            </w:r>
            <w:r w:rsidR="007C67EB">
              <w:t> :</w:t>
            </w:r>
            <w:r>
              <w:t xml:space="preserve"> anglais</w:t>
            </w:r>
          </w:p>
        </w:tc>
      </w:tr>
    </w:tbl>
    <w:p w14:paraId="6315BD51" w14:textId="77777777" w:rsidR="007F20FA" w:rsidRPr="000312C0" w:rsidRDefault="007F20FA" w:rsidP="007F20FA">
      <w:pPr>
        <w:spacing w:before="120"/>
        <w:rPr>
          <w:b/>
          <w:sz w:val="28"/>
          <w:szCs w:val="28"/>
        </w:rPr>
      </w:pPr>
      <w:r w:rsidRPr="000312C0">
        <w:rPr>
          <w:b/>
          <w:sz w:val="28"/>
          <w:szCs w:val="28"/>
        </w:rPr>
        <w:t>Commission économique pour l’Europe</w:t>
      </w:r>
    </w:p>
    <w:p w14:paraId="540CA5AA" w14:textId="77777777" w:rsidR="007F20FA" w:rsidRDefault="007F20FA" w:rsidP="007F20FA">
      <w:pPr>
        <w:spacing w:before="120"/>
        <w:rPr>
          <w:sz w:val="28"/>
          <w:szCs w:val="28"/>
        </w:rPr>
      </w:pPr>
      <w:r w:rsidRPr="00685843">
        <w:rPr>
          <w:sz w:val="28"/>
          <w:szCs w:val="28"/>
        </w:rPr>
        <w:t>Comité des transports intérieurs</w:t>
      </w:r>
    </w:p>
    <w:p w14:paraId="6625990C" w14:textId="77777777" w:rsidR="00FE6AEF" w:rsidRDefault="00FE6AEF" w:rsidP="00FE6AE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B6D49BC" w14:textId="77777777" w:rsidR="00FE6AEF" w:rsidRDefault="00FE6AEF" w:rsidP="00FE6AEF">
      <w:pPr>
        <w:spacing w:before="120" w:line="240" w:lineRule="exact"/>
        <w:rPr>
          <w:b/>
        </w:rPr>
      </w:pPr>
      <w:r>
        <w:rPr>
          <w:b/>
          <w:bCs/>
          <w:lang w:val="fr-FR"/>
        </w:rPr>
        <w:t>192</w:t>
      </w:r>
      <w:r w:rsidRPr="000A7A2C">
        <w:rPr>
          <w:b/>
          <w:bCs/>
          <w:vertAlign w:val="superscript"/>
          <w:lang w:val="fr-FR"/>
        </w:rPr>
        <w:t>e</w:t>
      </w:r>
      <w:r>
        <w:rPr>
          <w:b/>
        </w:rPr>
        <w:t xml:space="preserve"> session</w:t>
      </w:r>
    </w:p>
    <w:p w14:paraId="3AB28C1C" w14:textId="77777777" w:rsidR="00FE6AEF" w:rsidRDefault="00FE6AEF" w:rsidP="00FE6AEF">
      <w:pPr>
        <w:spacing w:line="240" w:lineRule="exact"/>
      </w:pPr>
      <w:r>
        <w:t xml:space="preserve">Genève, </w:t>
      </w:r>
      <w:r>
        <w:rPr>
          <w:lang w:val="fr-FR"/>
        </w:rPr>
        <w:t>5-8 mars 2024</w:t>
      </w:r>
    </w:p>
    <w:p w14:paraId="6EB5EDB4" w14:textId="77777777" w:rsidR="00FE6AEF" w:rsidRDefault="00FE6AEF" w:rsidP="00FE6AEF">
      <w:pPr>
        <w:spacing w:line="240" w:lineRule="exact"/>
      </w:pPr>
      <w:r>
        <w:t xml:space="preserve">Point </w:t>
      </w:r>
      <w:r>
        <w:rPr>
          <w:lang w:val="fr-FR"/>
        </w:rPr>
        <w:t>4.9.14</w:t>
      </w:r>
      <w:r>
        <w:t xml:space="preserve"> de l’ordre du jour provisoire</w:t>
      </w:r>
    </w:p>
    <w:p w14:paraId="7623AACF" w14:textId="40DD1DC2" w:rsidR="00FE6AEF" w:rsidRPr="00B47019" w:rsidRDefault="00FE6AEF" w:rsidP="00FE6AEF">
      <w:pPr>
        <w:rPr>
          <w:b/>
          <w:bCs/>
          <w:lang w:val="fr-FR"/>
        </w:rPr>
      </w:pPr>
      <w:r>
        <w:rPr>
          <w:b/>
          <w:bCs/>
        </w:rPr>
        <w:t>Accord de 1958</w:t>
      </w:r>
      <w:r w:rsidR="007C67EB">
        <w:rPr>
          <w:b/>
          <w:bCs/>
        </w:rPr>
        <w:t> :</w:t>
      </w:r>
      <w:r w:rsidR="007C67EB">
        <w:rPr>
          <w:b/>
          <w:bCs/>
        </w:rPr>
        <w:br/>
      </w:r>
      <w:r w:rsidRPr="00D247B2">
        <w:rPr>
          <w:b/>
          <w:bCs/>
          <w:lang w:val="fr-FR"/>
        </w:rPr>
        <w:t>Examen de projets d</w:t>
      </w:r>
      <w:r>
        <w:rPr>
          <w:b/>
          <w:bCs/>
          <w:lang w:val="fr-FR"/>
        </w:rPr>
        <w:t>’</w:t>
      </w:r>
      <w:r w:rsidRPr="00D247B2">
        <w:rPr>
          <w:b/>
          <w:bCs/>
          <w:lang w:val="fr-FR"/>
        </w:rPr>
        <w:t xml:space="preserve">amendements à des Règlements ONU existants, </w:t>
      </w:r>
      <w:r w:rsidR="007C67EB">
        <w:rPr>
          <w:b/>
          <w:bCs/>
          <w:lang w:val="fr-FR"/>
        </w:rPr>
        <w:br/>
      </w:r>
      <w:r w:rsidRPr="00D247B2">
        <w:rPr>
          <w:b/>
          <w:bCs/>
          <w:lang w:val="fr-FR"/>
        </w:rPr>
        <w:t>soumis par</w:t>
      </w:r>
      <w:r w:rsidR="007C67EB">
        <w:rPr>
          <w:b/>
          <w:bCs/>
          <w:lang w:val="fr-FR"/>
        </w:rPr>
        <w:t xml:space="preserve"> </w:t>
      </w:r>
      <w:r w:rsidRPr="00D247B2">
        <w:rPr>
          <w:b/>
          <w:bCs/>
          <w:lang w:val="fr-FR"/>
        </w:rPr>
        <w:t>le GRE</w:t>
      </w:r>
    </w:p>
    <w:p w14:paraId="515CB21F" w14:textId="0C6B2D8B" w:rsidR="00FE6AEF" w:rsidRPr="008445BF" w:rsidRDefault="00FE6AEF" w:rsidP="00FE6AEF">
      <w:pPr>
        <w:pStyle w:val="HChG"/>
        <w:rPr>
          <w:lang w:val="fr-FR"/>
        </w:rPr>
      </w:pPr>
      <w:r w:rsidRPr="00B47019">
        <w:rPr>
          <w:lang w:val="fr-FR"/>
        </w:rPr>
        <w:tab/>
      </w:r>
      <w:r>
        <w:rPr>
          <w:lang w:val="fr-FR"/>
        </w:rPr>
        <w:tab/>
      </w:r>
      <w:r w:rsidRPr="00D247B2">
        <w:rPr>
          <w:lang w:val="fr-FR"/>
        </w:rPr>
        <w:t>Proposition de complément 5 à la série 03 d</w:t>
      </w:r>
      <w:r>
        <w:rPr>
          <w:lang w:val="fr-FR"/>
        </w:rPr>
        <w:t>’</w:t>
      </w:r>
      <w:r w:rsidRPr="00D247B2">
        <w:rPr>
          <w:lang w:val="fr-FR"/>
        </w:rPr>
        <w:t>amendements au</w:t>
      </w:r>
      <w:r w:rsidR="007C67EB">
        <w:rPr>
          <w:lang w:val="fr-FR"/>
        </w:rPr>
        <w:t> </w:t>
      </w:r>
      <w:r w:rsidRPr="00D247B2">
        <w:rPr>
          <w:lang w:val="fr-FR"/>
        </w:rPr>
        <w:t>Règlement ONU n</w:t>
      </w:r>
      <w:r w:rsidRPr="000A7A2C">
        <w:rPr>
          <w:vertAlign w:val="superscript"/>
          <w:lang w:val="fr-FR"/>
        </w:rPr>
        <w:t>o</w:t>
      </w:r>
      <w:r w:rsidR="007C67EB">
        <w:rPr>
          <w:lang w:val="fr-FR"/>
        </w:rPr>
        <w:t> </w:t>
      </w:r>
      <w:r w:rsidRPr="00D247B2">
        <w:rPr>
          <w:lang w:val="fr-FR"/>
        </w:rPr>
        <w:t>53 (Installation des dispositifs d</w:t>
      </w:r>
      <w:r>
        <w:rPr>
          <w:lang w:val="fr-FR"/>
        </w:rPr>
        <w:t>’</w:t>
      </w:r>
      <w:r w:rsidRPr="00D247B2">
        <w:rPr>
          <w:lang w:val="fr-FR"/>
        </w:rPr>
        <w:t>éclairage et de signalisation lumineuse sur les véhicules de</w:t>
      </w:r>
      <w:r w:rsidR="007C67EB">
        <w:rPr>
          <w:lang w:val="fr-FR"/>
        </w:rPr>
        <w:t> </w:t>
      </w:r>
      <w:r w:rsidRPr="00D247B2">
        <w:rPr>
          <w:lang w:val="fr-FR"/>
        </w:rPr>
        <w:t>la catégorie L</w:t>
      </w:r>
      <w:r w:rsidRPr="000A7A2C">
        <w:rPr>
          <w:vertAlign w:val="subscript"/>
          <w:lang w:val="fr-FR"/>
        </w:rPr>
        <w:t>3</w:t>
      </w:r>
      <w:r w:rsidRPr="00D247B2">
        <w:rPr>
          <w:lang w:val="fr-FR"/>
        </w:rPr>
        <w:t>)</w:t>
      </w:r>
    </w:p>
    <w:p w14:paraId="6C2A30E4" w14:textId="48DEBDCA" w:rsidR="00FE6AEF" w:rsidRPr="000A7A2C" w:rsidRDefault="00FE6AEF" w:rsidP="007C67EB">
      <w:pPr>
        <w:pStyle w:val="H1G"/>
        <w:rPr>
          <w:sz w:val="20"/>
        </w:rPr>
      </w:pPr>
      <w:r w:rsidRPr="00B47019">
        <w:rPr>
          <w:lang w:val="fr-FR"/>
        </w:rPr>
        <w:tab/>
      </w:r>
      <w:r w:rsidRPr="00B47019">
        <w:rPr>
          <w:lang w:val="fr-FR"/>
        </w:rPr>
        <w:tab/>
        <w:t xml:space="preserve">Communication </w:t>
      </w:r>
      <w:r>
        <w:rPr>
          <w:lang w:val="fr-FR"/>
        </w:rPr>
        <w:t>du</w:t>
      </w:r>
      <w:r w:rsidRPr="00C7793C">
        <w:t xml:space="preserve"> </w:t>
      </w:r>
      <w:r w:rsidRPr="00CA3F95">
        <w:t>Groupe de travail de l</w:t>
      </w:r>
      <w:r>
        <w:t>’</w:t>
      </w:r>
      <w:r w:rsidRPr="00CA3F95">
        <w:t xml:space="preserve">éclairage </w:t>
      </w:r>
      <w:r w:rsidR="007C67EB">
        <w:br/>
      </w:r>
      <w:r w:rsidRPr="00CA3F95">
        <w:t>et de la signalisation lumineuse</w:t>
      </w:r>
      <w:r w:rsidRPr="007C67EB">
        <w:rPr>
          <w:rStyle w:val="Appelnotedebasdep"/>
          <w:b w:val="0"/>
          <w:sz w:val="20"/>
          <w:vertAlign w:val="baseline"/>
        </w:rPr>
        <w:footnoteReference w:customMarkFollows="1" w:id="2"/>
        <w:t>*</w:t>
      </w:r>
    </w:p>
    <w:p w14:paraId="29A28EAB" w14:textId="31B18088" w:rsidR="00FE6AEF" w:rsidRDefault="00FE6AEF" w:rsidP="00FE6AEF">
      <w:pPr>
        <w:pStyle w:val="SingleTxtG"/>
        <w:ind w:firstLine="567"/>
        <w:rPr>
          <w:lang w:val="fr-FR"/>
        </w:rPr>
      </w:pPr>
      <w:r w:rsidRPr="00B47019">
        <w:rPr>
          <w:lang w:val="fr-FR"/>
        </w:rPr>
        <w:t>Le texte ci-après</w:t>
      </w:r>
      <w:r>
        <w:rPr>
          <w:lang w:val="fr-FR"/>
        </w:rPr>
        <w:t>, adopté par le</w:t>
      </w:r>
      <w:r w:rsidRPr="00B47019">
        <w:rPr>
          <w:lang w:val="fr-FR"/>
        </w:rPr>
        <w:t xml:space="preserve"> </w:t>
      </w:r>
      <w:r w:rsidRPr="00A4496A">
        <w:rPr>
          <w:lang w:val="fr-FR"/>
        </w:rPr>
        <w:t>Groupe de travail de l</w:t>
      </w:r>
      <w:r>
        <w:rPr>
          <w:lang w:val="fr-FR"/>
        </w:rPr>
        <w:t>’</w:t>
      </w:r>
      <w:r w:rsidRPr="00A4496A">
        <w:rPr>
          <w:lang w:val="fr-FR"/>
        </w:rPr>
        <w:t>éclairage et de la signalisation lumineuse</w:t>
      </w:r>
      <w:r>
        <w:rPr>
          <w:lang w:val="fr-FR"/>
        </w:rPr>
        <w:t xml:space="preserve"> (GRE) à sa quatre-vingt-neuvième session (</w:t>
      </w:r>
      <w:r w:rsidRPr="00F2410E">
        <w:t xml:space="preserve">ECE/TRANS/WP.29/GRE/89, </w:t>
      </w:r>
      <w:r w:rsidR="007C67EB">
        <w:t>par. </w:t>
      </w:r>
      <w:r w:rsidRPr="00F2410E">
        <w:t>29)</w:t>
      </w:r>
      <w:r>
        <w:t xml:space="preserve">, est fondé sur le document ECE/TRANS/WP.29/GRE/2023/17, tel que modifié par le document informel </w:t>
      </w:r>
      <w:r w:rsidRPr="00F2410E">
        <w:t>GRE-89-28</w:t>
      </w:r>
      <w:r>
        <w:t xml:space="preserve">. </w:t>
      </w:r>
      <w:r w:rsidRPr="002D334E">
        <w:t>Il est soumis au Forum mondial de l</w:t>
      </w:r>
      <w:r>
        <w:t>’</w:t>
      </w:r>
      <w:r w:rsidRPr="002D334E">
        <w:t>harmonisation des Règlements concernant les véhicules (WP.29) et au Comité d</w:t>
      </w:r>
      <w:r>
        <w:t>’</w:t>
      </w:r>
      <w:r w:rsidRPr="002D334E">
        <w:t>administration (AC.1) pour examen à leurs sessions de mars</w:t>
      </w:r>
      <w:r>
        <w:t xml:space="preserve"> 2024.</w:t>
      </w:r>
    </w:p>
    <w:p w14:paraId="5C480911" w14:textId="77777777" w:rsidR="00FE6AEF" w:rsidRDefault="00FE6AEF" w:rsidP="00FE6AEF">
      <w:pPr>
        <w:pStyle w:val="SingleTxtG"/>
        <w:ind w:firstLine="567"/>
        <w:rPr>
          <w:lang w:val="fr-FR"/>
        </w:rPr>
      </w:pPr>
      <w:r>
        <w:rPr>
          <w:lang w:val="fr-FR"/>
        </w:rPr>
        <w:br w:type="page"/>
      </w:r>
    </w:p>
    <w:p w14:paraId="5290ADF0" w14:textId="3A145C07" w:rsidR="00FE6AEF" w:rsidRPr="00B47019" w:rsidRDefault="00FE6AEF" w:rsidP="00FE6AEF">
      <w:pPr>
        <w:pStyle w:val="SingleTxtG"/>
      </w:pPr>
      <w:r w:rsidRPr="0080754F">
        <w:rPr>
          <w:i/>
          <w:iCs/>
        </w:rPr>
        <w:lastRenderedPageBreak/>
        <w:t>Ajouter les nouveaux paragraphes 2.2</w:t>
      </w:r>
      <w:r>
        <w:rPr>
          <w:i/>
          <w:iCs/>
        </w:rPr>
        <w:t>3</w:t>
      </w:r>
      <w:r w:rsidRPr="0080754F">
        <w:rPr>
          <w:i/>
          <w:iCs/>
        </w:rPr>
        <w:t xml:space="preserve"> et 2.2</w:t>
      </w:r>
      <w:r>
        <w:rPr>
          <w:i/>
          <w:iCs/>
        </w:rPr>
        <w:t>4</w:t>
      </w:r>
      <w:r w:rsidRPr="00B47019">
        <w:t>, libellés comme suit</w:t>
      </w:r>
      <w:r w:rsidR="007C67EB">
        <w:t> :</w:t>
      </w:r>
    </w:p>
    <w:p w14:paraId="136DA516" w14:textId="36B20DEA" w:rsidR="00FE6AEF" w:rsidRDefault="00FE6AEF" w:rsidP="00FE6AEF">
      <w:pPr>
        <w:pStyle w:val="SingleTxtG"/>
        <w:ind w:left="2268" w:hanging="1134"/>
        <w:rPr>
          <w:rFonts w:eastAsia="Calibri"/>
          <w:lang w:val="fr-FR"/>
        </w:rPr>
      </w:pPr>
      <w:r w:rsidRPr="00B47019">
        <w:rPr>
          <w:lang w:val="fr-FR"/>
        </w:rPr>
        <w:t>« </w:t>
      </w:r>
      <w:r w:rsidRPr="000A7A2C">
        <w:rPr>
          <w:lang w:val="fr-FR"/>
        </w:rPr>
        <w:t>2.23</w:t>
      </w:r>
      <w:r w:rsidRPr="0080754F">
        <w:rPr>
          <w:b/>
          <w:bCs/>
          <w:lang w:val="fr-FR"/>
        </w:rPr>
        <w:tab/>
      </w:r>
      <w:r w:rsidRPr="000A7A2C">
        <w:rPr>
          <w:lang w:val="fr-FR"/>
        </w:rPr>
        <w:t>“</w:t>
      </w:r>
      <w:r w:rsidRPr="007C67EB">
        <w:rPr>
          <w:i/>
          <w:iCs/>
          <w:lang w:val="fr-FR"/>
        </w:rPr>
        <w:t>Système d’éclairage avant actif</w:t>
      </w:r>
      <w:r w:rsidRPr="000A7A2C">
        <w:rPr>
          <w:lang w:val="fr-FR"/>
        </w:rPr>
        <w:t>” (AFS), un dispositif d</w:t>
      </w:r>
      <w:r>
        <w:rPr>
          <w:lang w:val="fr-FR"/>
        </w:rPr>
        <w:t>’</w:t>
      </w:r>
      <w:r w:rsidRPr="000A7A2C">
        <w:rPr>
          <w:lang w:val="fr-FR"/>
        </w:rPr>
        <w:t>éclairage homologué conformément au Règlement ONU n</w:t>
      </w:r>
      <w:r w:rsidRPr="000A7A2C">
        <w:rPr>
          <w:vertAlign w:val="superscript"/>
          <w:lang w:val="fr-FR"/>
        </w:rPr>
        <w:t>o</w:t>
      </w:r>
      <w:r w:rsidRPr="000A7A2C">
        <w:rPr>
          <w:lang w:val="fr-FR"/>
        </w:rPr>
        <w:t> 149, qui émet des faisceaux possédant des caractéristiques différenciées pour une adaptation automatique à des conditions variables d</w:t>
      </w:r>
      <w:r>
        <w:rPr>
          <w:lang w:val="fr-FR"/>
        </w:rPr>
        <w:t>’</w:t>
      </w:r>
      <w:r w:rsidRPr="000A7A2C">
        <w:rPr>
          <w:lang w:val="fr-FR"/>
        </w:rPr>
        <w:t>utilisation du faisceau de croisement</w:t>
      </w:r>
      <w:r w:rsidR="007C67EB">
        <w:rPr>
          <w:lang w:val="fr-FR"/>
        </w:rPr>
        <w:t> ;</w:t>
      </w:r>
    </w:p>
    <w:p w14:paraId="7062E8BF" w14:textId="313227F2" w:rsidR="00FE6AEF" w:rsidRPr="000A7A2C" w:rsidRDefault="00FE6AEF" w:rsidP="00FE6AEF">
      <w:pPr>
        <w:pStyle w:val="SingleTxtG"/>
        <w:ind w:left="2268" w:hanging="1134"/>
        <w:rPr>
          <w:rFonts w:eastAsia="Calibri"/>
          <w:lang w:val="fr-FR"/>
        </w:rPr>
      </w:pPr>
      <w:r w:rsidRPr="000A7A2C">
        <w:rPr>
          <w:lang w:val="fr-FR"/>
        </w:rPr>
        <w:t>2.23.1</w:t>
      </w:r>
      <w:r w:rsidRPr="00BB6138">
        <w:rPr>
          <w:lang w:val="fr-FR"/>
        </w:rPr>
        <w:tab/>
      </w:r>
      <w:r w:rsidRPr="000A7A2C">
        <w:rPr>
          <w:lang w:val="fr-FR"/>
        </w:rPr>
        <w:t>“</w:t>
      </w:r>
      <w:r w:rsidRPr="007C67EB">
        <w:rPr>
          <w:i/>
          <w:iCs/>
          <w:lang w:val="fr-FR"/>
        </w:rPr>
        <w:t>Signal de commande AFS</w:t>
      </w:r>
      <w:r w:rsidRPr="000A7A2C">
        <w:rPr>
          <w:lang w:val="fr-FR"/>
        </w:rPr>
        <w:t>” (V, E, W), le signal entrant dans l</w:t>
      </w:r>
      <w:r>
        <w:rPr>
          <w:lang w:val="fr-FR"/>
        </w:rPr>
        <w:t>’</w:t>
      </w:r>
      <w:r w:rsidRPr="000A7A2C">
        <w:rPr>
          <w:lang w:val="fr-FR"/>
        </w:rPr>
        <w:t>AFS, conformément au paragraphe 6.1</w:t>
      </w:r>
      <w:r>
        <w:rPr>
          <w:lang w:val="fr-FR"/>
        </w:rPr>
        <w:t>8</w:t>
      </w:r>
      <w:r w:rsidRPr="000A7A2C">
        <w:rPr>
          <w:lang w:val="fr-FR"/>
        </w:rPr>
        <w:t>.6.3 du présent Règlement</w:t>
      </w:r>
      <w:r w:rsidR="007C67EB">
        <w:rPr>
          <w:lang w:val="fr-FR"/>
        </w:rPr>
        <w:t> ;</w:t>
      </w:r>
    </w:p>
    <w:p w14:paraId="1D87EA97" w14:textId="77777777" w:rsidR="00FE6AEF" w:rsidRPr="000A7A2C" w:rsidRDefault="00FE6AEF" w:rsidP="00FE6AEF">
      <w:pPr>
        <w:pStyle w:val="SingleTxtG"/>
        <w:ind w:left="2268" w:hanging="1134"/>
        <w:rPr>
          <w:lang w:val="fr-FR"/>
        </w:rPr>
      </w:pPr>
      <w:r w:rsidRPr="000A7A2C">
        <w:rPr>
          <w:lang w:val="fr-FR"/>
        </w:rPr>
        <w:t>2.24</w:t>
      </w:r>
      <w:r w:rsidRPr="00ED7617">
        <w:rPr>
          <w:lang w:val="fr-FR"/>
        </w:rPr>
        <w:tab/>
      </w:r>
      <w:r w:rsidRPr="000A7A2C">
        <w:rPr>
          <w:lang w:val="fr-FR"/>
        </w:rPr>
        <w:t>Définitions concernant l</w:t>
      </w:r>
      <w:r>
        <w:rPr>
          <w:lang w:val="fr-FR"/>
        </w:rPr>
        <w:t>’</w:t>
      </w:r>
      <w:r w:rsidRPr="000A7A2C">
        <w:rPr>
          <w:lang w:val="fr-FR"/>
        </w:rPr>
        <w:t>AFS</w:t>
      </w:r>
    </w:p>
    <w:p w14:paraId="023F586F" w14:textId="428B09EC" w:rsidR="00FE6AEF" w:rsidRPr="000A7A2C" w:rsidRDefault="00FE6AEF" w:rsidP="00FE6AEF">
      <w:pPr>
        <w:pStyle w:val="SingleTxtG"/>
        <w:ind w:left="2268"/>
        <w:rPr>
          <w:rFonts w:eastAsia="Calibri"/>
          <w:lang w:val="fr-FR"/>
        </w:rPr>
      </w:pPr>
      <w:r w:rsidRPr="000A7A2C">
        <w:rPr>
          <w:lang w:val="fr-FR"/>
        </w:rPr>
        <w:t>Au sens du présent Règlement, on entend par</w:t>
      </w:r>
      <w:r w:rsidR="007C67EB">
        <w:rPr>
          <w:lang w:val="fr-FR"/>
        </w:rPr>
        <w:t> :</w:t>
      </w:r>
    </w:p>
    <w:p w14:paraId="533048EE" w14:textId="0C4B1379" w:rsidR="00FE6AEF" w:rsidRPr="000A7A2C" w:rsidRDefault="00FE6AEF" w:rsidP="00FE6AEF">
      <w:pPr>
        <w:pStyle w:val="SingleTxtG"/>
        <w:ind w:left="2268" w:hanging="1134"/>
        <w:rPr>
          <w:rFonts w:eastAsia="Calibri"/>
          <w:lang w:val="fr-FR"/>
        </w:rPr>
      </w:pPr>
      <w:r w:rsidRPr="000A7A2C">
        <w:rPr>
          <w:lang w:val="fr-FR"/>
        </w:rPr>
        <w:t>2.24.1</w:t>
      </w:r>
      <w:r w:rsidRPr="00ED7617">
        <w:rPr>
          <w:lang w:val="fr-FR"/>
        </w:rPr>
        <w:tab/>
      </w:r>
      <w:r w:rsidRPr="000A7A2C">
        <w:rPr>
          <w:lang w:val="fr-FR"/>
        </w:rPr>
        <w:t>“</w:t>
      </w:r>
      <w:r w:rsidRPr="007C67EB">
        <w:rPr>
          <w:i/>
          <w:iCs/>
          <w:lang w:val="fr-FR"/>
        </w:rPr>
        <w:t>Classe</w:t>
      </w:r>
      <w:r w:rsidRPr="000A7A2C">
        <w:rPr>
          <w:lang w:val="fr-FR"/>
        </w:rPr>
        <w:t>” du faisceau de croisement (C, V, E ou W), le faisceau de croisement possédant les caractéristiques énoncées dans le Règlement ONU n</w:t>
      </w:r>
      <w:r w:rsidRPr="000A7A2C">
        <w:rPr>
          <w:vertAlign w:val="superscript"/>
          <w:lang w:val="fr-FR"/>
        </w:rPr>
        <w:t>o</w:t>
      </w:r>
      <w:r w:rsidRPr="000A7A2C">
        <w:rPr>
          <w:lang w:val="fr-FR"/>
        </w:rPr>
        <w:t> 53 (</w:t>
      </w:r>
      <w:r w:rsidR="009500C1">
        <w:rPr>
          <w:lang w:val="fr-FR"/>
        </w:rPr>
        <w:t>u</w:t>
      </w:r>
      <w:r w:rsidRPr="000A7A2C">
        <w:rPr>
          <w:lang w:val="fr-FR"/>
        </w:rPr>
        <w:t>niquement aux fins d</w:t>
      </w:r>
      <w:r>
        <w:rPr>
          <w:lang w:val="fr-FR"/>
        </w:rPr>
        <w:t>’</w:t>
      </w:r>
      <w:r w:rsidRPr="000A7A2C">
        <w:rPr>
          <w:lang w:val="fr-FR"/>
        </w:rPr>
        <w:t>explication, la classe C correspond au faisceau de croisement élémentaire, la classe V correspond au faisceau de croisement utilisé dans les zones éclairées, par exemple les agglomérations, la classe E correspond au faisceau de croisement utilisé sur les routes ou les autoroutes et la classe W correspond au faisceau de croisement utilisé par mauvais temps, par exemple sur route mouillée)</w:t>
      </w:r>
      <w:r w:rsidR="007C67EB">
        <w:rPr>
          <w:lang w:val="fr-FR"/>
        </w:rPr>
        <w:t> ;</w:t>
      </w:r>
    </w:p>
    <w:p w14:paraId="7E6AAB8D" w14:textId="77777777" w:rsidR="00FE6AEF" w:rsidRDefault="00FE6AEF" w:rsidP="00FE6AEF">
      <w:pPr>
        <w:pStyle w:val="SingleTxtG"/>
        <w:ind w:left="2268" w:hanging="1134"/>
        <w:rPr>
          <w:lang w:val="fr-FR"/>
        </w:rPr>
      </w:pPr>
      <w:r w:rsidRPr="000A7A2C">
        <w:rPr>
          <w:lang w:val="fr-FR"/>
        </w:rPr>
        <w:t>2.24.2</w:t>
      </w:r>
      <w:r w:rsidRPr="004D7A2B">
        <w:rPr>
          <w:lang w:val="fr-FR"/>
        </w:rPr>
        <w:tab/>
      </w:r>
      <w:r w:rsidRPr="000A7A2C">
        <w:rPr>
          <w:lang w:val="fr-FR"/>
        </w:rPr>
        <w:t>“</w:t>
      </w:r>
      <w:r w:rsidRPr="007C67EB">
        <w:rPr>
          <w:i/>
          <w:iCs/>
          <w:lang w:val="fr-FR"/>
        </w:rPr>
        <w:t>Unité fonctionnelle</w:t>
      </w:r>
      <w:r w:rsidRPr="000A7A2C">
        <w:rPr>
          <w:lang w:val="fr-FR"/>
        </w:rPr>
        <w:t>”, la partie d</w:t>
      </w:r>
      <w:r>
        <w:rPr>
          <w:lang w:val="fr-FR"/>
        </w:rPr>
        <w:t>’</w:t>
      </w:r>
      <w:r w:rsidRPr="000A7A2C">
        <w:rPr>
          <w:lang w:val="fr-FR"/>
        </w:rPr>
        <w:t>une unité d</w:t>
      </w:r>
      <w:r>
        <w:rPr>
          <w:lang w:val="fr-FR"/>
        </w:rPr>
        <w:t>’</w:t>
      </w:r>
      <w:r w:rsidRPr="000A7A2C">
        <w:rPr>
          <w:lang w:val="fr-FR"/>
        </w:rPr>
        <w:t>éclairage qui permet une répartition spécifique de la lumière et peut être utilisée dans différents modes et classes.</w:t>
      </w:r>
      <w:r w:rsidRPr="004D7A2B">
        <w:rPr>
          <w:lang w:val="fr-FR"/>
        </w:rPr>
        <w:t> ».</w:t>
      </w:r>
    </w:p>
    <w:p w14:paraId="5D442FF0" w14:textId="42322775" w:rsidR="00FE6AEF" w:rsidRPr="00B47019" w:rsidRDefault="00FE6AEF" w:rsidP="00FE6AEF">
      <w:pPr>
        <w:pStyle w:val="SingleTxtG"/>
        <w:rPr>
          <w:rFonts w:eastAsia="Calibri"/>
          <w:bCs/>
          <w:lang w:val="fr-FR"/>
        </w:rPr>
      </w:pPr>
      <w:r w:rsidRPr="00B47019">
        <w:rPr>
          <w:i/>
          <w:iCs/>
          <w:lang w:val="fr-FR"/>
        </w:rPr>
        <w:t>Ajouter les nouveaux paragraphes 3.2.</w:t>
      </w:r>
      <w:r>
        <w:rPr>
          <w:i/>
          <w:iCs/>
          <w:lang w:val="fr-FR"/>
        </w:rPr>
        <w:t>8</w:t>
      </w:r>
      <w:r w:rsidRPr="00B47019">
        <w:rPr>
          <w:i/>
          <w:iCs/>
          <w:lang w:val="fr-FR"/>
        </w:rPr>
        <w:t xml:space="preserve"> à 3.2.</w:t>
      </w:r>
      <w:r>
        <w:rPr>
          <w:i/>
          <w:iCs/>
          <w:lang w:val="fr-FR"/>
        </w:rPr>
        <w:t>8</w:t>
      </w:r>
      <w:r w:rsidRPr="00B47019">
        <w:rPr>
          <w:i/>
          <w:iCs/>
          <w:lang w:val="fr-FR"/>
        </w:rPr>
        <w:t>.7</w:t>
      </w:r>
      <w:r w:rsidRPr="00B47019">
        <w:rPr>
          <w:lang w:val="fr-FR"/>
        </w:rPr>
        <w:t xml:space="preserve">, libellés comme </w:t>
      </w:r>
      <w:r w:rsidRPr="0080754F">
        <w:t>suit</w:t>
      </w:r>
      <w:r w:rsidR="007C67EB">
        <w:rPr>
          <w:lang w:val="fr-FR"/>
        </w:rPr>
        <w:t> :</w:t>
      </w:r>
    </w:p>
    <w:p w14:paraId="1BF003CC" w14:textId="131A20C7" w:rsidR="00FE6AEF" w:rsidRPr="000A7A2C" w:rsidRDefault="00FE6AEF" w:rsidP="00FE6AEF">
      <w:pPr>
        <w:pStyle w:val="SingleTxtG"/>
        <w:ind w:left="2268" w:hanging="1134"/>
        <w:rPr>
          <w:rFonts w:eastAsia="Calibri"/>
          <w:lang w:val="fr-FR"/>
        </w:rPr>
      </w:pPr>
      <w:r w:rsidRPr="00FE4BF4">
        <w:rPr>
          <w:lang w:val="fr-FR"/>
        </w:rPr>
        <w:t>« </w:t>
      </w:r>
      <w:r w:rsidRPr="000A7A2C">
        <w:rPr>
          <w:lang w:val="fr-FR"/>
        </w:rPr>
        <w:t>3.2.8</w:t>
      </w:r>
      <w:r w:rsidRPr="00FE4BF4">
        <w:rPr>
          <w:lang w:val="fr-FR"/>
        </w:rPr>
        <w:tab/>
      </w:r>
      <w:r w:rsidRPr="000A7A2C">
        <w:rPr>
          <w:lang w:val="fr-FR"/>
        </w:rPr>
        <w:t>Si le véhicule est équipé d</w:t>
      </w:r>
      <w:r>
        <w:rPr>
          <w:lang w:val="fr-FR"/>
        </w:rPr>
        <w:t>’</w:t>
      </w:r>
      <w:r w:rsidRPr="000A7A2C">
        <w:rPr>
          <w:lang w:val="fr-FR"/>
        </w:rPr>
        <w:t>un AFS, le demandeur doit présenter une description détaillée contenant les renseignements suivants</w:t>
      </w:r>
      <w:r w:rsidR="007C67EB">
        <w:rPr>
          <w:lang w:val="fr-FR"/>
        </w:rPr>
        <w:t> :</w:t>
      </w:r>
    </w:p>
    <w:p w14:paraId="61CE7B61" w14:textId="5DD11DBF" w:rsidR="00FE6AEF" w:rsidRPr="000A7A2C" w:rsidRDefault="00FE6AEF" w:rsidP="00FE6AEF">
      <w:pPr>
        <w:pStyle w:val="SingleTxtG"/>
        <w:ind w:left="2268" w:hanging="1134"/>
        <w:rPr>
          <w:rFonts w:eastAsia="Calibri"/>
          <w:lang w:val="fr-FR"/>
        </w:rPr>
      </w:pPr>
      <w:r w:rsidRPr="000A7A2C">
        <w:rPr>
          <w:lang w:val="fr-FR"/>
        </w:rPr>
        <w:t>3.2.8.1</w:t>
      </w:r>
      <w:r w:rsidRPr="00FE4BF4">
        <w:rPr>
          <w:lang w:val="fr-FR"/>
        </w:rPr>
        <w:tab/>
      </w:r>
      <w:r w:rsidRPr="000A7A2C">
        <w:rPr>
          <w:lang w:val="fr-FR"/>
        </w:rPr>
        <w:t>Les fonctions et les modes d</w:t>
      </w:r>
      <w:r>
        <w:rPr>
          <w:lang w:val="fr-FR"/>
        </w:rPr>
        <w:t>’</w:t>
      </w:r>
      <w:r w:rsidRPr="000A7A2C">
        <w:rPr>
          <w:lang w:val="fr-FR"/>
        </w:rPr>
        <w:t>éclairage pour lesquels l</w:t>
      </w:r>
      <w:r>
        <w:rPr>
          <w:lang w:val="fr-FR"/>
        </w:rPr>
        <w:t>’</w:t>
      </w:r>
      <w:r w:rsidRPr="000A7A2C">
        <w:rPr>
          <w:lang w:val="fr-FR"/>
        </w:rPr>
        <w:t>AFS a été homologué</w:t>
      </w:r>
      <w:r w:rsidR="007C67EB">
        <w:rPr>
          <w:lang w:val="fr-FR"/>
        </w:rPr>
        <w:t> ;</w:t>
      </w:r>
    </w:p>
    <w:p w14:paraId="49602303" w14:textId="542A6966" w:rsidR="00FE6AEF" w:rsidRPr="000A7A2C" w:rsidRDefault="00FE6AEF" w:rsidP="00FE6AEF">
      <w:pPr>
        <w:pStyle w:val="SingleTxtG"/>
        <w:ind w:left="2268" w:hanging="1134"/>
        <w:rPr>
          <w:rFonts w:eastAsia="Calibri"/>
          <w:lang w:val="fr-FR"/>
        </w:rPr>
      </w:pPr>
      <w:r w:rsidRPr="000A7A2C">
        <w:rPr>
          <w:lang w:val="fr-FR"/>
        </w:rPr>
        <w:t>3.2.8.2</w:t>
      </w:r>
      <w:r w:rsidRPr="00FE4BF4">
        <w:rPr>
          <w:lang w:val="fr-FR"/>
        </w:rPr>
        <w:tab/>
      </w:r>
      <w:r w:rsidRPr="000A7A2C">
        <w:rPr>
          <w:lang w:val="fr-FR"/>
        </w:rPr>
        <w:t>Les signaux de commande AFS correspondants et leurs caractéristiques techniques, définies conformément à l</w:t>
      </w:r>
      <w:r>
        <w:rPr>
          <w:lang w:val="fr-FR"/>
        </w:rPr>
        <w:t>’</w:t>
      </w:r>
      <w:r w:rsidRPr="000A7A2C">
        <w:rPr>
          <w:lang w:val="fr-FR"/>
        </w:rPr>
        <w:t>annexe 14 du Règlement ONU n</w:t>
      </w:r>
      <w:r w:rsidRPr="000A7A2C">
        <w:rPr>
          <w:vertAlign w:val="superscript"/>
          <w:lang w:val="fr-FR"/>
        </w:rPr>
        <w:t>o</w:t>
      </w:r>
      <w:r w:rsidRPr="000A7A2C">
        <w:rPr>
          <w:lang w:val="fr-FR"/>
        </w:rPr>
        <w:t> 149</w:t>
      </w:r>
      <w:r w:rsidR="007C67EB">
        <w:rPr>
          <w:lang w:val="fr-FR"/>
        </w:rPr>
        <w:t> ;</w:t>
      </w:r>
    </w:p>
    <w:p w14:paraId="082BFDB7" w14:textId="5F3BF73B" w:rsidR="00FE6AEF" w:rsidRPr="000A7A2C" w:rsidRDefault="00FE6AEF" w:rsidP="00FE6AEF">
      <w:pPr>
        <w:pStyle w:val="SingleTxtG"/>
        <w:ind w:left="2268" w:hanging="1134"/>
        <w:rPr>
          <w:rFonts w:eastAsia="Calibri"/>
          <w:lang w:val="fr-FR"/>
        </w:rPr>
      </w:pPr>
      <w:r w:rsidRPr="000A7A2C">
        <w:rPr>
          <w:lang w:val="fr-FR"/>
        </w:rPr>
        <w:t>3.2.86.3</w:t>
      </w:r>
      <w:r w:rsidRPr="00FE4BF4">
        <w:rPr>
          <w:lang w:val="fr-FR"/>
        </w:rPr>
        <w:tab/>
      </w:r>
      <w:r w:rsidRPr="000A7A2C">
        <w:rPr>
          <w:lang w:val="fr-FR"/>
        </w:rPr>
        <w:t>Les dispositions prises pour adapter automatiquement les fonctions et les modes d</w:t>
      </w:r>
      <w:r>
        <w:rPr>
          <w:lang w:val="fr-FR"/>
        </w:rPr>
        <w:t>’</w:t>
      </w:r>
      <w:r w:rsidRPr="000A7A2C">
        <w:rPr>
          <w:lang w:val="fr-FR"/>
        </w:rPr>
        <w:t>éclairage avant, conformément au paragraphe 6.1</w:t>
      </w:r>
      <w:r>
        <w:rPr>
          <w:lang w:val="fr-FR"/>
        </w:rPr>
        <w:t>8</w:t>
      </w:r>
      <w:r w:rsidRPr="000A7A2C">
        <w:rPr>
          <w:lang w:val="fr-FR"/>
        </w:rPr>
        <w:t>.6.3 du présent Règlement</w:t>
      </w:r>
      <w:r w:rsidR="007C67EB">
        <w:rPr>
          <w:lang w:val="fr-FR"/>
        </w:rPr>
        <w:t> ;</w:t>
      </w:r>
    </w:p>
    <w:p w14:paraId="1AB0FDDF" w14:textId="7FC83E6D" w:rsidR="00FE6AEF" w:rsidRPr="000A7A2C" w:rsidRDefault="00FE6AEF" w:rsidP="00FE6AEF">
      <w:pPr>
        <w:pStyle w:val="SingleTxtG"/>
        <w:ind w:left="2268" w:hanging="1134"/>
        <w:rPr>
          <w:rFonts w:eastAsia="Calibri"/>
          <w:lang w:val="fr-FR"/>
        </w:rPr>
      </w:pPr>
      <w:r w:rsidRPr="000A7A2C">
        <w:rPr>
          <w:lang w:val="fr-FR"/>
        </w:rPr>
        <w:t>3.2.8.4</w:t>
      </w:r>
      <w:r w:rsidRPr="00FE4BF4">
        <w:rPr>
          <w:lang w:val="fr-FR"/>
        </w:rPr>
        <w:tab/>
      </w:r>
      <w:r w:rsidRPr="000A7A2C">
        <w:rPr>
          <w:lang w:val="fr-FR"/>
        </w:rPr>
        <w:t>Les éventuelles instructions spéciales concernant l</w:t>
      </w:r>
      <w:r>
        <w:rPr>
          <w:lang w:val="fr-FR"/>
        </w:rPr>
        <w:t>’</w:t>
      </w:r>
      <w:r w:rsidRPr="000A7A2C">
        <w:rPr>
          <w:lang w:val="fr-FR"/>
        </w:rPr>
        <w:t>examen des sources lumineuses et l</w:t>
      </w:r>
      <w:r>
        <w:rPr>
          <w:lang w:val="fr-FR"/>
        </w:rPr>
        <w:t>’</w:t>
      </w:r>
      <w:r w:rsidRPr="000A7A2C">
        <w:rPr>
          <w:lang w:val="fr-FR"/>
        </w:rPr>
        <w:t>observation visuelle du faisceau</w:t>
      </w:r>
      <w:r w:rsidR="007C67EB">
        <w:rPr>
          <w:lang w:val="fr-FR"/>
        </w:rPr>
        <w:t> ;</w:t>
      </w:r>
    </w:p>
    <w:p w14:paraId="130803D2" w14:textId="3856BCEA" w:rsidR="00FE6AEF" w:rsidRPr="000A7A2C" w:rsidRDefault="00FE6AEF" w:rsidP="00FE6AEF">
      <w:pPr>
        <w:pStyle w:val="SingleTxtG"/>
        <w:ind w:left="2268" w:hanging="1134"/>
        <w:rPr>
          <w:rFonts w:eastAsia="Calibri"/>
          <w:lang w:val="fr-FR"/>
        </w:rPr>
      </w:pPr>
      <w:r w:rsidRPr="000A7A2C">
        <w:rPr>
          <w:lang w:val="fr-FR"/>
        </w:rPr>
        <w:t>3.2.8.5</w:t>
      </w:r>
      <w:r w:rsidRPr="00FE4BF4">
        <w:rPr>
          <w:lang w:val="fr-FR"/>
        </w:rPr>
        <w:tab/>
      </w:r>
      <w:r w:rsidRPr="000A7A2C">
        <w:rPr>
          <w:lang w:val="fr-FR"/>
        </w:rPr>
        <w:t>Les documents demandés dans le paragraphe 6.1</w:t>
      </w:r>
      <w:r>
        <w:rPr>
          <w:lang w:val="fr-FR"/>
        </w:rPr>
        <w:t>8</w:t>
      </w:r>
      <w:r w:rsidRPr="000A7A2C">
        <w:rPr>
          <w:lang w:val="fr-FR"/>
        </w:rPr>
        <w:t>.8.1 du présent Règlement</w:t>
      </w:r>
      <w:r w:rsidR="007C67EB">
        <w:rPr>
          <w:lang w:val="fr-FR"/>
        </w:rPr>
        <w:t> ;</w:t>
      </w:r>
    </w:p>
    <w:p w14:paraId="35873E6C" w14:textId="202BA089" w:rsidR="00FE6AEF" w:rsidRPr="000A7A2C" w:rsidRDefault="00FE6AEF" w:rsidP="00FE6AEF">
      <w:pPr>
        <w:pStyle w:val="SingleTxtG"/>
        <w:ind w:left="2268" w:hanging="1134"/>
        <w:rPr>
          <w:rFonts w:eastAsia="Calibri"/>
          <w:lang w:val="fr-FR"/>
        </w:rPr>
      </w:pPr>
      <w:r w:rsidRPr="000A7A2C">
        <w:rPr>
          <w:lang w:val="fr-FR"/>
        </w:rPr>
        <w:t>3.2.8.6</w:t>
      </w:r>
      <w:r w:rsidRPr="00FE4BF4">
        <w:rPr>
          <w:lang w:val="fr-FR"/>
        </w:rPr>
        <w:tab/>
      </w:r>
      <w:r w:rsidRPr="000A7A2C">
        <w:rPr>
          <w:lang w:val="fr-FR"/>
        </w:rPr>
        <w:t>Les feux qui sont groupés ou combinés avec l</w:t>
      </w:r>
      <w:r>
        <w:rPr>
          <w:lang w:val="fr-FR"/>
        </w:rPr>
        <w:t>’</w:t>
      </w:r>
      <w:r w:rsidRPr="000A7A2C">
        <w:rPr>
          <w:lang w:val="fr-FR"/>
        </w:rPr>
        <w:t>AFS ou mutuellement incorporés avec lui</w:t>
      </w:r>
      <w:r w:rsidR="007C67EB">
        <w:rPr>
          <w:lang w:val="fr-FR"/>
        </w:rPr>
        <w:t> ;</w:t>
      </w:r>
    </w:p>
    <w:p w14:paraId="20727261" w14:textId="77777777" w:rsidR="00FE6AEF" w:rsidRDefault="00FE6AEF" w:rsidP="00FE6AEF">
      <w:pPr>
        <w:pStyle w:val="SingleTxtG"/>
        <w:ind w:left="2268" w:hanging="1134"/>
        <w:rPr>
          <w:lang w:val="fr-FR"/>
        </w:rPr>
      </w:pPr>
      <w:r w:rsidRPr="000A7A2C">
        <w:rPr>
          <w:lang w:val="fr-FR"/>
        </w:rPr>
        <w:t>3.2.8.7</w:t>
      </w:r>
      <w:r w:rsidRPr="00FE4BF4">
        <w:rPr>
          <w:lang w:val="fr-FR"/>
        </w:rPr>
        <w:tab/>
      </w:r>
      <w:r w:rsidRPr="000A7A2C">
        <w:rPr>
          <w:lang w:val="fr-FR"/>
        </w:rPr>
        <w:t>Les unités d</w:t>
      </w:r>
      <w:r>
        <w:rPr>
          <w:lang w:val="fr-FR"/>
        </w:rPr>
        <w:t>’</w:t>
      </w:r>
      <w:r w:rsidRPr="000A7A2C">
        <w:rPr>
          <w:lang w:val="fr-FR"/>
        </w:rPr>
        <w:t>éclairage conçues pour satisfaire aux prescriptions du paragraphe 6.1</w:t>
      </w:r>
      <w:r>
        <w:rPr>
          <w:lang w:val="fr-FR"/>
        </w:rPr>
        <w:t>8</w:t>
      </w:r>
      <w:r w:rsidRPr="000A7A2C">
        <w:rPr>
          <w:lang w:val="fr-FR"/>
        </w:rPr>
        <w:t>.5 du présent Règlement. </w:t>
      </w:r>
      <w:r w:rsidRPr="00FE4BF4">
        <w:rPr>
          <w:lang w:val="fr-FR"/>
        </w:rPr>
        <w:t>».</w:t>
      </w:r>
    </w:p>
    <w:p w14:paraId="619AAF1B" w14:textId="756366DF" w:rsidR="00FE6AEF" w:rsidRPr="00B47019" w:rsidRDefault="00FE6AEF" w:rsidP="00FE6AEF">
      <w:pPr>
        <w:pStyle w:val="SingleTxtG"/>
        <w:rPr>
          <w:rFonts w:eastAsia="Calibri"/>
          <w:iCs/>
          <w:lang w:val="fr-FR"/>
        </w:rPr>
      </w:pPr>
      <w:r w:rsidRPr="00B47019">
        <w:rPr>
          <w:i/>
          <w:iCs/>
          <w:lang w:val="fr-FR"/>
        </w:rPr>
        <w:t>Paragraphe 5.4</w:t>
      </w:r>
      <w:r w:rsidRPr="00B47019">
        <w:rPr>
          <w:lang w:val="fr-FR"/>
        </w:rPr>
        <w:t>, lire</w:t>
      </w:r>
      <w:r w:rsidR="007C67EB">
        <w:rPr>
          <w:lang w:val="fr-FR"/>
        </w:rPr>
        <w:t> :</w:t>
      </w:r>
    </w:p>
    <w:p w14:paraId="063C7DAC" w14:textId="77777777" w:rsidR="00FE6AEF" w:rsidRPr="00B47019" w:rsidRDefault="00FE6AEF" w:rsidP="00FE6AEF">
      <w:pPr>
        <w:pStyle w:val="SingleTxtG"/>
        <w:ind w:left="2268" w:hanging="1134"/>
        <w:rPr>
          <w:rFonts w:eastAsia="Calibri"/>
          <w:lang w:val="fr-FR"/>
        </w:rPr>
      </w:pPr>
      <w:r w:rsidRPr="00B47019">
        <w:rPr>
          <w:lang w:val="fr-FR"/>
        </w:rPr>
        <w:t>« 5.4</w:t>
      </w:r>
      <w:r w:rsidRPr="00B47019">
        <w:rPr>
          <w:lang w:val="fr-FR"/>
        </w:rPr>
        <w:tab/>
        <w:t>Sauf instructions particulières, la hauteur et l</w:t>
      </w:r>
      <w:r>
        <w:rPr>
          <w:lang w:val="fr-FR"/>
        </w:rPr>
        <w:t>’</w:t>
      </w:r>
      <w:r w:rsidRPr="00B47019">
        <w:rPr>
          <w:lang w:val="fr-FR"/>
        </w:rPr>
        <w:t>orientation des feux doivent être vérifiées lorsque le véhicule vide est placé sur une surface plane et horizontale, son plan longitudinal médian étant vertical et son guidon étant dans la position de marche avant en ligne droite. La pression des pneumatiques doit être celle prescrite par le constructeur pour les conditions particulières de charge précisées dans le présent Règlement.</w:t>
      </w:r>
    </w:p>
    <w:p w14:paraId="59ADE14F" w14:textId="77777777" w:rsidR="00FE6AEF" w:rsidRPr="00B47019" w:rsidRDefault="00FE6AEF" w:rsidP="00FE6AEF">
      <w:pPr>
        <w:pStyle w:val="SingleTxtG"/>
        <w:ind w:left="2268"/>
        <w:rPr>
          <w:rFonts w:eastAsia="Calibri"/>
          <w:lang w:val="fr-FR"/>
        </w:rPr>
      </w:pPr>
      <w:r w:rsidRPr="00B47019">
        <w:rPr>
          <w:lang w:val="fr-FR"/>
        </w:rPr>
        <w:t>Si le véhicule est équipé d</w:t>
      </w:r>
      <w:r>
        <w:rPr>
          <w:lang w:val="fr-FR"/>
        </w:rPr>
        <w:t>’</w:t>
      </w:r>
      <w:r w:rsidRPr="00B47019">
        <w:rPr>
          <w:lang w:val="fr-FR"/>
        </w:rPr>
        <w:t xml:space="preserve">un ADB </w:t>
      </w:r>
      <w:r w:rsidRPr="000A7A2C">
        <w:rPr>
          <w:lang w:val="fr-FR"/>
        </w:rPr>
        <w:t>ou d</w:t>
      </w:r>
      <w:r>
        <w:rPr>
          <w:lang w:val="fr-FR"/>
        </w:rPr>
        <w:t>’</w:t>
      </w:r>
      <w:r w:rsidRPr="000A7A2C">
        <w:rPr>
          <w:lang w:val="fr-FR"/>
        </w:rPr>
        <w:t>un AFS</w:t>
      </w:r>
      <w:r w:rsidRPr="00B47019">
        <w:rPr>
          <w:lang w:val="fr-FR"/>
        </w:rPr>
        <w:t>, la vérification doit être effectuée lorsque celui-ci est à l</w:t>
      </w:r>
      <w:r>
        <w:rPr>
          <w:lang w:val="fr-FR"/>
        </w:rPr>
        <w:t>’</w:t>
      </w:r>
      <w:r w:rsidRPr="00B47019">
        <w:rPr>
          <w:lang w:val="fr-FR"/>
        </w:rPr>
        <w:t>état neutre. ».</w:t>
      </w:r>
    </w:p>
    <w:p w14:paraId="7EA98BE1" w14:textId="01FFB4D7" w:rsidR="00FE6AEF" w:rsidRPr="00B47019" w:rsidRDefault="00FE6AEF" w:rsidP="00FE6AEF">
      <w:pPr>
        <w:pStyle w:val="SingleTxtG"/>
        <w:rPr>
          <w:rFonts w:eastAsia="Calibri"/>
          <w:iCs/>
          <w:lang w:val="fr-FR"/>
        </w:rPr>
      </w:pPr>
      <w:r w:rsidRPr="00B47019">
        <w:rPr>
          <w:i/>
          <w:iCs/>
          <w:lang w:val="fr-FR"/>
        </w:rPr>
        <w:t>Paragraphe 5.13</w:t>
      </w:r>
      <w:r w:rsidRPr="00B47019">
        <w:rPr>
          <w:lang w:val="fr-FR"/>
        </w:rPr>
        <w:t>, lire</w:t>
      </w:r>
      <w:r w:rsidR="007C67EB">
        <w:rPr>
          <w:lang w:val="fr-FR"/>
        </w:rPr>
        <w:t> :</w:t>
      </w:r>
    </w:p>
    <w:p w14:paraId="4968446D" w14:textId="77777777" w:rsidR="00FE6AEF" w:rsidRDefault="00FE6AEF" w:rsidP="00FE6AEF">
      <w:pPr>
        <w:pStyle w:val="SingleTxtG"/>
        <w:ind w:left="2268" w:hanging="1134"/>
        <w:rPr>
          <w:rFonts w:cstheme="minorBidi"/>
          <w:lang w:val="fr-FR"/>
        </w:rPr>
      </w:pPr>
      <w:r w:rsidRPr="00B47019">
        <w:rPr>
          <w:lang w:val="fr-FR"/>
        </w:rPr>
        <w:t>« 5.13</w:t>
      </w:r>
      <w:r w:rsidRPr="00B47019">
        <w:rPr>
          <w:lang w:val="fr-FR"/>
        </w:rPr>
        <w:tab/>
        <w:t>Couleur des feux</w:t>
      </w:r>
    </w:p>
    <w:p w14:paraId="4015F605" w14:textId="77777777" w:rsidR="00FE6AEF" w:rsidRPr="00B47019" w:rsidRDefault="00FE6AEF" w:rsidP="00FE6AEF">
      <w:pPr>
        <w:pStyle w:val="SingleTxtG"/>
        <w:tabs>
          <w:tab w:val="left" w:pos="5954"/>
        </w:tabs>
        <w:ind w:left="2268"/>
        <w:rPr>
          <w:rFonts w:cstheme="minorBidi"/>
          <w:lang w:val="fr-FR"/>
        </w:rPr>
      </w:pPr>
      <w:r>
        <w:rPr>
          <w:lang w:val="fr-FR"/>
        </w:rPr>
        <w:t>…</w:t>
      </w:r>
    </w:p>
    <w:p w14:paraId="258BF14A" w14:textId="4BBF7BA2" w:rsidR="00FE6AEF" w:rsidRPr="00B47019" w:rsidRDefault="00FE6AEF" w:rsidP="00FE6AEF">
      <w:pPr>
        <w:pStyle w:val="SingleTxtG"/>
        <w:tabs>
          <w:tab w:val="left" w:pos="5954"/>
        </w:tabs>
        <w:ind w:left="2268"/>
        <w:rPr>
          <w:rFonts w:eastAsia="Calibri"/>
          <w:b/>
          <w:lang w:val="fr-FR"/>
        </w:rPr>
      </w:pPr>
      <w:r w:rsidRPr="000A7A2C">
        <w:rPr>
          <w:lang w:val="fr-FR"/>
        </w:rPr>
        <w:lastRenderedPageBreak/>
        <w:t>Système d</w:t>
      </w:r>
      <w:r>
        <w:rPr>
          <w:lang w:val="fr-FR"/>
        </w:rPr>
        <w:t>’</w:t>
      </w:r>
      <w:r w:rsidRPr="000A7A2C">
        <w:rPr>
          <w:lang w:val="fr-FR"/>
        </w:rPr>
        <w:t>éclairage avant actif (AFS)</w:t>
      </w:r>
      <w:r w:rsidR="007C67EB">
        <w:rPr>
          <w:lang w:val="fr-FR"/>
        </w:rPr>
        <w:t> :</w:t>
      </w:r>
      <w:r w:rsidRPr="002E71E7">
        <w:rPr>
          <w:lang w:val="fr-FR"/>
        </w:rPr>
        <w:tab/>
      </w:r>
      <w:r w:rsidRPr="000A7A2C">
        <w:rPr>
          <w:lang w:val="fr-FR"/>
        </w:rPr>
        <w:t>blanc</w:t>
      </w:r>
      <w:r w:rsidRPr="00B47019">
        <w:rPr>
          <w:b/>
          <w:bCs/>
          <w:lang w:val="fr-FR"/>
        </w:rPr>
        <w:t> </w:t>
      </w:r>
      <w:r w:rsidRPr="00B47019">
        <w:rPr>
          <w:lang w:val="fr-FR"/>
        </w:rPr>
        <w:t>».</w:t>
      </w:r>
    </w:p>
    <w:p w14:paraId="04B464B3" w14:textId="19D7A4F4" w:rsidR="00FE6AEF" w:rsidRPr="00B47019" w:rsidRDefault="00FE6AEF" w:rsidP="00FE6AEF">
      <w:pPr>
        <w:pStyle w:val="SingleTxtG"/>
        <w:rPr>
          <w:rFonts w:eastAsia="MS Mincho"/>
          <w:lang w:val="fr-FR"/>
        </w:rPr>
      </w:pPr>
      <w:r w:rsidRPr="003D3FAC">
        <w:rPr>
          <w:i/>
          <w:iCs/>
          <w:lang w:val="fr-FR"/>
        </w:rPr>
        <w:t>Ajouter le nouveau paragraphe 5.15.</w:t>
      </w:r>
      <w:r>
        <w:rPr>
          <w:i/>
          <w:iCs/>
          <w:lang w:val="fr-FR"/>
        </w:rPr>
        <w:t>9</w:t>
      </w:r>
      <w:r w:rsidRPr="003D3FAC">
        <w:rPr>
          <w:lang w:val="fr-FR"/>
        </w:rPr>
        <w:t>, libellé comme suit</w:t>
      </w:r>
      <w:r w:rsidR="007C67EB">
        <w:rPr>
          <w:lang w:val="fr-FR"/>
        </w:rPr>
        <w:t> :</w:t>
      </w:r>
    </w:p>
    <w:p w14:paraId="1787DF14" w14:textId="7352825E" w:rsidR="00FE6AEF" w:rsidRPr="007C67EB" w:rsidRDefault="00FE6AEF" w:rsidP="00FE6AEF">
      <w:pPr>
        <w:pStyle w:val="SingleTxtG"/>
        <w:ind w:left="2268" w:hanging="1134"/>
      </w:pPr>
      <w:r w:rsidRPr="00B47019">
        <w:rPr>
          <w:lang w:val="fr-FR"/>
        </w:rPr>
        <w:t>« </w:t>
      </w:r>
      <w:r w:rsidRPr="000A7A2C">
        <w:rPr>
          <w:lang w:val="fr-FR"/>
        </w:rPr>
        <w:t>5.15.</w:t>
      </w:r>
      <w:r>
        <w:rPr>
          <w:lang w:val="fr-FR"/>
        </w:rPr>
        <w:t>9</w:t>
      </w:r>
      <w:r w:rsidRPr="004520D2">
        <w:rPr>
          <w:lang w:val="fr-FR"/>
        </w:rPr>
        <w:tab/>
      </w:r>
      <w:r w:rsidRPr="000A7A2C">
        <w:rPr>
          <w:lang w:val="fr-FR"/>
        </w:rPr>
        <w:t>Système d</w:t>
      </w:r>
      <w:r>
        <w:rPr>
          <w:lang w:val="fr-FR"/>
        </w:rPr>
        <w:t>’</w:t>
      </w:r>
      <w:r w:rsidRPr="000A7A2C">
        <w:rPr>
          <w:lang w:val="fr-FR"/>
        </w:rPr>
        <w:t>éclairage avant actif (AFS) (</w:t>
      </w:r>
      <w:r w:rsidR="007C67EB">
        <w:rPr>
          <w:lang w:val="fr-FR"/>
        </w:rPr>
        <w:t>par. </w:t>
      </w:r>
      <w:r w:rsidRPr="000A7A2C">
        <w:rPr>
          <w:lang w:val="fr-FR"/>
        </w:rPr>
        <w:t>6.1</w:t>
      </w:r>
      <w:r>
        <w:rPr>
          <w:lang w:val="fr-FR"/>
        </w:rPr>
        <w:t>8</w:t>
      </w:r>
      <w:r w:rsidRPr="000A7A2C">
        <w:rPr>
          <w:lang w:val="fr-FR"/>
        </w:rPr>
        <w:t>)</w:t>
      </w:r>
      <w:r w:rsidRPr="00B47019">
        <w:rPr>
          <w:b/>
          <w:bCs/>
          <w:lang w:val="fr-FR"/>
        </w:rPr>
        <w:t> </w:t>
      </w:r>
      <w:r w:rsidRPr="00B47019">
        <w:rPr>
          <w:lang w:val="fr-FR"/>
        </w:rPr>
        <w:t>».</w:t>
      </w:r>
    </w:p>
    <w:p w14:paraId="5285B0A5" w14:textId="28C8ADAC" w:rsidR="00FE6AEF" w:rsidRPr="00B47019" w:rsidRDefault="00FE6AEF" w:rsidP="00FE6AEF">
      <w:pPr>
        <w:pStyle w:val="SingleTxtG"/>
        <w:rPr>
          <w:rFonts w:eastAsia="MS Mincho"/>
          <w:lang w:val="fr-FR"/>
        </w:rPr>
      </w:pPr>
      <w:bookmarkStart w:id="0" w:name="_Hlk141193454"/>
      <w:r w:rsidRPr="00B47019">
        <w:rPr>
          <w:i/>
          <w:iCs/>
          <w:lang w:val="fr-FR"/>
        </w:rPr>
        <w:t>Ajouter le nouveau paragraphe 5.24</w:t>
      </w:r>
      <w:r w:rsidRPr="00B47019">
        <w:rPr>
          <w:lang w:val="fr-FR"/>
        </w:rPr>
        <w:t>, libellé comme suit</w:t>
      </w:r>
      <w:r w:rsidR="007C67EB">
        <w:rPr>
          <w:lang w:val="fr-FR"/>
        </w:rPr>
        <w:t> :</w:t>
      </w:r>
    </w:p>
    <w:bookmarkEnd w:id="0"/>
    <w:p w14:paraId="6DD6947D" w14:textId="77777777" w:rsidR="00FE6AEF" w:rsidRPr="00B47019" w:rsidRDefault="00FE6AEF" w:rsidP="00FE6AEF">
      <w:pPr>
        <w:pStyle w:val="SingleTxtG"/>
        <w:ind w:left="2268" w:hanging="1134"/>
        <w:rPr>
          <w:rFonts w:eastAsia="Calibri"/>
          <w:i/>
          <w:lang w:val="fr-FR"/>
        </w:rPr>
      </w:pPr>
      <w:r w:rsidRPr="00C32BEB">
        <w:rPr>
          <w:lang w:val="fr-FR"/>
        </w:rPr>
        <w:t>« </w:t>
      </w:r>
      <w:r w:rsidRPr="000A7A2C">
        <w:rPr>
          <w:lang w:val="fr-FR"/>
        </w:rPr>
        <w:t>5.24</w:t>
      </w:r>
      <w:r w:rsidRPr="00C32BEB">
        <w:rPr>
          <w:lang w:val="fr-FR"/>
        </w:rPr>
        <w:tab/>
      </w:r>
      <w:r w:rsidRPr="000A7A2C">
        <w:rPr>
          <w:lang w:val="fr-FR"/>
        </w:rPr>
        <w:t>Si le véhicule est équipé d</w:t>
      </w:r>
      <w:r>
        <w:rPr>
          <w:lang w:val="fr-FR"/>
        </w:rPr>
        <w:t>’</w:t>
      </w:r>
      <w:r w:rsidRPr="000A7A2C">
        <w:rPr>
          <w:lang w:val="fr-FR"/>
        </w:rPr>
        <w:t>un AFS, celui-ci doit être considéré comme étant équivalent au(x) feu(x) de croisement.</w:t>
      </w:r>
      <w:r w:rsidRPr="00B47019">
        <w:rPr>
          <w:b/>
          <w:bCs/>
          <w:lang w:val="fr-FR"/>
        </w:rPr>
        <w:t> </w:t>
      </w:r>
      <w:r w:rsidRPr="00B47019">
        <w:rPr>
          <w:lang w:val="fr-FR"/>
        </w:rPr>
        <w:t>».</w:t>
      </w:r>
    </w:p>
    <w:p w14:paraId="5C0B647D" w14:textId="42CC17C8" w:rsidR="00FE6AEF" w:rsidRPr="00B47019" w:rsidRDefault="00FE6AEF" w:rsidP="00FE6AEF">
      <w:pPr>
        <w:pStyle w:val="SingleTxtG"/>
        <w:rPr>
          <w:rFonts w:eastAsia="Calibri"/>
          <w:i/>
          <w:lang w:val="fr-FR"/>
        </w:rPr>
      </w:pPr>
      <w:r w:rsidRPr="00B47019">
        <w:rPr>
          <w:i/>
          <w:iCs/>
          <w:lang w:val="fr-FR"/>
        </w:rPr>
        <w:t>Ajouter les nouveaux paragraphes 6.1</w:t>
      </w:r>
      <w:r>
        <w:rPr>
          <w:i/>
          <w:iCs/>
          <w:lang w:val="fr-FR"/>
        </w:rPr>
        <w:t>8</w:t>
      </w:r>
      <w:r w:rsidRPr="00B47019">
        <w:rPr>
          <w:i/>
          <w:iCs/>
          <w:lang w:val="fr-FR"/>
        </w:rPr>
        <w:t xml:space="preserve"> à 6.1</w:t>
      </w:r>
      <w:r>
        <w:rPr>
          <w:i/>
          <w:iCs/>
          <w:lang w:val="fr-FR"/>
        </w:rPr>
        <w:t>8</w:t>
      </w:r>
      <w:r w:rsidRPr="00B47019">
        <w:rPr>
          <w:i/>
          <w:iCs/>
          <w:lang w:val="fr-FR"/>
        </w:rPr>
        <w:t>.8.1.3</w:t>
      </w:r>
      <w:r w:rsidRPr="007C67EB">
        <w:rPr>
          <w:lang w:val="fr-FR"/>
        </w:rPr>
        <w:t>,</w:t>
      </w:r>
      <w:r w:rsidRPr="00B47019">
        <w:rPr>
          <w:i/>
          <w:iCs/>
          <w:lang w:val="fr-FR"/>
        </w:rPr>
        <w:t xml:space="preserve"> </w:t>
      </w:r>
      <w:r w:rsidRPr="00B47019">
        <w:rPr>
          <w:lang w:val="fr-FR"/>
        </w:rPr>
        <w:t>libellés comme suit</w:t>
      </w:r>
      <w:r w:rsidR="007C67EB">
        <w:rPr>
          <w:lang w:val="fr-FR"/>
        </w:rPr>
        <w:t> :</w:t>
      </w:r>
    </w:p>
    <w:p w14:paraId="3C1AEA99" w14:textId="77777777" w:rsidR="00FE6AEF" w:rsidRPr="000A7A2C" w:rsidRDefault="00FE6AEF" w:rsidP="00FE6AEF">
      <w:pPr>
        <w:pStyle w:val="SingleTxtG"/>
        <w:ind w:left="2268" w:hanging="1134"/>
        <w:rPr>
          <w:rFonts w:eastAsia="Calibri"/>
          <w:lang w:val="fr-FR"/>
        </w:rPr>
      </w:pPr>
      <w:r w:rsidRPr="00B47019">
        <w:rPr>
          <w:lang w:val="fr-FR"/>
        </w:rPr>
        <w:t>«</w:t>
      </w:r>
      <w:r w:rsidRPr="000A7A2C">
        <w:rPr>
          <w:lang w:val="fr-FR"/>
        </w:rPr>
        <w:t> 6.1</w:t>
      </w:r>
      <w:r>
        <w:rPr>
          <w:lang w:val="fr-FR"/>
        </w:rPr>
        <w:t>8</w:t>
      </w:r>
      <w:r w:rsidRPr="00C32BEB">
        <w:rPr>
          <w:lang w:val="fr-FR"/>
        </w:rPr>
        <w:tab/>
      </w:r>
      <w:r w:rsidRPr="000A7A2C">
        <w:rPr>
          <w:lang w:val="fr-FR"/>
        </w:rPr>
        <w:t>Système d</w:t>
      </w:r>
      <w:r>
        <w:rPr>
          <w:lang w:val="fr-FR"/>
        </w:rPr>
        <w:t>’</w:t>
      </w:r>
      <w:r w:rsidRPr="000A7A2C">
        <w:rPr>
          <w:lang w:val="fr-FR"/>
        </w:rPr>
        <w:t>éclairage avant actif (AFS)</w:t>
      </w:r>
    </w:p>
    <w:p w14:paraId="6FA6CB97" w14:textId="6CB26D15" w:rsidR="00FE6AEF" w:rsidRPr="000A7A2C" w:rsidRDefault="00FE6AEF" w:rsidP="00FE6AEF">
      <w:pPr>
        <w:pStyle w:val="SingleTxtG"/>
        <w:ind w:left="2268"/>
        <w:rPr>
          <w:rFonts w:eastAsia="Calibri"/>
          <w:lang w:val="fr-FR"/>
        </w:rPr>
      </w:pPr>
      <w:r w:rsidRPr="000A7A2C">
        <w:rPr>
          <w:lang w:val="fr-FR"/>
        </w:rPr>
        <w:t>Sauf mention contraire ci-après, les prescriptions relatives au(x) feu(x) de croisement (</w:t>
      </w:r>
      <w:r w:rsidR="007C67EB">
        <w:rPr>
          <w:lang w:val="fr-FR"/>
        </w:rPr>
        <w:t>par. </w:t>
      </w:r>
      <w:r w:rsidRPr="000A7A2C">
        <w:rPr>
          <w:lang w:val="fr-FR"/>
        </w:rPr>
        <w:t>6.2) figurant dans le présent Règlement s</w:t>
      </w:r>
      <w:r>
        <w:rPr>
          <w:lang w:val="fr-FR"/>
        </w:rPr>
        <w:t>’</w:t>
      </w:r>
      <w:r w:rsidRPr="000A7A2C">
        <w:rPr>
          <w:lang w:val="fr-FR"/>
        </w:rPr>
        <w:t>appliquent aux parties correspondantes de l</w:t>
      </w:r>
      <w:r>
        <w:rPr>
          <w:lang w:val="fr-FR"/>
        </w:rPr>
        <w:t>’</w:t>
      </w:r>
      <w:r w:rsidRPr="000A7A2C">
        <w:rPr>
          <w:lang w:val="fr-FR"/>
        </w:rPr>
        <w:t>AFS.</w:t>
      </w:r>
    </w:p>
    <w:p w14:paraId="6CDD6227" w14:textId="77777777" w:rsidR="00FE6AEF" w:rsidRPr="000A7A2C" w:rsidRDefault="00FE6AEF" w:rsidP="00FE6AEF">
      <w:pPr>
        <w:pStyle w:val="SingleTxtG"/>
        <w:ind w:left="2268" w:hanging="1134"/>
        <w:rPr>
          <w:rFonts w:eastAsia="Calibri"/>
          <w:lang w:val="fr-FR"/>
        </w:rPr>
      </w:pPr>
      <w:r w:rsidRPr="000A7A2C">
        <w:rPr>
          <w:lang w:val="fr-FR"/>
        </w:rPr>
        <w:t>6.18.1</w:t>
      </w:r>
      <w:r w:rsidRPr="00C32BEB">
        <w:rPr>
          <w:lang w:val="fr-FR"/>
        </w:rPr>
        <w:tab/>
      </w:r>
      <w:r w:rsidRPr="000A7A2C">
        <w:rPr>
          <w:lang w:val="fr-FR"/>
        </w:rPr>
        <w:t>Présence</w:t>
      </w:r>
    </w:p>
    <w:p w14:paraId="040B6D94" w14:textId="77777777" w:rsidR="00FE6AEF" w:rsidRPr="000A7A2C" w:rsidRDefault="00FE6AEF" w:rsidP="00FE6AEF">
      <w:pPr>
        <w:pStyle w:val="SingleTxtG"/>
        <w:ind w:left="2268"/>
        <w:rPr>
          <w:rFonts w:eastAsia="Calibri"/>
          <w:lang w:val="fr-FR"/>
        </w:rPr>
      </w:pPr>
      <w:r w:rsidRPr="000A7A2C">
        <w:rPr>
          <w:lang w:val="fr-FR"/>
        </w:rPr>
        <w:t>Facultative.</w:t>
      </w:r>
    </w:p>
    <w:p w14:paraId="45778089" w14:textId="77777777" w:rsidR="00FE6AEF" w:rsidRDefault="00FE6AEF" w:rsidP="00FE6AEF">
      <w:pPr>
        <w:pStyle w:val="SingleTxtG"/>
        <w:ind w:left="2268" w:hanging="1134"/>
        <w:rPr>
          <w:lang w:val="fr-FR"/>
        </w:rPr>
      </w:pPr>
      <w:r w:rsidRPr="000A7A2C">
        <w:rPr>
          <w:lang w:val="fr-FR"/>
        </w:rPr>
        <w:t>6.18.2</w:t>
      </w:r>
      <w:r w:rsidRPr="00C32BEB">
        <w:rPr>
          <w:lang w:val="fr-FR"/>
        </w:rPr>
        <w:tab/>
      </w:r>
      <w:r w:rsidRPr="000A7A2C">
        <w:rPr>
          <w:lang w:val="fr-FR"/>
        </w:rPr>
        <w:t>Nombre</w:t>
      </w:r>
    </w:p>
    <w:p w14:paraId="148AE356" w14:textId="77777777" w:rsidR="00FE6AEF" w:rsidRPr="000A7A2C" w:rsidRDefault="00FE6AEF" w:rsidP="00FE6AEF">
      <w:pPr>
        <w:pStyle w:val="SingleTxtG"/>
        <w:ind w:left="2268"/>
        <w:rPr>
          <w:rFonts w:eastAsia="Calibri"/>
          <w:lang w:val="fr-FR"/>
        </w:rPr>
      </w:pPr>
      <w:r w:rsidRPr="000A7A2C">
        <w:rPr>
          <w:lang w:val="fr-FR"/>
        </w:rPr>
        <w:t>Un.</w:t>
      </w:r>
    </w:p>
    <w:p w14:paraId="2F400C5F" w14:textId="77777777" w:rsidR="00FE6AEF" w:rsidRPr="000A7A2C" w:rsidRDefault="00FE6AEF" w:rsidP="00FE6AEF">
      <w:pPr>
        <w:pStyle w:val="SingleTxtG"/>
        <w:ind w:left="2268" w:hanging="1134"/>
        <w:rPr>
          <w:rFonts w:eastAsia="Calibri"/>
          <w:lang w:val="fr-FR"/>
        </w:rPr>
      </w:pPr>
      <w:r w:rsidRPr="000A7A2C">
        <w:rPr>
          <w:lang w:val="fr-FR"/>
        </w:rPr>
        <w:t>6.18.3</w:t>
      </w:r>
      <w:r w:rsidRPr="00C32BEB">
        <w:rPr>
          <w:lang w:val="fr-FR"/>
        </w:rPr>
        <w:tab/>
      </w:r>
      <w:r w:rsidRPr="000A7A2C">
        <w:rPr>
          <w:lang w:val="fr-FR"/>
        </w:rPr>
        <w:t>Schéma de montage</w:t>
      </w:r>
    </w:p>
    <w:p w14:paraId="47275FD8" w14:textId="77777777" w:rsidR="00FE6AEF" w:rsidRPr="000A7A2C" w:rsidRDefault="00FE6AEF" w:rsidP="00FE6AEF">
      <w:pPr>
        <w:pStyle w:val="SingleTxtG"/>
        <w:ind w:left="2268"/>
        <w:rPr>
          <w:rFonts w:eastAsia="Calibri"/>
          <w:lang w:val="fr-FR"/>
        </w:rPr>
      </w:pPr>
      <w:r w:rsidRPr="000A7A2C">
        <w:rPr>
          <w:lang w:val="fr-FR"/>
        </w:rPr>
        <w:t>Pas de prescription particulière.</w:t>
      </w:r>
    </w:p>
    <w:p w14:paraId="4C94B84F" w14:textId="77777777" w:rsidR="00FE6AEF" w:rsidRPr="000A7A2C" w:rsidRDefault="00FE6AEF" w:rsidP="00FE6AEF">
      <w:pPr>
        <w:pStyle w:val="SingleTxtG"/>
        <w:ind w:left="2268" w:hanging="1134"/>
        <w:rPr>
          <w:rFonts w:eastAsia="Calibri"/>
          <w:lang w:val="fr-FR"/>
        </w:rPr>
      </w:pPr>
      <w:r w:rsidRPr="000A7A2C">
        <w:rPr>
          <w:lang w:val="fr-FR"/>
        </w:rPr>
        <w:t>6.18.4</w:t>
      </w:r>
      <w:r w:rsidRPr="00C32BEB">
        <w:rPr>
          <w:lang w:val="fr-FR"/>
        </w:rPr>
        <w:tab/>
      </w:r>
      <w:r w:rsidRPr="000A7A2C">
        <w:rPr>
          <w:lang w:val="fr-FR"/>
        </w:rPr>
        <w:t>État</w:t>
      </w:r>
    </w:p>
    <w:p w14:paraId="006F9C8C" w14:textId="3C2E92DA" w:rsidR="00FE6AEF" w:rsidRPr="000A7A2C" w:rsidRDefault="00FE6AEF" w:rsidP="00FE6AEF">
      <w:pPr>
        <w:pStyle w:val="SingleTxtG"/>
        <w:ind w:left="2268"/>
        <w:rPr>
          <w:rFonts w:eastAsia="Calibri"/>
          <w:lang w:val="fr-FR"/>
        </w:rPr>
      </w:pPr>
      <w:r w:rsidRPr="000A7A2C">
        <w:rPr>
          <w:lang w:val="fr-FR"/>
        </w:rPr>
        <w:t>Avant les essais suivants, l</w:t>
      </w:r>
      <w:r>
        <w:rPr>
          <w:lang w:val="fr-FR"/>
        </w:rPr>
        <w:t>’</w:t>
      </w:r>
      <w:r w:rsidRPr="000A7A2C">
        <w:rPr>
          <w:lang w:val="fr-FR"/>
        </w:rPr>
        <w:t>AFS doit être à l</w:t>
      </w:r>
      <w:r>
        <w:rPr>
          <w:lang w:val="fr-FR"/>
        </w:rPr>
        <w:t>’</w:t>
      </w:r>
      <w:r w:rsidRPr="000A7A2C">
        <w:rPr>
          <w:lang w:val="fr-FR"/>
        </w:rPr>
        <w:t>état neutre</w:t>
      </w:r>
      <w:r w:rsidR="007C67EB">
        <w:rPr>
          <w:lang w:val="fr-FR"/>
        </w:rPr>
        <w:t> ;</w:t>
      </w:r>
    </w:p>
    <w:p w14:paraId="54D56546" w14:textId="1AAC0E7D" w:rsidR="00FE6AEF" w:rsidRPr="000A7A2C" w:rsidRDefault="00FE6AEF" w:rsidP="00FE6AEF">
      <w:pPr>
        <w:pStyle w:val="SingleTxtG"/>
        <w:ind w:left="2268" w:hanging="1134"/>
        <w:rPr>
          <w:rFonts w:eastAsia="Calibri"/>
          <w:lang w:val="fr-FR"/>
        </w:rPr>
      </w:pPr>
      <w:r w:rsidRPr="000A7A2C">
        <w:rPr>
          <w:lang w:val="fr-FR"/>
        </w:rPr>
        <w:t>6.18.4.1</w:t>
      </w:r>
      <w:r w:rsidRPr="00C32BEB">
        <w:rPr>
          <w:lang w:val="fr-FR"/>
        </w:rPr>
        <w:tab/>
      </w:r>
      <w:r w:rsidRPr="000A7A2C">
        <w:rPr>
          <w:lang w:val="fr-FR"/>
        </w:rPr>
        <w:t>En largeur et en hauteur</w:t>
      </w:r>
      <w:r w:rsidR="007C67EB">
        <w:rPr>
          <w:lang w:val="fr-FR"/>
        </w:rPr>
        <w:t> :</w:t>
      </w:r>
    </w:p>
    <w:p w14:paraId="199B1409" w14:textId="3C815676" w:rsidR="00FE6AEF" w:rsidRPr="000A7A2C" w:rsidRDefault="00FE6AEF" w:rsidP="00FE6AEF">
      <w:pPr>
        <w:pStyle w:val="SingleTxtG"/>
        <w:ind w:left="2268" w:hanging="1134"/>
        <w:rPr>
          <w:rFonts w:eastAsia="Calibri"/>
          <w:lang w:val="fr-FR"/>
        </w:rPr>
      </w:pPr>
      <w:r w:rsidRPr="000A7A2C">
        <w:rPr>
          <w:lang w:val="fr-FR"/>
        </w:rPr>
        <w:t>6.18.4.1.1</w:t>
      </w:r>
      <w:r w:rsidRPr="00C32BEB">
        <w:rPr>
          <w:lang w:val="fr-FR"/>
        </w:rPr>
        <w:tab/>
      </w:r>
      <w:r w:rsidRPr="00C32BEB">
        <w:rPr>
          <w:lang w:val="fr-FR"/>
        </w:rPr>
        <w:tab/>
      </w:r>
      <w:r w:rsidRPr="000A7A2C">
        <w:rPr>
          <w:lang w:val="fr-FR"/>
        </w:rPr>
        <w:t>Une unité d</w:t>
      </w:r>
      <w:r>
        <w:rPr>
          <w:lang w:val="fr-FR"/>
        </w:rPr>
        <w:t>’</w:t>
      </w:r>
      <w:r w:rsidRPr="000A7A2C">
        <w:rPr>
          <w:lang w:val="fr-FR"/>
        </w:rPr>
        <w:t>installation d</w:t>
      </w:r>
      <w:r>
        <w:rPr>
          <w:lang w:val="fr-FR"/>
        </w:rPr>
        <w:t>’</w:t>
      </w:r>
      <w:r w:rsidRPr="000A7A2C">
        <w:rPr>
          <w:lang w:val="fr-FR"/>
        </w:rPr>
        <w:t>AFS indépendante peut être montée au-dessus, au</w:t>
      </w:r>
      <w:r w:rsidR="007C67EB">
        <w:rPr>
          <w:lang w:val="fr-FR"/>
        </w:rPr>
        <w:noBreakHyphen/>
      </w:r>
      <w:r w:rsidRPr="000A7A2C">
        <w:rPr>
          <w:lang w:val="fr-FR"/>
        </w:rPr>
        <w:t>dessous ou à côté d</w:t>
      </w:r>
      <w:r>
        <w:rPr>
          <w:lang w:val="fr-FR"/>
        </w:rPr>
        <w:t>’</w:t>
      </w:r>
      <w:r w:rsidRPr="000A7A2C">
        <w:rPr>
          <w:lang w:val="fr-FR"/>
        </w:rPr>
        <w:t>un autre feu avant</w:t>
      </w:r>
      <w:r w:rsidR="007C67EB">
        <w:rPr>
          <w:lang w:val="fr-FR"/>
        </w:rPr>
        <w:t> :</w:t>
      </w:r>
      <w:r w:rsidRPr="000A7A2C">
        <w:rPr>
          <w:lang w:val="fr-FR"/>
        </w:rPr>
        <w:t xml:space="preserve"> si ces feux sont l</w:t>
      </w:r>
      <w:r>
        <w:rPr>
          <w:lang w:val="fr-FR"/>
        </w:rPr>
        <w:t>’</w:t>
      </w:r>
      <w:r w:rsidRPr="000A7A2C">
        <w:rPr>
          <w:lang w:val="fr-FR"/>
        </w:rPr>
        <w:t>un au-dessus de l</w:t>
      </w:r>
      <w:r>
        <w:rPr>
          <w:lang w:val="fr-FR"/>
        </w:rPr>
        <w:t>’</w:t>
      </w:r>
      <w:r w:rsidRPr="000A7A2C">
        <w:rPr>
          <w:lang w:val="fr-FR"/>
        </w:rPr>
        <w:t>autre, le centre de référence de l</w:t>
      </w:r>
      <w:r>
        <w:rPr>
          <w:lang w:val="fr-FR"/>
        </w:rPr>
        <w:t>’</w:t>
      </w:r>
      <w:r w:rsidRPr="000A7A2C">
        <w:rPr>
          <w:lang w:val="fr-FR"/>
        </w:rPr>
        <w:t>unité d</w:t>
      </w:r>
      <w:r>
        <w:rPr>
          <w:lang w:val="fr-FR"/>
        </w:rPr>
        <w:t>’</w:t>
      </w:r>
      <w:r w:rsidRPr="000A7A2C">
        <w:rPr>
          <w:lang w:val="fr-FR"/>
        </w:rPr>
        <w:t>installation de l</w:t>
      </w:r>
      <w:r>
        <w:rPr>
          <w:lang w:val="fr-FR"/>
        </w:rPr>
        <w:t>’</w:t>
      </w:r>
      <w:r w:rsidRPr="000A7A2C">
        <w:rPr>
          <w:lang w:val="fr-FR"/>
        </w:rPr>
        <w:t>AFS doit être sur le plan longitudinal médian du véhicule</w:t>
      </w:r>
      <w:r w:rsidR="007C67EB">
        <w:rPr>
          <w:lang w:val="fr-FR"/>
        </w:rPr>
        <w:t> ;</w:t>
      </w:r>
      <w:r w:rsidRPr="00C32BEB">
        <w:rPr>
          <w:lang w:val="fr-FR"/>
        </w:rPr>
        <w:t xml:space="preserve"> </w:t>
      </w:r>
      <w:r w:rsidRPr="000A7A2C">
        <w:rPr>
          <w:lang w:val="fr-FR"/>
        </w:rPr>
        <w:t>si ces feux sont côte à côte, leur centre de référence doit être symétrique par rapport au plan longitudinal médian du véhicule.</w:t>
      </w:r>
    </w:p>
    <w:p w14:paraId="6D5C67E5" w14:textId="08B81545" w:rsidR="00FE6AEF" w:rsidRPr="000A7A2C" w:rsidRDefault="00FE6AEF" w:rsidP="00FE6AEF">
      <w:pPr>
        <w:pStyle w:val="SingleTxtG"/>
        <w:ind w:left="2268" w:hanging="1134"/>
        <w:rPr>
          <w:rFonts w:eastAsia="Calibri"/>
          <w:lang w:val="fr-FR"/>
        </w:rPr>
      </w:pPr>
      <w:r w:rsidRPr="000A7A2C">
        <w:rPr>
          <w:lang w:val="fr-FR"/>
        </w:rPr>
        <w:t>6.18.4.1.2</w:t>
      </w:r>
      <w:r w:rsidRPr="00C32BEB">
        <w:rPr>
          <w:lang w:val="fr-FR"/>
        </w:rPr>
        <w:tab/>
      </w:r>
      <w:r w:rsidRPr="000A7A2C">
        <w:rPr>
          <w:lang w:val="fr-FR"/>
        </w:rPr>
        <w:t>Une unité d</w:t>
      </w:r>
      <w:r>
        <w:rPr>
          <w:lang w:val="fr-FR"/>
        </w:rPr>
        <w:t>’</w:t>
      </w:r>
      <w:r w:rsidRPr="000A7A2C">
        <w:rPr>
          <w:lang w:val="fr-FR"/>
        </w:rPr>
        <w:t>installation d</w:t>
      </w:r>
      <w:r>
        <w:rPr>
          <w:lang w:val="fr-FR"/>
        </w:rPr>
        <w:t>’</w:t>
      </w:r>
      <w:r w:rsidRPr="000A7A2C">
        <w:rPr>
          <w:lang w:val="fr-FR"/>
        </w:rPr>
        <w:t>AFS mutuellement incorporée avec un autre feu avant doit être montée de telle sorte que son centre de référence soit sur le plan longitudinal médian du véhicule</w:t>
      </w:r>
      <w:r w:rsidR="007C67EB">
        <w:rPr>
          <w:lang w:val="fr-FR"/>
        </w:rPr>
        <w:t> ;</w:t>
      </w:r>
      <w:r w:rsidRPr="00C32BEB">
        <w:rPr>
          <w:lang w:val="fr-FR"/>
        </w:rPr>
        <w:t xml:space="preserve"> </w:t>
      </w:r>
      <w:r w:rsidRPr="000A7A2C">
        <w:rPr>
          <w:lang w:val="fr-FR"/>
        </w:rPr>
        <w:t>toutefois, lorsque le véhicule est aussi équipé d</w:t>
      </w:r>
      <w:r>
        <w:rPr>
          <w:lang w:val="fr-FR"/>
        </w:rPr>
        <w:t>’</w:t>
      </w:r>
      <w:r w:rsidRPr="000A7A2C">
        <w:rPr>
          <w:lang w:val="fr-FR"/>
        </w:rPr>
        <w:t>un projecteur émettant un faisceau de route indépendant ou d</w:t>
      </w:r>
      <w:r>
        <w:rPr>
          <w:lang w:val="fr-FR"/>
        </w:rPr>
        <w:t>’</w:t>
      </w:r>
      <w:r w:rsidRPr="000A7A2C">
        <w:rPr>
          <w:lang w:val="fr-FR"/>
        </w:rPr>
        <w:t>un projecteur émettant un faisceau de route mutuellement incorporé avec un feu de position avant à côté de l</w:t>
      </w:r>
      <w:r>
        <w:rPr>
          <w:lang w:val="fr-FR"/>
        </w:rPr>
        <w:t>’</w:t>
      </w:r>
      <w:r w:rsidRPr="000A7A2C">
        <w:rPr>
          <w:lang w:val="fr-FR"/>
        </w:rPr>
        <w:t>unité d</w:t>
      </w:r>
      <w:r>
        <w:rPr>
          <w:lang w:val="fr-FR"/>
        </w:rPr>
        <w:t>’</w:t>
      </w:r>
      <w:r w:rsidRPr="000A7A2C">
        <w:rPr>
          <w:lang w:val="fr-FR"/>
        </w:rPr>
        <w:t>installation d</w:t>
      </w:r>
      <w:r>
        <w:rPr>
          <w:lang w:val="fr-FR"/>
        </w:rPr>
        <w:t>’</w:t>
      </w:r>
      <w:r w:rsidRPr="000A7A2C">
        <w:rPr>
          <w:lang w:val="fr-FR"/>
        </w:rPr>
        <w:t>AFS, leur centre de référence doit être symétrique par rapport au plan longitudinal médian du véhicule.</w:t>
      </w:r>
    </w:p>
    <w:p w14:paraId="0D0AB91A" w14:textId="77777777" w:rsidR="00FE6AEF" w:rsidRPr="000A7A2C" w:rsidRDefault="00FE6AEF" w:rsidP="00FE6AEF">
      <w:pPr>
        <w:pStyle w:val="SingleTxtG"/>
        <w:ind w:left="2268" w:hanging="1134"/>
        <w:rPr>
          <w:rFonts w:eastAsia="Calibri"/>
          <w:lang w:val="fr-FR"/>
        </w:rPr>
      </w:pPr>
      <w:r w:rsidRPr="000A7A2C">
        <w:rPr>
          <w:lang w:val="fr-FR"/>
        </w:rPr>
        <w:t>6.18.4.1.3</w:t>
      </w:r>
      <w:r w:rsidRPr="00C32BEB">
        <w:rPr>
          <w:lang w:val="fr-FR"/>
        </w:rPr>
        <w:tab/>
      </w:r>
      <w:r w:rsidRPr="000A7A2C">
        <w:rPr>
          <w:lang w:val="fr-FR"/>
        </w:rPr>
        <w:t>Deux unités d</w:t>
      </w:r>
      <w:r>
        <w:rPr>
          <w:lang w:val="fr-FR"/>
        </w:rPr>
        <w:t>’</w:t>
      </w:r>
      <w:r w:rsidRPr="000A7A2C">
        <w:rPr>
          <w:lang w:val="fr-FR"/>
        </w:rPr>
        <w:t>installation d</w:t>
      </w:r>
      <w:r>
        <w:rPr>
          <w:lang w:val="fr-FR"/>
        </w:rPr>
        <w:t>’</w:t>
      </w:r>
      <w:r w:rsidRPr="000A7A2C">
        <w:rPr>
          <w:lang w:val="fr-FR"/>
        </w:rPr>
        <w:t>AFS, l</w:t>
      </w:r>
      <w:r>
        <w:rPr>
          <w:lang w:val="fr-FR"/>
        </w:rPr>
        <w:t>’</w:t>
      </w:r>
      <w:r w:rsidRPr="000A7A2C">
        <w:rPr>
          <w:lang w:val="fr-FR"/>
        </w:rPr>
        <w:t>un ou les deux étant mutuellement incorporés avec un autre feu avant, doivent être installés de telle sorte que leurs centres de référence soient symétriques par rapport au plan longitudinal médian du véhicule.</w:t>
      </w:r>
    </w:p>
    <w:p w14:paraId="6F6BC620" w14:textId="52BD7486" w:rsidR="00FE6AEF" w:rsidRPr="000A7A2C" w:rsidRDefault="00FE6AEF" w:rsidP="00FE6AEF">
      <w:pPr>
        <w:pStyle w:val="SingleTxtG"/>
        <w:ind w:left="2268" w:hanging="1134"/>
        <w:rPr>
          <w:rFonts w:eastAsia="Calibri"/>
          <w:lang w:val="fr-FR"/>
        </w:rPr>
      </w:pPr>
      <w:r w:rsidRPr="000A7A2C">
        <w:rPr>
          <w:lang w:val="fr-FR"/>
        </w:rPr>
        <w:t>6.18.4.1.4</w:t>
      </w:r>
      <w:r w:rsidRPr="00C32BEB">
        <w:rPr>
          <w:lang w:val="fr-FR"/>
        </w:rPr>
        <w:tab/>
      </w:r>
      <w:r w:rsidRPr="000A7A2C">
        <w:rPr>
          <w:lang w:val="fr-FR"/>
        </w:rPr>
        <w:t>Le cas échéant, l</w:t>
      </w:r>
      <w:r>
        <w:rPr>
          <w:lang w:val="fr-FR"/>
        </w:rPr>
        <w:t>’</w:t>
      </w:r>
      <w:r w:rsidRPr="000A7A2C">
        <w:rPr>
          <w:lang w:val="fr-FR"/>
        </w:rPr>
        <w:t>installation d</w:t>
      </w:r>
      <w:r>
        <w:rPr>
          <w:lang w:val="fr-FR"/>
        </w:rPr>
        <w:t>’</w:t>
      </w:r>
      <w:r w:rsidRPr="000A7A2C">
        <w:rPr>
          <w:lang w:val="fr-FR"/>
        </w:rPr>
        <w:t>une ou de plusieurs unités d</w:t>
      </w:r>
      <w:r>
        <w:rPr>
          <w:lang w:val="fr-FR"/>
        </w:rPr>
        <w:t>’</w:t>
      </w:r>
      <w:r w:rsidRPr="000A7A2C">
        <w:rPr>
          <w:lang w:val="fr-FR"/>
        </w:rPr>
        <w:t>éclairage supplémentaires servant à éclairer la route dans les virages, homologuées en tant qu</w:t>
      </w:r>
      <w:r>
        <w:rPr>
          <w:lang w:val="fr-FR"/>
        </w:rPr>
        <w:t>’</w:t>
      </w:r>
      <w:r w:rsidRPr="000A7A2C">
        <w:rPr>
          <w:lang w:val="fr-FR"/>
        </w:rPr>
        <w:t>éléments de l</w:t>
      </w:r>
      <w:r>
        <w:rPr>
          <w:lang w:val="fr-FR"/>
        </w:rPr>
        <w:t>’</w:t>
      </w:r>
      <w:r w:rsidRPr="000A7A2C">
        <w:rPr>
          <w:lang w:val="fr-FR"/>
        </w:rPr>
        <w:t>AFS, conformément au Règlement ONU n</w:t>
      </w:r>
      <w:r w:rsidRPr="000A7A2C">
        <w:rPr>
          <w:vertAlign w:val="superscript"/>
          <w:lang w:val="fr-FR"/>
        </w:rPr>
        <w:t>o</w:t>
      </w:r>
      <w:r w:rsidR="007C67EB">
        <w:rPr>
          <w:lang w:val="fr-FR"/>
        </w:rPr>
        <w:t> </w:t>
      </w:r>
      <w:r w:rsidRPr="000A7A2C">
        <w:rPr>
          <w:lang w:val="fr-FR"/>
        </w:rPr>
        <w:t>149, doit s</w:t>
      </w:r>
      <w:r>
        <w:rPr>
          <w:lang w:val="fr-FR"/>
        </w:rPr>
        <w:t>’</w:t>
      </w:r>
      <w:r w:rsidRPr="000A7A2C">
        <w:rPr>
          <w:lang w:val="fr-FR"/>
        </w:rPr>
        <w:t>effectuer dans les conditions suivantes</w:t>
      </w:r>
      <w:r w:rsidR="007C67EB">
        <w:rPr>
          <w:lang w:val="fr-FR"/>
        </w:rPr>
        <w:t> :</w:t>
      </w:r>
    </w:p>
    <w:p w14:paraId="149CB5DC" w14:textId="77777777" w:rsidR="00FE6AEF" w:rsidRPr="000A7A2C" w:rsidRDefault="00FE6AEF" w:rsidP="00FE6AEF">
      <w:pPr>
        <w:pStyle w:val="SingleTxtG"/>
        <w:ind w:left="2268"/>
        <w:rPr>
          <w:rFonts w:eastAsia="Calibri"/>
          <w:lang w:val="fr-FR"/>
        </w:rPr>
      </w:pPr>
      <w:r w:rsidRPr="00C32BEB">
        <w:rPr>
          <w:lang w:val="fr-FR"/>
        </w:rPr>
        <w:tab/>
      </w:r>
      <w:r w:rsidRPr="000A7A2C">
        <w:rPr>
          <w:lang w:val="fr-FR"/>
        </w:rPr>
        <w:t>Pour une (des) paire(s) d</w:t>
      </w:r>
      <w:r>
        <w:rPr>
          <w:lang w:val="fr-FR"/>
        </w:rPr>
        <w:t>’</w:t>
      </w:r>
      <w:r w:rsidRPr="000A7A2C">
        <w:rPr>
          <w:lang w:val="fr-FR"/>
        </w:rPr>
        <w:t>unités d</w:t>
      </w:r>
      <w:r>
        <w:rPr>
          <w:lang w:val="fr-FR"/>
        </w:rPr>
        <w:t>’</w:t>
      </w:r>
      <w:r w:rsidRPr="000A7A2C">
        <w:rPr>
          <w:lang w:val="fr-FR"/>
        </w:rPr>
        <w:t>éclairage supplémentaires, le ou les centres de référence doivent être symétriques par rapport au plan longitudinal médian du véhicule.</w:t>
      </w:r>
    </w:p>
    <w:p w14:paraId="5AF972B1" w14:textId="77777777" w:rsidR="00FE6AEF" w:rsidRPr="000A7A2C" w:rsidRDefault="00FE6AEF" w:rsidP="00FE6AEF">
      <w:pPr>
        <w:pStyle w:val="SingleTxtG"/>
        <w:ind w:left="2268"/>
        <w:rPr>
          <w:rFonts w:eastAsia="Calibri"/>
          <w:lang w:val="fr-FR"/>
        </w:rPr>
      </w:pPr>
      <w:r w:rsidRPr="00C32BEB">
        <w:rPr>
          <w:lang w:val="fr-FR"/>
        </w:rPr>
        <w:tab/>
      </w:r>
      <w:r w:rsidRPr="000A7A2C">
        <w:rPr>
          <w:lang w:val="fr-FR"/>
        </w:rPr>
        <w:t>Pour une seule unité d</w:t>
      </w:r>
      <w:r>
        <w:rPr>
          <w:lang w:val="fr-FR"/>
        </w:rPr>
        <w:t>’</w:t>
      </w:r>
      <w:r w:rsidRPr="000A7A2C">
        <w:rPr>
          <w:lang w:val="fr-FR"/>
        </w:rPr>
        <w:t>éclairage supplémentaire, le centre de référence doit être sur le plan longitudinal médian du véhicule.</w:t>
      </w:r>
    </w:p>
    <w:p w14:paraId="2EB1CBDD" w14:textId="777D9CC9" w:rsidR="00FE6AEF" w:rsidRPr="000A7A2C" w:rsidRDefault="00FE6AEF" w:rsidP="00FE6AEF">
      <w:pPr>
        <w:pStyle w:val="SingleTxtG"/>
        <w:ind w:left="2268" w:hanging="1134"/>
        <w:rPr>
          <w:rFonts w:eastAsia="Calibri"/>
          <w:lang w:val="fr-FR"/>
        </w:rPr>
      </w:pPr>
      <w:r w:rsidRPr="000A7A2C">
        <w:rPr>
          <w:lang w:val="fr-FR"/>
        </w:rPr>
        <w:t>6.18.4.1.5</w:t>
      </w:r>
      <w:r w:rsidRPr="00C32BEB">
        <w:rPr>
          <w:lang w:val="fr-FR"/>
        </w:rPr>
        <w:tab/>
      </w:r>
      <w:r w:rsidRPr="000A7A2C">
        <w:rPr>
          <w:lang w:val="fr-FR"/>
        </w:rPr>
        <w:t>En hauteur</w:t>
      </w:r>
      <w:r w:rsidR="007C67EB">
        <w:rPr>
          <w:lang w:val="fr-FR"/>
        </w:rPr>
        <w:t> :</w:t>
      </w:r>
      <w:r w:rsidRPr="000A7A2C">
        <w:rPr>
          <w:lang w:val="fr-FR"/>
        </w:rPr>
        <w:t xml:space="preserve"> minimum 500 mm, maximum 1</w:t>
      </w:r>
      <w:r w:rsidR="007C67EB">
        <w:rPr>
          <w:lang w:val="fr-FR"/>
        </w:rPr>
        <w:t> </w:t>
      </w:r>
      <w:r w:rsidRPr="000A7A2C">
        <w:rPr>
          <w:lang w:val="fr-FR"/>
        </w:rPr>
        <w:t>200</w:t>
      </w:r>
      <w:r w:rsidR="007C67EB">
        <w:rPr>
          <w:lang w:val="fr-FR"/>
        </w:rPr>
        <w:t xml:space="preserve"> </w:t>
      </w:r>
      <w:r w:rsidRPr="000A7A2C">
        <w:rPr>
          <w:lang w:val="fr-FR"/>
        </w:rPr>
        <w:t>mm au-dessus du sol.</w:t>
      </w:r>
    </w:p>
    <w:p w14:paraId="75E6B5C6" w14:textId="5E8505F3" w:rsidR="00FE6AEF" w:rsidRDefault="00FE6AEF" w:rsidP="00FE6AEF">
      <w:pPr>
        <w:pStyle w:val="SingleTxtG"/>
        <w:ind w:left="2268" w:hanging="1134"/>
        <w:rPr>
          <w:lang w:val="fr-FR"/>
        </w:rPr>
      </w:pPr>
      <w:r w:rsidRPr="000A7A2C">
        <w:rPr>
          <w:lang w:val="fr-FR"/>
        </w:rPr>
        <w:lastRenderedPageBreak/>
        <w:t>6.18.4.1.6</w:t>
      </w:r>
      <w:r w:rsidRPr="00C32BEB">
        <w:rPr>
          <w:lang w:val="fr-FR"/>
        </w:rPr>
        <w:tab/>
      </w:r>
      <w:r w:rsidRPr="000A7A2C">
        <w:rPr>
          <w:lang w:val="fr-FR"/>
        </w:rPr>
        <w:t>En longueur</w:t>
      </w:r>
      <w:r w:rsidR="007C67EB">
        <w:rPr>
          <w:lang w:val="fr-FR"/>
        </w:rPr>
        <w:t> :</w:t>
      </w:r>
      <w:r w:rsidRPr="000A7A2C">
        <w:rPr>
          <w:lang w:val="fr-FR"/>
        </w:rPr>
        <w:t xml:space="preserve"> à l</w:t>
      </w:r>
      <w:r>
        <w:rPr>
          <w:lang w:val="fr-FR"/>
        </w:rPr>
        <w:t>’</w:t>
      </w:r>
      <w:r w:rsidRPr="000A7A2C">
        <w:rPr>
          <w:lang w:val="fr-FR"/>
        </w:rPr>
        <w:t>avant du véhicule.</w:t>
      </w:r>
      <w:r w:rsidRPr="00C32BEB">
        <w:rPr>
          <w:lang w:val="fr-FR"/>
        </w:rPr>
        <w:t xml:space="preserve"> </w:t>
      </w:r>
      <w:r w:rsidRPr="000A7A2C">
        <w:rPr>
          <w:lang w:val="fr-FR"/>
        </w:rPr>
        <w:t>Cette exigence est jugée satisfaite si la lumière émise n</w:t>
      </w:r>
      <w:r>
        <w:rPr>
          <w:lang w:val="fr-FR"/>
        </w:rPr>
        <w:t>’</w:t>
      </w:r>
      <w:r w:rsidRPr="000A7A2C">
        <w:rPr>
          <w:lang w:val="fr-FR"/>
        </w:rPr>
        <w:t>est pas une cause de gêne pour le conducteur, ni directement ni indirectement, par l</w:t>
      </w:r>
      <w:r>
        <w:rPr>
          <w:lang w:val="fr-FR"/>
        </w:rPr>
        <w:t>’</w:t>
      </w:r>
      <w:r w:rsidRPr="000A7A2C">
        <w:rPr>
          <w:lang w:val="fr-FR"/>
        </w:rPr>
        <w:t>intermédiaire des rétroviseurs et/ou d</w:t>
      </w:r>
      <w:r>
        <w:rPr>
          <w:lang w:val="fr-FR"/>
        </w:rPr>
        <w:t>’</w:t>
      </w:r>
      <w:r w:rsidRPr="000A7A2C">
        <w:rPr>
          <w:lang w:val="fr-FR"/>
        </w:rPr>
        <w:t>autres surfaces réfléchissantes du véhicule.</w:t>
      </w:r>
    </w:p>
    <w:p w14:paraId="2ED85AA0" w14:textId="72DD69CF" w:rsidR="00FE6AEF" w:rsidRPr="000A7A2C" w:rsidRDefault="00FE6AEF" w:rsidP="00FE6AEF">
      <w:pPr>
        <w:pStyle w:val="SingleTxtG"/>
        <w:ind w:left="2268" w:hanging="1134"/>
        <w:rPr>
          <w:rFonts w:eastAsia="Calibri"/>
          <w:lang w:val="fr-FR"/>
        </w:rPr>
      </w:pPr>
      <w:r w:rsidRPr="000A7A2C">
        <w:rPr>
          <w:lang w:val="fr-FR"/>
        </w:rPr>
        <w:t>6.18.4.1.7</w:t>
      </w:r>
      <w:r w:rsidRPr="00C32BEB">
        <w:rPr>
          <w:lang w:val="fr-FR"/>
        </w:rPr>
        <w:tab/>
      </w:r>
      <w:r w:rsidRPr="000A7A2C">
        <w:rPr>
          <w:lang w:val="fr-FR"/>
        </w:rPr>
        <w:t>Dans le cas de deux unités d</w:t>
      </w:r>
      <w:r>
        <w:rPr>
          <w:lang w:val="fr-FR"/>
        </w:rPr>
        <w:t>’</w:t>
      </w:r>
      <w:r w:rsidRPr="000A7A2C">
        <w:rPr>
          <w:lang w:val="fr-FR"/>
        </w:rPr>
        <w:t>installation d</w:t>
      </w:r>
      <w:r>
        <w:rPr>
          <w:lang w:val="fr-FR"/>
        </w:rPr>
        <w:t>’</w:t>
      </w:r>
      <w:r w:rsidRPr="000A7A2C">
        <w:rPr>
          <w:lang w:val="fr-FR"/>
        </w:rPr>
        <w:t>AFS</w:t>
      </w:r>
      <w:r w:rsidR="007C67EB">
        <w:rPr>
          <w:lang w:val="fr-FR"/>
        </w:rPr>
        <w:t> :</w:t>
      </w:r>
      <w:r w:rsidRPr="000A7A2C">
        <w:rPr>
          <w:lang w:val="fr-FR"/>
        </w:rPr>
        <w:t xml:space="preserve"> la distance entre leurs plages éclairantes ne doit pas être supérieure à 200 </w:t>
      </w:r>
      <w:proofErr w:type="spellStart"/>
      <w:r w:rsidRPr="000A7A2C">
        <w:rPr>
          <w:lang w:val="fr-FR"/>
        </w:rPr>
        <w:t>mm.</w:t>
      </w:r>
      <w:proofErr w:type="spellEnd"/>
    </w:p>
    <w:p w14:paraId="3D1982F8" w14:textId="77777777" w:rsidR="00FE6AEF" w:rsidRPr="000A7A2C" w:rsidRDefault="00FE6AEF" w:rsidP="00FE6AEF">
      <w:pPr>
        <w:pStyle w:val="SingleTxtG"/>
        <w:ind w:left="2268" w:hanging="1134"/>
        <w:rPr>
          <w:rFonts w:eastAsia="Calibri"/>
          <w:lang w:val="fr-FR"/>
        </w:rPr>
      </w:pPr>
      <w:r w:rsidRPr="000A7A2C">
        <w:rPr>
          <w:lang w:val="fr-FR"/>
        </w:rPr>
        <w:t>6.18.5</w:t>
      </w:r>
      <w:r w:rsidRPr="00C32BEB">
        <w:rPr>
          <w:lang w:val="fr-FR"/>
        </w:rPr>
        <w:tab/>
      </w:r>
      <w:r w:rsidRPr="000A7A2C">
        <w:rPr>
          <w:lang w:val="fr-FR"/>
        </w:rPr>
        <w:t>Visibilité géométrique</w:t>
      </w:r>
    </w:p>
    <w:p w14:paraId="16C22B94" w14:textId="7D93E16C" w:rsidR="00FE6AEF" w:rsidRPr="000A7A2C" w:rsidRDefault="00FE6AEF" w:rsidP="00FE6AEF">
      <w:pPr>
        <w:pStyle w:val="SingleTxtG"/>
        <w:ind w:left="2268"/>
        <w:rPr>
          <w:rFonts w:eastAsia="Calibri"/>
          <w:lang w:val="fr-FR"/>
        </w:rPr>
      </w:pPr>
      <w:r w:rsidRPr="000A7A2C">
        <w:rPr>
          <w:lang w:val="fr-FR"/>
        </w:rPr>
        <w:t>Pour chaque fonction et mode d</w:t>
      </w:r>
      <w:r>
        <w:rPr>
          <w:lang w:val="fr-FR"/>
        </w:rPr>
        <w:t>’</w:t>
      </w:r>
      <w:r w:rsidRPr="000A7A2C">
        <w:rPr>
          <w:lang w:val="fr-FR"/>
        </w:rPr>
        <w:t>éclairage</w:t>
      </w:r>
      <w:r w:rsidR="007C67EB">
        <w:rPr>
          <w:lang w:val="fr-FR"/>
        </w:rPr>
        <w:t> :</w:t>
      </w:r>
    </w:p>
    <w:p w14:paraId="320E8B2F" w14:textId="77777777" w:rsidR="00FE6AEF" w:rsidRPr="000A7A2C" w:rsidRDefault="00FE6AEF" w:rsidP="00FE6AEF">
      <w:pPr>
        <w:pStyle w:val="SingleTxtG"/>
        <w:ind w:left="2268"/>
        <w:rPr>
          <w:rFonts w:eastAsia="Calibri"/>
          <w:lang w:val="fr-FR"/>
        </w:rPr>
      </w:pPr>
      <w:r w:rsidRPr="000A7A2C">
        <w:rPr>
          <w:lang w:val="fr-FR"/>
        </w:rPr>
        <w:t>Les angles de visibilité géométrique prescrits pour les fonctions d</w:t>
      </w:r>
      <w:r>
        <w:rPr>
          <w:lang w:val="fr-FR"/>
        </w:rPr>
        <w:t>’</w:t>
      </w:r>
      <w:r w:rsidRPr="000A7A2C">
        <w:rPr>
          <w:lang w:val="fr-FR"/>
        </w:rPr>
        <w:t>éclairage correspondantes conformément au paragraphe 6.2.4 du présent Règlement doivent être atteints par au moins une unité d</w:t>
      </w:r>
      <w:r>
        <w:rPr>
          <w:lang w:val="fr-FR"/>
        </w:rPr>
        <w:t>’</w:t>
      </w:r>
      <w:r w:rsidRPr="000A7A2C">
        <w:rPr>
          <w:lang w:val="fr-FR"/>
        </w:rPr>
        <w:t>éclairage mise sous tension pour assurer ladite fonction et le ou lesdits modes, conformément à la description du demandeur.</w:t>
      </w:r>
      <w:r w:rsidRPr="00C32BEB">
        <w:rPr>
          <w:lang w:val="fr-FR"/>
        </w:rPr>
        <w:t xml:space="preserve"> </w:t>
      </w:r>
      <w:r w:rsidRPr="000A7A2C">
        <w:rPr>
          <w:lang w:val="fr-FR"/>
        </w:rPr>
        <w:t>Des unités d</w:t>
      </w:r>
      <w:r>
        <w:rPr>
          <w:lang w:val="fr-FR"/>
        </w:rPr>
        <w:t>’</w:t>
      </w:r>
      <w:r w:rsidRPr="000A7A2C">
        <w:rPr>
          <w:lang w:val="fr-FR"/>
        </w:rPr>
        <w:t>éclairage séparées peuvent être utilisées pour satisfaire aux prescriptions sous différents angles.</w:t>
      </w:r>
    </w:p>
    <w:p w14:paraId="72FE4950" w14:textId="70ADA20D" w:rsidR="00FE6AEF" w:rsidRPr="000A7A2C" w:rsidRDefault="00FE6AEF" w:rsidP="00FE6AEF">
      <w:pPr>
        <w:pStyle w:val="SingleTxtG"/>
        <w:ind w:left="2268" w:hanging="1134"/>
        <w:rPr>
          <w:rFonts w:eastAsia="Calibri"/>
          <w:lang w:val="fr-FR"/>
        </w:rPr>
      </w:pPr>
      <w:r w:rsidRPr="000A7A2C">
        <w:rPr>
          <w:lang w:val="fr-FR"/>
        </w:rPr>
        <w:t>6.18.5.1</w:t>
      </w:r>
      <w:r w:rsidRPr="00C32BEB">
        <w:rPr>
          <w:lang w:val="fr-FR"/>
        </w:rPr>
        <w:tab/>
      </w:r>
      <w:r w:rsidRPr="000A7A2C">
        <w:rPr>
          <w:lang w:val="fr-FR"/>
        </w:rPr>
        <w:t>Orientation verticale</w:t>
      </w:r>
      <w:r w:rsidR="007C67EB">
        <w:rPr>
          <w:lang w:val="fr-FR"/>
        </w:rPr>
        <w:t> :</w:t>
      </w:r>
    </w:p>
    <w:p w14:paraId="204F6798" w14:textId="0582355F" w:rsidR="00FE6AEF" w:rsidRPr="000A7A2C" w:rsidRDefault="00FE6AEF" w:rsidP="00FE6AEF">
      <w:pPr>
        <w:pStyle w:val="SingleTxtG"/>
        <w:ind w:left="2268"/>
        <w:rPr>
          <w:rFonts w:eastAsia="Calibri"/>
          <w:lang w:val="fr-FR"/>
        </w:rPr>
      </w:pPr>
      <w:r w:rsidRPr="000A7A2C">
        <w:rPr>
          <w:lang w:val="fr-FR"/>
        </w:rPr>
        <w:t>L</w:t>
      </w:r>
      <w:r>
        <w:rPr>
          <w:lang w:val="fr-FR"/>
        </w:rPr>
        <w:t>’</w:t>
      </w:r>
      <w:r w:rsidRPr="000A7A2C">
        <w:rPr>
          <w:lang w:val="fr-FR"/>
        </w:rPr>
        <w:t xml:space="preserve">inclinaison verticale du projecteur doit être réglée selon la procédure décrite aux paragraphes 6.2.5.1 à 6.2.5.4 du </w:t>
      </w:r>
      <w:r w:rsidR="00511018">
        <w:rPr>
          <w:lang w:val="fr-FR"/>
        </w:rPr>
        <w:t>p</w:t>
      </w:r>
      <w:r w:rsidRPr="000A7A2C">
        <w:rPr>
          <w:lang w:val="fr-FR"/>
        </w:rPr>
        <w:t>résent Règlement.</w:t>
      </w:r>
    </w:p>
    <w:p w14:paraId="2145EA7E" w14:textId="77777777" w:rsidR="00FE6AEF" w:rsidRPr="000A7A2C" w:rsidRDefault="00FE6AEF" w:rsidP="00FE6AEF">
      <w:pPr>
        <w:pStyle w:val="SingleTxtG"/>
        <w:ind w:left="2268" w:hanging="1134"/>
        <w:rPr>
          <w:rFonts w:eastAsia="Calibri"/>
          <w:lang w:val="fr-FR"/>
        </w:rPr>
      </w:pPr>
      <w:r w:rsidRPr="000A7A2C">
        <w:rPr>
          <w:lang w:val="fr-FR"/>
        </w:rPr>
        <w:t>6.1</w:t>
      </w:r>
      <w:r>
        <w:rPr>
          <w:lang w:val="fr-FR"/>
        </w:rPr>
        <w:t>8</w:t>
      </w:r>
      <w:r w:rsidRPr="000A7A2C">
        <w:rPr>
          <w:lang w:val="fr-FR"/>
        </w:rPr>
        <w:t>.5.2</w:t>
      </w:r>
      <w:r w:rsidRPr="00C32BEB">
        <w:rPr>
          <w:lang w:val="fr-FR"/>
        </w:rPr>
        <w:tab/>
      </w:r>
      <w:r w:rsidRPr="000A7A2C">
        <w:rPr>
          <w:lang w:val="fr-FR"/>
        </w:rPr>
        <w:t>Système de réglage de l</w:t>
      </w:r>
      <w:r>
        <w:rPr>
          <w:lang w:val="fr-FR"/>
        </w:rPr>
        <w:t>’</w:t>
      </w:r>
      <w:r w:rsidRPr="000A7A2C">
        <w:rPr>
          <w:lang w:val="fr-FR"/>
        </w:rPr>
        <w:t>inclinaison du projecteur</w:t>
      </w:r>
    </w:p>
    <w:p w14:paraId="1241A710" w14:textId="6F461F60" w:rsidR="00FE6AEF" w:rsidRPr="000A7A2C" w:rsidRDefault="00FE6AEF" w:rsidP="00FE6AEF">
      <w:pPr>
        <w:pStyle w:val="SingleTxtG"/>
        <w:ind w:left="2268" w:hanging="1134"/>
        <w:rPr>
          <w:rFonts w:eastAsia="Calibri"/>
          <w:lang w:val="fr-FR"/>
        </w:rPr>
      </w:pPr>
      <w:r w:rsidRPr="000A7A2C">
        <w:rPr>
          <w:lang w:val="fr-FR"/>
        </w:rPr>
        <w:t>6.18.5.2.1</w:t>
      </w:r>
      <w:r w:rsidRPr="00C32BEB">
        <w:rPr>
          <w:lang w:val="fr-FR"/>
        </w:rPr>
        <w:tab/>
      </w:r>
      <w:r w:rsidRPr="000A7A2C">
        <w:rPr>
          <w:lang w:val="fr-FR"/>
        </w:rPr>
        <w:t>Lorsqu</w:t>
      </w:r>
      <w:r>
        <w:rPr>
          <w:lang w:val="fr-FR"/>
        </w:rPr>
        <w:t>’</w:t>
      </w:r>
      <w:r w:rsidRPr="000A7A2C">
        <w:rPr>
          <w:lang w:val="fr-FR"/>
        </w:rPr>
        <w:t>un dispositif de réglage de l</w:t>
      </w:r>
      <w:r>
        <w:rPr>
          <w:lang w:val="fr-FR"/>
        </w:rPr>
        <w:t>’</w:t>
      </w:r>
      <w:r w:rsidRPr="000A7A2C">
        <w:rPr>
          <w:lang w:val="fr-FR"/>
        </w:rPr>
        <w:t>inclinaison des projecteurs est nécessaire pour satisfaire aux prescriptions du paragraphe 6.18.5.1, ce dispositif doit fonctionner automatiquement.</w:t>
      </w:r>
    </w:p>
    <w:p w14:paraId="7BB2C8A1" w14:textId="77777777" w:rsidR="00FE6AEF" w:rsidRPr="000A7A2C" w:rsidRDefault="00FE6AEF" w:rsidP="00FE6AEF">
      <w:pPr>
        <w:pStyle w:val="SingleTxtG"/>
        <w:ind w:left="2268" w:hanging="1134"/>
        <w:rPr>
          <w:rFonts w:eastAsia="Calibri"/>
          <w:lang w:val="fr-FR"/>
        </w:rPr>
      </w:pPr>
      <w:r w:rsidRPr="000A7A2C">
        <w:rPr>
          <w:lang w:val="fr-FR"/>
        </w:rPr>
        <w:t>6.18.5.2.2</w:t>
      </w:r>
      <w:r w:rsidRPr="00C32BEB">
        <w:rPr>
          <w:lang w:val="fr-FR"/>
        </w:rPr>
        <w:tab/>
      </w:r>
      <w:r w:rsidRPr="000A7A2C">
        <w:rPr>
          <w:lang w:val="fr-FR"/>
        </w:rPr>
        <w:t>En cas de défaillance de ce dispositif, le faisceau de croisement ne doit pas revenir dans une position moins rabattue que celle qu</w:t>
      </w:r>
      <w:r>
        <w:rPr>
          <w:lang w:val="fr-FR"/>
        </w:rPr>
        <w:t>’</w:t>
      </w:r>
      <w:r w:rsidRPr="000A7A2C">
        <w:rPr>
          <w:lang w:val="fr-FR"/>
        </w:rPr>
        <w:t>il avait au moment où la défaillance s</w:t>
      </w:r>
      <w:r>
        <w:rPr>
          <w:lang w:val="fr-FR"/>
        </w:rPr>
        <w:t>’</w:t>
      </w:r>
      <w:r w:rsidRPr="000A7A2C">
        <w:rPr>
          <w:lang w:val="fr-FR"/>
        </w:rPr>
        <w:t>est produite.</w:t>
      </w:r>
    </w:p>
    <w:p w14:paraId="14C7D50F" w14:textId="2F2D89C6" w:rsidR="00FE6AEF" w:rsidRPr="000A7A2C" w:rsidRDefault="00FE6AEF" w:rsidP="00FE6AEF">
      <w:pPr>
        <w:pStyle w:val="SingleTxtG"/>
        <w:ind w:left="2268" w:hanging="1134"/>
        <w:rPr>
          <w:rFonts w:eastAsia="Calibri"/>
          <w:lang w:val="fr-FR"/>
        </w:rPr>
      </w:pPr>
      <w:r w:rsidRPr="000A7A2C">
        <w:rPr>
          <w:lang w:val="fr-FR"/>
        </w:rPr>
        <w:t>6.18.5.2.3</w:t>
      </w:r>
      <w:r w:rsidRPr="00C32BEB">
        <w:rPr>
          <w:lang w:val="fr-FR"/>
        </w:rPr>
        <w:tab/>
      </w:r>
      <w:r w:rsidRPr="000A7A2C">
        <w:rPr>
          <w:lang w:val="fr-FR"/>
        </w:rPr>
        <w:t>Méthodes de mesure</w:t>
      </w:r>
      <w:r w:rsidR="007C67EB">
        <w:rPr>
          <w:lang w:val="fr-FR"/>
        </w:rPr>
        <w:t> :</w:t>
      </w:r>
    </w:p>
    <w:p w14:paraId="51454AA2" w14:textId="77777777" w:rsidR="00FE6AEF" w:rsidRPr="000A7A2C" w:rsidRDefault="00FE6AEF" w:rsidP="00FE6AEF">
      <w:pPr>
        <w:pStyle w:val="SingleTxtG"/>
        <w:ind w:left="2268"/>
        <w:rPr>
          <w:rFonts w:eastAsia="Calibri"/>
          <w:lang w:val="fr-FR"/>
        </w:rPr>
      </w:pPr>
      <w:r w:rsidRPr="000A7A2C">
        <w:rPr>
          <w:lang w:val="fr-FR"/>
        </w:rPr>
        <w:t>Après le réglage initial de l</w:t>
      </w:r>
      <w:r>
        <w:rPr>
          <w:lang w:val="fr-FR"/>
        </w:rPr>
        <w:t>’</w:t>
      </w:r>
      <w:r w:rsidRPr="000A7A2C">
        <w:rPr>
          <w:lang w:val="fr-FR"/>
        </w:rPr>
        <w:t>orientation du faisceau de croisement, son orientation verticale ou, le cas échéant, l</w:t>
      </w:r>
      <w:r>
        <w:rPr>
          <w:lang w:val="fr-FR"/>
        </w:rPr>
        <w:t>’</w:t>
      </w:r>
      <w:r w:rsidRPr="000A7A2C">
        <w:rPr>
          <w:lang w:val="fr-FR"/>
        </w:rPr>
        <w:t>orientation verticale des différentes unités d</w:t>
      </w:r>
      <w:r>
        <w:rPr>
          <w:lang w:val="fr-FR"/>
        </w:rPr>
        <w:t>’</w:t>
      </w:r>
      <w:r w:rsidRPr="000A7A2C">
        <w:rPr>
          <w:lang w:val="fr-FR"/>
        </w:rPr>
        <w:t>éclairage qui produisent en partie ou en totalité la ou les lignes de coupure du faisceau de croisement élémentaire, telle que définie au paragraphe 6.18.5.1 ci-dessus, doit être vérifiée dans toutes les conditions de charge du véhicule, conformément aux prescriptions des paragraphes 6.2.5.1 à 6.2.5.4 du présent Règlement.</w:t>
      </w:r>
    </w:p>
    <w:p w14:paraId="6A4D0CCE" w14:textId="77777777" w:rsidR="00FE6AEF" w:rsidRDefault="00FE6AEF" w:rsidP="00FE6AEF">
      <w:pPr>
        <w:pStyle w:val="SingleTxtG"/>
        <w:ind w:left="2268" w:hanging="1134"/>
        <w:rPr>
          <w:lang w:val="fr-FR"/>
        </w:rPr>
      </w:pPr>
      <w:r w:rsidRPr="000A7A2C">
        <w:rPr>
          <w:lang w:val="fr-FR"/>
        </w:rPr>
        <w:t>6.18.5.3</w:t>
      </w:r>
      <w:r w:rsidRPr="00C32BEB">
        <w:rPr>
          <w:lang w:val="fr-FR"/>
        </w:rPr>
        <w:tab/>
      </w:r>
      <w:r w:rsidRPr="000A7A2C">
        <w:rPr>
          <w:lang w:val="fr-FR"/>
        </w:rPr>
        <w:t>Un système de correction de l</w:t>
      </w:r>
      <w:r>
        <w:rPr>
          <w:lang w:val="fr-FR"/>
        </w:rPr>
        <w:t>’</w:t>
      </w:r>
      <w:r w:rsidRPr="000A7A2C">
        <w:rPr>
          <w:lang w:val="fr-FR"/>
        </w:rPr>
        <w:t>inclinaison transversale pour l</w:t>
      </w:r>
      <w:r>
        <w:rPr>
          <w:lang w:val="fr-FR"/>
        </w:rPr>
        <w:t>’</w:t>
      </w:r>
      <w:r w:rsidRPr="000A7A2C">
        <w:rPr>
          <w:lang w:val="fr-FR"/>
        </w:rPr>
        <w:t>AFS peut être installé.</w:t>
      </w:r>
      <w:r w:rsidRPr="00C32BEB">
        <w:rPr>
          <w:lang w:val="fr-FR"/>
        </w:rPr>
        <w:t xml:space="preserve"> </w:t>
      </w:r>
      <w:r w:rsidRPr="000A7A2C">
        <w:rPr>
          <w:lang w:val="fr-FR"/>
        </w:rPr>
        <w:t>Dans ce cas, il doit être satisfait aux prescriptions énoncées aux paragraphes 6.2.5.5 et 6.2.5.6 du présent Règlement.</w:t>
      </w:r>
    </w:p>
    <w:p w14:paraId="28F12084" w14:textId="77777777" w:rsidR="00FE6AEF" w:rsidRDefault="00FE6AEF" w:rsidP="00FE6AEF">
      <w:pPr>
        <w:pStyle w:val="SingleTxtG"/>
        <w:ind w:left="2268" w:hanging="1134"/>
        <w:rPr>
          <w:lang w:val="fr-FR"/>
        </w:rPr>
      </w:pPr>
      <w:r w:rsidRPr="000A7A2C">
        <w:rPr>
          <w:lang w:val="fr-FR"/>
        </w:rPr>
        <w:t>6.18.5.4</w:t>
      </w:r>
      <w:r w:rsidRPr="00C32BEB">
        <w:rPr>
          <w:lang w:val="fr-FR"/>
        </w:rPr>
        <w:tab/>
      </w:r>
      <w:r w:rsidRPr="000A7A2C">
        <w:rPr>
          <w:lang w:val="fr-FR"/>
        </w:rPr>
        <w:t>Une ou plusieurs unités d</w:t>
      </w:r>
      <w:r>
        <w:rPr>
          <w:lang w:val="fr-FR"/>
        </w:rPr>
        <w:t>’</w:t>
      </w:r>
      <w:r w:rsidRPr="000A7A2C">
        <w:rPr>
          <w:lang w:val="fr-FR"/>
        </w:rPr>
        <w:t>éclairage supplémentaires peuvent être mises en fonction conjointement avec l</w:t>
      </w:r>
      <w:r>
        <w:rPr>
          <w:lang w:val="fr-FR"/>
        </w:rPr>
        <w:t>’</w:t>
      </w:r>
      <w:r w:rsidRPr="000A7A2C">
        <w:rPr>
          <w:lang w:val="fr-FR"/>
        </w:rPr>
        <w:t>AFS.</w:t>
      </w:r>
      <w:r w:rsidRPr="00C32BEB">
        <w:rPr>
          <w:lang w:val="fr-FR"/>
        </w:rPr>
        <w:t xml:space="preserve"> </w:t>
      </w:r>
      <w:r w:rsidRPr="000A7A2C">
        <w:rPr>
          <w:lang w:val="fr-FR"/>
        </w:rPr>
        <w:t>Dans ce cas, il doit être satisfait aux prescriptions énoncées aux paragraphes 6.2.5.7 et 6.2.5.8 du présent Règlement.</w:t>
      </w:r>
    </w:p>
    <w:p w14:paraId="45792E16" w14:textId="77777777" w:rsidR="00FE6AEF" w:rsidRPr="000A7A2C" w:rsidRDefault="00FE6AEF" w:rsidP="00FE6AEF">
      <w:pPr>
        <w:pStyle w:val="SingleTxtG"/>
        <w:ind w:left="2268" w:hanging="1134"/>
        <w:rPr>
          <w:rFonts w:eastAsia="Calibri"/>
          <w:lang w:val="fr-FR"/>
        </w:rPr>
      </w:pPr>
      <w:r w:rsidRPr="000A7A2C">
        <w:rPr>
          <w:lang w:val="fr-FR"/>
        </w:rPr>
        <w:t>6.18.6</w:t>
      </w:r>
      <w:r w:rsidRPr="00C32BEB">
        <w:rPr>
          <w:lang w:val="fr-FR"/>
        </w:rPr>
        <w:tab/>
      </w:r>
      <w:r w:rsidRPr="000A7A2C">
        <w:rPr>
          <w:lang w:val="fr-FR"/>
        </w:rPr>
        <w:t>Branchements électriques</w:t>
      </w:r>
    </w:p>
    <w:p w14:paraId="54E9DC6E" w14:textId="26DBF4C9" w:rsidR="00FE6AEF" w:rsidRPr="000A7A2C" w:rsidRDefault="00FE6AEF" w:rsidP="00FE6AEF">
      <w:pPr>
        <w:pStyle w:val="SingleTxtG"/>
        <w:ind w:left="2268" w:hanging="1134"/>
        <w:rPr>
          <w:rFonts w:eastAsia="Calibri"/>
          <w:lang w:val="fr-FR"/>
        </w:rPr>
      </w:pPr>
      <w:r w:rsidRPr="000A7A2C">
        <w:rPr>
          <w:lang w:val="fr-FR"/>
        </w:rPr>
        <w:t>6.1</w:t>
      </w:r>
      <w:r>
        <w:rPr>
          <w:lang w:val="fr-FR"/>
        </w:rPr>
        <w:t>8</w:t>
      </w:r>
      <w:r w:rsidRPr="000A7A2C">
        <w:rPr>
          <w:lang w:val="fr-FR"/>
        </w:rPr>
        <w:t>.6.1</w:t>
      </w:r>
      <w:r w:rsidRPr="00C32BEB">
        <w:rPr>
          <w:lang w:val="fr-FR"/>
        </w:rPr>
        <w:tab/>
      </w:r>
      <w:r w:rsidRPr="000A7A2C">
        <w:rPr>
          <w:lang w:val="fr-FR"/>
        </w:rPr>
        <w:t>Faisceau de croisement</w:t>
      </w:r>
      <w:r w:rsidR="007C67EB">
        <w:rPr>
          <w:lang w:val="fr-FR"/>
        </w:rPr>
        <w:t> :</w:t>
      </w:r>
    </w:p>
    <w:p w14:paraId="2ABA4B05" w14:textId="47455958" w:rsidR="00FE6AEF" w:rsidRDefault="00FE6AEF" w:rsidP="00FE6AEF">
      <w:pPr>
        <w:pStyle w:val="SingleTxtG"/>
        <w:ind w:left="2835" w:hanging="567"/>
        <w:rPr>
          <w:lang w:val="fr-FR"/>
        </w:rPr>
      </w:pPr>
      <w:r w:rsidRPr="000A7A2C">
        <w:rPr>
          <w:lang w:val="fr-FR"/>
        </w:rPr>
        <w:t>a)</w:t>
      </w:r>
      <w:r w:rsidRPr="000A7A2C">
        <w:rPr>
          <w:lang w:val="fr-FR"/>
        </w:rPr>
        <w:tab/>
        <w:t>La commande de passage en faisceau-croisement doit provoquer l</w:t>
      </w:r>
      <w:r>
        <w:rPr>
          <w:lang w:val="fr-FR"/>
        </w:rPr>
        <w:t>’</w:t>
      </w:r>
      <w:r w:rsidRPr="000A7A2C">
        <w:rPr>
          <w:lang w:val="fr-FR"/>
        </w:rPr>
        <w:t>extinction simultanée de tous les feux de route</w:t>
      </w:r>
      <w:r w:rsidR="007C67EB">
        <w:rPr>
          <w:lang w:val="fr-FR"/>
        </w:rPr>
        <w:t> ;</w:t>
      </w:r>
    </w:p>
    <w:p w14:paraId="47DCB73D" w14:textId="5EA94DAF" w:rsidR="00FE6AEF" w:rsidRPr="000A7A2C" w:rsidRDefault="00FE6AEF" w:rsidP="00FE6AEF">
      <w:pPr>
        <w:pStyle w:val="SingleTxtG"/>
        <w:ind w:left="2835" w:hanging="567"/>
        <w:rPr>
          <w:rFonts w:eastAsia="Calibri"/>
          <w:lang w:val="fr-FR"/>
        </w:rPr>
      </w:pPr>
      <w:r w:rsidRPr="000A7A2C">
        <w:rPr>
          <w:lang w:val="fr-FR"/>
        </w:rPr>
        <w:t>b)</w:t>
      </w:r>
      <w:r w:rsidRPr="00C32BEB">
        <w:rPr>
          <w:lang w:val="fr-FR"/>
        </w:rPr>
        <w:tab/>
      </w:r>
      <w:r w:rsidRPr="000A7A2C">
        <w:rPr>
          <w:lang w:val="fr-FR"/>
        </w:rPr>
        <w:t>Les faisceaux de croisement peuvent rester allumés en même temps que les faisceaux de route</w:t>
      </w:r>
      <w:r w:rsidR="007C67EB">
        <w:rPr>
          <w:lang w:val="fr-FR"/>
        </w:rPr>
        <w:t> ;</w:t>
      </w:r>
    </w:p>
    <w:p w14:paraId="796E7061" w14:textId="77777777" w:rsidR="00FE6AEF" w:rsidRPr="000A7A2C" w:rsidRDefault="00FE6AEF" w:rsidP="00FE6AEF">
      <w:pPr>
        <w:pStyle w:val="SingleTxtG"/>
        <w:ind w:left="2835" w:hanging="567"/>
        <w:rPr>
          <w:rFonts w:eastAsia="Calibri"/>
          <w:lang w:val="fr-FR"/>
        </w:rPr>
      </w:pPr>
      <w:r w:rsidRPr="000A7A2C">
        <w:rPr>
          <w:lang w:val="fr-FR"/>
        </w:rPr>
        <w:t>c)</w:t>
      </w:r>
      <w:r w:rsidRPr="00C32BEB">
        <w:rPr>
          <w:lang w:val="fr-FR"/>
        </w:rPr>
        <w:tab/>
      </w:r>
      <w:r w:rsidRPr="000A7A2C">
        <w:rPr>
          <w:lang w:val="fr-FR"/>
        </w:rPr>
        <w:t>Si les unités d</w:t>
      </w:r>
      <w:r>
        <w:rPr>
          <w:lang w:val="fr-FR"/>
        </w:rPr>
        <w:t>’</w:t>
      </w:r>
      <w:r w:rsidRPr="000A7A2C">
        <w:rPr>
          <w:lang w:val="fr-FR"/>
        </w:rPr>
        <w:t>éclairage produisant le faisceau de croisement sont munies de sources lumineuses à décharge, celles-ci doivent rester allumées en même temps que les faisceaux de route.</w:t>
      </w:r>
    </w:p>
    <w:p w14:paraId="1CDA358C" w14:textId="77777777" w:rsidR="00FE6AEF" w:rsidRDefault="00FE6AEF" w:rsidP="00FE6AEF">
      <w:pPr>
        <w:pStyle w:val="SingleTxtG"/>
        <w:ind w:left="2268" w:hanging="1134"/>
        <w:rPr>
          <w:lang w:val="fr-FR"/>
        </w:rPr>
      </w:pPr>
      <w:r w:rsidRPr="000A7A2C">
        <w:rPr>
          <w:lang w:val="fr-FR"/>
        </w:rPr>
        <w:lastRenderedPageBreak/>
        <w:t>6.18.6.2</w:t>
      </w:r>
      <w:r w:rsidRPr="00C32BEB">
        <w:rPr>
          <w:lang w:val="fr-FR"/>
        </w:rPr>
        <w:tab/>
      </w:r>
      <w:r w:rsidRPr="000A7A2C">
        <w:rPr>
          <w:lang w:val="fr-FR"/>
        </w:rPr>
        <w:t>L</w:t>
      </w:r>
      <w:r>
        <w:rPr>
          <w:lang w:val="fr-FR"/>
        </w:rPr>
        <w:t>’</w:t>
      </w:r>
      <w:r w:rsidRPr="000A7A2C">
        <w:rPr>
          <w:lang w:val="fr-FR"/>
        </w:rPr>
        <w:t>allumage et l</w:t>
      </w:r>
      <w:r>
        <w:rPr>
          <w:lang w:val="fr-FR"/>
        </w:rPr>
        <w:t>’</w:t>
      </w:r>
      <w:r w:rsidRPr="000A7A2C">
        <w:rPr>
          <w:lang w:val="fr-FR"/>
        </w:rPr>
        <w:t>extinction des feux de croisement doivent satisfaire aux prescriptions relatives aux branchements électriques énoncées aux paragraphes 5.10 et 6.2.6 du présent Règlement.</w:t>
      </w:r>
    </w:p>
    <w:p w14:paraId="7A44FC85" w14:textId="77777777" w:rsidR="00FE6AEF" w:rsidRPr="000A7A2C" w:rsidRDefault="00FE6AEF" w:rsidP="00FE6AEF">
      <w:pPr>
        <w:pStyle w:val="SingleTxtG"/>
        <w:ind w:left="2268" w:hanging="1134"/>
        <w:rPr>
          <w:rFonts w:eastAsia="Calibri"/>
          <w:lang w:val="fr-FR"/>
        </w:rPr>
      </w:pPr>
      <w:r w:rsidRPr="000A7A2C">
        <w:rPr>
          <w:lang w:val="fr-FR"/>
        </w:rPr>
        <w:t>6.1</w:t>
      </w:r>
      <w:r>
        <w:rPr>
          <w:lang w:val="fr-FR"/>
        </w:rPr>
        <w:t>8</w:t>
      </w:r>
      <w:r w:rsidRPr="000A7A2C">
        <w:rPr>
          <w:lang w:val="fr-FR"/>
        </w:rPr>
        <w:t>.6.3</w:t>
      </w:r>
      <w:r w:rsidRPr="00C32BEB">
        <w:rPr>
          <w:lang w:val="fr-FR"/>
        </w:rPr>
        <w:tab/>
      </w:r>
      <w:r w:rsidRPr="000A7A2C">
        <w:rPr>
          <w:lang w:val="fr-FR"/>
        </w:rPr>
        <w:t>Fonctionnement automatique de l</w:t>
      </w:r>
      <w:r>
        <w:rPr>
          <w:lang w:val="fr-FR"/>
        </w:rPr>
        <w:t>’</w:t>
      </w:r>
      <w:r w:rsidRPr="000A7A2C">
        <w:rPr>
          <w:lang w:val="fr-FR"/>
        </w:rPr>
        <w:t>AFS</w:t>
      </w:r>
    </w:p>
    <w:p w14:paraId="43987127" w14:textId="77777777" w:rsidR="00FE6AEF" w:rsidRPr="000A7A2C" w:rsidRDefault="00FE6AEF" w:rsidP="00FE6AEF">
      <w:pPr>
        <w:pStyle w:val="SingleTxtG"/>
        <w:ind w:left="2268"/>
        <w:rPr>
          <w:rFonts w:eastAsia="Calibri"/>
          <w:lang w:val="fr-FR"/>
        </w:rPr>
      </w:pPr>
      <w:r w:rsidRPr="000A7A2C">
        <w:rPr>
          <w:lang w:val="fr-FR"/>
        </w:rPr>
        <w:t>Les changements entre les classes et modes correspondants des fonctions d</w:t>
      </w:r>
      <w:r>
        <w:rPr>
          <w:lang w:val="fr-FR"/>
        </w:rPr>
        <w:t>’</w:t>
      </w:r>
      <w:r w:rsidRPr="000A7A2C">
        <w:rPr>
          <w:lang w:val="fr-FR"/>
        </w:rPr>
        <w:t>éclairage de l</w:t>
      </w:r>
      <w:r>
        <w:rPr>
          <w:lang w:val="fr-FR"/>
        </w:rPr>
        <w:t>’</w:t>
      </w:r>
      <w:r w:rsidRPr="000A7A2C">
        <w:rPr>
          <w:lang w:val="fr-FR"/>
        </w:rPr>
        <w:t>AFS visées ci-dessous doivent s</w:t>
      </w:r>
      <w:r>
        <w:rPr>
          <w:lang w:val="fr-FR"/>
        </w:rPr>
        <w:t>’</w:t>
      </w:r>
      <w:r w:rsidRPr="000A7A2C">
        <w:rPr>
          <w:lang w:val="fr-FR"/>
        </w:rPr>
        <w:t>effectuer automatiquement sans occasionner de gêne, de distraction ou d</w:t>
      </w:r>
      <w:r>
        <w:rPr>
          <w:lang w:val="fr-FR"/>
        </w:rPr>
        <w:t>’</w:t>
      </w:r>
      <w:r w:rsidRPr="000A7A2C">
        <w:rPr>
          <w:lang w:val="fr-FR"/>
        </w:rPr>
        <w:t>éblouissement, ni pour le conducteur ni pour les autres usagers de la route.</w:t>
      </w:r>
    </w:p>
    <w:p w14:paraId="4A39C24E" w14:textId="77777777" w:rsidR="00FE6AEF" w:rsidRPr="000A7A2C" w:rsidRDefault="00FE6AEF" w:rsidP="00FE6AEF">
      <w:pPr>
        <w:pStyle w:val="SingleTxtG"/>
        <w:ind w:left="2268"/>
        <w:rPr>
          <w:rFonts w:eastAsia="Calibri"/>
          <w:lang w:val="fr-FR"/>
        </w:rPr>
      </w:pPr>
      <w:r w:rsidRPr="000A7A2C">
        <w:rPr>
          <w:lang w:val="fr-FR"/>
        </w:rPr>
        <w:t>Les conditions suivantes s</w:t>
      </w:r>
      <w:r>
        <w:rPr>
          <w:lang w:val="fr-FR"/>
        </w:rPr>
        <w:t>’</w:t>
      </w:r>
      <w:r w:rsidRPr="000A7A2C">
        <w:rPr>
          <w:lang w:val="fr-FR"/>
        </w:rPr>
        <w:t>appliquent lors de l</w:t>
      </w:r>
      <w:r>
        <w:rPr>
          <w:lang w:val="fr-FR"/>
        </w:rPr>
        <w:t>’</w:t>
      </w:r>
      <w:r w:rsidRPr="000A7A2C">
        <w:rPr>
          <w:lang w:val="fr-FR"/>
        </w:rPr>
        <w:t>activation des classes et des modes correspondants du faisceau de croisement et, le cas échéant, du faisceau de route et/ou de l</w:t>
      </w:r>
      <w:r>
        <w:rPr>
          <w:lang w:val="fr-FR"/>
        </w:rPr>
        <w:t>’</w:t>
      </w:r>
      <w:r w:rsidRPr="000A7A2C">
        <w:rPr>
          <w:lang w:val="fr-FR"/>
        </w:rPr>
        <w:t>adaptation du faisceau de route.</w:t>
      </w:r>
    </w:p>
    <w:p w14:paraId="24DFFBB6" w14:textId="77777777" w:rsidR="00FE6AEF" w:rsidRPr="000A7A2C" w:rsidRDefault="00FE6AEF" w:rsidP="00FE6AEF">
      <w:pPr>
        <w:pStyle w:val="SingleTxtG"/>
        <w:ind w:left="2268" w:hanging="1134"/>
        <w:rPr>
          <w:rFonts w:eastAsia="Calibri"/>
          <w:lang w:val="fr-FR"/>
        </w:rPr>
      </w:pPr>
      <w:r w:rsidRPr="000A7A2C">
        <w:rPr>
          <w:lang w:val="fr-FR"/>
        </w:rPr>
        <w:t>6.1</w:t>
      </w:r>
      <w:r>
        <w:rPr>
          <w:lang w:val="fr-FR"/>
        </w:rPr>
        <w:t>8</w:t>
      </w:r>
      <w:r w:rsidRPr="000A7A2C">
        <w:rPr>
          <w:lang w:val="fr-FR"/>
        </w:rPr>
        <w:t>.6.3.1</w:t>
      </w:r>
      <w:r w:rsidRPr="00C32BEB">
        <w:rPr>
          <w:lang w:val="fr-FR"/>
        </w:rPr>
        <w:tab/>
      </w:r>
      <w:r w:rsidRPr="000A7A2C">
        <w:rPr>
          <w:lang w:val="fr-FR"/>
        </w:rPr>
        <w:t>Le ou les modes de la classe C du faisceau de croisement doivent être activés si aucun mode d</w:t>
      </w:r>
      <w:r>
        <w:rPr>
          <w:lang w:val="fr-FR"/>
        </w:rPr>
        <w:t>’</w:t>
      </w:r>
      <w:r w:rsidRPr="000A7A2C">
        <w:rPr>
          <w:lang w:val="fr-FR"/>
        </w:rPr>
        <w:t>une autre classe de faisceau de croisement n</w:t>
      </w:r>
      <w:r>
        <w:rPr>
          <w:lang w:val="fr-FR"/>
        </w:rPr>
        <w:t>’</w:t>
      </w:r>
      <w:r w:rsidRPr="000A7A2C">
        <w:rPr>
          <w:lang w:val="fr-FR"/>
        </w:rPr>
        <w:t>est déjà activé.</w:t>
      </w:r>
    </w:p>
    <w:p w14:paraId="3FC832A2" w14:textId="4BAFE9C2" w:rsidR="00FE6AEF" w:rsidRPr="000A7A2C" w:rsidRDefault="00FE6AEF" w:rsidP="00FE6AEF">
      <w:pPr>
        <w:pStyle w:val="SingleTxtG"/>
        <w:ind w:left="2268" w:hanging="1134"/>
        <w:rPr>
          <w:rFonts w:eastAsia="Calibri"/>
          <w:lang w:val="fr-FR"/>
        </w:rPr>
      </w:pPr>
      <w:r w:rsidRPr="000A7A2C">
        <w:rPr>
          <w:lang w:val="fr-FR"/>
        </w:rPr>
        <w:t>6.18.6.3.2</w:t>
      </w:r>
      <w:r w:rsidRPr="00C32BEB">
        <w:rPr>
          <w:lang w:val="fr-FR"/>
        </w:rPr>
        <w:tab/>
      </w:r>
      <w:r w:rsidRPr="000A7A2C">
        <w:rPr>
          <w:lang w:val="fr-FR"/>
        </w:rPr>
        <w:t>Le ou les modes de la classe V du faisceau de croisement ne doivent fonctionner que si une ou plusieurs des conditions ci-dessous sont automatiquement détectées (application du signal V)</w:t>
      </w:r>
      <w:r w:rsidR="007C67EB">
        <w:rPr>
          <w:lang w:val="fr-FR"/>
        </w:rPr>
        <w:t> :</w:t>
      </w:r>
    </w:p>
    <w:p w14:paraId="7E4B4F8F" w14:textId="08A2134A" w:rsidR="00FE6AEF" w:rsidRPr="000A7A2C" w:rsidRDefault="00FE6AEF" w:rsidP="00FE6AEF">
      <w:pPr>
        <w:pStyle w:val="SingleTxtG"/>
        <w:ind w:left="2835" w:hanging="567"/>
        <w:rPr>
          <w:rFonts w:eastAsia="Calibri"/>
          <w:lang w:val="fr-FR"/>
        </w:rPr>
      </w:pPr>
      <w:r w:rsidRPr="000A7A2C">
        <w:rPr>
          <w:lang w:val="fr-FR"/>
        </w:rPr>
        <w:t>a)</w:t>
      </w:r>
      <w:r w:rsidRPr="00C32BEB">
        <w:rPr>
          <w:lang w:val="fr-FR"/>
        </w:rPr>
        <w:tab/>
      </w:r>
      <w:r w:rsidRPr="000A7A2C">
        <w:rPr>
          <w:lang w:val="fr-FR"/>
        </w:rPr>
        <w:t>Routes en agglomération et vitesse du véhicule ne dépassant pas 60 km/h</w:t>
      </w:r>
      <w:r w:rsidR="007C67EB">
        <w:rPr>
          <w:lang w:val="fr-FR"/>
        </w:rPr>
        <w:t> ;</w:t>
      </w:r>
    </w:p>
    <w:p w14:paraId="2A381191" w14:textId="1484C4CF" w:rsidR="00FE6AEF" w:rsidRPr="000A7A2C" w:rsidRDefault="00FE6AEF" w:rsidP="00FE6AEF">
      <w:pPr>
        <w:pStyle w:val="SingleTxtG"/>
        <w:ind w:left="2835" w:hanging="567"/>
        <w:rPr>
          <w:rFonts w:eastAsia="Calibri"/>
          <w:lang w:val="fr-FR"/>
        </w:rPr>
      </w:pPr>
      <w:r w:rsidRPr="000A7A2C">
        <w:rPr>
          <w:lang w:val="fr-FR"/>
        </w:rPr>
        <w:t>b)</w:t>
      </w:r>
      <w:r w:rsidRPr="00C32BEB">
        <w:rPr>
          <w:lang w:val="fr-FR"/>
        </w:rPr>
        <w:tab/>
      </w:r>
      <w:r w:rsidRPr="000A7A2C">
        <w:rPr>
          <w:lang w:val="fr-FR"/>
        </w:rPr>
        <w:t>Routes équipées d</w:t>
      </w:r>
      <w:r>
        <w:rPr>
          <w:lang w:val="fr-FR"/>
        </w:rPr>
        <w:t>’</w:t>
      </w:r>
      <w:r w:rsidRPr="000A7A2C">
        <w:rPr>
          <w:lang w:val="fr-FR"/>
        </w:rPr>
        <w:t>éclairage et vitesse du véhicule ne dépassant pas 60 km/h</w:t>
      </w:r>
      <w:r w:rsidR="007C67EB">
        <w:rPr>
          <w:lang w:val="fr-FR"/>
        </w:rPr>
        <w:t> ;</w:t>
      </w:r>
    </w:p>
    <w:p w14:paraId="4406C1D1" w14:textId="7E30D335" w:rsidR="00FE6AEF" w:rsidRPr="000A7A2C" w:rsidRDefault="00FE6AEF" w:rsidP="00FE6AEF">
      <w:pPr>
        <w:pStyle w:val="SingleTxtG"/>
        <w:ind w:left="2835" w:hanging="567"/>
        <w:rPr>
          <w:rFonts w:eastAsia="Calibri"/>
          <w:lang w:val="fr-FR"/>
        </w:rPr>
      </w:pPr>
      <w:r w:rsidRPr="000A7A2C">
        <w:rPr>
          <w:lang w:val="fr-FR"/>
        </w:rPr>
        <w:t>c)</w:t>
      </w:r>
      <w:r w:rsidRPr="00C32BEB">
        <w:rPr>
          <w:lang w:val="fr-FR"/>
        </w:rPr>
        <w:tab/>
      </w:r>
      <w:r w:rsidRPr="000A7A2C">
        <w:rPr>
          <w:lang w:val="fr-FR"/>
        </w:rPr>
        <w:t>Luminance du revêtement routier égale à 1</w:t>
      </w:r>
      <w:r w:rsidR="007C67EB">
        <w:rPr>
          <w:lang w:val="fr-FR"/>
        </w:rPr>
        <w:t> </w:t>
      </w:r>
      <w:r w:rsidRPr="000A7A2C">
        <w:rPr>
          <w:lang w:val="fr-FR"/>
        </w:rPr>
        <w:t>cd/m</w:t>
      </w:r>
      <w:r w:rsidRPr="000A7A2C">
        <w:rPr>
          <w:vertAlign w:val="superscript"/>
          <w:lang w:val="fr-FR"/>
        </w:rPr>
        <w:t>2</w:t>
      </w:r>
      <w:r w:rsidRPr="000A7A2C">
        <w:rPr>
          <w:lang w:val="fr-FR"/>
        </w:rPr>
        <w:t xml:space="preserve"> et/ou éclairement routier horizontal constamment supérieur à 10</w:t>
      </w:r>
      <w:r w:rsidR="007C67EB">
        <w:rPr>
          <w:lang w:val="fr-FR"/>
        </w:rPr>
        <w:t> </w:t>
      </w:r>
      <w:r w:rsidRPr="000A7A2C">
        <w:rPr>
          <w:lang w:val="fr-FR"/>
        </w:rPr>
        <w:t>lx</w:t>
      </w:r>
      <w:r w:rsidR="007C67EB">
        <w:rPr>
          <w:lang w:val="fr-FR"/>
        </w:rPr>
        <w:t> ;</w:t>
      </w:r>
    </w:p>
    <w:p w14:paraId="5246361B" w14:textId="77777777" w:rsidR="00FE6AEF" w:rsidRPr="000A7A2C" w:rsidRDefault="00FE6AEF" w:rsidP="00FE6AEF">
      <w:pPr>
        <w:pStyle w:val="SingleTxtG"/>
        <w:ind w:left="2835" w:hanging="567"/>
        <w:rPr>
          <w:rFonts w:eastAsia="Calibri"/>
          <w:lang w:val="fr-FR"/>
        </w:rPr>
      </w:pPr>
      <w:r w:rsidRPr="000A7A2C">
        <w:rPr>
          <w:lang w:val="fr-FR"/>
        </w:rPr>
        <w:t>d)</w:t>
      </w:r>
      <w:r w:rsidRPr="00C32BEB">
        <w:rPr>
          <w:lang w:val="fr-FR"/>
        </w:rPr>
        <w:tab/>
      </w:r>
      <w:r w:rsidRPr="000A7A2C">
        <w:rPr>
          <w:lang w:val="fr-FR"/>
        </w:rPr>
        <w:t>Vitesse du véhicule inférieure ou égale à 50 km/h.</w:t>
      </w:r>
    </w:p>
    <w:p w14:paraId="6A969913" w14:textId="58C31C76" w:rsidR="00FE6AEF" w:rsidRPr="000A7A2C" w:rsidRDefault="00FE6AEF" w:rsidP="00FE6AEF">
      <w:pPr>
        <w:pStyle w:val="SingleTxtG"/>
        <w:keepNext/>
        <w:ind w:left="2268" w:hanging="1134"/>
        <w:rPr>
          <w:rFonts w:eastAsia="Calibri"/>
          <w:lang w:val="fr-FR"/>
        </w:rPr>
      </w:pPr>
      <w:r w:rsidRPr="000A7A2C">
        <w:rPr>
          <w:lang w:val="fr-FR"/>
        </w:rPr>
        <w:t>6.18.6.3.3</w:t>
      </w:r>
      <w:r w:rsidRPr="00C32BEB">
        <w:rPr>
          <w:lang w:val="fr-FR"/>
        </w:rPr>
        <w:tab/>
      </w:r>
      <w:r w:rsidRPr="000A7A2C">
        <w:rPr>
          <w:lang w:val="fr-FR"/>
        </w:rPr>
        <w:t>Le ou les modes de la classe E du faisceau de croisement ne doivent fonctionner que si la vitesse du véhicule dépasse 60 km/h et une ou plusieurs des conditions ci-dessous sont automatiquement détectées</w:t>
      </w:r>
      <w:r w:rsidR="007C67EB">
        <w:rPr>
          <w:lang w:val="fr-FR"/>
        </w:rPr>
        <w:t> :</w:t>
      </w:r>
    </w:p>
    <w:p w14:paraId="2E7B63FE" w14:textId="5C1E234A" w:rsidR="00FE6AEF" w:rsidRPr="000A7A2C" w:rsidRDefault="00FE6AEF" w:rsidP="00F92ECC">
      <w:pPr>
        <w:pStyle w:val="SingleTxtG"/>
        <w:ind w:left="2835" w:hanging="567"/>
        <w:rPr>
          <w:rFonts w:eastAsia="Calibri"/>
          <w:lang w:val="fr-FR"/>
        </w:rPr>
      </w:pPr>
      <w:r w:rsidRPr="000A7A2C">
        <w:rPr>
          <w:lang w:val="fr-FR"/>
        </w:rPr>
        <w:t>a)</w:t>
      </w:r>
      <w:r w:rsidRPr="00C32BEB">
        <w:rPr>
          <w:lang w:val="fr-FR"/>
        </w:rPr>
        <w:tab/>
      </w:r>
      <w:r w:rsidRPr="000A7A2C">
        <w:rPr>
          <w:lang w:val="fr-FR"/>
        </w:rPr>
        <w:t>Les caractéristiques de la route correspondent à celles d</w:t>
      </w:r>
      <w:r>
        <w:rPr>
          <w:lang w:val="fr-FR"/>
        </w:rPr>
        <w:t>’</w:t>
      </w:r>
      <w:r w:rsidRPr="000A7A2C">
        <w:rPr>
          <w:lang w:val="fr-FR"/>
        </w:rPr>
        <w:t>une autoroute</w:t>
      </w:r>
      <w:r w:rsidRPr="000A7A2C">
        <w:rPr>
          <w:rStyle w:val="Appelnotedebasdep"/>
        </w:rPr>
        <w:footnoteReference w:id="3"/>
      </w:r>
      <w:r w:rsidRPr="000A7A2C">
        <w:rPr>
          <w:lang w:val="fr-FR"/>
        </w:rPr>
        <w:t xml:space="preserve"> ou la vitesse du véhicule dépasse 110 km/h (application du signal E)</w:t>
      </w:r>
      <w:r w:rsidR="007C67EB">
        <w:rPr>
          <w:lang w:val="fr-FR"/>
        </w:rPr>
        <w:t> ;</w:t>
      </w:r>
    </w:p>
    <w:p w14:paraId="4EB7C4F0" w14:textId="58BAAC93" w:rsidR="00FE6AEF" w:rsidRPr="000A7A2C" w:rsidRDefault="00FE6AEF" w:rsidP="00FE6AEF">
      <w:pPr>
        <w:pStyle w:val="SingleTxtG"/>
        <w:ind w:left="2835" w:hanging="567"/>
        <w:rPr>
          <w:rFonts w:eastAsia="Calibri"/>
          <w:lang w:val="fr-FR"/>
        </w:rPr>
      </w:pPr>
      <w:r w:rsidRPr="000A7A2C">
        <w:rPr>
          <w:lang w:val="fr-FR"/>
        </w:rPr>
        <w:t>b)</w:t>
      </w:r>
      <w:r w:rsidRPr="00C32BEB">
        <w:rPr>
          <w:lang w:val="fr-FR"/>
        </w:rPr>
        <w:tab/>
      </w:r>
      <w:r w:rsidRPr="000A7A2C">
        <w:rPr>
          <w:lang w:val="fr-FR"/>
        </w:rPr>
        <w:t>Lorsqu</w:t>
      </w:r>
      <w:r>
        <w:rPr>
          <w:lang w:val="fr-FR"/>
        </w:rPr>
        <w:t>’</w:t>
      </w:r>
      <w:r w:rsidRPr="000A7A2C">
        <w:rPr>
          <w:lang w:val="fr-FR"/>
        </w:rPr>
        <w:t>un mode de la classe E du faisceau de croisement est conforme, d</w:t>
      </w:r>
      <w:r>
        <w:rPr>
          <w:lang w:val="fr-FR"/>
        </w:rPr>
        <w:t>’</w:t>
      </w:r>
      <w:r w:rsidRPr="000A7A2C">
        <w:rPr>
          <w:lang w:val="fr-FR"/>
        </w:rPr>
        <w:t>après les documents d</w:t>
      </w:r>
      <w:r>
        <w:rPr>
          <w:lang w:val="fr-FR"/>
        </w:rPr>
        <w:t>’</w:t>
      </w:r>
      <w:r w:rsidRPr="000A7A2C">
        <w:rPr>
          <w:lang w:val="fr-FR"/>
        </w:rPr>
        <w:t>homologation ou la fiche de communication du système, à un ensemble de données du tableau</w:t>
      </w:r>
      <w:r w:rsidR="007C67EB">
        <w:rPr>
          <w:lang w:val="fr-FR"/>
        </w:rPr>
        <w:t xml:space="preserve"> </w:t>
      </w:r>
      <w:r w:rsidRPr="000A7A2C">
        <w:rPr>
          <w:lang w:val="fr-FR"/>
        </w:rPr>
        <w:t>12 du Règlement ONU n</w:t>
      </w:r>
      <w:r w:rsidRPr="000A7A2C">
        <w:rPr>
          <w:vertAlign w:val="superscript"/>
          <w:lang w:val="fr-FR"/>
        </w:rPr>
        <w:t>o</w:t>
      </w:r>
      <w:r w:rsidR="007C67EB">
        <w:rPr>
          <w:lang w:val="fr-FR"/>
        </w:rPr>
        <w:t> </w:t>
      </w:r>
      <w:r w:rsidRPr="000A7A2C">
        <w:rPr>
          <w:lang w:val="fr-FR"/>
        </w:rPr>
        <w:t>149.</w:t>
      </w:r>
    </w:p>
    <w:p w14:paraId="7B0B17D5" w14:textId="05B4291A" w:rsidR="00FE6AEF" w:rsidRPr="000A7A2C" w:rsidRDefault="00FE6AEF" w:rsidP="00FE6AEF">
      <w:pPr>
        <w:pStyle w:val="SingleTxtG"/>
        <w:ind w:left="2268"/>
        <w:rPr>
          <w:rFonts w:eastAsia="Calibri"/>
          <w:lang w:val="fr-FR"/>
        </w:rPr>
      </w:pPr>
      <w:r w:rsidRPr="000A7A2C">
        <w:rPr>
          <w:lang w:val="fr-FR"/>
        </w:rPr>
        <w:t>Ensemble de données E1</w:t>
      </w:r>
      <w:r w:rsidR="007C67EB">
        <w:rPr>
          <w:lang w:val="fr-FR"/>
        </w:rPr>
        <w:t> :</w:t>
      </w:r>
      <w:r w:rsidRPr="000A7A2C">
        <w:rPr>
          <w:lang w:val="fr-FR"/>
        </w:rPr>
        <w:t xml:space="preserve"> vitesse du véhicule supérieure à 100 km/h (application du signal E1)</w:t>
      </w:r>
      <w:r w:rsidR="007C67EB">
        <w:rPr>
          <w:lang w:val="fr-FR"/>
        </w:rPr>
        <w:t> ;</w:t>
      </w:r>
    </w:p>
    <w:p w14:paraId="739E2EC0" w14:textId="7C04A6F2" w:rsidR="00FE6AEF" w:rsidRPr="000A7A2C" w:rsidRDefault="00FE6AEF" w:rsidP="00FE6AEF">
      <w:pPr>
        <w:pStyle w:val="SingleTxtG"/>
        <w:ind w:left="2268"/>
        <w:rPr>
          <w:rFonts w:eastAsia="Calibri"/>
          <w:lang w:val="fr-FR"/>
        </w:rPr>
      </w:pPr>
      <w:r w:rsidRPr="000A7A2C">
        <w:rPr>
          <w:lang w:val="fr-FR"/>
        </w:rPr>
        <w:t>Ensemble de données E2</w:t>
      </w:r>
      <w:r w:rsidR="007C67EB">
        <w:rPr>
          <w:lang w:val="fr-FR"/>
        </w:rPr>
        <w:t> :</w:t>
      </w:r>
      <w:r w:rsidRPr="000A7A2C">
        <w:rPr>
          <w:lang w:val="fr-FR"/>
        </w:rPr>
        <w:t xml:space="preserve"> vitesse du véhicule supérieure à 90 km/h (application du signal E2)</w:t>
      </w:r>
      <w:r w:rsidR="007C67EB">
        <w:rPr>
          <w:lang w:val="fr-FR"/>
        </w:rPr>
        <w:t> ;</w:t>
      </w:r>
    </w:p>
    <w:p w14:paraId="16747D01" w14:textId="7FD8A8AB" w:rsidR="00FE6AEF" w:rsidRPr="000A7A2C" w:rsidRDefault="00FE6AEF" w:rsidP="00FE6AEF">
      <w:pPr>
        <w:pStyle w:val="SingleTxtG"/>
        <w:ind w:left="2268"/>
        <w:rPr>
          <w:rFonts w:eastAsia="Calibri"/>
          <w:lang w:val="fr-FR"/>
        </w:rPr>
      </w:pPr>
      <w:r w:rsidRPr="000A7A2C">
        <w:rPr>
          <w:lang w:val="fr-FR"/>
        </w:rPr>
        <w:t>Ensemble de données E3</w:t>
      </w:r>
      <w:r w:rsidR="007C67EB">
        <w:rPr>
          <w:lang w:val="fr-FR"/>
        </w:rPr>
        <w:t> :</w:t>
      </w:r>
      <w:r w:rsidRPr="000A7A2C">
        <w:rPr>
          <w:lang w:val="fr-FR"/>
        </w:rPr>
        <w:t xml:space="preserve"> vitesse du véhicule supérieure à 80 km/h (application du signal E3).</w:t>
      </w:r>
    </w:p>
    <w:p w14:paraId="0DEC4F95" w14:textId="397DB58C" w:rsidR="00FE6AEF" w:rsidRPr="000A7A2C" w:rsidRDefault="00FE6AEF" w:rsidP="00FE6AEF">
      <w:pPr>
        <w:pStyle w:val="SingleTxtG"/>
        <w:ind w:left="2268" w:hanging="1134"/>
        <w:rPr>
          <w:rFonts w:eastAsia="Calibri"/>
          <w:lang w:val="fr-FR"/>
        </w:rPr>
      </w:pPr>
      <w:r w:rsidRPr="000A7A2C">
        <w:rPr>
          <w:lang w:val="fr-FR"/>
        </w:rPr>
        <w:t>6.1</w:t>
      </w:r>
      <w:r>
        <w:rPr>
          <w:lang w:val="fr-FR"/>
        </w:rPr>
        <w:t>8</w:t>
      </w:r>
      <w:r w:rsidRPr="000A7A2C">
        <w:rPr>
          <w:lang w:val="fr-FR"/>
        </w:rPr>
        <w:t>.6.3.4</w:t>
      </w:r>
      <w:r w:rsidRPr="00C32BEB">
        <w:rPr>
          <w:lang w:val="fr-FR"/>
        </w:rPr>
        <w:tab/>
      </w:r>
      <w:r w:rsidRPr="000A7A2C">
        <w:rPr>
          <w:lang w:val="fr-FR"/>
        </w:rPr>
        <w:t>Le ou les modes de la classe</w:t>
      </w:r>
      <w:r w:rsidR="007C67EB">
        <w:rPr>
          <w:lang w:val="fr-FR"/>
        </w:rPr>
        <w:t xml:space="preserve"> </w:t>
      </w:r>
      <w:r w:rsidRPr="000A7A2C">
        <w:rPr>
          <w:lang w:val="fr-FR"/>
        </w:rPr>
        <w:t>W du faisceau de croisement ne doivent fonctionner que si les feux de brouillard avant, le cas échéant, sont éteints et l</w:t>
      </w:r>
      <w:r>
        <w:rPr>
          <w:lang w:val="fr-FR"/>
        </w:rPr>
        <w:t>’</w:t>
      </w:r>
      <w:r w:rsidRPr="000A7A2C">
        <w:rPr>
          <w:lang w:val="fr-FR"/>
        </w:rPr>
        <w:t>humidité de la route a été détectée automatiquement (application du signal W).</w:t>
      </w:r>
    </w:p>
    <w:p w14:paraId="3DB5ADCB" w14:textId="77777777" w:rsidR="00FE6AEF" w:rsidRPr="000A7A2C" w:rsidRDefault="00FE6AEF" w:rsidP="00FE6AEF">
      <w:pPr>
        <w:pStyle w:val="SingleTxtG"/>
        <w:ind w:left="2268" w:hanging="1134"/>
        <w:rPr>
          <w:rFonts w:eastAsia="Calibri"/>
          <w:lang w:val="fr-FR"/>
        </w:rPr>
      </w:pPr>
      <w:r w:rsidRPr="000A7A2C">
        <w:rPr>
          <w:lang w:val="fr-FR"/>
        </w:rPr>
        <w:t>6.18.6.4</w:t>
      </w:r>
      <w:r w:rsidRPr="00C32BEB">
        <w:rPr>
          <w:lang w:val="fr-FR"/>
        </w:rPr>
        <w:tab/>
      </w:r>
      <w:r w:rsidRPr="000A7A2C">
        <w:rPr>
          <w:lang w:val="fr-FR"/>
        </w:rPr>
        <w:t>Il doit toujours être possible au conducteur de mettre l</w:t>
      </w:r>
      <w:r>
        <w:rPr>
          <w:lang w:val="fr-FR"/>
        </w:rPr>
        <w:t>’</w:t>
      </w:r>
      <w:r w:rsidRPr="000A7A2C">
        <w:rPr>
          <w:lang w:val="fr-FR"/>
        </w:rPr>
        <w:t>AFS en état neutre et de le remettre en fonctionnement automatique.</w:t>
      </w:r>
    </w:p>
    <w:p w14:paraId="7DD91417" w14:textId="77777777" w:rsidR="00FE6AEF" w:rsidRPr="000A7A2C" w:rsidRDefault="00FE6AEF" w:rsidP="00FE6AEF">
      <w:pPr>
        <w:pStyle w:val="SingleTxtG"/>
        <w:ind w:left="2268" w:hanging="1134"/>
        <w:rPr>
          <w:rFonts w:eastAsia="Calibri"/>
          <w:lang w:val="fr-FR"/>
        </w:rPr>
      </w:pPr>
      <w:r w:rsidRPr="000A7A2C">
        <w:rPr>
          <w:lang w:val="fr-FR"/>
        </w:rPr>
        <w:t>6.18.7</w:t>
      </w:r>
      <w:r w:rsidRPr="00C32BEB">
        <w:rPr>
          <w:lang w:val="fr-FR"/>
        </w:rPr>
        <w:tab/>
      </w:r>
      <w:r w:rsidRPr="000A7A2C">
        <w:rPr>
          <w:lang w:val="fr-FR"/>
        </w:rPr>
        <w:t>Témoin</w:t>
      </w:r>
    </w:p>
    <w:p w14:paraId="0BE4C446" w14:textId="77777777" w:rsidR="00FE6AEF" w:rsidRDefault="00FE6AEF" w:rsidP="00FE6AEF">
      <w:pPr>
        <w:pStyle w:val="SingleTxtG"/>
        <w:ind w:left="2268" w:hanging="1134"/>
        <w:rPr>
          <w:lang w:val="fr-FR"/>
        </w:rPr>
      </w:pPr>
      <w:r w:rsidRPr="000A7A2C">
        <w:rPr>
          <w:lang w:val="fr-FR"/>
        </w:rPr>
        <w:lastRenderedPageBreak/>
        <w:t>6.18.7.1</w:t>
      </w:r>
      <w:r w:rsidRPr="00C32BEB">
        <w:rPr>
          <w:lang w:val="fr-FR"/>
        </w:rPr>
        <w:tab/>
      </w:r>
      <w:r w:rsidRPr="000A7A2C">
        <w:rPr>
          <w:lang w:val="fr-FR"/>
        </w:rPr>
        <w:t>Les prescriptions du paragraphe 6.2.7 (pour les feux de croisement) du présent Règlement s</w:t>
      </w:r>
      <w:r>
        <w:rPr>
          <w:lang w:val="fr-FR"/>
        </w:rPr>
        <w:t>’</w:t>
      </w:r>
      <w:r w:rsidRPr="000A7A2C">
        <w:rPr>
          <w:lang w:val="fr-FR"/>
        </w:rPr>
        <w:t>appliquent aux parties correspondantes d</w:t>
      </w:r>
      <w:r>
        <w:rPr>
          <w:lang w:val="fr-FR"/>
        </w:rPr>
        <w:t>’</w:t>
      </w:r>
      <w:r w:rsidRPr="000A7A2C">
        <w:rPr>
          <w:lang w:val="fr-FR"/>
        </w:rPr>
        <w:t>un AFS.</w:t>
      </w:r>
    </w:p>
    <w:p w14:paraId="624A661A" w14:textId="54D6DAF3" w:rsidR="00FE6AEF" w:rsidRPr="000A7A2C" w:rsidRDefault="00FE6AEF" w:rsidP="00FE6AEF">
      <w:pPr>
        <w:pStyle w:val="SingleTxtG"/>
        <w:ind w:left="2268" w:hanging="1134"/>
        <w:rPr>
          <w:rFonts w:eastAsia="Calibri"/>
          <w:lang w:val="fr-FR"/>
        </w:rPr>
      </w:pPr>
      <w:r w:rsidRPr="000A7A2C">
        <w:rPr>
          <w:lang w:val="fr-FR"/>
        </w:rPr>
        <w:t>6.18.7.2</w:t>
      </w:r>
      <w:r w:rsidRPr="00C32BEB">
        <w:rPr>
          <w:lang w:val="fr-FR"/>
        </w:rPr>
        <w:tab/>
      </w:r>
      <w:r w:rsidRPr="000A7A2C">
        <w:rPr>
          <w:lang w:val="fr-FR"/>
        </w:rPr>
        <w:t>L</w:t>
      </w:r>
      <w:r>
        <w:rPr>
          <w:lang w:val="fr-FR"/>
        </w:rPr>
        <w:t>’</w:t>
      </w:r>
      <w:r w:rsidRPr="000A7A2C">
        <w:rPr>
          <w:lang w:val="fr-FR"/>
        </w:rPr>
        <w:t>AFS doit obligatoirement être muni d</w:t>
      </w:r>
      <w:r>
        <w:rPr>
          <w:lang w:val="fr-FR"/>
        </w:rPr>
        <w:t>’</w:t>
      </w:r>
      <w:r w:rsidRPr="000A7A2C">
        <w:rPr>
          <w:lang w:val="fr-FR"/>
        </w:rPr>
        <w:t>un témoin visuel de panne non clignotant.</w:t>
      </w:r>
      <w:r w:rsidRPr="00C32BEB">
        <w:rPr>
          <w:lang w:val="fr-FR"/>
        </w:rPr>
        <w:t xml:space="preserve"> </w:t>
      </w:r>
      <w:r w:rsidRPr="000A7A2C">
        <w:rPr>
          <w:lang w:val="fr-FR"/>
        </w:rPr>
        <w:t>Ce témoin doit être activé chaque fois qu</w:t>
      </w:r>
      <w:r>
        <w:rPr>
          <w:lang w:val="fr-FR"/>
        </w:rPr>
        <w:t>’</w:t>
      </w:r>
      <w:r w:rsidRPr="000A7A2C">
        <w:rPr>
          <w:lang w:val="fr-FR"/>
        </w:rPr>
        <w:t>une défaillance est détectée sur les signaux de commande AFS ou lorsqu</w:t>
      </w:r>
      <w:r>
        <w:rPr>
          <w:lang w:val="fr-FR"/>
        </w:rPr>
        <w:t>’</w:t>
      </w:r>
      <w:r w:rsidRPr="000A7A2C">
        <w:rPr>
          <w:lang w:val="fr-FR"/>
        </w:rPr>
        <w:t>un signal de défaillance est reçu conformément au paragraphe</w:t>
      </w:r>
      <w:r w:rsidR="007C67EB">
        <w:rPr>
          <w:lang w:val="fr-FR"/>
        </w:rPr>
        <w:t xml:space="preserve"> </w:t>
      </w:r>
      <w:r w:rsidRPr="000A7A2C">
        <w:rPr>
          <w:lang w:val="fr-FR"/>
        </w:rPr>
        <w:t>4.13 du Règlement ONU n</w:t>
      </w:r>
      <w:r w:rsidRPr="000A7A2C">
        <w:rPr>
          <w:vertAlign w:val="superscript"/>
          <w:lang w:val="fr-FR"/>
        </w:rPr>
        <w:t>o</w:t>
      </w:r>
      <w:r w:rsidRPr="000A7A2C">
        <w:rPr>
          <w:lang w:val="fr-FR"/>
        </w:rPr>
        <w:t> 149.</w:t>
      </w:r>
      <w:r w:rsidRPr="00C32BEB">
        <w:rPr>
          <w:lang w:val="fr-FR"/>
        </w:rPr>
        <w:t xml:space="preserve"> </w:t>
      </w:r>
      <w:r w:rsidRPr="000A7A2C">
        <w:rPr>
          <w:lang w:val="fr-FR"/>
        </w:rPr>
        <w:t>Le témoin doit rester activé aussi longtemps que dure la défaillance.</w:t>
      </w:r>
      <w:r w:rsidRPr="00C32BEB">
        <w:rPr>
          <w:lang w:val="fr-FR"/>
        </w:rPr>
        <w:t xml:space="preserve"> </w:t>
      </w:r>
      <w:r w:rsidRPr="000A7A2C">
        <w:rPr>
          <w:lang w:val="fr-FR"/>
        </w:rPr>
        <w:t>Il peut être désactivé temporairement mais doit être remis en fonction chaque fois que le dispositif qui met le moteur en marche ou le coupe est activé ou désactivé.</w:t>
      </w:r>
    </w:p>
    <w:p w14:paraId="5B3BE7E2" w14:textId="77777777" w:rsidR="00FE6AEF" w:rsidRPr="000A7A2C" w:rsidRDefault="00FE6AEF" w:rsidP="00FE6AEF">
      <w:pPr>
        <w:pStyle w:val="SingleTxtG"/>
        <w:ind w:left="2268" w:hanging="1134"/>
        <w:rPr>
          <w:rFonts w:eastAsia="Calibri"/>
          <w:lang w:val="fr-FR"/>
        </w:rPr>
      </w:pPr>
      <w:r w:rsidRPr="000A7A2C">
        <w:rPr>
          <w:lang w:val="fr-FR"/>
        </w:rPr>
        <w:t>6.18.8</w:t>
      </w:r>
      <w:r w:rsidRPr="00C32BEB">
        <w:rPr>
          <w:lang w:val="fr-FR"/>
        </w:rPr>
        <w:tab/>
      </w:r>
      <w:r w:rsidRPr="000A7A2C">
        <w:rPr>
          <w:lang w:val="fr-FR"/>
        </w:rPr>
        <w:t>Autres prescriptions</w:t>
      </w:r>
    </w:p>
    <w:p w14:paraId="243BAD48" w14:textId="77777777" w:rsidR="00FE6AEF" w:rsidRPr="000A7A2C" w:rsidRDefault="00FE6AEF" w:rsidP="00FE6AEF">
      <w:pPr>
        <w:pStyle w:val="SingleTxtG"/>
        <w:ind w:left="2268" w:hanging="1134"/>
        <w:rPr>
          <w:rFonts w:eastAsia="Calibri"/>
          <w:lang w:val="fr-FR"/>
        </w:rPr>
      </w:pPr>
      <w:r w:rsidRPr="000A7A2C">
        <w:rPr>
          <w:lang w:val="fr-FR"/>
        </w:rPr>
        <w:t>6.18.8.1</w:t>
      </w:r>
      <w:r w:rsidRPr="00C32BEB">
        <w:rPr>
          <w:lang w:val="fr-FR"/>
        </w:rPr>
        <w:tab/>
      </w:r>
      <w:r w:rsidRPr="000A7A2C">
        <w:rPr>
          <w:lang w:val="fr-FR"/>
        </w:rPr>
        <w:t>Vérification de la conformité avec les prescriptions de fonctionnement automatique de l</w:t>
      </w:r>
      <w:r>
        <w:rPr>
          <w:lang w:val="fr-FR"/>
        </w:rPr>
        <w:t>’</w:t>
      </w:r>
      <w:r w:rsidRPr="000A7A2C">
        <w:rPr>
          <w:lang w:val="fr-FR"/>
        </w:rPr>
        <w:t>AFS</w:t>
      </w:r>
    </w:p>
    <w:p w14:paraId="20737761" w14:textId="634CCFB8" w:rsidR="00FE6AEF" w:rsidRPr="000A7A2C" w:rsidRDefault="00FE6AEF" w:rsidP="00FE6AEF">
      <w:pPr>
        <w:pStyle w:val="SingleTxtG"/>
        <w:ind w:left="2268" w:hanging="1134"/>
        <w:rPr>
          <w:rFonts w:eastAsia="Calibri"/>
          <w:lang w:val="fr-FR"/>
        </w:rPr>
      </w:pPr>
      <w:r w:rsidRPr="000A7A2C">
        <w:rPr>
          <w:lang w:val="fr-FR"/>
        </w:rPr>
        <w:t>6.18.8.1.1</w:t>
      </w:r>
      <w:r w:rsidRPr="00C32BEB">
        <w:rPr>
          <w:lang w:val="fr-FR"/>
        </w:rPr>
        <w:tab/>
      </w:r>
      <w:r w:rsidRPr="000A7A2C">
        <w:rPr>
          <w:lang w:val="fr-FR"/>
        </w:rPr>
        <w:t>Le demandeur devra faire la preuve, par une description concise ou par tout autre moyen acceptable par l</w:t>
      </w:r>
      <w:r>
        <w:rPr>
          <w:lang w:val="fr-FR"/>
        </w:rPr>
        <w:t>’</w:t>
      </w:r>
      <w:r w:rsidRPr="000A7A2C">
        <w:rPr>
          <w:lang w:val="fr-FR"/>
        </w:rPr>
        <w:t>autorité d</w:t>
      </w:r>
      <w:r>
        <w:rPr>
          <w:lang w:val="fr-FR"/>
        </w:rPr>
        <w:t>’</w:t>
      </w:r>
      <w:r w:rsidRPr="000A7A2C">
        <w:rPr>
          <w:lang w:val="fr-FR"/>
        </w:rPr>
        <w:t>homologation de type, de</w:t>
      </w:r>
      <w:r w:rsidR="007C67EB">
        <w:rPr>
          <w:lang w:val="fr-FR"/>
        </w:rPr>
        <w:t> :</w:t>
      </w:r>
    </w:p>
    <w:p w14:paraId="08B77E03" w14:textId="1921CA2B" w:rsidR="00FE6AEF" w:rsidRPr="000A7A2C" w:rsidRDefault="00FE6AEF" w:rsidP="00FE6AEF">
      <w:pPr>
        <w:pStyle w:val="SingleTxtG"/>
        <w:ind w:left="2835" w:hanging="567"/>
        <w:rPr>
          <w:rFonts w:eastAsia="Calibri"/>
          <w:lang w:val="fr-FR"/>
        </w:rPr>
      </w:pPr>
      <w:r w:rsidRPr="000A7A2C">
        <w:rPr>
          <w:lang w:val="fr-FR"/>
        </w:rPr>
        <w:t>a)</w:t>
      </w:r>
      <w:r w:rsidRPr="00C32BEB">
        <w:rPr>
          <w:lang w:val="fr-FR"/>
        </w:rPr>
        <w:tab/>
      </w:r>
      <w:r w:rsidRPr="000A7A2C">
        <w:rPr>
          <w:lang w:val="fr-FR"/>
        </w:rPr>
        <w:t>La correspondance des signaux de commande AFS avec</w:t>
      </w:r>
      <w:r w:rsidR="007C67EB">
        <w:rPr>
          <w:lang w:val="fr-FR"/>
        </w:rPr>
        <w:t> :</w:t>
      </w:r>
    </w:p>
    <w:p w14:paraId="0269EE4B" w14:textId="71523C87" w:rsidR="00FE6AEF" w:rsidRDefault="00FE6AEF" w:rsidP="00FE6AEF">
      <w:pPr>
        <w:pStyle w:val="SingleTxtG"/>
        <w:ind w:left="3402" w:hanging="567"/>
        <w:rPr>
          <w:lang w:val="fr-FR"/>
        </w:rPr>
      </w:pPr>
      <w:r w:rsidRPr="000A7A2C">
        <w:rPr>
          <w:lang w:val="fr-FR"/>
        </w:rPr>
        <w:t>i)</w:t>
      </w:r>
      <w:r w:rsidRPr="00C32BEB">
        <w:rPr>
          <w:lang w:val="fr-FR"/>
        </w:rPr>
        <w:tab/>
      </w:r>
      <w:r w:rsidRPr="000A7A2C">
        <w:rPr>
          <w:lang w:val="fr-FR"/>
        </w:rPr>
        <w:t>La description figurant au paragraphe</w:t>
      </w:r>
      <w:r w:rsidR="007C67EB">
        <w:rPr>
          <w:lang w:val="fr-FR"/>
        </w:rPr>
        <w:t xml:space="preserve"> </w:t>
      </w:r>
      <w:r w:rsidRPr="000A7A2C">
        <w:rPr>
          <w:lang w:val="fr-FR"/>
        </w:rPr>
        <w:t>3.2.8 du présent Règlement</w:t>
      </w:r>
      <w:r w:rsidR="007C67EB">
        <w:rPr>
          <w:lang w:val="fr-FR"/>
        </w:rPr>
        <w:t> ;</w:t>
      </w:r>
      <w:r w:rsidRPr="000A7A2C">
        <w:rPr>
          <w:lang w:val="fr-FR"/>
        </w:rPr>
        <w:t xml:space="preserve"> et</w:t>
      </w:r>
    </w:p>
    <w:p w14:paraId="34E76560" w14:textId="0CAE38EB" w:rsidR="00FE6AEF" w:rsidRDefault="00FE6AEF" w:rsidP="00FE6AEF">
      <w:pPr>
        <w:pStyle w:val="SingleTxtG"/>
        <w:ind w:left="3402" w:hanging="567"/>
        <w:rPr>
          <w:lang w:val="fr-FR"/>
        </w:rPr>
      </w:pPr>
      <w:r w:rsidRPr="000A7A2C">
        <w:rPr>
          <w:lang w:val="fr-FR"/>
        </w:rPr>
        <w:t>ii)</w:t>
      </w:r>
      <w:r w:rsidRPr="00C32BEB">
        <w:rPr>
          <w:lang w:val="fr-FR"/>
        </w:rPr>
        <w:tab/>
      </w:r>
      <w:r w:rsidRPr="000A7A2C">
        <w:rPr>
          <w:lang w:val="fr-FR"/>
        </w:rPr>
        <w:t>Les signaux de commande AFS correspondants définis dans les documents d</w:t>
      </w:r>
      <w:r>
        <w:rPr>
          <w:lang w:val="fr-FR"/>
        </w:rPr>
        <w:t>’</w:t>
      </w:r>
      <w:r w:rsidRPr="000A7A2C">
        <w:rPr>
          <w:lang w:val="fr-FR"/>
        </w:rPr>
        <w:t>homologation de type de l</w:t>
      </w:r>
      <w:r>
        <w:rPr>
          <w:lang w:val="fr-FR"/>
        </w:rPr>
        <w:t>’</w:t>
      </w:r>
      <w:r w:rsidRPr="000A7A2C">
        <w:rPr>
          <w:lang w:val="fr-FR"/>
        </w:rPr>
        <w:t>AFS</w:t>
      </w:r>
      <w:r w:rsidR="007C67EB">
        <w:rPr>
          <w:lang w:val="fr-FR"/>
        </w:rPr>
        <w:t> ;</w:t>
      </w:r>
    </w:p>
    <w:p w14:paraId="2C28DB36" w14:textId="34821EA1" w:rsidR="00FE6AEF" w:rsidRDefault="00FE6AEF" w:rsidP="00FE6AEF">
      <w:pPr>
        <w:pStyle w:val="SingleTxtG"/>
        <w:ind w:left="2835" w:hanging="567"/>
        <w:rPr>
          <w:lang w:val="fr-FR"/>
        </w:rPr>
      </w:pPr>
      <w:r w:rsidRPr="000A7A2C">
        <w:rPr>
          <w:lang w:val="fr-FR"/>
        </w:rPr>
        <w:t>b)</w:t>
      </w:r>
      <w:r w:rsidRPr="00C32BEB">
        <w:rPr>
          <w:lang w:val="fr-FR"/>
        </w:rPr>
        <w:tab/>
      </w:r>
      <w:r w:rsidRPr="000A7A2C">
        <w:rPr>
          <w:lang w:val="fr-FR"/>
        </w:rPr>
        <w:t>La conformité avec les prescriptions de fonctionnement automatique énoncées aux paragraphes</w:t>
      </w:r>
      <w:r w:rsidR="007C67EB">
        <w:rPr>
          <w:lang w:val="fr-FR"/>
        </w:rPr>
        <w:t xml:space="preserve"> </w:t>
      </w:r>
      <w:r w:rsidRPr="000A7A2C">
        <w:rPr>
          <w:lang w:val="fr-FR"/>
        </w:rPr>
        <w:t>6.18.6.3.1 à 6.18.6.3.4 ci</w:t>
      </w:r>
      <w:r w:rsidRPr="000A7A2C">
        <w:rPr>
          <w:lang w:val="fr-FR"/>
        </w:rPr>
        <w:noBreakHyphen/>
        <w:t>dessus.</w:t>
      </w:r>
    </w:p>
    <w:p w14:paraId="366E6E1A" w14:textId="7356BD4E" w:rsidR="00FE6AEF" w:rsidRPr="000A7A2C" w:rsidRDefault="00FE6AEF" w:rsidP="00FE6AEF">
      <w:pPr>
        <w:pStyle w:val="SingleTxtG"/>
        <w:ind w:left="2268" w:hanging="1134"/>
        <w:rPr>
          <w:rFonts w:eastAsia="Calibri"/>
          <w:lang w:val="fr-FR"/>
        </w:rPr>
      </w:pPr>
      <w:r w:rsidRPr="000A7A2C">
        <w:rPr>
          <w:lang w:val="fr-FR"/>
        </w:rPr>
        <w:t>6.18.8.1.2</w:t>
      </w:r>
      <w:r w:rsidRPr="00C32BEB">
        <w:rPr>
          <w:lang w:val="fr-FR"/>
        </w:rPr>
        <w:tab/>
      </w:r>
      <w:r w:rsidRPr="000A7A2C">
        <w:rPr>
          <w:lang w:val="fr-FR"/>
        </w:rPr>
        <w:t>Afin de vérifier si, conformément au paragraphe 6.18.6.3, le fonctionnement automatique de l</w:t>
      </w:r>
      <w:r>
        <w:rPr>
          <w:lang w:val="fr-FR"/>
        </w:rPr>
        <w:t>’</w:t>
      </w:r>
      <w:r w:rsidRPr="000A7A2C">
        <w:rPr>
          <w:lang w:val="fr-FR"/>
        </w:rPr>
        <w:t>AFS en mode feu de route ne provoque aucune gêne, le service technique doit procéder à un essai dans toute situation pertinente eu égard à la commande du système, sur la base de la description faite par le demandeur.</w:t>
      </w:r>
      <w:r w:rsidRPr="00C32BEB">
        <w:rPr>
          <w:lang w:val="fr-FR"/>
        </w:rPr>
        <w:t xml:space="preserve"> </w:t>
      </w:r>
      <w:r w:rsidRPr="000A7A2C">
        <w:rPr>
          <w:lang w:val="fr-FR"/>
        </w:rPr>
        <w:t>Il doit être indiqué si tous les modes sont activés, en fonctionnement ou désactivés conformément à la description du demandeur</w:t>
      </w:r>
      <w:r w:rsidR="007C67EB">
        <w:rPr>
          <w:lang w:val="fr-FR"/>
        </w:rPr>
        <w:t> ;</w:t>
      </w:r>
      <w:r w:rsidRPr="00C32BEB">
        <w:rPr>
          <w:lang w:val="fr-FR"/>
        </w:rPr>
        <w:t xml:space="preserve"> </w:t>
      </w:r>
      <w:r w:rsidRPr="000A7A2C">
        <w:rPr>
          <w:lang w:val="fr-FR"/>
        </w:rPr>
        <w:t>toute défaillance manifeste (angle excessif ou scintillement par exemple) doit entraîner une contestation.</w:t>
      </w:r>
    </w:p>
    <w:p w14:paraId="458299DC" w14:textId="77777777" w:rsidR="00FE6AEF" w:rsidRPr="000A7A2C" w:rsidRDefault="00FE6AEF" w:rsidP="00FE6AEF">
      <w:pPr>
        <w:pStyle w:val="SingleTxtG"/>
        <w:ind w:left="2268" w:hanging="1134"/>
        <w:rPr>
          <w:rFonts w:eastAsia="Calibri"/>
          <w:lang w:val="fr-FR"/>
        </w:rPr>
      </w:pPr>
      <w:r w:rsidRPr="000A7A2C">
        <w:rPr>
          <w:lang w:val="fr-FR"/>
        </w:rPr>
        <w:t>6.18.8.1.3</w:t>
      </w:r>
      <w:r w:rsidRPr="00C32BEB">
        <w:rPr>
          <w:lang w:val="fr-FR"/>
        </w:rPr>
        <w:tab/>
      </w:r>
      <w:r w:rsidRPr="000A7A2C">
        <w:rPr>
          <w:lang w:val="fr-FR"/>
        </w:rPr>
        <w:t>Le fabricant doit fournir la preuve du fonctionnement général de la commande automatique à l</w:t>
      </w:r>
      <w:r>
        <w:rPr>
          <w:lang w:val="fr-FR"/>
        </w:rPr>
        <w:t>’</w:t>
      </w:r>
      <w:r w:rsidRPr="000A7A2C">
        <w:rPr>
          <w:lang w:val="fr-FR"/>
        </w:rPr>
        <w:t>aide d</w:t>
      </w:r>
      <w:r>
        <w:rPr>
          <w:lang w:val="fr-FR"/>
        </w:rPr>
        <w:t>’</w:t>
      </w:r>
      <w:r w:rsidRPr="000A7A2C">
        <w:rPr>
          <w:lang w:val="fr-FR"/>
        </w:rPr>
        <w:t>une documentation ou de tout autre moyen agréé par l</w:t>
      </w:r>
      <w:r>
        <w:rPr>
          <w:lang w:val="fr-FR"/>
        </w:rPr>
        <w:t>’</w:t>
      </w:r>
      <w:r w:rsidRPr="000A7A2C">
        <w:rPr>
          <w:lang w:val="fr-FR"/>
        </w:rPr>
        <w:t>autorité d</w:t>
      </w:r>
      <w:r>
        <w:rPr>
          <w:lang w:val="fr-FR"/>
        </w:rPr>
        <w:t>’</w:t>
      </w:r>
      <w:r w:rsidRPr="000A7A2C">
        <w:rPr>
          <w:lang w:val="fr-FR"/>
        </w:rPr>
        <w:t>homologation de type.</w:t>
      </w:r>
      <w:r w:rsidRPr="00C32BEB">
        <w:rPr>
          <w:lang w:val="fr-FR"/>
        </w:rPr>
        <w:t xml:space="preserve"> </w:t>
      </w:r>
      <w:r w:rsidRPr="000A7A2C">
        <w:rPr>
          <w:lang w:val="fr-FR"/>
        </w:rPr>
        <w:t>Il doit en outre fournir un dossier renseignant sur la conception du “concept de sécurité” du système.</w:t>
      </w:r>
      <w:r w:rsidRPr="00C32BEB">
        <w:rPr>
          <w:lang w:val="fr-FR"/>
        </w:rPr>
        <w:t xml:space="preserve"> </w:t>
      </w:r>
      <w:r w:rsidRPr="000A7A2C">
        <w:rPr>
          <w:lang w:val="fr-FR"/>
        </w:rPr>
        <w:t>Le “concept de sécurité” est une description des caractéristiques intégrées à la conception, par exemple dans les modules électroniques, de manière à assurer la fiabilité du système et, partant, la sécurité de son fonctionnement, même en cas de panne mécanique ou électrique susceptible d</w:t>
      </w:r>
      <w:r>
        <w:rPr>
          <w:lang w:val="fr-FR"/>
        </w:rPr>
        <w:t>’</w:t>
      </w:r>
      <w:r w:rsidRPr="000A7A2C">
        <w:rPr>
          <w:lang w:val="fr-FR"/>
        </w:rPr>
        <w:t>occasionner une gêne, une distraction ou un éblouissement pour le conducteur, les véhicules venant en sens inverse ou les véhicules en aval.</w:t>
      </w:r>
      <w:r w:rsidRPr="00C32BEB">
        <w:rPr>
          <w:lang w:val="fr-FR"/>
        </w:rPr>
        <w:t xml:space="preserve"> </w:t>
      </w:r>
      <w:r w:rsidRPr="000A7A2C">
        <w:rPr>
          <w:lang w:val="fr-FR"/>
        </w:rPr>
        <w:t>La description susmentionnée doit aussi contenir une explication simple de toutes les fonctions de commande du “système” et des méthodes appliquées pour atteindre les objectifs visés, notamment une description du ou des mécanismes par lesquels les fonctions de commande sont exercées.</w:t>
      </w:r>
    </w:p>
    <w:p w14:paraId="3E557286" w14:textId="41BAAE75" w:rsidR="00FE6AEF" w:rsidRPr="000A7A2C" w:rsidRDefault="00FE6AEF" w:rsidP="00FE6AEF">
      <w:pPr>
        <w:pStyle w:val="SingleTxtG"/>
        <w:ind w:left="2268"/>
        <w:rPr>
          <w:rFonts w:eastAsia="Calibri"/>
          <w:lang w:val="fr-FR"/>
        </w:rPr>
      </w:pPr>
      <w:r w:rsidRPr="000A7A2C">
        <w:rPr>
          <w:lang w:val="fr-FR"/>
        </w:rPr>
        <w:t>Une liste de toutes les variables d</w:t>
      </w:r>
      <w:r>
        <w:rPr>
          <w:lang w:val="fr-FR"/>
        </w:rPr>
        <w:t>’</w:t>
      </w:r>
      <w:r w:rsidRPr="000A7A2C">
        <w:rPr>
          <w:lang w:val="fr-FR"/>
        </w:rPr>
        <w:t>entrée et de captage doit être fournie, et la gamme de fonctionnement correspondante doit être définie.</w:t>
      </w:r>
      <w:r w:rsidRPr="00C32BEB">
        <w:rPr>
          <w:lang w:val="fr-FR"/>
        </w:rPr>
        <w:t xml:space="preserve"> </w:t>
      </w:r>
      <w:r w:rsidRPr="000A7A2C">
        <w:rPr>
          <w:lang w:val="fr-FR"/>
        </w:rPr>
        <w:t>La possibilité de revenir à la fonction de feu de croisement élémentaire (classe</w:t>
      </w:r>
      <w:r w:rsidR="007C67EB">
        <w:rPr>
          <w:lang w:val="fr-FR"/>
        </w:rPr>
        <w:t xml:space="preserve"> </w:t>
      </w:r>
      <w:r w:rsidRPr="000A7A2C">
        <w:rPr>
          <w:lang w:val="fr-FR"/>
        </w:rPr>
        <w:t>C) doit faire partie du concept de sécurité.</w:t>
      </w:r>
    </w:p>
    <w:p w14:paraId="6F176434" w14:textId="77777777" w:rsidR="00FE6AEF" w:rsidRPr="000A7A2C" w:rsidRDefault="00FE6AEF" w:rsidP="00FE6AEF">
      <w:pPr>
        <w:pStyle w:val="SingleTxtG"/>
        <w:ind w:left="2268"/>
        <w:rPr>
          <w:rFonts w:eastAsia="Calibri"/>
          <w:lang w:val="fr-FR"/>
        </w:rPr>
      </w:pPr>
      <w:r w:rsidRPr="000A7A2C">
        <w:rPr>
          <w:lang w:val="fr-FR"/>
        </w:rPr>
        <w:t>Les fonctions du “système” et le concept de sécurité, tels qu</w:t>
      </w:r>
      <w:r>
        <w:rPr>
          <w:lang w:val="fr-FR"/>
        </w:rPr>
        <w:t>’</w:t>
      </w:r>
      <w:r w:rsidRPr="000A7A2C">
        <w:rPr>
          <w:lang w:val="fr-FR"/>
        </w:rPr>
        <w:t>ils sont définis par le fabricant, doivent être expliqués.</w:t>
      </w:r>
      <w:r w:rsidRPr="00C32BEB">
        <w:rPr>
          <w:lang w:val="fr-FR"/>
        </w:rPr>
        <w:t xml:space="preserve"> </w:t>
      </w:r>
      <w:r w:rsidRPr="000A7A2C">
        <w:rPr>
          <w:lang w:val="fr-FR"/>
        </w:rPr>
        <w:t>Le dossier doit être bref mais montrer que, pour la conception et la mise au point, on a tiré parti de l</w:t>
      </w:r>
      <w:r>
        <w:rPr>
          <w:lang w:val="fr-FR"/>
        </w:rPr>
        <w:t>’</w:t>
      </w:r>
      <w:r w:rsidRPr="000A7A2C">
        <w:rPr>
          <w:lang w:val="fr-FR"/>
        </w:rPr>
        <w:t>expérience acquise dans tous les domaines concernés.</w:t>
      </w:r>
    </w:p>
    <w:p w14:paraId="6F6C23D0" w14:textId="77777777" w:rsidR="00FE6AEF" w:rsidRPr="000A7A2C" w:rsidRDefault="00FE6AEF" w:rsidP="00F92ECC">
      <w:pPr>
        <w:pStyle w:val="SingleTxtG"/>
        <w:keepNext/>
        <w:ind w:left="2268"/>
        <w:rPr>
          <w:rFonts w:eastAsia="Calibri"/>
          <w:lang w:val="fr-FR"/>
        </w:rPr>
      </w:pPr>
      <w:r w:rsidRPr="000A7A2C">
        <w:rPr>
          <w:lang w:val="fr-FR"/>
        </w:rPr>
        <w:lastRenderedPageBreak/>
        <w:t>Aux fins du contrôle technique périodique, le dossier doit indiquer comment vérifier l</w:t>
      </w:r>
      <w:r>
        <w:rPr>
          <w:lang w:val="fr-FR"/>
        </w:rPr>
        <w:t>’</w:t>
      </w:r>
      <w:r w:rsidRPr="000A7A2C">
        <w:rPr>
          <w:lang w:val="fr-FR"/>
        </w:rPr>
        <w:t>état de fonctionnement actuel du “système”.</w:t>
      </w:r>
    </w:p>
    <w:p w14:paraId="22A6C565" w14:textId="77777777" w:rsidR="00FE6AEF" w:rsidRPr="000A7A2C" w:rsidRDefault="00FE6AEF" w:rsidP="00FE6AEF">
      <w:pPr>
        <w:pStyle w:val="SingleTxtG"/>
        <w:ind w:left="2268"/>
        <w:rPr>
          <w:rFonts w:eastAsia="Calibri"/>
          <w:lang w:val="fr-FR"/>
        </w:rPr>
      </w:pPr>
      <w:r w:rsidRPr="000A7A2C">
        <w:rPr>
          <w:lang w:val="fr-FR"/>
        </w:rPr>
        <w:t>Aux fins de l</w:t>
      </w:r>
      <w:r>
        <w:rPr>
          <w:lang w:val="fr-FR"/>
        </w:rPr>
        <w:t>’</w:t>
      </w:r>
      <w:r w:rsidRPr="000A7A2C">
        <w:rPr>
          <w:lang w:val="fr-FR"/>
        </w:rPr>
        <w:t>homologation de type, le dossier servira de référence de base pour le processus de vérification.</w:t>
      </w:r>
      <w:r w:rsidRPr="00C32BEB">
        <w:rPr>
          <w:lang w:val="fr-FR"/>
        </w:rPr>
        <w:t> ».</w:t>
      </w:r>
    </w:p>
    <w:p w14:paraId="02A0F17F" w14:textId="2F6BAA5E" w:rsidR="00F9573C" w:rsidRPr="00FE6AEF" w:rsidRDefault="00FE6AEF" w:rsidP="00FE6AEF">
      <w:pPr>
        <w:pStyle w:val="SingleTxtG"/>
        <w:spacing w:before="240" w:after="0"/>
        <w:jc w:val="center"/>
        <w:rPr>
          <w:u w:val="single"/>
        </w:rPr>
      </w:pPr>
      <w:r>
        <w:rPr>
          <w:u w:val="single"/>
        </w:rPr>
        <w:tab/>
      </w:r>
      <w:r>
        <w:rPr>
          <w:u w:val="single"/>
        </w:rPr>
        <w:tab/>
      </w:r>
      <w:r>
        <w:rPr>
          <w:u w:val="single"/>
        </w:rPr>
        <w:tab/>
      </w:r>
      <w:r>
        <w:rPr>
          <w:u w:val="single"/>
        </w:rPr>
        <w:tab/>
      </w:r>
    </w:p>
    <w:sectPr w:rsidR="00F9573C" w:rsidRPr="00FE6AEF" w:rsidSect="00A2405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AB28" w14:textId="77777777" w:rsidR="00694FB0" w:rsidRDefault="00694FB0" w:rsidP="00F95C08">
      <w:pPr>
        <w:spacing w:line="240" w:lineRule="auto"/>
      </w:pPr>
    </w:p>
  </w:endnote>
  <w:endnote w:type="continuationSeparator" w:id="0">
    <w:p w14:paraId="0FEB49B4" w14:textId="77777777" w:rsidR="00694FB0" w:rsidRPr="00AC3823" w:rsidRDefault="00694FB0" w:rsidP="00AC3823">
      <w:pPr>
        <w:pStyle w:val="Pieddepage"/>
      </w:pPr>
    </w:p>
  </w:endnote>
  <w:endnote w:type="continuationNotice" w:id="1">
    <w:p w14:paraId="0A2807A6" w14:textId="77777777" w:rsidR="00694FB0" w:rsidRDefault="00694F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5F26" w14:textId="7B31E990" w:rsidR="00A2405A" w:rsidRPr="00A2405A" w:rsidRDefault="00A2405A" w:rsidP="00A2405A">
    <w:pPr>
      <w:pStyle w:val="Pieddepage"/>
      <w:tabs>
        <w:tab w:val="right" w:pos="9638"/>
      </w:tabs>
    </w:pPr>
    <w:r w:rsidRPr="00A2405A">
      <w:rPr>
        <w:b/>
        <w:sz w:val="18"/>
      </w:rPr>
      <w:fldChar w:fldCharType="begin"/>
    </w:r>
    <w:r w:rsidRPr="00A2405A">
      <w:rPr>
        <w:b/>
        <w:sz w:val="18"/>
      </w:rPr>
      <w:instrText xml:space="preserve"> PAGE  \* MERGEFORMAT </w:instrText>
    </w:r>
    <w:r w:rsidRPr="00A2405A">
      <w:rPr>
        <w:b/>
        <w:sz w:val="18"/>
      </w:rPr>
      <w:fldChar w:fldCharType="separate"/>
    </w:r>
    <w:r w:rsidRPr="00A2405A">
      <w:rPr>
        <w:b/>
        <w:noProof/>
        <w:sz w:val="18"/>
      </w:rPr>
      <w:t>2</w:t>
    </w:r>
    <w:r w:rsidRPr="00A2405A">
      <w:rPr>
        <w:b/>
        <w:sz w:val="18"/>
      </w:rPr>
      <w:fldChar w:fldCharType="end"/>
    </w:r>
    <w:r>
      <w:rPr>
        <w:b/>
        <w:sz w:val="18"/>
      </w:rPr>
      <w:tab/>
    </w:r>
    <w:r>
      <w:t>GE.23-25740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C8F2" w14:textId="6EEBE7A5" w:rsidR="00A2405A" w:rsidRPr="00A2405A" w:rsidRDefault="00A2405A" w:rsidP="00A2405A">
    <w:pPr>
      <w:pStyle w:val="Pieddepage"/>
      <w:tabs>
        <w:tab w:val="right" w:pos="9638"/>
      </w:tabs>
      <w:rPr>
        <w:b/>
        <w:sz w:val="18"/>
      </w:rPr>
    </w:pPr>
    <w:r>
      <w:t>GE.23-25740</w:t>
    </w:r>
    <w:r>
      <w:tab/>
    </w:r>
    <w:r w:rsidRPr="00A2405A">
      <w:rPr>
        <w:b/>
        <w:sz w:val="18"/>
      </w:rPr>
      <w:fldChar w:fldCharType="begin"/>
    </w:r>
    <w:r w:rsidRPr="00A2405A">
      <w:rPr>
        <w:b/>
        <w:sz w:val="18"/>
      </w:rPr>
      <w:instrText xml:space="preserve"> PAGE  \* MERGEFORMAT </w:instrText>
    </w:r>
    <w:r w:rsidRPr="00A2405A">
      <w:rPr>
        <w:b/>
        <w:sz w:val="18"/>
      </w:rPr>
      <w:fldChar w:fldCharType="separate"/>
    </w:r>
    <w:r w:rsidRPr="00A2405A">
      <w:rPr>
        <w:b/>
        <w:noProof/>
        <w:sz w:val="18"/>
      </w:rPr>
      <w:t>3</w:t>
    </w:r>
    <w:r w:rsidRPr="00A240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B054" w14:textId="43341928" w:rsidR="007F20FA" w:rsidRPr="00A2405A" w:rsidRDefault="00A2405A" w:rsidP="00A2405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3A9E7FB" wp14:editId="6782F8C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23-25740  (F)</w:t>
    </w:r>
    <w:r>
      <w:rPr>
        <w:noProof/>
        <w:sz w:val="20"/>
      </w:rPr>
      <w:drawing>
        <wp:anchor distT="0" distB="0" distL="114300" distR="114300" simplePos="0" relativeHeight="251660288" behindDoc="0" locked="0" layoutInCell="1" allowOverlap="1" wp14:anchorId="122541CA" wp14:editId="6E8FD9C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120124    120124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AD42" w14:textId="77777777" w:rsidR="00694FB0" w:rsidRPr="00AC3823" w:rsidRDefault="00694FB0" w:rsidP="00AC3823">
      <w:pPr>
        <w:pStyle w:val="Pieddepage"/>
        <w:tabs>
          <w:tab w:val="right" w:pos="2155"/>
        </w:tabs>
        <w:spacing w:after="80" w:line="240" w:lineRule="atLeast"/>
        <w:ind w:left="680"/>
        <w:rPr>
          <w:u w:val="single"/>
        </w:rPr>
      </w:pPr>
      <w:r>
        <w:rPr>
          <w:u w:val="single"/>
        </w:rPr>
        <w:tab/>
      </w:r>
    </w:p>
  </w:footnote>
  <w:footnote w:type="continuationSeparator" w:id="0">
    <w:p w14:paraId="60D76398" w14:textId="77777777" w:rsidR="00694FB0" w:rsidRPr="00AC3823" w:rsidRDefault="00694FB0" w:rsidP="00AC3823">
      <w:pPr>
        <w:pStyle w:val="Pieddepage"/>
        <w:tabs>
          <w:tab w:val="right" w:pos="2155"/>
        </w:tabs>
        <w:spacing w:after="80" w:line="240" w:lineRule="atLeast"/>
        <w:ind w:left="680"/>
        <w:rPr>
          <w:u w:val="single"/>
        </w:rPr>
      </w:pPr>
      <w:r>
        <w:rPr>
          <w:u w:val="single"/>
        </w:rPr>
        <w:tab/>
      </w:r>
    </w:p>
  </w:footnote>
  <w:footnote w:type="continuationNotice" w:id="1">
    <w:p w14:paraId="2E9B20C6" w14:textId="77777777" w:rsidR="00694FB0" w:rsidRPr="00AC3823" w:rsidRDefault="00694FB0">
      <w:pPr>
        <w:spacing w:line="240" w:lineRule="auto"/>
        <w:rPr>
          <w:sz w:val="2"/>
          <w:szCs w:val="2"/>
        </w:rPr>
      </w:pPr>
    </w:p>
  </w:footnote>
  <w:footnote w:id="2">
    <w:p w14:paraId="72EF7DA5" w14:textId="77777777" w:rsidR="00FE6AEF" w:rsidRPr="0080754F" w:rsidRDefault="00FE6AEF" w:rsidP="00FE6AEF">
      <w:pPr>
        <w:pStyle w:val="Notedebasdepage"/>
      </w:pPr>
      <w:r>
        <w:rPr>
          <w:rStyle w:val="Appelnotedebasdep"/>
        </w:rPr>
        <w:tab/>
      </w:r>
      <w:r w:rsidRPr="0080754F">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68B4077E" w14:textId="77777777" w:rsidR="00FE6AEF" w:rsidRPr="0042624C" w:rsidRDefault="00FE6AEF" w:rsidP="00FE6AEF">
      <w:pPr>
        <w:pStyle w:val="Notedebasdepage"/>
      </w:pPr>
      <w:r w:rsidRPr="0042624C">
        <w:tab/>
      </w:r>
      <w:r w:rsidRPr="000A7A2C">
        <w:rPr>
          <w:rStyle w:val="Appelnotedebasdep"/>
        </w:rPr>
        <w:footnoteRef/>
      </w:r>
      <w:r w:rsidRPr="0042624C">
        <w:tab/>
      </w:r>
      <w:r w:rsidRPr="000A7A2C">
        <w:rPr>
          <w:lang w:val="fr-FR"/>
        </w:rPr>
        <w:t>Les deux sens de circulation étant séparés par une infrastructure routière ou par un écartement matérialisé vis-à-vis de la circulation inverse.</w:t>
      </w:r>
      <w:r w:rsidRPr="0042624C">
        <w:rPr>
          <w:lang w:val="fr-FR"/>
        </w:rPr>
        <w:t xml:space="preserve"> </w:t>
      </w:r>
      <w:r w:rsidRPr="000A7A2C">
        <w:rPr>
          <w:lang w:val="fr-FR"/>
        </w:rPr>
        <w:t>Cela implique une réduction de l’éblouissement excessif provoqué par les projecteurs des véhicules de la circulation inverse.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4C72" w14:textId="634FF8EC" w:rsidR="00A2405A" w:rsidRPr="00A2405A" w:rsidRDefault="00A2405A">
    <w:pPr>
      <w:pStyle w:val="En-tte"/>
    </w:pPr>
    <w:fldSimple w:instr=" TITLE  \* MERGEFORMAT ">
      <w:r>
        <w:t>ECE/TRANS/WP.29/2024/29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BAB4" w14:textId="31F2359B" w:rsidR="00A2405A" w:rsidRPr="00A2405A" w:rsidRDefault="00A2405A" w:rsidP="00A2405A">
    <w:pPr>
      <w:pStyle w:val="En-tte"/>
      <w:jc w:val="right"/>
    </w:pPr>
    <w:fldSimple w:instr=" TITLE  \* MERGEFORMAT ">
      <w:r>
        <w:t>ECE/TRANS/WP.29/2024/29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B0"/>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11018"/>
    <w:rsid w:val="005505B7"/>
    <w:rsid w:val="00573BE5"/>
    <w:rsid w:val="00586ED3"/>
    <w:rsid w:val="00596AA9"/>
    <w:rsid w:val="00694FB0"/>
    <w:rsid w:val="0071601D"/>
    <w:rsid w:val="007A62E6"/>
    <w:rsid w:val="007C67EB"/>
    <w:rsid w:val="007F20FA"/>
    <w:rsid w:val="0080684C"/>
    <w:rsid w:val="00871C75"/>
    <w:rsid w:val="008776DC"/>
    <w:rsid w:val="008D5EF9"/>
    <w:rsid w:val="009446C0"/>
    <w:rsid w:val="009500C1"/>
    <w:rsid w:val="009705C8"/>
    <w:rsid w:val="009C1CF4"/>
    <w:rsid w:val="009F6B74"/>
    <w:rsid w:val="00A2405A"/>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D42F9"/>
    <w:rsid w:val="00DF6678"/>
    <w:rsid w:val="00E0299A"/>
    <w:rsid w:val="00E85C74"/>
    <w:rsid w:val="00EA6547"/>
    <w:rsid w:val="00ED7237"/>
    <w:rsid w:val="00EF2E22"/>
    <w:rsid w:val="00F35BAF"/>
    <w:rsid w:val="00F660DF"/>
    <w:rsid w:val="00F92ECC"/>
    <w:rsid w:val="00F94664"/>
    <w:rsid w:val="00F9573C"/>
    <w:rsid w:val="00F95C08"/>
    <w:rsid w:val="00FE6AE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46BE3"/>
  <w15:docId w15:val="{C704F3E9-0A83-4AD9-BA34-D021FD16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AC789E-7503-403D-90D0-4AC2AD6FAFA9}"/>
</file>

<file path=customXml/itemProps2.xml><?xml version="1.0" encoding="utf-8"?>
<ds:datastoreItem xmlns:ds="http://schemas.openxmlformats.org/officeDocument/2006/customXml" ds:itemID="{8D4E582E-467C-4723-8C1F-AF440AF74E81}"/>
</file>

<file path=docProps/app.xml><?xml version="1.0" encoding="utf-8"?>
<Properties xmlns="http://schemas.openxmlformats.org/officeDocument/2006/extended-properties" xmlns:vt="http://schemas.openxmlformats.org/officeDocument/2006/docPropsVTypes">
  <Template>ECE_TRANS.dotm</Template>
  <TotalTime>0</TotalTime>
  <Pages>7</Pages>
  <Words>2035</Words>
  <Characters>14250</Characters>
  <Application>Microsoft Office Word</Application>
  <DocSecurity>0</DocSecurity>
  <Lines>1187</Lines>
  <Paragraphs>651</Paragraphs>
  <ScaleCrop>false</ScaleCrop>
  <HeadingPairs>
    <vt:vector size="2" baseType="variant">
      <vt:variant>
        <vt:lpstr>Titre</vt:lpstr>
      </vt:variant>
      <vt:variant>
        <vt:i4>1</vt:i4>
      </vt:variant>
    </vt:vector>
  </HeadingPairs>
  <TitlesOfParts>
    <vt:vector size="1" baseType="lpstr">
      <vt:lpstr>ECE/TRANS/WP.29/2024/29</vt:lpstr>
    </vt:vector>
  </TitlesOfParts>
  <Company>DCM</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ECE/TRANS/WP.29/2024/29</dc:title>
  <dc:subject/>
  <dc:creator>Nicolas MORIN</dc:creator>
  <cp:keywords/>
  <cp:lastModifiedBy>Nicolas Morin</cp:lastModifiedBy>
  <cp:revision>2</cp:revision>
  <cp:lastPrinted>2014-05-14T10:59:00Z</cp:lastPrinted>
  <dcterms:created xsi:type="dcterms:W3CDTF">2024-01-12T14:59:00Z</dcterms:created>
  <dcterms:modified xsi:type="dcterms:W3CDTF">2024-01-12T14:59:00Z</dcterms:modified>
</cp:coreProperties>
</file>