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E67357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0F28BC6" w14:textId="77777777" w:rsidR="00F35BAF" w:rsidRPr="00DB58B5" w:rsidRDefault="00F35BAF" w:rsidP="001E2A4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3E91A0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0992683" w14:textId="7052DAFA" w:rsidR="00F35BAF" w:rsidRPr="00DB58B5" w:rsidRDefault="001E2A41" w:rsidP="001E2A41">
            <w:pPr>
              <w:jc w:val="right"/>
            </w:pPr>
            <w:r w:rsidRPr="001E2A41">
              <w:rPr>
                <w:sz w:val="40"/>
              </w:rPr>
              <w:t>ECE</w:t>
            </w:r>
            <w:r>
              <w:t>/TRANS/WP.29/2024/25</w:t>
            </w:r>
          </w:p>
        </w:tc>
      </w:tr>
      <w:tr w:rsidR="00F35BAF" w:rsidRPr="00DB58B5" w14:paraId="32D2BB5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87C350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BABFC62" wp14:editId="2FFE090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0B635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B0BF53B" w14:textId="77777777" w:rsidR="00F35BAF" w:rsidRDefault="001E2A41" w:rsidP="00C97039">
            <w:pPr>
              <w:spacing w:before="240"/>
            </w:pPr>
            <w:r>
              <w:t>Distr. générale</w:t>
            </w:r>
          </w:p>
          <w:p w14:paraId="47B2228B" w14:textId="77777777" w:rsidR="001E2A41" w:rsidRDefault="001E2A41" w:rsidP="001E2A41">
            <w:pPr>
              <w:spacing w:line="240" w:lineRule="exact"/>
            </w:pPr>
            <w:r>
              <w:t>20 décembre 2023</w:t>
            </w:r>
          </w:p>
          <w:p w14:paraId="24CB9B07" w14:textId="77777777" w:rsidR="001E2A41" w:rsidRDefault="001E2A41" w:rsidP="001E2A41">
            <w:pPr>
              <w:spacing w:line="240" w:lineRule="exact"/>
            </w:pPr>
            <w:r>
              <w:t>Français</w:t>
            </w:r>
          </w:p>
          <w:p w14:paraId="3FEE44D0" w14:textId="57F13548" w:rsidR="001E2A41" w:rsidRPr="00DB58B5" w:rsidRDefault="001E2A41" w:rsidP="001E2A41">
            <w:pPr>
              <w:spacing w:line="240" w:lineRule="exact"/>
            </w:pPr>
            <w:r>
              <w:t>Original : anglais</w:t>
            </w:r>
          </w:p>
        </w:tc>
      </w:tr>
    </w:tbl>
    <w:p w14:paraId="596A32B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A28EAE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3825519" w14:textId="77777777" w:rsidR="001E2A41" w:rsidRDefault="001E2A41" w:rsidP="001E2A41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A079BCB" w14:textId="77777777" w:rsidR="001E2A41" w:rsidRDefault="001E2A41" w:rsidP="001E2A41">
      <w:pPr>
        <w:spacing w:before="120" w:line="240" w:lineRule="exact"/>
        <w:rPr>
          <w:b/>
        </w:rPr>
      </w:pPr>
      <w:r>
        <w:rPr>
          <w:b/>
        </w:rPr>
        <w:t>192</w:t>
      </w:r>
      <w:r w:rsidRPr="006E7738">
        <w:rPr>
          <w:b/>
          <w:vertAlign w:val="superscript"/>
        </w:rPr>
        <w:t>e</w:t>
      </w:r>
      <w:r>
        <w:rPr>
          <w:b/>
        </w:rPr>
        <w:t> session</w:t>
      </w:r>
    </w:p>
    <w:p w14:paraId="30F069F4" w14:textId="77777777" w:rsidR="001E2A41" w:rsidRDefault="001E2A41" w:rsidP="001E2A41">
      <w:pPr>
        <w:spacing w:line="240" w:lineRule="exact"/>
      </w:pPr>
      <w:r>
        <w:t>Genève, 5-8 mars 2024</w:t>
      </w:r>
    </w:p>
    <w:p w14:paraId="121D79C1" w14:textId="77777777" w:rsidR="001E2A41" w:rsidRDefault="001E2A41" w:rsidP="001E2A41">
      <w:pPr>
        <w:spacing w:line="240" w:lineRule="exact"/>
      </w:pPr>
      <w:r>
        <w:t>Point 4.9.10 de l’ordre du jour provisoire</w:t>
      </w:r>
    </w:p>
    <w:p w14:paraId="0FD498DD" w14:textId="77777777" w:rsidR="001E2A41" w:rsidRDefault="001E2A41" w:rsidP="001E2A41">
      <w:pPr>
        <w:ind w:right="1467"/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69F90F27" w14:textId="5F1E6093" w:rsidR="001E2A41" w:rsidRPr="006241F7" w:rsidRDefault="001E2A41" w:rsidP="001E2A41">
      <w:pPr>
        <w:ind w:right="1467"/>
        <w:rPr>
          <w:b/>
          <w:bCs/>
          <w:lang w:val="fr-FR"/>
        </w:rPr>
      </w:pPr>
      <w:r w:rsidRPr="00A10B92">
        <w:rPr>
          <w:b/>
          <w:bCs/>
          <w:spacing w:val="-3"/>
          <w:lang w:val="fr-FR"/>
        </w:rPr>
        <w:t>Examen de projets d’amendements à des Règlements ONU</w:t>
      </w:r>
      <w:r w:rsidRPr="006241F7">
        <w:rPr>
          <w:b/>
          <w:bCs/>
          <w:lang w:val="fr-FR"/>
        </w:rPr>
        <w:t xml:space="preserve"> </w:t>
      </w:r>
      <w:r w:rsidR="00A10B92">
        <w:rPr>
          <w:b/>
          <w:bCs/>
          <w:lang w:val="fr-FR"/>
        </w:rPr>
        <w:br/>
      </w:r>
      <w:r w:rsidRPr="005C6961">
        <w:rPr>
          <w:b/>
          <w:bCs/>
          <w:lang w:val="fr-FR"/>
        </w:rPr>
        <w:t>existants, soumis par le GRE</w:t>
      </w:r>
    </w:p>
    <w:p w14:paraId="12C74634" w14:textId="752EE9B8" w:rsidR="001E2A41" w:rsidRPr="008159D2" w:rsidRDefault="001E2A41" w:rsidP="001E2A41">
      <w:pPr>
        <w:pStyle w:val="HChG"/>
        <w:rPr>
          <w:spacing w:val="-2"/>
          <w:lang w:val="fr-FR"/>
        </w:rPr>
      </w:pPr>
      <w:r w:rsidRPr="006241F7">
        <w:rPr>
          <w:lang w:val="fr-FR"/>
        </w:rPr>
        <w:tab/>
      </w:r>
      <w:r w:rsidRPr="008159D2">
        <w:rPr>
          <w:lang w:val="fr-FR"/>
        </w:rPr>
        <w:tab/>
        <w:t>Proposition de complément 3 à la série 01 d’amendements</w:t>
      </w:r>
      <w:r w:rsidRPr="008159D2">
        <w:rPr>
          <w:spacing w:val="-2"/>
          <w:lang w:val="fr-FR"/>
        </w:rPr>
        <w:t xml:space="preserve"> </w:t>
      </w:r>
      <w:r w:rsidR="008159D2" w:rsidRPr="008159D2">
        <w:rPr>
          <w:spacing w:val="-2"/>
          <w:lang w:val="fr-FR"/>
        </w:rPr>
        <w:br/>
      </w:r>
      <w:r w:rsidRPr="008159D2">
        <w:rPr>
          <w:spacing w:val="-2"/>
          <w:lang w:val="fr-FR"/>
        </w:rPr>
        <w:t>au Règlement ONU n</w:t>
      </w:r>
      <w:r w:rsidRPr="008159D2">
        <w:rPr>
          <w:spacing w:val="-2"/>
          <w:vertAlign w:val="superscript"/>
          <w:lang w:val="fr-FR"/>
        </w:rPr>
        <w:t>o</w:t>
      </w:r>
      <w:r w:rsidRPr="008159D2">
        <w:rPr>
          <w:spacing w:val="-2"/>
          <w:lang w:val="fr-FR"/>
        </w:rPr>
        <w:t> 149 (Dispositifs d’éclairage de la route)</w:t>
      </w:r>
    </w:p>
    <w:p w14:paraId="01DCF61C" w14:textId="77777777" w:rsidR="001E2A41" w:rsidRPr="006241F7" w:rsidRDefault="001E2A41" w:rsidP="001E2A41">
      <w:pPr>
        <w:pStyle w:val="H1G"/>
        <w:rPr>
          <w:szCs w:val="24"/>
          <w:lang w:val="fr-FR"/>
        </w:rPr>
      </w:pPr>
      <w:r w:rsidRPr="00A10B92">
        <w:rPr>
          <w:spacing w:val="-2"/>
          <w:lang w:val="fr-FR"/>
        </w:rPr>
        <w:tab/>
      </w:r>
      <w:r w:rsidRPr="00A10B92">
        <w:rPr>
          <w:spacing w:val="-2"/>
          <w:lang w:val="fr-FR"/>
        </w:rPr>
        <w:tab/>
        <w:t>Communication du Groupe de travail de l’éclairage et de la signalisation</w:t>
      </w:r>
      <w:r w:rsidRPr="00B33FDE">
        <w:rPr>
          <w:lang w:val="fr-FR"/>
        </w:rPr>
        <w:t xml:space="preserve"> lumineuse</w:t>
      </w:r>
      <w:r w:rsidRPr="00730D3A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14DA5303" w14:textId="480E2B0C" w:rsidR="001E2A41" w:rsidRDefault="001E2A41" w:rsidP="001E2A41">
      <w:pPr>
        <w:pStyle w:val="SingleTxtG"/>
        <w:ind w:firstLine="567"/>
        <w:rPr>
          <w:lang w:val="fr-FR"/>
        </w:rPr>
      </w:pPr>
      <w:r w:rsidRPr="006241F7">
        <w:rPr>
          <w:lang w:val="fr-FR"/>
        </w:rPr>
        <w:footnoteReference w:customMarkFollows="1" w:id="3"/>
        <w:t xml:space="preserve">Le texte ci-après, </w:t>
      </w:r>
      <w:r>
        <w:rPr>
          <w:lang w:val="fr-FR"/>
        </w:rPr>
        <w:t>adopté</w:t>
      </w:r>
      <w:r w:rsidRPr="006241F7">
        <w:rPr>
          <w:lang w:val="fr-FR"/>
        </w:rPr>
        <w:t xml:space="preserve"> par le </w:t>
      </w:r>
      <w:r w:rsidRPr="00B33FDE">
        <w:rPr>
          <w:lang w:val="fr-FR"/>
        </w:rPr>
        <w:t>Groupe de travail de l</w:t>
      </w:r>
      <w:r>
        <w:rPr>
          <w:lang w:val="fr-FR"/>
        </w:rPr>
        <w:t>’</w:t>
      </w:r>
      <w:r w:rsidRPr="00B33FDE">
        <w:rPr>
          <w:lang w:val="fr-FR"/>
        </w:rPr>
        <w:t>éclairage et de la signalisation lumineuse</w:t>
      </w:r>
      <w:r>
        <w:rPr>
          <w:lang w:val="fr-FR"/>
        </w:rPr>
        <w:t xml:space="preserve"> (GRE) à sa quatre-vingt-neuvième</w:t>
      </w:r>
      <w:r w:rsidR="008159D2">
        <w:rPr>
          <w:lang w:val="fr-FR"/>
        </w:rPr>
        <w:t> </w:t>
      </w:r>
      <w:r>
        <w:rPr>
          <w:lang w:val="fr-FR"/>
        </w:rPr>
        <w:t>session (</w:t>
      </w:r>
      <w:r w:rsidRPr="007F5B35">
        <w:rPr>
          <w:lang w:val="fr-FR"/>
        </w:rPr>
        <w:t>ECE/TRANS/WP.29/GRE/89, par.</w:t>
      </w:r>
      <w:r>
        <w:rPr>
          <w:lang w:val="fr-FR"/>
        </w:rPr>
        <w:t> </w:t>
      </w:r>
      <w:r w:rsidRPr="007F5B35">
        <w:rPr>
          <w:lang w:val="fr-FR"/>
        </w:rPr>
        <w:t xml:space="preserve">10, 29, 30 </w:t>
      </w:r>
      <w:r>
        <w:rPr>
          <w:lang w:val="fr-FR"/>
        </w:rPr>
        <w:t>et</w:t>
      </w:r>
      <w:r w:rsidRPr="007F5B35">
        <w:rPr>
          <w:lang w:val="fr-FR"/>
        </w:rPr>
        <w:t xml:space="preserve"> 31</w:t>
      </w:r>
      <w:r>
        <w:rPr>
          <w:lang w:val="fr-FR"/>
        </w:rPr>
        <w:t xml:space="preserve">), est fondé sur les documents </w:t>
      </w:r>
      <w:r w:rsidRPr="00FC1224">
        <w:rPr>
          <w:lang w:val="fr-FR"/>
        </w:rPr>
        <w:t xml:space="preserve">ECE/TRANS/WP.29/GRE/2023/15, ECE/TRANS/WP.29/GRE/2023/18, ECE/TRANS/WP.29/GRE/2023/23 </w:t>
      </w:r>
      <w:r>
        <w:rPr>
          <w:lang w:val="fr-FR"/>
        </w:rPr>
        <w:t>et</w:t>
      </w:r>
      <w:r w:rsidRPr="00FC1224">
        <w:rPr>
          <w:lang w:val="fr-FR"/>
        </w:rPr>
        <w:t xml:space="preserve"> ECE/TRANS/</w:t>
      </w:r>
      <w:r>
        <w:rPr>
          <w:lang w:val="fr-FR"/>
        </w:rPr>
        <w:t xml:space="preserve"> </w:t>
      </w:r>
      <w:r w:rsidRPr="00FC1224">
        <w:rPr>
          <w:lang w:val="fr-FR"/>
        </w:rPr>
        <w:t>WP.29/GRE/2023/17</w:t>
      </w:r>
      <w:r>
        <w:rPr>
          <w:lang w:val="fr-FR"/>
        </w:rPr>
        <w:t xml:space="preserve">, tels que modifiés par le document informel </w:t>
      </w:r>
      <w:r w:rsidRPr="0077532B">
        <w:rPr>
          <w:lang w:val="fr-FR"/>
        </w:rPr>
        <w:t>GRE-89-28</w:t>
      </w:r>
      <w:r>
        <w:rPr>
          <w:lang w:val="fr-FR"/>
        </w:rPr>
        <w:t xml:space="preserve">. </w:t>
      </w:r>
      <w:r w:rsidRPr="0077532B">
        <w:rPr>
          <w:lang w:val="fr-FR"/>
        </w:rPr>
        <w:t>Il est soumis au Forum mondial de l</w:t>
      </w:r>
      <w:r>
        <w:rPr>
          <w:lang w:val="fr-FR"/>
        </w:rPr>
        <w:t>’</w:t>
      </w:r>
      <w:r w:rsidRPr="0077532B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77532B">
        <w:rPr>
          <w:lang w:val="fr-FR"/>
        </w:rPr>
        <w:t>administration de l</w:t>
      </w:r>
      <w:r>
        <w:rPr>
          <w:lang w:val="fr-FR"/>
        </w:rPr>
        <w:t>’</w:t>
      </w:r>
      <w:r w:rsidRPr="0077532B">
        <w:rPr>
          <w:lang w:val="fr-FR"/>
        </w:rPr>
        <w:t>Accord de 1958 (AC.1) pour examen à leurs sessions de</w:t>
      </w:r>
      <w:r>
        <w:rPr>
          <w:lang w:val="fr-FR"/>
        </w:rPr>
        <w:t xml:space="preserve"> mars 2024</w:t>
      </w:r>
      <w:r w:rsidRPr="0077532B">
        <w:rPr>
          <w:lang w:val="fr-FR"/>
        </w:rPr>
        <w:t>.</w:t>
      </w:r>
    </w:p>
    <w:p w14:paraId="16AF4E78" w14:textId="77777777" w:rsidR="001E2A41" w:rsidRDefault="001E2A41" w:rsidP="001E2A41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5E621ACC" w14:textId="77777777" w:rsidR="001E2A41" w:rsidRPr="00B47019" w:rsidRDefault="001E2A41" w:rsidP="001E2A41">
      <w:pPr>
        <w:pStyle w:val="SingleTxtG"/>
        <w:rPr>
          <w:rFonts w:eastAsia="Calibri"/>
          <w:lang w:val="fr-FR"/>
        </w:rPr>
      </w:pPr>
      <w:r w:rsidRPr="006D1DFF">
        <w:rPr>
          <w:i/>
          <w:iCs/>
          <w:lang w:val="fr-FR"/>
        </w:rPr>
        <w:lastRenderedPageBreak/>
        <w:t>Paragraphe 1</w:t>
      </w:r>
      <w:r w:rsidRPr="00B47019">
        <w:rPr>
          <w:lang w:val="fr-FR"/>
        </w:rPr>
        <w:t>, lire :</w:t>
      </w:r>
    </w:p>
    <w:p w14:paraId="74AAEFB4" w14:textId="77777777" w:rsidR="001E2A41" w:rsidRPr="006E7738" w:rsidRDefault="001E2A41" w:rsidP="001E2A41">
      <w:pPr>
        <w:pStyle w:val="HChG"/>
        <w:suppressAutoHyphens w:val="0"/>
        <w:kinsoku/>
        <w:overflowPunct/>
        <w:autoSpaceDE/>
        <w:autoSpaceDN/>
        <w:adjustRightInd/>
        <w:snapToGrid/>
        <w:spacing w:before="0" w:after="120" w:line="240" w:lineRule="atLeast"/>
        <w:ind w:left="2259" w:hanging="1125"/>
        <w:rPr>
          <w:rFonts w:eastAsia="Times New Roman"/>
          <w:b w:val="0"/>
          <w:sz w:val="20"/>
          <w:lang w:val="fr-FR" w:eastAsia="fr-FR"/>
        </w:rPr>
      </w:pPr>
      <w:r w:rsidRPr="006E7738">
        <w:rPr>
          <w:rFonts w:eastAsia="Times New Roman"/>
          <w:b w:val="0"/>
          <w:sz w:val="20"/>
          <w:lang w:val="fr-FR" w:eastAsia="fr-FR"/>
        </w:rPr>
        <w:t>« 1.</w:t>
      </w:r>
      <w:r w:rsidRPr="006E7738">
        <w:rPr>
          <w:rFonts w:eastAsia="Times New Roman"/>
          <w:b w:val="0"/>
          <w:sz w:val="20"/>
          <w:lang w:val="fr-FR" w:eastAsia="fr-FR"/>
        </w:rPr>
        <w:tab/>
        <w:t>Champ d</w:t>
      </w:r>
      <w:r>
        <w:rPr>
          <w:rFonts w:eastAsia="Times New Roman"/>
          <w:b w:val="0"/>
          <w:sz w:val="20"/>
          <w:lang w:val="fr-FR" w:eastAsia="fr-FR"/>
        </w:rPr>
        <w:t>’</w:t>
      </w:r>
      <w:r w:rsidRPr="006E7738">
        <w:rPr>
          <w:rFonts w:eastAsia="Times New Roman"/>
          <w:b w:val="0"/>
          <w:sz w:val="20"/>
          <w:lang w:val="fr-FR" w:eastAsia="fr-FR"/>
        </w:rPr>
        <w:t>application</w:t>
      </w:r>
    </w:p>
    <w:p w14:paraId="5CBAC64C" w14:textId="77777777" w:rsidR="001E2A41" w:rsidRPr="00B47019" w:rsidRDefault="001E2A41" w:rsidP="001E2A41">
      <w:pPr>
        <w:pStyle w:val="SingleTxtG"/>
        <w:ind w:left="2268"/>
        <w:rPr>
          <w:lang w:val="fr-FR"/>
        </w:rPr>
      </w:pPr>
      <w:r w:rsidRPr="00B47019">
        <w:rPr>
          <w:lang w:val="fr-FR"/>
        </w:rPr>
        <w:t>Le présent Règlement s</w:t>
      </w:r>
      <w:r>
        <w:rPr>
          <w:lang w:val="fr-FR"/>
        </w:rPr>
        <w:t>’</w:t>
      </w:r>
      <w:r w:rsidRPr="00B47019">
        <w:rPr>
          <w:lang w:val="fr-FR"/>
        </w:rPr>
        <w:t>applique aux dispositifs (feux) d</w:t>
      </w:r>
      <w:r>
        <w:rPr>
          <w:lang w:val="fr-FR"/>
        </w:rPr>
        <w:t>’</w:t>
      </w:r>
      <w:r w:rsidRPr="00B47019">
        <w:rPr>
          <w:lang w:val="fr-FR"/>
        </w:rPr>
        <w:t>éclairage de la route suivants :</w:t>
      </w:r>
    </w:p>
    <w:p w14:paraId="04563FD5" w14:textId="77777777" w:rsidR="001E2A41" w:rsidRPr="00B47019" w:rsidRDefault="001E2A41" w:rsidP="001E2A41">
      <w:pPr>
        <w:pStyle w:val="Bullet2G"/>
        <w:numPr>
          <w:ilvl w:val="0"/>
          <w:numId w:val="2"/>
        </w:numPr>
        <w:ind w:left="2438"/>
      </w:pPr>
      <w:r w:rsidRPr="00B47019">
        <w:t xml:space="preserve">Projecteurs émettant un faisceau de route ou un faisceau de </w:t>
      </w:r>
      <w:r w:rsidRPr="00903187">
        <w:rPr>
          <w:lang w:val="fr-FR"/>
        </w:rPr>
        <w:t>croisement</w:t>
      </w:r>
      <w:r w:rsidRPr="00B47019">
        <w:t xml:space="preserve"> asymétrique destinés aux véhicules des catégories L, M, N et T ; </w:t>
      </w:r>
    </w:p>
    <w:p w14:paraId="7BDB8945" w14:textId="77777777" w:rsidR="001E2A41" w:rsidRDefault="001E2A41" w:rsidP="001E2A41">
      <w:pPr>
        <w:pStyle w:val="Bullet2G"/>
        <w:numPr>
          <w:ilvl w:val="0"/>
          <w:numId w:val="2"/>
        </w:numPr>
        <w:ind w:left="2438"/>
      </w:pPr>
      <w:r w:rsidRPr="00B47019">
        <w:t>Systèmes d</w:t>
      </w:r>
      <w:r>
        <w:t>’</w:t>
      </w:r>
      <w:r w:rsidRPr="00B47019">
        <w:t xml:space="preserve">éclairage avant </w:t>
      </w:r>
      <w:r>
        <w:t>adaptatifs</w:t>
      </w:r>
      <w:r w:rsidRPr="00B47019">
        <w:t xml:space="preserve"> (AFS) destinés aux véhicules </w:t>
      </w:r>
      <w:r w:rsidRPr="00903187">
        <w:rPr>
          <w:lang w:val="fr-FR"/>
        </w:rPr>
        <w:t>des</w:t>
      </w:r>
      <w:r w:rsidRPr="00B47019">
        <w:t xml:space="preserve"> catégories M</w:t>
      </w:r>
      <w:r>
        <w:t>,</w:t>
      </w:r>
      <w:r w:rsidRPr="00B47019">
        <w:t xml:space="preserve"> N </w:t>
      </w:r>
      <w:r w:rsidRPr="007F06D0">
        <w:t>et L</w:t>
      </w:r>
      <w:r w:rsidRPr="007F06D0">
        <w:rPr>
          <w:vertAlign w:val="subscript"/>
        </w:rPr>
        <w:t>3</w:t>
      </w:r>
      <w:r w:rsidRPr="00B47019">
        <w:t> ;</w:t>
      </w:r>
    </w:p>
    <w:p w14:paraId="302E136E" w14:textId="23BDA989" w:rsidR="001E2A41" w:rsidRDefault="001E2A41" w:rsidP="001E2A41">
      <w:pPr>
        <w:pStyle w:val="Bullet2G"/>
        <w:numPr>
          <w:ilvl w:val="0"/>
          <w:numId w:val="2"/>
        </w:numPr>
        <w:ind w:left="2438"/>
      </w:pPr>
      <w:r>
        <w:t xml:space="preserve">Faisceaux de route </w:t>
      </w:r>
      <w:r w:rsidRPr="005C7748">
        <w:t>adaptatif</w:t>
      </w:r>
      <w:r>
        <w:t>s</w:t>
      </w:r>
      <w:r w:rsidRPr="005C7748">
        <w:t xml:space="preserve"> </w:t>
      </w:r>
      <w:r>
        <w:t xml:space="preserve">(ADB) </w:t>
      </w:r>
      <w:r w:rsidRPr="005C7748">
        <w:t>destiné</w:t>
      </w:r>
      <w:r>
        <w:t>s</w:t>
      </w:r>
      <w:r w:rsidRPr="005C7748">
        <w:t xml:space="preserve"> aux véhicules de la</w:t>
      </w:r>
      <w:r>
        <w:t xml:space="preserve"> catégorie L</w:t>
      </w:r>
      <w:r w:rsidRPr="007F06D0">
        <w:rPr>
          <w:vertAlign w:val="subscript"/>
        </w:rPr>
        <w:t>3</w:t>
      </w:r>
      <w:r w:rsidRPr="001E2A41">
        <w:t> </w:t>
      </w:r>
      <w:r w:rsidRPr="00B47019">
        <w:t>;</w:t>
      </w:r>
    </w:p>
    <w:p w14:paraId="72AC2412" w14:textId="77777777" w:rsidR="001E2A41" w:rsidRPr="00B47019" w:rsidRDefault="001E2A41" w:rsidP="001E2A41">
      <w:pPr>
        <w:pStyle w:val="Bullet2G"/>
        <w:numPr>
          <w:ilvl w:val="0"/>
          <w:numId w:val="2"/>
        </w:numPr>
        <w:ind w:left="2438"/>
      </w:pPr>
      <w:r w:rsidRPr="00B47019">
        <w:t xml:space="preserve">Projecteurs émettant un faisceau de route ou un faisceau de croisement symétrique destinés aux véhicules des catégories L et T ; </w:t>
      </w:r>
    </w:p>
    <w:p w14:paraId="50F0C0D2" w14:textId="77777777" w:rsidR="001E2A41" w:rsidRPr="00B47019" w:rsidRDefault="001E2A41" w:rsidP="001E2A41">
      <w:pPr>
        <w:pStyle w:val="Bullet2G"/>
        <w:numPr>
          <w:ilvl w:val="0"/>
          <w:numId w:val="2"/>
        </w:numPr>
        <w:ind w:left="2438"/>
      </w:pPr>
      <w:r w:rsidRPr="00B47019">
        <w:t xml:space="preserve">Feux de brouillard avant destinés aux véhicules des </w:t>
      </w:r>
      <w:r w:rsidRPr="00903187">
        <w:rPr>
          <w:lang w:val="fr-FR"/>
        </w:rPr>
        <w:t>catégories</w:t>
      </w:r>
      <w:r w:rsidRPr="00B47019">
        <w:t> L</w:t>
      </w:r>
      <w:r w:rsidRPr="00570DD8">
        <w:rPr>
          <w:vertAlign w:val="subscript"/>
        </w:rPr>
        <w:t>3</w:t>
      </w:r>
      <w:r w:rsidRPr="00B47019">
        <w:t>, L</w:t>
      </w:r>
      <w:r w:rsidRPr="00570DD8">
        <w:rPr>
          <w:vertAlign w:val="subscript"/>
        </w:rPr>
        <w:t>4</w:t>
      </w:r>
      <w:r w:rsidRPr="00B47019">
        <w:t>, L</w:t>
      </w:r>
      <w:r w:rsidRPr="00570DD8">
        <w:rPr>
          <w:vertAlign w:val="subscript"/>
        </w:rPr>
        <w:t>5</w:t>
      </w:r>
      <w:r w:rsidRPr="00B47019">
        <w:t>, L</w:t>
      </w:r>
      <w:r w:rsidRPr="00570DD8">
        <w:rPr>
          <w:vertAlign w:val="subscript"/>
        </w:rPr>
        <w:t>7</w:t>
      </w:r>
      <w:r w:rsidRPr="00B47019">
        <w:t>, M, N et T ;</w:t>
      </w:r>
    </w:p>
    <w:p w14:paraId="3F2222EA" w14:textId="77777777" w:rsidR="001E2A41" w:rsidRPr="00B47019" w:rsidRDefault="001E2A41" w:rsidP="001E2A41">
      <w:pPr>
        <w:pStyle w:val="Bullet2G"/>
        <w:numPr>
          <w:ilvl w:val="0"/>
          <w:numId w:val="2"/>
        </w:numPr>
        <w:ind w:left="2438"/>
      </w:pPr>
      <w:r w:rsidRPr="00B47019">
        <w:t>Feux d</w:t>
      </w:r>
      <w:r>
        <w:t>’</w:t>
      </w:r>
      <w:r w:rsidRPr="00B47019">
        <w:t xml:space="preserve">angle destinés aux véhicules des </w:t>
      </w:r>
      <w:r w:rsidRPr="00903187">
        <w:rPr>
          <w:lang w:val="fr-FR"/>
        </w:rPr>
        <w:t>catégories</w:t>
      </w:r>
      <w:r w:rsidRPr="00B47019">
        <w:t xml:space="preserve"> M, N et T. ».</w:t>
      </w:r>
    </w:p>
    <w:p w14:paraId="1BA230B2" w14:textId="77777777" w:rsidR="001E2A41" w:rsidRPr="00B47019" w:rsidRDefault="001E2A41" w:rsidP="001E2A41">
      <w:pPr>
        <w:pStyle w:val="SingleTxtG"/>
        <w:rPr>
          <w:rFonts w:eastAsia="Calibri"/>
          <w:iCs/>
          <w:lang w:val="fr-FR"/>
        </w:rPr>
      </w:pPr>
      <w:r w:rsidRPr="00B47019">
        <w:rPr>
          <w:i/>
          <w:iCs/>
          <w:lang w:val="fr-FR"/>
        </w:rPr>
        <w:t>Paragraphe 3.1.2.2.2</w:t>
      </w:r>
      <w:r>
        <w:rPr>
          <w:i/>
          <w:iCs/>
          <w:lang w:val="fr-FR"/>
        </w:rPr>
        <w:t xml:space="preserve"> g)</w:t>
      </w:r>
      <w:r w:rsidRPr="00B47019">
        <w:rPr>
          <w:lang w:val="fr-FR"/>
        </w:rPr>
        <w:t>, lire</w:t>
      </w:r>
      <w:r>
        <w:rPr>
          <w:lang w:val="fr-FR"/>
        </w:rPr>
        <w:t> </w:t>
      </w:r>
      <w:r w:rsidRPr="00B47019">
        <w:rPr>
          <w:lang w:val="fr-FR"/>
        </w:rPr>
        <w:t>:</w:t>
      </w:r>
    </w:p>
    <w:p w14:paraId="3832CD4B" w14:textId="77777777" w:rsidR="001E2A41" w:rsidRPr="00B47019" w:rsidRDefault="001E2A41" w:rsidP="001E2A41">
      <w:pPr>
        <w:pStyle w:val="SingleTxtG"/>
        <w:ind w:left="2268" w:hanging="1134"/>
        <w:rPr>
          <w:rFonts w:eastAsia="Calibri"/>
          <w:lang w:val="fr-FR"/>
        </w:rPr>
      </w:pPr>
      <w:r w:rsidRPr="00B47019">
        <w:rPr>
          <w:lang w:val="fr-FR"/>
        </w:rPr>
        <w:t>« 3.1.2.2.2</w:t>
      </w:r>
      <w:r w:rsidRPr="00B47019">
        <w:rPr>
          <w:lang w:val="fr-FR"/>
        </w:rPr>
        <w:tab/>
      </w:r>
      <w:r>
        <w:rPr>
          <w:lang w:val="fr-FR"/>
        </w:rPr>
        <w:t>…</w:t>
      </w:r>
    </w:p>
    <w:p w14:paraId="0FFA8BAB" w14:textId="77777777" w:rsidR="001E2A41" w:rsidRDefault="001E2A41" w:rsidP="001E2A41">
      <w:pPr>
        <w:pStyle w:val="SingleTxtG"/>
        <w:ind w:left="2835" w:hanging="567"/>
        <w:rPr>
          <w:lang w:val="fr-FR"/>
        </w:rPr>
      </w:pPr>
      <w:r w:rsidRPr="00B47019">
        <w:rPr>
          <w:lang w:val="fr-FR"/>
        </w:rPr>
        <w:t>g)</w:t>
      </w:r>
      <w:r w:rsidRPr="00B47019">
        <w:rPr>
          <w:lang w:val="fr-FR"/>
        </w:rPr>
        <w:tab/>
        <w:t>La ou les informations prescrites au paragraphe 5.3.5.1 pour ce qui concerne le paragraphe 6.22 du Règlement ONU n</w:t>
      </w:r>
      <w:r w:rsidRPr="00B47019">
        <w:rPr>
          <w:vertAlign w:val="superscript"/>
          <w:lang w:val="fr-FR"/>
        </w:rPr>
        <w:t>o</w:t>
      </w:r>
      <w:r w:rsidRPr="00B47019">
        <w:rPr>
          <w:lang w:val="fr-FR"/>
        </w:rPr>
        <w:t> 48</w:t>
      </w:r>
      <w:r w:rsidRPr="00D07E3C">
        <w:rPr>
          <w:lang w:val="fr-FR"/>
        </w:rPr>
        <w:t> </w:t>
      </w:r>
      <w:r w:rsidRPr="007F06D0">
        <w:rPr>
          <w:lang w:val="fr-FR"/>
        </w:rPr>
        <w:t>ou le</w:t>
      </w:r>
      <w:r w:rsidRPr="00B47019">
        <w:rPr>
          <w:b/>
          <w:bCs/>
          <w:lang w:val="fr-FR"/>
        </w:rPr>
        <w:t xml:space="preserve"> </w:t>
      </w:r>
      <w:r w:rsidRPr="007F06D0">
        <w:rPr>
          <w:lang w:val="fr-FR"/>
        </w:rPr>
        <w:t>paragraphe 6.</w:t>
      </w:r>
      <w:r>
        <w:rPr>
          <w:lang w:val="fr-FR"/>
        </w:rPr>
        <w:t>18</w:t>
      </w:r>
      <w:r w:rsidRPr="007F06D0">
        <w:rPr>
          <w:lang w:val="fr-FR"/>
        </w:rPr>
        <w:t xml:space="preserve"> du Règlement ONU n</w:t>
      </w:r>
      <w:r w:rsidRPr="007F06D0">
        <w:rPr>
          <w:vertAlign w:val="superscript"/>
          <w:lang w:val="fr-FR"/>
        </w:rPr>
        <w:t>o</w:t>
      </w:r>
      <w:r w:rsidRPr="007F06D0">
        <w:rPr>
          <w:lang w:val="fr-FR"/>
        </w:rPr>
        <w:t> 53</w:t>
      </w:r>
      <w:r>
        <w:rPr>
          <w:lang w:val="fr-FR"/>
        </w:rPr>
        <w:t> </w:t>
      </w:r>
      <w:r w:rsidRPr="00B47019">
        <w:rPr>
          <w:lang w:val="fr-FR"/>
        </w:rPr>
        <w:t>;</w:t>
      </w:r>
      <w:r>
        <w:rPr>
          <w:lang w:val="fr-FR"/>
        </w:rPr>
        <w:t> </w:t>
      </w:r>
    </w:p>
    <w:p w14:paraId="19CCD54C" w14:textId="77777777" w:rsidR="001E2A41" w:rsidRPr="00AC2A85" w:rsidRDefault="001E2A41" w:rsidP="001E2A41">
      <w:pPr>
        <w:pStyle w:val="SingleTxtG"/>
        <w:ind w:left="2835" w:hanging="567"/>
        <w:rPr>
          <w:lang w:val="fr-FR"/>
        </w:rPr>
      </w:pPr>
      <w:r>
        <w:rPr>
          <w:lang w:val="fr-FR"/>
        </w:rPr>
        <w:t>… ».</w:t>
      </w:r>
    </w:p>
    <w:p w14:paraId="621F8499" w14:textId="77777777" w:rsidR="001E2A41" w:rsidRPr="006241F7" w:rsidRDefault="001E2A41" w:rsidP="001E2A41">
      <w:pPr>
        <w:pStyle w:val="SingleTxtG"/>
        <w:rPr>
          <w:lang w:val="fr-FR"/>
        </w:rPr>
      </w:pPr>
      <w:r w:rsidRPr="006241F7">
        <w:rPr>
          <w:i/>
          <w:iCs/>
          <w:lang w:val="fr-FR"/>
        </w:rPr>
        <w:t>Paragraphe 3.2</w:t>
      </w:r>
      <w:r w:rsidRPr="006241F7">
        <w:rPr>
          <w:lang w:val="fr-FR"/>
        </w:rPr>
        <w:t>, lire</w:t>
      </w:r>
      <w:r>
        <w:rPr>
          <w:lang w:val="fr-FR"/>
        </w:rPr>
        <w:t> </w:t>
      </w:r>
      <w:r w:rsidRPr="006241F7">
        <w:rPr>
          <w:lang w:val="fr-FR"/>
        </w:rPr>
        <w:t>:</w:t>
      </w:r>
    </w:p>
    <w:p w14:paraId="6E2EC010" w14:textId="77777777" w:rsidR="001E2A41" w:rsidRPr="006241F7" w:rsidRDefault="001E2A41" w:rsidP="001E2A41">
      <w:pPr>
        <w:pStyle w:val="SingleTxtG"/>
        <w:ind w:left="2268" w:hanging="1134"/>
        <w:rPr>
          <w:lang w:val="fr-FR"/>
        </w:rPr>
      </w:pPr>
      <w:r w:rsidRPr="006241F7">
        <w:rPr>
          <w:lang w:val="fr-FR"/>
        </w:rPr>
        <w:t>« 3.2</w:t>
      </w:r>
      <w:r w:rsidRPr="006241F7">
        <w:rPr>
          <w:lang w:val="fr-FR"/>
        </w:rPr>
        <w:tab/>
        <w:t>Homologation</w:t>
      </w:r>
    </w:p>
    <w:p w14:paraId="128B27E4" w14:textId="3E1DA2DE" w:rsidR="001E2A41" w:rsidRPr="006241F7" w:rsidRDefault="001E2A41" w:rsidP="001E2A41">
      <w:pPr>
        <w:pStyle w:val="SingleTxtG"/>
        <w:ind w:left="2268"/>
        <w:rPr>
          <w:lang w:val="fr-FR"/>
        </w:rPr>
      </w:pPr>
      <w:r w:rsidRPr="006241F7">
        <w:rPr>
          <w:lang w:val="fr-FR"/>
        </w:rPr>
        <w:t xml:space="preserve">Tous les feux </w:t>
      </w:r>
      <w:r w:rsidRPr="00BB6EAF">
        <w:rPr>
          <w:lang w:val="fr-SN"/>
        </w:rPr>
        <w:t>é</w:t>
      </w:r>
      <w:r w:rsidRPr="006241F7">
        <w:rPr>
          <w:lang w:val="fr-FR"/>
        </w:rPr>
        <w:t xml:space="preserve">numérés </w:t>
      </w:r>
      <w:r w:rsidRPr="006E7738">
        <w:rPr>
          <w:lang w:val="fr-FR"/>
        </w:rPr>
        <w:t>au paragraphe</w:t>
      </w:r>
      <w:r w:rsidRPr="006241F7">
        <w:rPr>
          <w:b/>
          <w:bCs/>
          <w:lang w:val="fr-FR"/>
        </w:rPr>
        <w:t> </w:t>
      </w:r>
      <w:r w:rsidRPr="006241F7">
        <w:rPr>
          <w:lang w:val="fr-FR"/>
        </w:rPr>
        <w:t>1 font l</w:t>
      </w:r>
      <w:r>
        <w:rPr>
          <w:lang w:val="fr-FR"/>
        </w:rPr>
        <w:t>’</w:t>
      </w:r>
      <w:r w:rsidRPr="006241F7">
        <w:rPr>
          <w:lang w:val="fr-FR"/>
        </w:rPr>
        <w:t>objet d</w:t>
      </w:r>
      <w:r>
        <w:rPr>
          <w:lang w:val="fr-FR"/>
        </w:rPr>
        <w:t>’</w:t>
      </w:r>
      <w:r w:rsidRPr="006241F7">
        <w:rPr>
          <w:lang w:val="fr-FR"/>
        </w:rPr>
        <w:t>une homologation distincte.</w:t>
      </w:r>
    </w:p>
    <w:p w14:paraId="7F8615E3" w14:textId="77777777" w:rsidR="001E2A41" w:rsidRDefault="001E2A41" w:rsidP="001E2A41">
      <w:pPr>
        <w:pStyle w:val="SingleTxtG"/>
        <w:ind w:left="2268"/>
        <w:rPr>
          <w:lang w:val="fr-FR"/>
        </w:rPr>
      </w:pPr>
      <w:r w:rsidRPr="006241F7">
        <w:rPr>
          <w:lang w:val="fr-FR"/>
        </w:rPr>
        <w:t>Lorsque deux ou plusieurs feux font partie du même ensemble de feux groupés, combinés ou mutuellement incorporés, l</w:t>
      </w:r>
      <w:r>
        <w:rPr>
          <w:lang w:val="fr-FR"/>
        </w:rPr>
        <w:t>’</w:t>
      </w:r>
      <w:r w:rsidRPr="006241F7">
        <w:rPr>
          <w:lang w:val="fr-FR"/>
        </w:rPr>
        <w:t>homologation ne peut être accordée que si chacun de ces feux satisfait aux prescriptions du présent Règlement ou d</w:t>
      </w:r>
      <w:r>
        <w:rPr>
          <w:lang w:val="fr-FR"/>
        </w:rPr>
        <w:t>’</w:t>
      </w:r>
      <w:r w:rsidRPr="006241F7">
        <w:rPr>
          <w:lang w:val="fr-FR"/>
        </w:rPr>
        <w:t>un autre Règlement. Les feux qui ne satisfont à aucun de ces Règlements ne doivent pas faire partie de cet ensemble de feux groupés, combinés ou mutuellement incorporés. ».</w:t>
      </w:r>
    </w:p>
    <w:p w14:paraId="5602B148" w14:textId="77777777" w:rsidR="001E2A41" w:rsidRPr="006241F7" w:rsidRDefault="001E2A41" w:rsidP="001E2A41">
      <w:pPr>
        <w:pStyle w:val="SingleTxtG"/>
        <w:rPr>
          <w:lang w:val="fr-FR"/>
        </w:rPr>
      </w:pPr>
      <w:r w:rsidRPr="006241F7">
        <w:rPr>
          <w:i/>
          <w:iCs/>
          <w:lang w:val="fr-FR"/>
        </w:rPr>
        <w:t>Paragraphe 3.2.2</w:t>
      </w:r>
      <w:r w:rsidRPr="006241F7">
        <w:rPr>
          <w:lang w:val="fr-FR"/>
        </w:rPr>
        <w:t>, lire</w:t>
      </w:r>
      <w:r>
        <w:rPr>
          <w:lang w:val="fr-FR"/>
        </w:rPr>
        <w:t> </w:t>
      </w:r>
      <w:r w:rsidRPr="006241F7">
        <w:rPr>
          <w:lang w:val="fr-FR"/>
        </w:rPr>
        <w:t>:</w:t>
      </w:r>
    </w:p>
    <w:p w14:paraId="4057EEE6" w14:textId="77777777" w:rsidR="001E2A41" w:rsidRDefault="001E2A41" w:rsidP="001E2A41">
      <w:pPr>
        <w:pStyle w:val="SingleTxtG"/>
        <w:ind w:left="2268" w:hanging="1134"/>
        <w:rPr>
          <w:lang w:val="fr-FR"/>
        </w:rPr>
      </w:pPr>
      <w:r w:rsidRPr="006241F7">
        <w:rPr>
          <w:lang w:val="fr-FR"/>
        </w:rPr>
        <w:t>« 3.2.2</w:t>
      </w:r>
      <w:r w:rsidRPr="006241F7">
        <w:rPr>
          <w:lang w:val="fr-FR"/>
        </w:rPr>
        <w:tab/>
        <w:t>Chaque type homologué se voit attribuer un numéro d</w:t>
      </w:r>
      <w:r>
        <w:rPr>
          <w:lang w:val="fr-FR"/>
        </w:rPr>
        <w:t>’</w:t>
      </w:r>
      <w:r w:rsidRPr="006241F7">
        <w:rPr>
          <w:lang w:val="fr-FR"/>
        </w:rPr>
        <w:t>homologation, qui doit être apposé sur le dispositif conformément aux prescriptions du paragraphe</w:t>
      </w:r>
      <w:r>
        <w:rPr>
          <w:lang w:val="fr-FR"/>
        </w:rPr>
        <w:t> </w:t>
      </w:r>
      <w:r w:rsidRPr="006241F7">
        <w:rPr>
          <w:lang w:val="fr-FR"/>
        </w:rPr>
        <w:t xml:space="preserve">3.3. Une même </w:t>
      </w:r>
      <w:r>
        <w:rPr>
          <w:lang w:val="fr-FR"/>
        </w:rPr>
        <w:t>P</w:t>
      </w:r>
      <w:r w:rsidRPr="006241F7">
        <w:rPr>
          <w:lang w:val="fr-FR"/>
        </w:rPr>
        <w:t>artie contractante ne peut pas attribuer le même numéro à un autre type de dispositif visé par le présent Règlement</w:t>
      </w:r>
      <w:r w:rsidRPr="006E7738">
        <w:rPr>
          <w:lang w:val="fr-FR"/>
        </w:rPr>
        <w:t>, sauf en cas d</w:t>
      </w:r>
      <w:r>
        <w:rPr>
          <w:lang w:val="fr-FR"/>
        </w:rPr>
        <w:t>’</w:t>
      </w:r>
      <w:r w:rsidRPr="006E7738">
        <w:rPr>
          <w:lang w:val="fr-FR"/>
        </w:rPr>
        <w:t>extension de l</w:t>
      </w:r>
      <w:r>
        <w:rPr>
          <w:lang w:val="fr-FR"/>
        </w:rPr>
        <w:t>’</w:t>
      </w:r>
      <w:r w:rsidRPr="006E7738">
        <w:rPr>
          <w:lang w:val="fr-FR"/>
        </w:rPr>
        <w:t>homologation à un feu de brouillard avant ne différant de celui déjà homologué que par la couleur de la lumière émise</w:t>
      </w:r>
      <w:r w:rsidRPr="00BD4003">
        <w:rPr>
          <w:lang w:val="fr-FR"/>
        </w:rPr>
        <w:t>. </w:t>
      </w:r>
      <w:r w:rsidRPr="006241F7">
        <w:rPr>
          <w:lang w:val="fr-FR"/>
        </w:rPr>
        <w:t>».</w:t>
      </w:r>
    </w:p>
    <w:p w14:paraId="0874BBEF" w14:textId="77777777" w:rsidR="001E2A41" w:rsidRPr="00B47019" w:rsidRDefault="001E2A41" w:rsidP="001E2A41">
      <w:pPr>
        <w:pStyle w:val="SingleTxtG"/>
        <w:rPr>
          <w:rFonts w:eastAsia="Calibri"/>
          <w:iCs/>
          <w:lang w:val="fr-FR"/>
        </w:rPr>
      </w:pPr>
      <w:r w:rsidRPr="00B47019">
        <w:rPr>
          <w:i/>
          <w:iCs/>
          <w:lang w:val="fr-FR"/>
        </w:rPr>
        <w:t>Paragraphe 3.2.4</w:t>
      </w:r>
      <w:r w:rsidRPr="00B47019">
        <w:rPr>
          <w:lang w:val="fr-FR"/>
        </w:rPr>
        <w:t>, lire</w:t>
      </w:r>
      <w:r>
        <w:rPr>
          <w:lang w:val="fr-FR"/>
        </w:rPr>
        <w:t> </w:t>
      </w:r>
      <w:r w:rsidRPr="00B47019">
        <w:rPr>
          <w:lang w:val="fr-FR"/>
        </w:rPr>
        <w:t>:</w:t>
      </w:r>
    </w:p>
    <w:p w14:paraId="015A7327" w14:textId="77777777" w:rsidR="001E2A41" w:rsidRPr="00B47019" w:rsidRDefault="001E2A41" w:rsidP="001E2A41">
      <w:pPr>
        <w:pStyle w:val="SingleTxtG"/>
        <w:ind w:left="2268" w:hanging="1134"/>
        <w:rPr>
          <w:rFonts w:eastAsia="Calibri"/>
          <w:b/>
          <w:lang w:val="fr-FR"/>
        </w:rPr>
      </w:pPr>
      <w:r w:rsidRPr="00B47019">
        <w:rPr>
          <w:lang w:val="fr-FR"/>
        </w:rPr>
        <w:t>« 3.2.4</w:t>
      </w:r>
      <w:r w:rsidRPr="00B47019">
        <w:rPr>
          <w:lang w:val="fr-FR"/>
        </w:rPr>
        <w:tab/>
        <w:t>Si l</w:t>
      </w:r>
      <w:r>
        <w:rPr>
          <w:lang w:val="fr-FR"/>
        </w:rPr>
        <w:t>’</w:t>
      </w:r>
      <w:r w:rsidRPr="00B47019">
        <w:rPr>
          <w:lang w:val="fr-FR"/>
        </w:rPr>
        <w:t>homologation est demandée pour un AFS qui n</w:t>
      </w:r>
      <w:r>
        <w:rPr>
          <w:lang w:val="fr-FR"/>
        </w:rPr>
        <w:t>’</w:t>
      </w:r>
      <w:r w:rsidRPr="00B47019">
        <w:rPr>
          <w:lang w:val="fr-FR"/>
        </w:rPr>
        <w:t>est pas destiné à être couvert par l</w:t>
      </w:r>
      <w:r>
        <w:rPr>
          <w:lang w:val="fr-FR"/>
        </w:rPr>
        <w:t>’</w:t>
      </w:r>
      <w:r w:rsidRPr="00B47019">
        <w:rPr>
          <w:lang w:val="fr-FR"/>
        </w:rPr>
        <w:t>homologation d</w:t>
      </w:r>
      <w:r>
        <w:rPr>
          <w:lang w:val="fr-FR"/>
        </w:rPr>
        <w:t>’</w:t>
      </w:r>
      <w:r w:rsidRPr="00B47019">
        <w:rPr>
          <w:lang w:val="fr-FR"/>
        </w:rPr>
        <w:t>un type de véhicule conformément au Règlement ONU n</w:t>
      </w:r>
      <w:r w:rsidRPr="00B47019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47019">
        <w:rPr>
          <w:lang w:val="fr-FR"/>
        </w:rPr>
        <w:t>48 ou si l</w:t>
      </w:r>
      <w:r>
        <w:rPr>
          <w:lang w:val="fr-FR"/>
        </w:rPr>
        <w:t>’</w:t>
      </w:r>
      <w:r w:rsidRPr="00B47019">
        <w:rPr>
          <w:lang w:val="fr-FR"/>
        </w:rPr>
        <w:t xml:space="preserve">homologation est demandée pour un ADB </w:t>
      </w:r>
      <w:r w:rsidRPr="006E7738">
        <w:rPr>
          <w:lang w:val="fr-FR"/>
        </w:rPr>
        <w:t>ou un AFS</w:t>
      </w:r>
      <w:r w:rsidRPr="00B47019">
        <w:rPr>
          <w:lang w:val="fr-FR"/>
        </w:rPr>
        <w:t xml:space="preserve"> destiné aux véhicules de la </w:t>
      </w:r>
      <w:r w:rsidRPr="00684879">
        <w:rPr>
          <w:lang w:val="fr-FR"/>
        </w:rPr>
        <w:t>catégorie L</w:t>
      </w:r>
      <w:r w:rsidRPr="00684879">
        <w:rPr>
          <w:vertAlign w:val="subscript"/>
          <w:lang w:val="fr-FR"/>
        </w:rPr>
        <w:t>3</w:t>
      </w:r>
      <w:r w:rsidRPr="00684879">
        <w:rPr>
          <w:lang w:val="fr-FR"/>
        </w:rPr>
        <w:t xml:space="preserve"> qui</w:t>
      </w:r>
      <w:r w:rsidRPr="00B47019">
        <w:rPr>
          <w:lang w:val="fr-FR"/>
        </w:rPr>
        <w:t xml:space="preserve"> n</w:t>
      </w:r>
      <w:r>
        <w:rPr>
          <w:lang w:val="fr-FR"/>
        </w:rPr>
        <w:t>’</w:t>
      </w:r>
      <w:r w:rsidRPr="00B47019">
        <w:rPr>
          <w:lang w:val="fr-FR"/>
        </w:rPr>
        <w:t xml:space="preserve">est pas </w:t>
      </w:r>
      <w:r>
        <w:rPr>
          <w:lang w:val="fr-FR"/>
        </w:rPr>
        <w:t>censé</w:t>
      </w:r>
      <w:r w:rsidRPr="00B47019">
        <w:rPr>
          <w:lang w:val="fr-FR"/>
        </w:rPr>
        <w:t xml:space="preserve"> être couvert par l</w:t>
      </w:r>
      <w:r>
        <w:rPr>
          <w:lang w:val="fr-FR"/>
        </w:rPr>
        <w:t>’</w:t>
      </w:r>
      <w:r w:rsidRPr="00B47019">
        <w:rPr>
          <w:lang w:val="fr-FR"/>
        </w:rPr>
        <w:t>homologation d</w:t>
      </w:r>
      <w:r>
        <w:rPr>
          <w:lang w:val="fr-FR"/>
        </w:rPr>
        <w:t>’</w:t>
      </w:r>
      <w:r w:rsidRPr="00B47019">
        <w:rPr>
          <w:lang w:val="fr-FR"/>
        </w:rPr>
        <w:t>un type de véhicule conformément au Règlement ONU n</w:t>
      </w:r>
      <w:r w:rsidRPr="00B47019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47019">
        <w:rPr>
          <w:lang w:val="fr-FR"/>
        </w:rPr>
        <w:t>53</w:t>
      </w:r>
      <w:r>
        <w:rPr>
          <w:lang w:val="fr-FR"/>
        </w:rPr>
        <w:t> </w:t>
      </w:r>
      <w:r w:rsidRPr="00B47019">
        <w:rPr>
          <w:lang w:val="fr-FR"/>
        </w:rPr>
        <w:t>: ... ».</w:t>
      </w:r>
    </w:p>
    <w:p w14:paraId="060062E8" w14:textId="77777777" w:rsidR="001E2A41" w:rsidRPr="00B47019" w:rsidRDefault="001E2A41" w:rsidP="001E2A41">
      <w:pPr>
        <w:pStyle w:val="SingleTxtG"/>
        <w:keepNext/>
        <w:rPr>
          <w:rFonts w:eastAsia="Calibri"/>
          <w:iCs/>
          <w:lang w:val="fr-FR"/>
        </w:rPr>
      </w:pPr>
      <w:r w:rsidRPr="00B47019">
        <w:rPr>
          <w:i/>
          <w:iCs/>
          <w:lang w:val="fr-FR"/>
        </w:rPr>
        <w:lastRenderedPageBreak/>
        <w:t>Paragraphe 3.2.4.1</w:t>
      </w:r>
      <w:r w:rsidRPr="00B47019">
        <w:rPr>
          <w:lang w:val="fr-FR"/>
        </w:rPr>
        <w:t>, lire</w:t>
      </w:r>
      <w:r>
        <w:rPr>
          <w:lang w:val="fr-FR"/>
        </w:rPr>
        <w:t> </w:t>
      </w:r>
      <w:r w:rsidRPr="00B47019">
        <w:rPr>
          <w:lang w:val="fr-FR"/>
        </w:rPr>
        <w:t>:</w:t>
      </w:r>
    </w:p>
    <w:p w14:paraId="57DF198D" w14:textId="77777777" w:rsidR="001E2A41" w:rsidRPr="00B47019" w:rsidRDefault="001E2A41" w:rsidP="001E2A41">
      <w:pPr>
        <w:pStyle w:val="SingleTxtG"/>
        <w:keepNext/>
        <w:keepLines/>
        <w:ind w:left="2268" w:hanging="1134"/>
        <w:rPr>
          <w:lang w:val="fr-FR"/>
        </w:rPr>
      </w:pPr>
      <w:r w:rsidRPr="00B47019">
        <w:rPr>
          <w:lang w:val="fr-FR"/>
        </w:rPr>
        <w:t>« 3.2.4.1</w:t>
      </w:r>
      <w:r w:rsidRPr="00B47019">
        <w:rPr>
          <w:lang w:val="fr-FR"/>
        </w:rPr>
        <w:tab/>
        <w:t>Le demandeur doit présenter une documentation suffisante pour démontrer que le système peut satisfaire aux prescriptions du paragraphe 6.22 du Règlement ONU n</w:t>
      </w:r>
      <w:r w:rsidRPr="00B47019">
        <w:rPr>
          <w:vertAlign w:val="superscript"/>
          <w:lang w:val="fr-FR"/>
        </w:rPr>
        <w:t>o</w:t>
      </w:r>
      <w:r w:rsidRPr="00B47019">
        <w:rPr>
          <w:lang w:val="fr-FR"/>
        </w:rPr>
        <w:t xml:space="preserve"> 48 ou </w:t>
      </w:r>
      <w:r w:rsidRPr="006E7738">
        <w:rPr>
          <w:lang w:val="fr-FR"/>
        </w:rPr>
        <w:t>des</w:t>
      </w:r>
      <w:r w:rsidRPr="00B47019">
        <w:rPr>
          <w:lang w:val="fr-FR"/>
        </w:rPr>
        <w:t xml:space="preserve"> paragraphe</w:t>
      </w:r>
      <w:r w:rsidRPr="006E7738">
        <w:rPr>
          <w:lang w:val="fr-FR"/>
        </w:rPr>
        <w:t>s</w:t>
      </w:r>
      <w:r w:rsidRPr="00B47019">
        <w:rPr>
          <w:lang w:val="fr-FR"/>
        </w:rPr>
        <w:t xml:space="preserve"> 6.16 </w:t>
      </w:r>
      <w:r w:rsidRPr="006E7738">
        <w:rPr>
          <w:lang w:val="fr-FR"/>
        </w:rPr>
        <w:t>et 6.</w:t>
      </w:r>
      <w:r>
        <w:rPr>
          <w:lang w:val="fr-FR"/>
        </w:rPr>
        <w:t>18</w:t>
      </w:r>
      <w:r w:rsidRPr="00B47019">
        <w:rPr>
          <w:lang w:val="fr-FR"/>
        </w:rPr>
        <w:t xml:space="preserve"> du Règlement ONU n</w:t>
      </w:r>
      <w:r w:rsidRPr="00B47019">
        <w:rPr>
          <w:vertAlign w:val="superscript"/>
          <w:lang w:val="fr-FR"/>
        </w:rPr>
        <w:t>o</w:t>
      </w:r>
      <w:r w:rsidRPr="00B47019">
        <w:rPr>
          <w:lang w:val="fr-FR"/>
        </w:rPr>
        <w:t> 53 lorsqu</w:t>
      </w:r>
      <w:r>
        <w:rPr>
          <w:lang w:val="fr-FR"/>
        </w:rPr>
        <w:t>’</w:t>
      </w:r>
      <w:r w:rsidRPr="00B47019">
        <w:rPr>
          <w:lang w:val="fr-FR"/>
        </w:rPr>
        <w:t xml:space="preserve">il est correctement monté. ». </w:t>
      </w:r>
    </w:p>
    <w:p w14:paraId="24E40F33" w14:textId="77777777" w:rsidR="001E2A41" w:rsidRPr="00B47019" w:rsidRDefault="001E2A41" w:rsidP="001E2A41">
      <w:pPr>
        <w:pStyle w:val="SingleTxtG"/>
        <w:keepNext/>
        <w:rPr>
          <w:lang w:val="fr-FR"/>
        </w:rPr>
      </w:pPr>
      <w:r w:rsidRPr="00B47019">
        <w:rPr>
          <w:i/>
          <w:iCs/>
          <w:lang w:val="fr-FR"/>
        </w:rPr>
        <w:t>Paragraphe 3.2.5, tableau 1</w:t>
      </w:r>
      <w:r w:rsidRPr="00B47019">
        <w:rPr>
          <w:lang w:val="fr-FR"/>
        </w:rPr>
        <w:t>, lire :</w:t>
      </w:r>
    </w:p>
    <w:p w14:paraId="5C27CB00" w14:textId="77777777" w:rsidR="001E2A41" w:rsidRDefault="001E2A41" w:rsidP="001E2A41">
      <w:pPr>
        <w:pStyle w:val="Titre1"/>
        <w:spacing w:after="120"/>
        <w:rPr>
          <w:b/>
          <w:bCs/>
          <w:lang w:val="fr-FR"/>
        </w:rPr>
      </w:pPr>
      <w:bookmarkStart w:id="0" w:name="_Hlk141272780"/>
      <w:r w:rsidRPr="00B47019">
        <w:rPr>
          <w:lang w:val="fr-FR"/>
        </w:rPr>
        <w:t xml:space="preserve">« Tableau 1 </w:t>
      </w:r>
      <w:r>
        <w:rPr>
          <w:lang w:val="fr-FR"/>
        </w:rPr>
        <w:br/>
      </w:r>
      <w:r w:rsidRPr="00B47019">
        <w:rPr>
          <w:b/>
          <w:bCs/>
          <w:lang w:val="fr-FR"/>
        </w:rPr>
        <w:t>Liste de symboles/combinaisons</w:t>
      </w:r>
    </w:p>
    <w:tbl>
      <w:tblPr>
        <w:tblW w:w="808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992"/>
        <w:gridCol w:w="2420"/>
      </w:tblGrid>
      <w:tr w:rsidR="001E2A41" w:rsidRPr="0026688D" w14:paraId="58215162" w14:textId="77777777" w:rsidTr="00BC014D">
        <w:trPr>
          <w:tblHeader/>
        </w:trPr>
        <w:tc>
          <w:tcPr>
            <w:tcW w:w="46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A3B708" w14:textId="77777777" w:rsidR="001E2A41" w:rsidRPr="006E7738" w:rsidRDefault="001E2A41" w:rsidP="001E2A41">
            <w:pPr>
              <w:keepNext/>
              <w:spacing w:before="80" w:after="80" w:line="200" w:lineRule="exact"/>
              <w:ind w:left="57" w:right="162"/>
              <w:rPr>
                <w:i/>
                <w:iCs/>
                <w:sz w:val="16"/>
                <w:szCs w:val="16"/>
                <w:lang w:val="fr-FR"/>
              </w:rPr>
            </w:pPr>
            <w:r w:rsidRPr="006E7738">
              <w:rPr>
                <w:i/>
                <w:iCs/>
                <w:sz w:val="16"/>
                <w:szCs w:val="16"/>
                <w:lang w:val="fr-FR"/>
              </w:rPr>
              <w:t>Feu (fonction)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B1ADAA" w14:textId="77777777" w:rsidR="001E2A41" w:rsidRPr="006E7738" w:rsidRDefault="001E2A41" w:rsidP="001E2A41">
            <w:pPr>
              <w:keepNext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6E7738">
              <w:rPr>
                <w:i/>
                <w:iCs/>
                <w:sz w:val="16"/>
                <w:szCs w:val="16"/>
                <w:lang w:val="fr-FR"/>
              </w:rPr>
              <w:t>Symbole</w:t>
            </w:r>
          </w:p>
        </w:tc>
        <w:tc>
          <w:tcPr>
            <w:tcW w:w="2420" w:type="dxa"/>
            <w:tcBorders>
              <w:bottom w:val="single" w:sz="12" w:space="0" w:color="auto"/>
            </w:tcBorders>
            <w:vAlign w:val="center"/>
          </w:tcPr>
          <w:p w14:paraId="175FFAB3" w14:textId="77777777" w:rsidR="001E2A41" w:rsidRPr="006E7738" w:rsidRDefault="001E2A41" w:rsidP="001E2A41">
            <w:pPr>
              <w:keepNext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6E7738">
              <w:rPr>
                <w:i/>
                <w:iCs/>
                <w:sz w:val="16"/>
                <w:szCs w:val="16"/>
                <w:lang w:val="fr-FR"/>
              </w:rPr>
              <w:t>Symbole si le dispositif fait partie d</w:t>
            </w:r>
            <w:r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6E7738">
              <w:rPr>
                <w:i/>
                <w:iCs/>
                <w:sz w:val="16"/>
                <w:szCs w:val="16"/>
                <w:lang w:val="fr-FR"/>
              </w:rPr>
              <w:t>une paire assortie</w:t>
            </w:r>
          </w:p>
        </w:tc>
      </w:tr>
      <w:tr w:rsidR="001E2A41" w:rsidRPr="00B47019" w14:paraId="71198AF5" w14:textId="77777777" w:rsidTr="00BC014D">
        <w:trPr>
          <w:trHeight w:val="284"/>
        </w:trPr>
        <w:tc>
          <w:tcPr>
            <w:tcW w:w="4673" w:type="dxa"/>
            <w:tcBorders>
              <w:top w:val="single" w:sz="12" w:space="0" w:color="auto"/>
            </w:tcBorders>
            <w:shd w:val="clear" w:color="auto" w:fill="auto"/>
          </w:tcPr>
          <w:p w14:paraId="113C0AD3" w14:textId="77777777" w:rsidR="001E2A41" w:rsidRPr="007B1A00" w:rsidRDefault="001E2A41" w:rsidP="001E2A41">
            <w:pPr>
              <w:keepNext/>
              <w:widowControl w:val="0"/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 xml:space="preserve">Feu de route de classe A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4777FB8C" w14:textId="77777777" w:rsidR="001E2A41" w:rsidRPr="007B1A00" w:rsidRDefault="001E2A41" w:rsidP="001E2A41">
            <w:pPr>
              <w:keepNext/>
              <w:widowControl w:val="0"/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R</w:t>
            </w:r>
          </w:p>
        </w:tc>
        <w:tc>
          <w:tcPr>
            <w:tcW w:w="2420" w:type="dxa"/>
            <w:tcBorders>
              <w:top w:val="single" w:sz="12" w:space="0" w:color="auto"/>
            </w:tcBorders>
          </w:tcPr>
          <w:p w14:paraId="60F9FADB" w14:textId="77777777" w:rsidR="001E2A41" w:rsidRPr="007B1A00" w:rsidRDefault="001E2A41" w:rsidP="001E2A41">
            <w:pPr>
              <w:keepNext/>
              <w:widowControl w:val="0"/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YR</w:t>
            </w:r>
          </w:p>
        </w:tc>
      </w:tr>
      <w:tr w:rsidR="001E2A41" w:rsidRPr="00B47019" w14:paraId="45594899" w14:textId="77777777" w:rsidTr="00BC014D">
        <w:trPr>
          <w:trHeight w:val="284"/>
        </w:trPr>
        <w:tc>
          <w:tcPr>
            <w:tcW w:w="4673" w:type="dxa"/>
            <w:shd w:val="clear" w:color="auto" w:fill="auto"/>
          </w:tcPr>
          <w:p w14:paraId="7BF4CC51" w14:textId="77777777" w:rsidR="001E2A41" w:rsidRPr="007B1A00" w:rsidRDefault="001E2A41" w:rsidP="001E2A41">
            <w:pPr>
              <w:keepNext/>
              <w:widowControl w:val="0"/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Feu de croisement de classe V (asymétrique)</w:t>
            </w:r>
          </w:p>
        </w:tc>
        <w:tc>
          <w:tcPr>
            <w:tcW w:w="992" w:type="dxa"/>
            <w:shd w:val="clear" w:color="auto" w:fill="auto"/>
          </w:tcPr>
          <w:p w14:paraId="794F2E3E" w14:textId="77777777" w:rsidR="001E2A41" w:rsidRPr="007B1A00" w:rsidRDefault="001E2A41" w:rsidP="001E2A41">
            <w:pPr>
              <w:keepNext/>
              <w:widowControl w:val="0"/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V</w:t>
            </w:r>
          </w:p>
        </w:tc>
        <w:tc>
          <w:tcPr>
            <w:tcW w:w="2420" w:type="dxa"/>
          </w:tcPr>
          <w:p w14:paraId="6DADF33C" w14:textId="77777777" w:rsidR="001E2A41" w:rsidRPr="007B1A00" w:rsidRDefault="001E2A41" w:rsidP="001E2A41">
            <w:pPr>
              <w:keepNext/>
              <w:widowControl w:val="0"/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YV</w:t>
            </w:r>
          </w:p>
        </w:tc>
      </w:tr>
      <w:tr w:rsidR="001E2A41" w:rsidRPr="00B47019" w14:paraId="0A6D559E" w14:textId="77777777" w:rsidTr="00BC014D">
        <w:trPr>
          <w:trHeight w:val="284"/>
        </w:trPr>
        <w:tc>
          <w:tcPr>
            <w:tcW w:w="4673" w:type="dxa"/>
            <w:shd w:val="clear" w:color="auto" w:fill="auto"/>
          </w:tcPr>
          <w:p w14:paraId="0D42DC8B" w14:textId="77777777" w:rsidR="001E2A41" w:rsidRPr="007B1A00" w:rsidRDefault="001E2A41" w:rsidP="001E2A41">
            <w:pPr>
              <w:widowControl w:val="0"/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 xml:space="preserve">Feu de route de classe B </w:t>
            </w:r>
          </w:p>
        </w:tc>
        <w:tc>
          <w:tcPr>
            <w:tcW w:w="992" w:type="dxa"/>
            <w:shd w:val="clear" w:color="auto" w:fill="auto"/>
          </w:tcPr>
          <w:p w14:paraId="5913747F" w14:textId="77777777" w:rsidR="001E2A41" w:rsidRPr="007B1A00" w:rsidRDefault="001E2A41" w:rsidP="001E2A41">
            <w:pPr>
              <w:widowControl w:val="0"/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HR</w:t>
            </w:r>
          </w:p>
        </w:tc>
        <w:tc>
          <w:tcPr>
            <w:tcW w:w="2420" w:type="dxa"/>
          </w:tcPr>
          <w:p w14:paraId="5A690839" w14:textId="77777777" w:rsidR="001E2A41" w:rsidRPr="007B1A00" w:rsidRDefault="001E2A41" w:rsidP="001E2A41">
            <w:pPr>
              <w:widowControl w:val="0"/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YHR</w:t>
            </w:r>
          </w:p>
        </w:tc>
      </w:tr>
      <w:tr w:rsidR="001E2A41" w:rsidRPr="00B47019" w14:paraId="36E1ECA5" w14:textId="77777777" w:rsidTr="00BC014D">
        <w:trPr>
          <w:trHeight w:val="284"/>
        </w:trPr>
        <w:tc>
          <w:tcPr>
            <w:tcW w:w="4673" w:type="dxa"/>
            <w:shd w:val="clear" w:color="auto" w:fill="auto"/>
          </w:tcPr>
          <w:p w14:paraId="1F7A38E3" w14:textId="77777777" w:rsidR="001E2A41" w:rsidRPr="007B1A00" w:rsidRDefault="001E2A41" w:rsidP="001E2A41">
            <w:pPr>
              <w:widowControl w:val="0"/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Feu de croisement de classe C (asymétrique)</w:t>
            </w:r>
          </w:p>
        </w:tc>
        <w:tc>
          <w:tcPr>
            <w:tcW w:w="992" w:type="dxa"/>
            <w:shd w:val="clear" w:color="auto" w:fill="auto"/>
          </w:tcPr>
          <w:p w14:paraId="2EE50F91" w14:textId="77777777" w:rsidR="001E2A41" w:rsidRPr="007B1A00" w:rsidRDefault="001E2A41" w:rsidP="001E2A41">
            <w:pPr>
              <w:widowControl w:val="0"/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C</w:t>
            </w:r>
          </w:p>
        </w:tc>
        <w:tc>
          <w:tcPr>
            <w:tcW w:w="2420" w:type="dxa"/>
          </w:tcPr>
          <w:p w14:paraId="249302DF" w14:textId="77777777" w:rsidR="001E2A41" w:rsidRPr="007B1A00" w:rsidRDefault="001E2A41" w:rsidP="001E2A41">
            <w:pPr>
              <w:widowControl w:val="0"/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YC</w:t>
            </w:r>
          </w:p>
        </w:tc>
      </w:tr>
      <w:tr w:rsidR="001E2A41" w:rsidRPr="00B47019" w14:paraId="49F2A602" w14:textId="77777777" w:rsidTr="00BC014D">
        <w:trPr>
          <w:trHeight w:val="284"/>
        </w:trPr>
        <w:tc>
          <w:tcPr>
            <w:tcW w:w="4673" w:type="dxa"/>
            <w:shd w:val="clear" w:color="auto" w:fill="auto"/>
          </w:tcPr>
          <w:p w14:paraId="1440424C" w14:textId="77777777" w:rsidR="001E2A41" w:rsidRPr="007B1A00" w:rsidRDefault="001E2A41" w:rsidP="001E2A41">
            <w:pPr>
              <w:widowControl w:val="0"/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Feu de route auxiliaire de classe RA</w:t>
            </w:r>
          </w:p>
        </w:tc>
        <w:tc>
          <w:tcPr>
            <w:tcW w:w="992" w:type="dxa"/>
            <w:shd w:val="clear" w:color="auto" w:fill="auto"/>
          </w:tcPr>
          <w:p w14:paraId="003C149C" w14:textId="77777777" w:rsidR="001E2A41" w:rsidRPr="007B1A00" w:rsidRDefault="001E2A41" w:rsidP="001E2A41">
            <w:pPr>
              <w:widowControl w:val="0"/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RA</w:t>
            </w:r>
          </w:p>
        </w:tc>
        <w:tc>
          <w:tcPr>
            <w:tcW w:w="2420" w:type="dxa"/>
          </w:tcPr>
          <w:p w14:paraId="1BEF6497" w14:textId="77777777" w:rsidR="001E2A41" w:rsidRPr="007B1A00" w:rsidRDefault="001E2A41" w:rsidP="001E2A41">
            <w:pPr>
              <w:widowControl w:val="0"/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-</w:t>
            </w:r>
          </w:p>
        </w:tc>
      </w:tr>
      <w:tr w:rsidR="001E2A41" w:rsidRPr="00B47019" w14:paraId="7A11C166" w14:textId="77777777" w:rsidTr="00BC014D">
        <w:trPr>
          <w:trHeight w:val="284"/>
        </w:trPr>
        <w:tc>
          <w:tcPr>
            <w:tcW w:w="4673" w:type="dxa"/>
            <w:shd w:val="clear" w:color="auto" w:fill="auto"/>
            <w:vAlign w:val="bottom"/>
          </w:tcPr>
          <w:p w14:paraId="7CD788F1" w14:textId="77777777" w:rsidR="001E2A41" w:rsidRPr="007B1A00" w:rsidRDefault="001E2A41" w:rsidP="001E2A41">
            <w:pPr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Système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7B1A00">
              <w:rPr>
                <w:sz w:val="18"/>
                <w:szCs w:val="18"/>
                <w:lang w:val="fr-FR"/>
              </w:rPr>
              <w:t xml:space="preserve">éclairage avant </w:t>
            </w:r>
            <w:r>
              <w:rPr>
                <w:sz w:val="18"/>
                <w:szCs w:val="18"/>
                <w:lang w:val="fr-FR"/>
              </w:rPr>
              <w:t>adaptatif</w:t>
            </w:r>
            <w:r w:rsidRPr="007B1A00">
              <w:rPr>
                <w:sz w:val="18"/>
                <w:szCs w:val="18"/>
                <w:lang w:val="fr-FR"/>
              </w:rPr>
              <w:t xml:space="preserve"> (AFS de la classe C) : faisceau de croisement élémentaire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AD8D2B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XC</w:t>
            </w:r>
            <w:r w:rsidRPr="007B1A00">
              <w:rPr>
                <w:sz w:val="18"/>
                <w:szCs w:val="18"/>
                <w:vertAlign w:val="superscript"/>
                <w:lang w:val="fr-FR"/>
              </w:rPr>
              <w:t>3</w:t>
            </w:r>
          </w:p>
        </w:tc>
        <w:tc>
          <w:tcPr>
            <w:tcW w:w="2420" w:type="dxa"/>
          </w:tcPr>
          <w:p w14:paraId="640DA221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-</w:t>
            </w:r>
          </w:p>
        </w:tc>
      </w:tr>
      <w:tr w:rsidR="001E2A41" w:rsidRPr="00B47019" w14:paraId="4AB76859" w14:textId="77777777" w:rsidTr="00BC014D">
        <w:trPr>
          <w:trHeight w:val="284"/>
        </w:trPr>
        <w:tc>
          <w:tcPr>
            <w:tcW w:w="4673" w:type="dxa"/>
            <w:shd w:val="clear" w:color="auto" w:fill="auto"/>
            <w:vAlign w:val="bottom"/>
          </w:tcPr>
          <w:p w14:paraId="16355819" w14:textId="77777777" w:rsidR="001E2A41" w:rsidRPr="007B1A00" w:rsidRDefault="001E2A41" w:rsidP="001E2A41">
            <w:pPr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Système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7B1A00">
              <w:rPr>
                <w:sz w:val="18"/>
                <w:szCs w:val="18"/>
                <w:lang w:val="fr-FR"/>
              </w:rPr>
              <w:t xml:space="preserve">éclairage avant </w:t>
            </w:r>
            <w:r>
              <w:rPr>
                <w:sz w:val="18"/>
                <w:szCs w:val="18"/>
                <w:lang w:val="fr-FR"/>
              </w:rPr>
              <w:t>adaptatif</w:t>
            </w:r>
            <w:r w:rsidRPr="007B1A00">
              <w:rPr>
                <w:sz w:val="18"/>
                <w:szCs w:val="18"/>
                <w:lang w:val="fr-FR"/>
              </w:rPr>
              <w:t xml:space="preserve"> (AFS de la classe E) : faisceau de croisement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7B1A00">
              <w:rPr>
                <w:sz w:val="18"/>
                <w:szCs w:val="18"/>
                <w:lang w:val="fr-FR"/>
              </w:rPr>
              <w:t>autoroute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817C3E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XCE</w:t>
            </w:r>
            <w:r w:rsidRPr="006E7738">
              <w:rPr>
                <w:rStyle w:val="Appelnotedebasdep"/>
              </w:rPr>
              <w:footnoteReference w:id="4"/>
            </w:r>
            <w:r w:rsidRPr="007B1A00">
              <w:rPr>
                <w:sz w:val="18"/>
                <w:szCs w:val="18"/>
                <w:vertAlign w:val="superscript"/>
                <w:lang w:val="fr-FR"/>
              </w:rPr>
              <w:t xml:space="preserve">, </w:t>
            </w:r>
            <w:r w:rsidRPr="006E7738">
              <w:rPr>
                <w:rStyle w:val="Appelnotedebasdep"/>
              </w:rPr>
              <w:footnoteReference w:id="5"/>
            </w:r>
          </w:p>
        </w:tc>
        <w:tc>
          <w:tcPr>
            <w:tcW w:w="2420" w:type="dxa"/>
          </w:tcPr>
          <w:p w14:paraId="5D882319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-</w:t>
            </w:r>
          </w:p>
        </w:tc>
      </w:tr>
      <w:tr w:rsidR="001E2A41" w:rsidRPr="00B47019" w14:paraId="6579A488" w14:textId="77777777" w:rsidTr="00BC014D">
        <w:trPr>
          <w:trHeight w:val="284"/>
        </w:trPr>
        <w:tc>
          <w:tcPr>
            <w:tcW w:w="4673" w:type="dxa"/>
            <w:shd w:val="clear" w:color="auto" w:fill="auto"/>
            <w:vAlign w:val="bottom"/>
          </w:tcPr>
          <w:p w14:paraId="792AF83E" w14:textId="77777777" w:rsidR="001E2A41" w:rsidRPr="007B1A00" w:rsidRDefault="001E2A41" w:rsidP="001E2A41">
            <w:pPr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Système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7B1A00">
              <w:rPr>
                <w:sz w:val="18"/>
                <w:szCs w:val="18"/>
                <w:lang w:val="fr-FR"/>
              </w:rPr>
              <w:t xml:space="preserve">éclairage avant </w:t>
            </w:r>
            <w:r>
              <w:rPr>
                <w:sz w:val="18"/>
                <w:szCs w:val="18"/>
                <w:lang w:val="fr-FR"/>
              </w:rPr>
              <w:t>adaptatif</w:t>
            </w:r>
            <w:r w:rsidRPr="007B1A00">
              <w:rPr>
                <w:sz w:val="18"/>
                <w:szCs w:val="18"/>
                <w:lang w:val="fr-FR"/>
              </w:rPr>
              <w:t xml:space="preserve"> (AFS de la classe V) : faisceau de croisement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7B1A00">
              <w:rPr>
                <w:sz w:val="18"/>
                <w:szCs w:val="18"/>
                <w:lang w:val="fr-FR"/>
              </w:rPr>
              <w:t>agglomération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826188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XCV</w:t>
            </w:r>
            <w:r w:rsidRPr="007B1A00">
              <w:rPr>
                <w:sz w:val="18"/>
                <w:szCs w:val="18"/>
                <w:vertAlign w:val="superscript"/>
                <w:lang w:val="fr-FR"/>
              </w:rPr>
              <w:t>3, 4</w:t>
            </w:r>
          </w:p>
        </w:tc>
        <w:tc>
          <w:tcPr>
            <w:tcW w:w="2420" w:type="dxa"/>
          </w:tcPr>
          <w:p w14:paraId="24E44D63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-</w:t>
            </w:r>
          </w:p>
        </w:tc>
      </w:tr>
      <w:tr w:rsidR="001E2A41" w:rsidRPr="00B47019" w14:paraId="33E758EA" w14:textId="77777777" w:rsidTr="00BC014D">
        <w:trPr>
          <w:trHeight w:val="284"/>
        </w:trPr>
        <w:tc>
          <w:tcPr>
            <w:tcW w:w="4673" w:type="dxa"/>
            <w:shd w:val="clear" w:color="auto" w:fill="auto"/>
            <w:vAlign w:val="bottom"/>
          </w:tcPr>
          <w:p w14:paraId="06A9EB62" w14:textId="77777777" w:rsidR="001E2A41" w:rsidRPr="007B1A00" w:rsidRDefault="001E2A41" w:rsidP="001E2A41">
            <w:pPr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Système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7B1A00">
              <w:rPr>
                <w:sz w:val="18"/>
                <w:szCs w:val="18"/>
                <w:lang w:val="fr-FR"/>
              </w:rPr>
              <w:t xml:space="preserve">éclairage avant </w:t>
            </w:r>
            <w:r>
              <w:rPr>
                <w:sz w:val="18"/>
                <w:szCs w:val="18"/>
                <w:lang w:val="fr-FR"/>
              </w:rPr>
              <w:t>adaptatif</w:t>
            </w:r>
            <w:r w:rsidRPr="007B1A00">
              <w:rPr>
                <w:sz w:val="18"/>
                <w:szCs w:val="18"/>
                <w:lang w:val="fr-FR"/>
              </w:rPr>
              <w:t xml:space="preserve"> (AFS de la classe W) : faisceau de croisement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7B1A00">
              <w:rPr>
                <w:sz w:val="18"/>
                <w:szCs w:val="18"/>
                <w:lang w:val="fr-FR"/>
              </w:rPr>
              <w:t>intempéries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B7D509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XCW</w:t>
            </w:r>
            <w:r w:rsidRPr="007B1A00">
              <w:rPr>
                <w:sz w:val="18"/>
                <w:szCs w:val="18"/>
                <w:vertAlign w:val="superscript"/>
                <w:lang w:val="fr-FR"/>
              </w:rPr>
              <w:t>3, 4</w:t>
            </w:r>
          </w:p>
        </w:tc>
        <w:tc>
          <w:tcPr>
            <w:tcW w:w="2420" w:type="dxa"/>
          </w:tcPr>
          <w:p w14:paraId="0A748A39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-</w:t>
            </w:r>
          </w:p>
        </w:tc>
      </w:tr>
      <w:tr w:rsidR="001E2A41" w:rsidRPr="004C682F" w14:paraId="1A5B2347" w14:textId="77777777" w:rsidTr="00BC014D">
        <w:trPr>
          <w:trHeight w:val="284"/>
        </w:trPr>
        <w:tc>
          <w:tcPr>
            <w:tcW w:w="4673" w:type="dxa"/>
            <w:shd w:val="clear" w:color="auto" w:fill="auto"/>
            <w:vAlign w:val="bottom"/>
          </w:tcPr>
          <w:p w14:paraId="4D4AE94A" w14:textId="2304BADF" w:rsidR="001E2A41" w:rsidRPr="006E7738" w:rsidRDefault="001E2A41" w:rsidP="001E2A41">
            <w:pPr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6E7738">
              <w:rPr>
                <w:sz w:val="18"/>
                <w:szCs w:val="18"/>
                <w:lang w:val="fr-FR"/>
              </w:rPr>
              <w:t>Système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6E7738">
              <w:rPr>
                <w:sz w:val="18"/>
                <w:szCs w:val="18"/>
                <w:lang w:val="fr-FR"/>
              </w:rPr>
              <w:t xml:space="preserve">éclairage avant </w:t>
            </w:r>
            <w:r>
              <w:rPr>
                <w:sz w:val="18"/>
                <w:szCs w:val="18"/>
                <w:lang w:val="fr-FR"/>
              </w:rPr>
              <w:t>adaptatif</w:t>
            </w:r>
            <w:r w:rsidRPr="006E7738">
              <w:rPr>
                <w:sz w:val="18"/>
                <w:szCs w:val="18"/>
                <w:lang w:val="fr-FR"/>
              </w:rPr>
              <w:t xml:space="preserve"> destiné aux véhicules de</w:t>
            </w:r>
            <w:r w:rsidR="009C20AE">
              <w:rPr>
                <w:sz w:val="18"/>
                <w:szCs w:val="18"/>
                <w:lang w:val="fr-FR"/>
              </w:rPr>
              <w:t> </w:t>
            </w:r>
            <w:r w:rsidRPr="006E7738">
              <w:rPr>
                <w:sz w:val="18"/>
                <w:szCs w:val="18"/>
                <w:lang w:val="fr-FR"/>
              </w:rPr>
              <w:t>la catégorie L</w:t>
            </w:r>
            <w:r w:rsidRPr="006E7738">
              <w:rPr>
                <w:sz w:val="18"/>
                <w:szCs w:val="18"/>
                <w:vertAlign w:val="subscript"/>
                <w:lang w:val="fr-FR"/>
              </w:rPr>
              <w:t>3</w:t>
            </w:r>
            <w:r w:rsidRPr="006E7738">
              <w:rPr>
                <w:sz w:val="18"/>
                <w:szCs w:val="18"/>
                <w:lang w:val="fr-FR"/>
              </w:rPr>
              <w:t xml:space="preserve"> (AFS de la classe C) : </w:t>
            </w:r>
            <w:r w:rsidRPr="006E7738">
              <w:rPr>
                <w:sz w:val="18"/>
                <w:szCs w:val="18"/>
                <w:lang w:val="fr-FR"/>
              </w:rPr>
              <w:br/>
              <w:t>faisceau de croisement élémentaire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E4A562" w14:textId="77777777" w:rsidR="001E2A41" w:rsidRPr="006E7738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E7738">
              <w:rPr>
                <w:sz w:val="18"/>
                <w:szCs w:val="18"/>
                <w:lang w:val="fr-FR"/>
              </w:rPr>
              <w:t>MXC</w:t>
            </w:r>
            <w:r w:rsidRPr="006E7738">
              <w:rPr>
                <w:sz w:val="18"/>
                <w:szCs w:val="18"/>
                <w:vertAlign w:val="superscript"/>
                <w:lang w:val="fr-FR"/>
              </w:rPr>
              <w:t>3</w:t>
            </w:r>
          </w:p>
        </w:tc>
        <w:tc>
          <w:tcPr>
            <w:tcW w:w="2420" w:type="dxa"/>
          </w:tcPr>
          <w:p w14:paraId="57A970D9" w14:textId="77777777" w:rsidR="001E2A41" w:rsidRPr="004C682F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1E2A41" w:rsidRPr="004C682F" w14:paraId="31D9D798" w14:textId="77777777" w:rsidTr="00BC014D">
        <w:trPr>
          <w:trHeight w:val="284"/>
        </w:trPr>
        <w:tc>
          <w:tcPr>
            <w:tcW w:w="4673" w:type="dxa"/>
            <w:shd w:val="clear" w:color="auto" w:fill="auto"/>
            <w:vAlign w:val="bottom"/>
          </w:tcPr>
          <w:p w14:paraId="35652A98" w14:textId="19C34A64" w:rsidR="001E2A41" w:rsidRPr="006E7738" w:rsidRDefault="001E2A41" w:rsidP="001E2A41">
            <w:pPr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6E7738">
              <w:rPr>
                <w:sz w:val="18"/>
                <w:szCs w:val="18"/>
                <w:lang w:val="fr-FR"/>
              </w:rPr>
              <w:t>Système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6E7738">
              <w:rPr>
                <w:sz w:val="18"/>
                <w:szCs w:val="18"/>
                <w:lang w:val="fr-FR"/>
              </w:rPr>
              <w:t xml:space="preserve">éclairage avant </w:t>
            </w:r>
            <w:r>
              <w:rPr>
                <w:sz w:val="18"/>
                <w:szCs w:val="18"/>
                <w:lang w:val="fr-FR"/>
              </w:rPr>
              <w:t>adaptatif</w:t>
            </w:r>
            <w:r w:rsidRPr="006E7738">
              <w:rPr>
                <w:sz w:val="18"/>
                <w:szCs w:val="18"/>
                <w:lang w:val="fr-FR"/>
              </w:rPr>
              <w:t xml:space="preserve"> destiné aux véhicules de</w:t>
            </w:r>
            <w:r w:rsidR="009C20AE">
              <w:rPr>
                <w:sz w:val="18"/>
                <w:szCs w:val="18"/>
                <w:lang w:val="fr-FR"/>
              </w:rPr>
              <w:t> </w:t>
            </w:r>
            <w:r w:rsidRPr="006E7738">
              <w:rPr>
                <w:sz w:val="18"/>
                <w:szCs w:val="18"/>
                <w:lang w:val="fr-FR"/>
              </w:rPr>
              <w:t>la catégorie L</w:t>
            </w:r>
            <w:r w:rsidRPr="006E7738">
              <w:rPr>
                <w:sz w:val="18"/>
                <w:szCs w:val="18"/>
                <w:vertAlign w:val="subscript"/>
                <w:lang w:val="fr-FR"/>
              </w:rPr>
              <w:t>3</w:t>
            </w:r>
            <w:r w:rsidRPr="006E7738">
              <w:rPr>
                <w:sz w:val="18"/>
                <w:szCs w:val="18"/>
                <w:lang w:val="fr-FR"/>
              </w:rPr>
              <w:t xml:space="preserve"> (AFS de la classe E) : </w:t>
            </w:r>
            <w:r w:rsidRPr="006E7738">
              <w:rPr>
                <w:sz w:val="18"/>
                <w:szCs w:val="18"/>
                <w:lang w:val="fr-FR"/>
              </w:rPr>
              <w:br/>
              <w:t>faisceau de croisement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6E7738">
              <w:rPr>
                <w:sz w:val="18"/>
                <w:szCs w:val="18"/>
                <w:lang w:val="fr-FR"/>
              </w:rPr>
              <w:t>autoroute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1FCDDB" w14:textId="77777777" w:rsidR="001E2A41" w:rsidRPr="006E7738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E7738">
              <w:rPr>
                <w:sz w:val="18"/>
                <w:szCs w:val="18"/>
                <w:lang w:val="fr-FR"/>
              </w:rPr>
              <w:t>MXCE</w:t>
            </w:r>
            <w:r w:rsidRPr="006E7738">
              <w:rPr>
                <w:sz w:val="18"/>
                <w:szCs w:val="18"/>
                <w:vertAlign w:val="superscript"/>
                <w:lang w:val="fr-FR"/>
              </w:rPr>
              <w:t>3, 4</w:t>
            </w:r>
          </w:p>
        </w:tc>
        <w:tc>
          <w:tcPr>
            <w:tcW w:w="2420" w:type="dxa"/>
          </w:tcPr>
          <w:p w14:paraId="30290CB9" w14:textId="77777777" w:rsidR="001E2A41" w:rsidRPr="004C682F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1E2A41" w:rsidRPr="004C682F" w14:paraId="6F46F8FF" w14:textId="77777777" w:rsidTr="00BC014D">
        <w:trPr>
          <w:trHeight w:val="284"/>
        </w:trPr>
        <w:tc>
          <w:tcPr>
            <w:tcW w:w="4673" w:type="dxa"/>
            <w:shd w:val="clear" w:color="auto" w:fill="auto"/>
            <w:vAlign w:val="bottom"/>
          </w:tcPr>
          <w:p w14:paraId="0D30B983" w14:textId="2D792587" w:rsidR="001E2A41" w:rsidRPr="006E7738" w:rsidRDefault="001E2A41" w:rsidP="001E2A41">
            <w:pPr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6E7738">
              <w:rPr>
                <w:sz w:val="18"/>
                <w:szCs w:val="18"/>
                <w:lang w:val="fr-FR"/>
              </w:rPr>
              <w:t>Système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6E7738">
              <w:rPr>
                <w:sz w:val="18"/>
                <w:szCs w:val="18"/>
                <w:lang w:val="fr-FR"/>
              </w:rPr>
              <w:t xml:space="preserve">éclairage avant </w:t>
            </w:r>
            <w:r>
              <w:rPr>
                <w:sz w:val="18"/>
                <w:szCs w:val="18"/>
                <w:lang w:val="fr-FR"/>
              </w:rPr>
              <w:t>adaptatif</w:t>
            </w:r>
            <w:r w:rsidRPr="006E7738">
              <w:rPr>
                <w:sz w:val="18"/>
                <w:szCs w:val="18"/>
                <w:lang w:val="fr-FR"/>
              </w:rPr>
              <w:t xml:space="preserve"> destiné aux véhicules de</w:t>
            </w:r>
            <w:r w:rsidR="009C20AE">
              <w:rPr>
                <w:sz w:val="18"/>
                <w:szCs w:val="18"/>
                <w:lang w:val="fr-FR"/>
              </w:rPr>
              <w:t> </w:t>
            </w:r>
            <w:r w:rsidRPr="006E7738">
              <w:rPr>
                <w:sz w:val="18"/>
                <w:szCs w:val="18"/>
                <w:lang w:val="fr-FR"/>
              </w:rPr>
              <w:t>la catégorie L</w:t>
            </w:r>
            <w:r w:rsidRPr="006E7738">
              <w:rPr>
                <w:sz w:val="18"/>
                <w:szCs w:val="18"/>
                <w:vertAlign w:val="subscript"/>
                <w:lang w:val="fr-FR"/>
              </w:rPr>
              <w:t>3</w:t>
            </w:r>
            <w:r w:rsidRPr="006E7738">
              <w:rPr>
                <w:sz w:val="18"/>
                <w:szCs w:val="18"/>
                <w:lang w:val="fr-FR"/>
              </w:rPr>
              <w:t xml:space="preserve"> (AFS de la classe V) : </w:t>
            </w:r>
            <w:r w:rsidRPr="006E7738">
              <w:rPr>
                <w:sz w:val="18"/>
                <w:szCs w:val="18"/>
                <w:lang w:val="fr-FR"/>
              </w:rPr>
              <w:br/>
              <w:t>faisceau de croisement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6E7738">
              <w:rPr>
                <w:sz w:val="18"/>
                <w:szCs w:val="18"/>
                <w:lang w:val="fr-FR"/>
              </w:rPr>
              <w:t>agglomération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49A185" w14:textId="77777777" w:rsidR="001E2A41" w:rsidRPr="006E7738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E7738">
              <w:rPr>
                <w:sz w:val="18"/>
                <w:szCs w:val="18"/>
                <w:lang w:val="fr-FR"/>
              </w:rPr>
              <w:t>MXCV</w:t>
            </w:r>
            <w:r w:rsidRPr="006E7738">
              <w:rPr>
                <w:sz w:val="18"/>
                <w:szCs w:val="18"/>
                <w:vertAlign w:val="superscript"/>
                <w:lang w:val="fr-FR"/>
              </w:rPr>
              <w:t>3, 4</w:t>
            </w:r>
          </w:p>
        </w:tc>
        <w:tc>
          <w:tcPr>
            <w:tcW w:w="2420" w:type="dxa"/>
          </w:tcPr>
          <w:p w14:paraId="20C6375F" w14:textId="77777777" w:rsidR="001E2A41" w:rsidRPr="004C682F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1E2A41" w:rsidRPr="004C682F" w14:paraId="5DA9AE24" w14:textId="77777777" w:rsidTr="00BC014D">
        <w:trPr>
          <w:trHeight w:val="284"/>
        </w:trPr>
        <w:tc>
          <w:tcPr>
            <w:tcW w:w="4673" w:type="dxa"/>
            <w:shd w:val="clear" w:color="auto" w:fill="auto"/>
            <w:vAlign w:val="bottom"/>
          </w:tcPr>
          <w:p w14:paraId="10CB4567" w14:textId="1C94980E" w:rsidR="001E2A41" w:rsidRPr="006E7738" w:rsidRDefault="001E2A41" w:rsidP="001E2A41">
            <w:pPr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6E7738">
              <w:rPr>
                <w:sz w:val="18"/>
                <w:szCs w:val="18"/>
                <w:lang w:val="fr-FR"/>
              </w:rPr>
              <w:t>Système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6E7738">
              <w:rPr>
                <w:sz w:val="18"/>
                <w:szCs w:val="18"/>
                <w:lang w:val="fr-FR"/>
              </w:rPr>
              <w:t xml:space="preserve">éclairage avant </w:t>
            </w:r>
            <w:r>
              <w:rPr>
                <w:sz w:val="18"/>
                <w:szCs w:val="18"/>
                <w:lang w:val="fr-FR"/>
              </w:rPr>
              <w:t>adaptatif</w:t>
            </w:r>
            <w:r w:rsidRPr="006E7738">
              <w:rPr>
                <w:sz w:val="18"/>
                <w:szCs w:val="18"/>
                <w:lang w:val="fr-FR"/>
              </w:rPr>
              <w:t xml:space="preserve"> destiné aux véhicules de</w:t>
            </w:r>
            <w:r w:rsidR="009C20AE">
              <w:rPr>
                <w:sz w:val="18"/>
                <w:szCs w:val="18"/>
                <w:lang w:val="fr-FR"/>
              </w:rPr>
              <w:t> </w:t>
            </w:r>
            <w:r w:rsidRPr="006E7738">
              <w:rPr>
                <w:sz w:val="18"/>
                <w:szCs w:val="18"/>
                <w:lang w:val="fr-FR"/>
              </w:rPr>
              <w:t>la catégorie L</w:t>
            </w:r>
            <w:r w:rsidRPr="006E7738">
              <w:rPr>
                <w:sz w:val="18"/>
                <w:szCs w:val="18"/>
                <w:vertAlign w:val="subscript"/>
                <w:lang w:val="fr-FR"/>
              </w:rPr>
              <w:t>3</w:t>
            </w:r>
            <w:r w:rsidRPr="006E7738">
              <w:rPr>
                <w:sz w:val="18"/>
                <w:szCs w:val="18"/>
                <w:lang w:val="fr-FR"/>
              </w:rPr>
              <w:t xml:space="preserve"> (AFS de la classe W) : faisceau de croisement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6E7738">
              <w:rPr>
                <w:sz w:val="18"/>
                <w:szCs w:val="18"/>
                <w:lang w:val="fr-FR"/>
              </w:rPr>
              <w:t>intempéries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323025" w14:textId="77777777" w:rsidR="001E2A41" w:rsidRPr="006E7738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E7738">
              <w:rPr>
                <w:sz w:val="18"/>
                <w:szCs w:val="18"/>
                <w:lang w:val="fr-FR"/>
              </w:rPr>
              <w:t>MXCW</w:t>
            </w:r>
            <w:r w:rsidRPr="006E7738">
              <w:rPr>
                <w:sz w:val="18"/>
                <w:szCs w:val="18"/>
                <w:vertAlign w:val="superscript"/>
                <w:lang w:val="fr-FR"/>
              </w:rPr>
              <w:t>3, 4</w:t>
            </w:r>
          </w:p>
        </w:tc>
        <w:tc>
          <w:tcPr>
            <w:tcW w:w="2420" w:type="dxa"/>
          </w:tcPr>
          <w:p w14:paraId="5D6DF054" w14:textId="77777777" w:rsidR="001E2A41" w:rsidRPr="004C682F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1E2A41" w:rsidRPr="00B47019" w14:paraId="5BCFA1E2" w14:textId="77777777" w:rsidTr="00BC014D">
        <w:trPr>
          <w:trHeight w:val="284"/>
        </w:trPr>
        <w:tc>
          <w:tcPr>
            <w:tcW w:w="4673" w:type="dxa"/>
            <w:shd w:val="clear" w:color="auto" w:fill="auto"/>
            <w:vAlign w:val="bottom"/>
          </w:tcPr>
          <w:p w14:paraId="518A7CEF" w14:textId="77777777" w:rsidR="001E2A41" w:rsidRPr="007B1A00" w:rsidRDefault="001E2A41" w:rsidP="001E2A41">
            <w:pPr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Système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7B1A00">
              <w:rPr>
                <w:sz w:val="18"/>
                <w:szCs w:val="18"/>
                <w:lang w:val="fr-FR"/>
              </w:rPr>
              <w:t xml:space="preserve">éclairage avant </w:t>
            </w:r>
            <w:r>
              <w:rPr>
                <w:sz w:val="18"/>
                <w:szCs w:val="18"/>
                <w:lang w:val="fr-FR"/>
              </w:rPr>
              <w:t>adaptatif</w:t>
            </w:r>
            <w:r w:rsidRPr="007B1A00">
              <w:rPr>
                <w:sz w:val="18"/>
                <w:szCs w:val="18"/>
                <w:lang w:val="fr-FR"/>
              </w:rPr>
              <w:t xml:space="preserve"> (AFS de la classe R) : faisceau de route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E7BF34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XR</w:t>
            </w:r>
            <w:r w:rsidRPr="007B1A00">
              <w:rPr>
                <w:sz w:val="18"/>
                <w:szCs w:val="18"/>
                <w:vertAlign w:val="superscript"/>
                <w:lang w:val="fr-FR"/>
              </w:rPr>
              <w:t>3</w:t>
            </w:r>
          </w:p>
        </w:tc>
        <w:tc>
          <w:tcPr>
            <w:tcW w:w="2420" w:type="dxa"/>
          </w:tcPr>
          <w:p w14:paraId="7D9F1AAF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-</w:t>
            </w:r>
          </w:p>
        </w:tc>
      </w:tr>
      <w:tr w:rsidR="001E2A41" w:rsidRPr="00B47019" w14:paraId="3FB9E0BC" w14:textId="77777777" w:rsidTr="00BC014D">
        <w:trPr>
          <w:trHeight w:val="284"/>
        </w:trPr>
        <w:tc>
          <w:tcPr>
            <w:tcW w:w="4673" w:type="dxa"/>
            <w:shd w:val="clear" w:color="auto" w:fill="auto"/>
            <w:vAlign w:val="bottom"/>
          </w:tcPr>
          <w:p w14:paraId="4782541C" w14:textId="77777777" w:rsidR="001E2A41" w:rsidRPr="007B1A00" w:rsidRDefault="001E2A41" w:rsidP="001E2A41">
            <w:pPr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Feu de croisement de classe AS (symétrique)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E19D6C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C-AS</w:t>
            </w:r>
          </w:p>
        </w:tc>
        <w:tc>
          <w:tcPr>
            <w:tcW w:w="2420" w:type="dxa"/>
          </w:tcPr>
          <w:p w14:paraId="03611D9E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YC-AS</w:t>
            </w:r>
          </w:p>
        </w:tc>
      </w:tr>
      <w:tr w:rsidR="001E2A41" w:rsidRPr="00B47019" w14:paraId="778EBBB4" w14:textId="77777777" w:rsidTr="00BC014D">
        <w:trPr>
          <w:trHeight w:val="284"/>
        </w:trPr>
        <w:tc>
          <w:tcPr>
            <w:tcW w:w="4673" w:type="dxa"/>
            <w:shd w:val="clear" w:color="auto" w:fill="auto"/>
            <w:vAlign w:val="bottom"/>
          </w:tcPr>
          <w:p w14:paraId="58EF57D3" w14:textId="77777777" w:rsidR="001E2A41" w:rsidRPr="007B1A00" w:rsidRDefault="001E2A41" w:rsidP="001E2A41">
            <w:pPr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Feu de croisement de classe BS (symétrique)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091716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C-BS</w:t>
            </w:r>
          </w:p>
        </w:tc>
        <w:tc>
          <w:tcPr>
            <w:tcW w:w="2420" w:type="dxa"/>
          </w:tcPr>
          <w:p w14:paraId="04C7943E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 xml:space="preserve">YC-BS </w:t>
            </w:r>
          </w:p>
        </w:tc>
      </w:tr>
      <w:tr w:rsidR="001E2A41" w:rsidRPr="00B47019" w14:paraId="1BB4D97C" w14:textId="77777777" w:rsidTr="00BC014D">
        <w:trPr>
          <w:trHeight w:val="284"/>
        </w:trPr>
        <w:tc>
          <w:tcPr>
            <w:tcW w:w="4673" w:type="dxa"/>
            <w:shd w:val="clear" w:color="auto" w:fill="auto"/>
            <w:vAlign w:val="bottom"/>
          </w:tcPr>
          <w:p w14:paraId="39C3D689" w14:textId="77777777" w:rsidR="001E2A41" w:rsidRPr="007B1A00" w:rsidRDefault="001E2A41" w:rsidP="001E2A41">
            <w:pPr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Feu de croisement de classe CS (symétrique)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0A2036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WC-CS</w:t>
            </w:r>
          </w:p>
        </w:tc>
        <w:tc>
          <w:tcPr>
            <w:tcW w:w="2420" w:type="dxa"/>
          </w:tcPr>
          <w:p w14:paraId="04827450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YC-CS*</w:t>
            </w:r>
          </w:p>
        </w:tc>
      </w:tr>
      <w:tr w:rsidR="001E2A41" w:rsidRPr="00B47019" w14:paraId="7C30DFB6" w14:textId="77777777" w:rsidTr="00BC014D">
        <w:trPr>
          <w:trHeight w:val="284"/>
        </w:trPr>
        <w:tc>
          <w:tcPr>
            <w:tcW w:w="4673" w:type="dxa"/>
            <w:shd w:val="clear" w:color="auto" w:fill="auto"/>
            <w:vAlign w:val="bottom"/>
          </w:tcPr>
          <w:p w14:paraId="04083B46" w14:textId="77777777" w:rsidR="001E2A41" w:rsidRPr="007B1A00" w:rsidRDefault="001E2A41" w:rsidP="001E2A41">
            <w:pPr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Feu de croisement de classe DS (symétrique)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D69C02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WC-DS</w:t>
            </w:r>
          </w:p>
        </w:tc>
        <w:tc>
          <w:tcPr>
            <w:tcW w:w="2420" w:type="dxa"/>
          </w:tcPr>
          <w:p w14:paraId="262BDFAE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YC-DS*</w:t>
            </w:r>
          </w:p>
        </w:tc>
      </w:tr>
      <w:tr w:rsidR="001E2A41" w:rsidRPr="00B47019" w14:paraId="5008FDD1" w14:textId="77777777" w:rsidTr="00BC014D">
        <w:trPr>
          <w:trHeight w:val="284"/>
        </w:trPr>
        <w:tc>
          <w:tcPr>
            <w:tcW w:w="4673" w:type="dxa"/>
            <w:shd w:val="clear" w:color="auto" w:fill="auto"/>
            <w:vAlign w:val="bottom"/>
          </w:tcPr>
          <w:p w14:paraId="7A035096" w14:textId="77777777" w:rsidR="001E2A41" w:rsidRPr="007B1A00" w:rsidRDefault="001E2A41" w:rsidP="001E2A41">
            <w:pPr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lastRenderedPageBreak/>
              <w:t xml:space="preserve">Feu de route de classe BS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C3773EA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R-BS</w:t>
            </w:r>
          </w:p>
        </w:tc>
        <w:tc>
          <w:tcPr>
            <w:tcW w:w="2420" w:type="dxa"/>
          </w:tcPr>
          <w:p w14:paraId="2666C7BA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YR-BS*</w:t>
            </w:r>
          </w:p>
        </w:tc>
      </w:tr>
      <w:tr w:rsidR="001E2A41" w:rsidRPr="00B47019" w14:paraId="6ACD1EF2" w14:textId="77777777" w:rsidTr="00BC014D">
        <w:trPr>
          <w:trHeight w:val="284"/>
        </w:trPr>
        <w:tc>
          <w:tcPr>
            <w:tcW w:w="4673" w:type="dxa"/>
            <w:shd w:val="clear" w:color="auto" w:fill="auto"/>
            <w:vAlign w:val="bottom"/>
          </w:tcPr>
          <w:p w14:paraId="03FE0D33" w14:textId="77777777" w:rsidR="001E2A41" w:rsidRPr="007B1A00" w:rsidRDefault="001E2A41" w:rsidP="001E2A41">
            <w:pPr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 xml:space="preserve">Feu de route secondaire de classe CS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4D21F0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WR-CS</w:t>
            </w:r>
          </w:p>
        </w:tc>
        <w:tc>
          <w:tcPr>
            <w:tcW w:w="2420" w:type="dxa"/>
          </w:tcPr>
          <w:p w14:paraId="5E1BC7CE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YR-CS*</w:t>
            </w:r>
          </w:p>
        </w:tc>
      </w:tr>
      <w:tr w:rsidR="001E2A41" w:rsidRPr="00B47019" w14:paraId="1B8DF82F" w14:textId="77777777" w:rsidTr="00BC014D">
        <w:trPr>
          <w:trHeight w:val="284"/>
        </w:trPr>
        <w:tc>
          <w:tcPr>
            <w:tcW w:w="4673" w:type="dxa"/>
            <w:shd w:val="clear" w:color="auto" w:fill="auto"/>
            <w:vAlign w:val="bottom"/>
          </w:tcPr>
          <w:p w14:paraId="5A292672" w14:textId="77777777" w:rsidR="001E2A41" w:rsidRPr="007B1A00" w:rsidRDefault="001E2A41" w:rsidP="001E2A41">
            <w:pPr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 xml:space="preserve">Feu de route secondaire de classe DS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B4B90E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WR-DS</w:t>
            </w:r>
          </w:p>
        </w:tc>
        <w:tc>
          <w:tcPr>
            <w:tcW w:w="2420" w:type="dxa"/>
          </w:tcPr>
          <w:p w14:paraId="6B2C3F86" w14:textId="77777777" w:rsidR="001E2A41" w:rsidRPr="007B1A00" w:rsidRDefault="001E2A41" w:rsidP="001E2A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YR-DS*</w:t>
            </w:r>
          </w:p>
        </w:tc>
      </w:tr>
      <w:tr w:rsidR="001E2A41" w:rsidRPr="00B47019" w14:paraId="790749E2" w14:textId="77777777" w:rsidTr="00BC014D">
        <w:trPr>
          <w:trHeight w:val="284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</w:tcPr>
          <w:p w14:paraId="3076EA55" w14:textId="77777777" w:rsidR="001E2A41" w:rsidRPr="007B1A00" w:rsidRDefault="001E2A41" w:rsidP="001E2A41">
            <w:pPr>
              <w:keepNext/>
              <w:widowControl w:val="0"/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 xml:space="preserve">Faisceau de route adaptatif destiné aux véhicules </w:t>
            </w:r>
            <w:r>
              <w:rPr>
                <w:sz w:val="18"/>
                <w:szCs w:val="18"/>
                <w:lang w:val="fr-FR"/>
              </w:rPr>
              <w:br/>
            </w:r>
            <w:r w:rsidRPr="007B1A00">
              <w:rPr>
                <w:sz w:val="18"/>
                <w:szCs w:val="18"/>
                <w:lang w:val="fr-FR"/>
              </w:rPr>
              <w:t>de la catégorie L</w:t>
            </w:r>
            <w:r w:rsidRPr="007B1A00">
              <w:rPr>
                <w:sz w:val="18"/>
                <w:szCs w:val="18"/>
                <w:vertAlign w:val="subscript"/>
                <w:lang w:val="fr-FR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D088EC0" w14:textId="77777777" w:rsidR="001E2A41" w:rsidRPr="007B1A00" w:rsidRDefault="001E2A41" w:rsidP="001E2A41">
            <w:pPr>
              <w:keepNext/>
              <w:widowControl w:val="0"/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ADB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2C594DB8" w14:textId="77777777" w:rsidR="001E2A41" w:rsidRPr="007B1A00" w:rsidRDefault="001E2A41" w:rsidP="001E2A41">
            <w:pPr>
              <w:keepNext/>
              <w:widowControl w:val="0"/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 xml:space="preserve">YADB </w:t>
            </w:r>
          </w:p>
        </w:tc>
      </w:tr>
      <w:tr w:rsidR="001E2A41" w:rsidRPr="00B47019" w14:paraId="31D60790" w14:textId="77777777" w:rsidTr="00BC014D">
        <w:trPr>
          <w:trHeight w:val="284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</w:tcPr>
          <w:p w14:paraId="27AA4C3A" w14:textId="77777777" w:rsidR="001E2A41" w:rsidRPr="007B1A00" w:rsidRDefault="001E2A41" w:rsidP="001E2A41">
            <w:pPr>
              <w:keepNext/>
              <w:widowControl w:val="0"/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Feu de brouillard avant de classe F3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B3B20EA" w14:textId="77777777" w:rsidR="001E2A41" w:rsidRPr="007B1A00" w:rsidRDefault="001E2A41" w:rsidP="001E2A41">
            <w:pPr>
              <w:keepNext/>
              <w:widowControl w:val="0"/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F3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366A94AA" w14:textId="77777777" w:rsidR="001E2A41" w:rsidRPr="007B1A00" w:rsidRDefault="001E2A41" w:rsidP="001E2A41">
            <w:pPr>
              <w:keepNext/>
              <w:widowControl w:val="0"/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YF3</w:t>
            </w:r>
          </w:p>
        </w:tc>
      </w:tr>
      <w:tr w:rsidR="001E2A41" w:rsidRPr="00B47019" w14:paraId="00CAF898" w14:textId="77777777" w:rsidTr="00BC014D">
        <w:trPr>
          <w:trHeight w:val="284"/>
        </w:trPr>
        <w:tc>
          <w:tcPr>
            <w:tcW w:w="4673" w:type="dxa"/>
            <w:tcBorders>
              <w:bottom w:val="single" w:sz="12" w:space="0" w:color="auto"/>
            </w:tcBorders>
            <w:shd w:val="clear" w:color="auto" w:fill="auto"/>
          </w:tcPr>
          <w:p w14:paraId="7AECF5ED" w14:textId="77777777" w:rsidR="001E2A41" w:rsidRPr="007B1A00" w:rsidRDefault="001E2A41" w:rsidP="001E2A41">
            <w:pPr>
              <w:keepNext/>
              <w:widowControl w:val="0"/>
              <w:spacing w:before="40" w:after="120" w:line="220" w:lineRule="exact"/>
              <w:ind w:left="57" w:right="113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Feu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7B1A00">
              <w:rPr>
                <w:sz w:val="18"/>
                <w:szCs w:val="18"/>
                <w:lang w:val="fr-FR"/>
              </w:rPr>
              <w:t>angle de classe 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6FA38466" w14:textId="77777777" w:rsidR="001E2A41" w:rsidRPr="007B1A00" w:rsidRDefault="001E2A41" w:rsidP="001E2A41">
            <w:pPr>
              <w:keepNext/>
              <w:widowControl w:val="0"/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K</w:t>
            </w:r>
          </w:p>
        </w:tc>
        <w:tc>
          <w:tcPr>
            <w:tcW w:w="2420" w:type="dxa"/>
            <w:tcBorders>
              <w:bottom w:val="single" w:sz="12" w:space="0" w:color="auto"/>
            </w:tcBorders>
          </w:tcPr>
          <w:p w14:paraId="6F1B2E45" w14:textId="77777777" w:rsidR="001E2A41" w:rsidRPr="007B1A00" w:rsidRDefault="001E2A41" w:rsidP="001E2A41">
            <w:pPr>
              <w:keepNext/>
              <w:widowControl w:val="0"/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7B1A00">
              <w:rPr>
                <w:sz w:val="18"/>
                <w:szCs w:val="18"/>
                <w:lang w:val="fr-FR"/>
              </w:rPr>
              <w:t>-</w:t>
            </w:r>
          </w:p>
        </w:tc>
      </w:tr>
    </w:tbl>
    <w:p w14:paraId="05AF8583" w14:textId="7C00B44F" w:rsidR="001E2A41" w:rsidRPr="00B47019" w:rsidRDefault="001E2A41" w:rsidP="001E2A41">
      <w:pPr>
        <w:pStyle w:val="SingleTxtG"/>
        <w:spacing w:before="120"/>
        <w:ind w:right="0" w:firstLine="17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*  </w:t>
      </w:r>
      <w:r w:rsidRPr="007B1A00">
        <w:rPr>
          <w:sz w:val="18"/>
          <w:szCs w:val="18"/>
          <w:lang w:val="fr-FR"/>
        </w:rPr>
        <w:t>Le symbole W n</w:t>
      </w:r>
      <w:r>
        <w:rPr>
          <w:sz w:val="18"/>
          <w:szCs w:val="18"/>
          <w:lang w:val="fr-FR"/>
        </w:rPr>
        <w:t>’</w:t>
      </w:r>
      <w:r w:rsidRPr="007B1A00">
        <w:rPr>
          <w:sz w:val="18"/>
          <w:szCs w:val="18"/>
          <w:lang w:val="fr-FR"/>
        </w:rPr>
        <w:t>est pas indiqué car il est jugé inutile pour ces classes dans le cadre d</w:t>
      </w:r>
      <w:r>
        <w:rPr>
          <w:sz w:val="18"/>
          <w:szCs w:val="18"/>
          <w:lang w:val="fr-FR"/>
        </w:rPr>
        <w:t>’</w:t>
      </w:r>
      <w:r w:rsidRPr="007B1A00">
        <w:rPr>
          <w:sz w:val="18"/>
          <w:szCs w:val="18"/>
          <w:lang w:val="fr-FR"/>
        </w:rPr>
        <w:t>une paire assortie.</w:t>
      </w:r>
      <w:r w:rsidRPr="00B47019">
        <w:rPr>
          <w:lang w:val="fr-FR"/>
        </w:rPr>
        <w:t> ».</w:t>
      </w:r>
    </w:p>
    <w:bookmarkEnd w:id="0"/>
    <w:p w14:paraId="39A19F19" w14:textId="77777777" w:rsidR="001E2A41" w:rsidRPr="00B47019" w:rsidRDefault="001E2A41" w:rsidP="001E2A41">
      <w:pPr>
        <w:pStyle w:val="SingleTxtG"/>
        <w:rPr>
          <w:rFonts w:eastAsia="Calibri"/>
          <w:iCs/>
          <w:lang w:val="fr-FR"/>
        </w:rPr>
      </w:pPr>
      <w:r w:rsidRPr="00B47019">
        <w:rPr>
          <w:i/>
          <w:iCs/>
          <w:lang w:val="fr-FR"/>
        </w:rPr>
        <w:t>Paragraphe 4.5.3.6</w:t>
      </w:r>
      <w:r w:rsidRPr="00B47019">
        <w:rPr>
          <w:lang w:val="fr-FR"/>
        </w:rPr>
        <w:t>, lire</w:t>
      </w:r>
      <w:r>
        <w:rPr>
          <w:lang w:val="fr-FR"/>
        </w:rPr>
        <w:t> </w:t>
      </w:r>
      <w:r w:rsidRPr="00B47019">
        <w:rPr>
          <w:lang w:val="fr-FR"/>
        </w:rPr>
        <w:t>:</w:t>
      </w:r>
    </w:p>
    <w:p w14:paraId="08616360" w14:textId="77777777" w:rsidR="001E2A41" w:rsidRPr="00B47019" w:rsidRDefault="001E2A41" w:rsidP="001E2A41">
      <w:pPr>
        <w:pStyle w:val="SingleTxtG"/>
        <w:ind w:left="2268" w:hanging="1134"/>
        <w:rPr>
          <w:lang w:val="fr-FR"/>
        </w:rPr>
      </w:pPr>
      <w:r w:rsidRPr="00B47019">
        <w:rPr>
          <w:lang w:val="fr-FR"/>
        </w:rPr>
        <w:t>« 4.5.3.6</w:t>
      </w:r>
      <w:r w:rsidRPr="00B47019">
        <w:rPr>
          <w:lang w:val="fr-FR"/>
        </w:rPr>
        <w:tab/>
        <w:t>Lorsqu</w:t>
      </w:r>
      <w:r>
        <w:rPr>
          <w:lang w:val="fr-FR"/>
        </w:rPr>
        <w:t>’</w:t>
      </w:r>
      <w:r w:rsidRPr="00B47019">
        <w:rPr>
          <w:lang w:val="fr-FR"/>
        </w:rPr>
        <w:t>un système d</w:t>
      </w:r>
      <w:r>
        <w:rPr>
          <w:lang w:val="fr-FR"/>
        </w:rPr>
        <w:t>’</w:t>
      </w:r>
      <w:r w:rsidRPr="00B47019">
        <w:rPr>
          <w:lang w:val="fr-FR"/>
        </w:rPr>
        <w:t xml:space="preserve">éclairage avant </w:t>
      </w:r>
      <w:r>
        <w:rPr>
          <w:lang w:val="fr-FR"/>
        </w:rPr>
        <w:t>adaptatif</w:t>
      </w:r>
      <w:r w:rsidRPr="00B47019">
        <w:rPr>
          <w:lang w:val="fr-FR"/>
        </w:rPr>
        <w:t xml:space="preserve"> incorpore des sources lumineuses ou des modules d</w:t>
      </w:r>
      <w:r>
        <w:rPr>
          <w:lang w:val="fr-FR"/>
        </w:rPr>
        <w:t>’</w:t>
      </w:r>
      <w:r w:rsidRPr="00B47019">
        <w:rPr>
          <w:lang w:val="fr-FR"/>
        </w:rPr>
        <w:t>éclairage produisant le faisceau de croisement élémentaire et présente un flux lumineux normal total des unités d</w:t>
      </w:r>
      <w:r>
        <w:rPr>
          <w:lang w:val="fr-FR"/>
        </w:rPr>
        <w:t>’</w:t>
      </w:r>
      <w:r w:rsidRPr="00B47019">
        <w:rPr>
          <w:lang w:val="fr-FR"/>
        </w:rPr>
        <w:t>éclairage (indiqué au point 9.2.3 a) de la fiche de communication) supérieur à 2,00·10</w:t>
      </w:r>
      <w:r w:rsidRPr="00B47019">
        <w:rPr>
          <w:vertAlign w:val="superscript"/>
          <w:lang w:val="fr-FR"/>
        </w:rPr>
        <w:t>3</w:t>
      </w:r>
      <w:r w:rsidRPr="00B47019">
        <w:rPr>
          <w:lang w:val="fr-FR"/>
        </w:rPr>
        <w:t xml:space="preserve"> lumens par côté, </w:t>
      </w:r>
      <w:r>
        <w:rPr>
          <w:lang w:val="fr-FR"/>
        </w:rPr>
        <w:t xml:space="preserve">il convient de l’indiquer dans la fiche de communication figurant à l’annexe 1. Ces renseignements ne sont pas nécessaires </w:t>
      </w:r>
      <w:r w:rsidRPr="006E7738">
        <w:rPr>
          <w:lang w:val="fr-FR"/>
        </w:rPr>
        <w:t xml:space="preserve">dans le cas </w:t>
      </w:r>
      <w:r>
        <w:rPr>
          <w:lang w:val="fr-FR"/>
        </w:rPr>
        <w:t>où l’</w:t>
      </w:r>
      <w:r w:rsidRPr="006E7738">
        <w:rPr>
          <w:lang w:val="fr-FR"/>
        </w:rPr>
        <w:t xml:space="preserve">AFS </w:t>
      </w:r>
      <w:r>
        <w:rPr>
          <w:lang w:val="fr-FR"/>
        </w:rPr>
        <w:t xml:space="preserve">est </w:t>
      </w:r>
      <w:r w:rsidRPr="006E7738">
        <w:rPr>
          <w:lang w:val="fr-FR"/>
        </w:rPr>
        <w:t xml:space="preserve">destiné </w:t>
      </w:r>
      <w:r>
        <w:rPr>
          <w:lang w:val="fr-FR"/>
        </w:rPr>
        <w:t>à un</w:t>
      </w:r>
      <w:r w:rsidRPr="006E7738">
        <w:rPr>
          <w:lang w:val="fr-FR"/>
        </w:rPr>
        <w:t xml:space="preserve"> véhicule de la catégorie L</w:t>
      </w:r>
      <w:r w:rsidRPr="006E7738">
        <w:rPr>
          <w:vertAlign w:val="subscript"/>
          <w:lang w:val="fr-FR"/>
        </w:rPr>
        <w:t>3</w:t>
      </w:r>
      <w:r w:rsidRPr="004577FB">
        <w:rPr>
          <w:lang w:val="fr-FR"/>
        </w:rPr>
        <w:t>.</w:t>
      </w:r>
      <w:r w:rsidRPr="00B47019">
        <w:rPr>
          <w:lang w:val="fr-FR"/>
        </w:rPr>
        <w:t> ».</w:t>
      </w:r>
    </w:p>
    <w:p w14:paraId="1B2E1393" w14:textId="77777777" w:rsidR="001E2A41" w:rsidRPr="00B47019" w:rsidRDefault="001E2A41" w:rsidP="001E2A41">
      <w:pPr>
        <w:pStyle w:val="SingleTxtG"/>
        <w:rPr>
          <w:iCs/>
          <w:lang w:val="fr-FR"/>
        </w:rPr>
      </w:pPr>
      <w:r w:rsidRPr="00B47019">
        <w:rPr>
          <w:i/>
          <w:iCs/>
          <w:lang w:val="fr-FR"/>
        </w:rPr>
        <w:t>Paragraphe 5.3.2.1</w:t>
      </w:r>
      <w:r w:rsidRPr="00B47019">
        <w:rPr>
          <w:lang w:val="fr-FR"/>
        </w:rPr>
        <w:t>, lire</w:t>
      </w:r>
      <w:r>
        <w:rPr>
          <w:lang w:val="fr-FR"/>
        </w:rPr>
        <w:t> </w:t>
      </w:r>
      <w:r w:rsidRPr="00B47019">
        <w:rPr>
          <w:lang w:val="fr-FR"/>
        </w:rPr>
        <w:t>:</w:t>
      </w:r>
    </w:p>
    <w:p w14:paraId="51B19CA2" w14:textId="77777777" w:rsidR="001E2A41" w:rsidRPr="00B47019" w:rsidRDefault="001E2A41" w:rsidP="001E2A41">
      <w:pPr>
        <w:pStyle w:val="SingleTxtG"/>
        <w:ind w:left="2268" w:hanging="1134"/>
        <w:rPr>
          <w:lang w:val="fr-FR"/>
        </w:rPr>
      </w:pPr>
      <w:r w:rsidRPr="00B47019">
        <w:rPr>
          <w:lang w:val="fr-FR"/>
        </w:rPr>
        <w:t>« 5.3.2.1</w:t>
      </w:r>
      <w:r w:rsidRPr="00B47019">
        <w:rPr>
          <w:lang w:val="fr-FR"/>
        </w:rPr>
        <w:tab/>
        <w:t>De chaque côté du système (c</w:t>
      </w:r>
      <w:r>
        <w:rPr>
          <w:lang w:val="fr-FR"/>
        </w:rPr>
        <w:t>’</w:t>
      </w:r>
      <w:r w:rsidRPr="00B47019">
        <w:rPr>
          <w:lang w:val="fr-FR"/>
        </w:rPr>
        <w:t xml:space="preserve">est-à-dire du véhicule) </w:t>
      </w:r>
      <w:r w:rsidRPr="006E7738">
        <w:rPr>
          <w:lang w:val="fr-FR"/>
        </w:rPr>
        <w:t>ou, dans le cas d</w:t>
      </w:r>
      <w:r>
        <w:rPr>
          <w:lang w:val="fr-FR"/>
        </w:rPr>
        <w:t>’</w:t>
      </w:r>
      <w:r w:rsidRPr="006E7738">
        <w:rPr>
          <w:lang w:val="fr-FR"/>
        </w:rPr>
        <w:t>un AFS destiné aux véhicules de la catégorie L</w:t>
      </w:r>
      <w:r w:rsidRPr="006E7738">
        <w:rPr>
          <w:vertAlign w:val="subscript"/>
          <w:lang w:val="fr-FR"/>
        </w:rPr>
        <w:t>3</w:t>
      </w:r>
      <w:r w:rsidRPr="006E7738">
        <w:rPr>
          <w:lang w:val="fr-FR"/>
        </w:rPr>
        <w:t>, pour le système</w:t>
      </w:r>
      <w:r w:rsidRPr="004577FB">
        <w:rPr>
          <w:lang w:val="fr-FR"/>
        </w:rPr>
        <w:t>,</w:t>
      </w:r>
      <w:r w:rsidRPr="00B47019">
        <w:rPr>
          <w:lang w:val="fr-FR"/>
        </w:rPr>
        <w:t xml:space="preserve"> le faisceau de croisement à l</w:t>
      </w:r>
      <w:r>
        <w:rPr>
          <w:lang w:val="fr-FR"/>
        </w:rPr>
        <w:t>’</w:t>
      </w:r>
      <w:r w:rsidRPr="00B47019">
        <w:rPr>
          <w:lang w:val="fr-FR"/>
        </w:rPr>
        <w:t>état neutre doit produire, à partir d</w:t>
      </w:r>
      <w:r>
        <w:rPr>
          <w:lang w:val="fr-FR"/>
        </w:rPr>
        <w:t>’</w:t>
      </w:r>
      <w:r w:rsidRPr="00B47019">
        <w:rPr>
          <w:lang w:val="fr-FR"/>
        </w:rPr>
        <w:t>au moins une unité d</w:t>
      </w:r>
      <w:r>
        <w:rPr>
          <w:lang w:val="fr-FR"/>
        </w:rPr>
        <w:t>’</w:t>
      </w:r>
      <w:r w:rsidRPr="00B47019">
        <w:rPr>
          <w:lang w:val="fr-FR"/>
        </w:rPr>
        <w:t>éclairage, une coupure telle que définie à l</w:t>
      </w:r>
      <w:r>
        <w:rPr>
          <w:lang w:val="fr-FR"/>
        </w:rPr>
        <w:t>’</w:t>
      </w:r>
      <w:r w:rsidRPr="00B47019">
        <w:rPr>
          <w:lang w:val="fr-FR"/>
        </w:rPr>
        <w:t>annexe 5, ou bien : ... ».</w:t>
      </w:r>
    </w:p>
    <w:p w14:paraId="25D2CF77" w14:textId="77777777" w:rsidR="001E2A41" w:rsidRPr="00B47019" w:rsidRDefault="001E2A41" w:rsidP="001E2A41">
      <w:pPr>
        <w:pStyle w:val="SingleTxtG"/>
        <w:rPr>
          <w:lang w:val="fr-FR"/>
        </w:rPr>
      </w:pPr>
      <w:r w:rsidRPr="00B47019">
        <w:rPr>
          <w:i/>
          <w:iCs/>
          <w:lang w:val="fr-FR"/>
        </w:rPr>
        <w:t>Paragraphe 5.3.2.2</w:t>
      </w:r>
      <w:r w:rsidRPr="00B47019">
        <w:rPr>
          <w:lang w:val="fr-FR"/>
        </w:rPr>
        <w:t>, lire</w:t>
      </w:r>
      <w:r>
        <w:rPr>
          <w:lang w:val="fr-FR"/>
        </w:rPr>
        <w:t> </w:t>
      </w:r>
      <w:r w:rsidRPr="00B47019">
        <w:rPr>
          <w:lang w:val="fr-FR"/>
        </w:rPr>
        <w:t>:</w:t>
      </w:r>
    </w:p>
    <w:p w14:paraId="236DCF31" w14:textId="3E977478" w:rsidR="001E2A41" w:rsidRPr="00B47019" w:rsidRDefault="001E2A41" w:rsidP="001E2A41">
      <w:pPr>
        <w:pStyle w:val="SingleTxtG"/>
        <w:ind w:left="2268" w:hanging="1134"/>
        <w:rPr>
          <w:lang w:val="fr-FR"/>
        </w:rPr>
      </w:pPr>
      <w:r w:rsidRPr="00B47019">
        <w:rPr>
          <w:lang w:val="fr-FR"/>
        </w:rPr>
        <w:t>« 5.3.2.2</w:t>
      </w:r>
      <w:r w:rsidRPr="00B47019">
        <w:rPr>
          <w:lang w:val="fr-FR"/>
        </w:rPr>
        <w:tab/>
        <w:t>Le système ou l</w:t>
      </w:r>
      <w:r>
        <w:rPr>
          <w:lang w:val="fr-FR"/>
        </w:rPr>
        <w:t>’</w:t>
      </w:r>
      <w:r w:rsidRPr="00B47019">
        <w:rPr>
          <w:lang w:val="fr-FR"/>
        </w:rPr>
        <w:t>une ou plusieurs de ses parties doivent être orientés conformément aux prescriptions du paragraphe</w:t>
      </w:r>
      <w:r w:rsidR="009C20AE">
        <w:rPr>
          <w:lang w:val="fr-FR"/>
        </w:rPr>
        <w:t> </w:t>
      </w:r>
      <w:r w:rsidRPr="00B47019">
        <w:rPr>
          <w:lang w:val="fr-FR"/>
        </w:rPr>
        <w:t>3.2 de l</w:t>
      </w:r>
      <w:r>
        <w:rPr>
          <w:lang w:val="fr-FR"/>
        </w:rPr>
        <w:t>’</w:t>
      </w:r>
      <w:r w:rsidRPr="00B47019">
        <w:rPr>
          <w:lang w:val="fr-FR"/>
        </w:rPr>
        <w:t>annexe</w:t>
      </w:r>
      <w:r w:rsidR="009C20AE">
        <w:rPr>
          <w:lang w:val="fr-FR"/>
        </w:rPr>
        <w:t> </w:t>
      </w:r>
      <w:r w:rsidRPr="00B47019">
        <w:rPr>
          <w:lang w:val="fr-FR"/>
        </w:rPr>
        <w:t>5 ainsi qu</w:t>
      </w:r>
      <w:r>
        <w:rPr>
          <w:lang w:val="fr-FR"/>
        </w:rPr>
        <w:t>’</w:t>
      </w:r>
      <w:r w:rsidRPr="00B47019">
        <w:rPr>
          <w:lang w:val="fr-FR"/>
        </w:rPr>
        <w:t>aux tolérances indiquées au paragraphe 4, de telle sorte que la position de la ligne de coupure corresponde aux prescriptions du tableau</w:t>
      </w:r>
      <w:r w:rsidR="009C20AE">
        <w:rPr>
          <w:lang w:val="fr-FR"/>
        </w:rPr>
        <w:t> </w:t>
      </w:r>
      <w:r w:rsidRPr="00B47019">
        <w:rPr>
          <w:lang w:val="fr-FR"/>
        </w:rPr>
        <w:t xml:space="preserve">8. </w:t>
      </w:r>
      <w:r w:rsidRPr="006E7738">
        <w:rPr>
          <w:lang w:val="fr-FR"/>
        </w:rPr>
        <w:t>Dans le cas des AFS destinés aux véhicules de la catégorie</w:t>
      </w:r>
      <w:r w:rsidR="009C20AE">
        <w:rPr>
          <w:lang w:val="fr-FR"/>
        </w:rPr>
        <w:t> </w:t>
      </w:r>
      <w:r w:rsidRPr="006E7738">
        <w:rPr>
          <w:lang w:val="fr-FR"/>
        </w:rPr>
        <w:t>L</w:t>
      </w:r>
      <w:r w:rsidRPr="006E7738">
        <w:rPr>
          <w:vertAlign w:val="subscript"/>
          <w:lang w:val="fr-FR"/>
        </w:rPr>
        <w:t>3</w:t>
      </w:r>
      <w:r w:rsidRPr="006E7738">
        <w:rPr>
          <w:lang w:val="fr-FR"/>
        </w:rPr>
        <w:t>, le système ou l</w:t>
      </w:r>
      <w:r>
        <w:rPr>
          <w:lang w:val="fr-FR"/>
        </w:rPr>
        <w:t>’</w:t>
      </w:r>
      <w:r w:rsidRPr="006E7738">
        <w:rPr>
          <w:lang w:val="fr-FR"/>
        </w:rPr>
        <w:t>une ou plusieurs de ses parties doivent être orientés conformément aux prescriptions du paragraphe</w:t>
      </w:r>
      <w:r w:rsidR="009C20AE">
        <w:rPr>
          <w:lang w:val="fr-FR"/>
        </w:rPr>
        <w:t> </w:t>
      </w:r>
      <w:r w:rsidRPr="006E7738">
        <w:rPr>
          <w:lang w:val="fr-FR"/>
        </w:rPr>
        <w:t>3.3 de l</w:t>
      </w:r>
      <w:r>
        <w:rPr>
          <w:lang w:val="fr-FR"/>
        </w:rPr>
        <w:t>’</w:t>
      </w:r>
      <w:r w:rsidRPr="006E7738">
        <w:rPr>
          <w:lang w:val="fr-FR"/>
        </w:rPr>
        <w:t>annexe 5.</w:t>
      </w:r>
    </w:p>
    <w:p w14:paraId="46B23ECD" w14:textId="076F0C2D" w:rsidR="001E2A41" w:rsidRPr="00B47019" w:rsidRDefault="001E2A41" w:rsidP="001E2A41">
      <w:pPr>
        <w:pStyle w:val="SingleTxtG"/>
        <w:ind w:left="2268"/>
        <w:rPr>
          <w:lang w:val="fr-FR"/>
        </w:rPr>
      </w:pPr>
      <w:r w:rsidRPr="00B47019">
        <w:rPr>
          <w:lang w:val="fr-FR"/>
        </w:rPr>
        <w:t>Toutefois, s</w:t>
      </w:r>
      <w:r>
        <w:rPr>
          <w:lang w:val="fr-FR"/>
        </w:rPr>
        <w:t>’</w:t>
      </w:r>
      <w:r w:rsidRPr="00B47019">
        <w:rPr>
          <w:lang w:val="fr-FR"/>
        </w:rPr>
        <w:t>il n</w:t>
      </w:r>
      <w:r>
        <w:rPr>
          <w:lang w:val="fr-FR"/>
        </w:rPr>
        <w:t>’</w:t>
      </w:r>
      <w:r w:rsidRPr="00B47019">
        <w:rPr>
          <w:lang w:val="fr-FR"/>
        </w:rPr>
        <w:t>est pas possible d</w:t>
      </w:r>
      <w:r>
        <w:rPr>
          <w:lang w:val="fr-FR"/>
        </w:rPr>
        <w:t>’</w:t>
      </w:r>
      <w:r w:rsidRPr="00B47019">
        <w:rPr>
          <w:lang w:val="fr-FR"/>
        </w:rPr>
        <w:t>effectuer le réglage vertical à plusieurs reprises en obtenant chaque fois la position correcte dans les limites de tolérance admises, on doit appliquer la méthode instrumentale prescrite à la section</w:t>
      </w:r>
      <w:r w:rsidR="009C20AE">
        <w:rPr>
          <w:lang w:val="fr-FR"/>
        </w:rPr>
        <w:t> </w:t>
      </w:r>
      <w:r w:rsidRPr="00B47019">
        <w:rPr>
          <w:lang w:val="fr-FR"/>
        </w:rPr>
        <w:t>2 de l</w:t>
      </w:r>
      <w:r>
        <w:rPr>
          <w:lang w:val="fr-FR"/>
        </w:rPr>
        <w:t>’</w:t>
      </w:r>
      <w:r w:rsidRPr="00B47019">
        <w:rPr>
          <w:lang w:val="fr-FR"/>
        </w:rPr>
        <w:t xml:space="preserve">annexe 6 pour vérifier que la qualité de la ligne de coupure asymétrique </w:t>
      </w:r>
      <w:r w:rsidRPr="006E7738">
        <w:rPr>
          <w:lang w:val="fr-FR"/>
        </w:rPr>
        <w:t>ou de la ligne de coupure symétrique dans le cas d</w:t>
      </w:r>
      <w:r>
        <w:rPr>
          <w:lang w:val="fr-FR"/>
        </w:rPr>
        <w:t>’</w:t>
      </w:r>
      <w:r w:rsidRPr="006E7738">
        <w:rPr>
          <w:lang w:val="fr-FR"/>
        </w:rPr>
        <w:t>un AFS destiné aux véhicules de la catégorie L</w:t>
      </w:r>
      <w:r w:rsidRPr="006E7738">
        <w:rPr>
          <w:vertAlign w:val="subscript"/>
          <w:lang w:val="fr-FR"/>
        </w:rPr>
        <w:t>3</w:t>
      </w:r>
      <w:r w:rsidRPr="00B47019">
        <w:rPr>
          <w:lang w:val="fr-FR"/>
        </w:rPr>
        <w:t xml:space="preserve"> répond aux exigences minimales et pour effectuer le réglage vertical du faisceau. ».</w:t>
      </w:r>
    </w:p>
    <w:p w14:paraId="3F201A8F" w14:textId="77777777" w:rsidR="001E2A41" w:rsidRPr="00B47019" w:rsidRDefault="001E2A41" w:rsidP="001E2A41">
      <w:pPr>
        <w:pStyle w:val="SingleTxtG"/>
        <w:rPr>
          <w:rFonts w:eastAsia="Calibri"/>
          <w:iCs/>
          <w:lang w:val="fr-FR"/>
        </w:rPr>
      </w:pPr>
      <w:r w:rsidRPr="00B47019">
        <w:rPr>
          <w:i/>
          <w:iCs/>
          <w:lang w:val="fr-FR"/>
        </w:rPr>
        <w:t>Paragraphe 5.3.2.4</w:t>
      </w:r>
      <w:r w:rsidRPr="00B47019">
        <w:rPr>
          <w:lang w:val="fr-FR"/>
        </w:rPr>
        <w:t>, lire</w:t>
      </w:r>
      <w:r>
        <w:rPr>
          <w:lang w:val="fr-FR"/>
        </w:rPr>
        <w:t> </w:t>
      </w:r>
      <w:r w:rsidRPr="00B47019">
        <w:rPr>
          <w:lang w:val="fr-FR"/>
        </w:rPr>
        <w:t>:</w:t>
      </w:r>
    </w:p>
    <w:p w14:paraId="6473E60B" w14:textId="4371CCCD" w:rsidR="001E2A41" w:rsidRDefault="001E2A41" w:rsidP="009C20AE">
      <w:pPr>
        <w:pStyle w:val="SingleTxtG"/>
        <w:ind w:left="2268" w:hanging="1134"/>
        <w:rPr>
          <w:lang w:val="fr-FR"/>
        </w:rPr>
      </w:pPr>
      <w:r w:rsidRPr="00B47019">
        <w:rPr>
          <w:lang w:val="fr-FR"/>
        </w:rPr>
        <w:t>« 5.3.2.4</w:t>
      </w:r>
      <w:r w:rsidRPr="00B47019">
        <w:rPr>
          <w:lang w:val="fr-FR"/>
        </w:rPr>
        <w:tab/>
        <w:t>Lorsqu</w:t>
      </w:r>
      <w:r>
        <w:rPr>
          <w:lang w:val="fr-FR"/>
        </w:rPr>
        <w:t>’</w:t>
      </w:r>
      <w:r w:rsidRPr="00B47019">
        <w:rPr>
          <w:lang w:val="fr-FR"/>
        </w:rPr>
        <w:t>il émet le faisceau de croisement dans un mode donné, le système doit être conforme aux prescriptions de la section correspondante (C, V, E ou W) de la partie</w:t>
      </w:r>
      <w:r w:rsidR="009C20AE">
        <w:rPr>
          <w:lang w:val="fr-FR"/>
        </w:rPr>
        <w:t> </w:t>
      </w:r>
      <w:r w:rsidRPr="00B47019">
        <w:rPr>
          <w:lang w:val="fr-FR"/>
        </w:rPr>
        <w:t>A du tableau</w:t>
      </w:r>
      <w:r w:rsidR="009C20AE">
        <w:rPr>
          <w:lang w:val="fr-FR"/>
        </w:rPr>
        <w:t> </w:t>
      </w:r>
      <w:r w:rsidRPr="00B47019">
        <w:rPr>
          <w:lang w:val="fr-FR"/>
        </w:rPr>
        <w:t>7 (valeurs photométriques) et du tableau 8 (I</w:t>
      </w:r>
      <w:r w:rsidRPr="00837487">
        <w:rPr>
          <w:vertAlign w:val="subscript"/>
          <w:lang w:val="fr-FR"/>
        </w:rPr>
        <w:t>max</w:t>
      </w:r>
      <w:r w:rsidRPr="00B47019">
        <w:rPr>
          <w:lang w:val="fr-FR"/>
        </w:rPr>
        <w:t xml:space="preserve"> et positions de la ligne de coupure), ainsi que </w:t>
      </w:r>
      <w:r>
        <w:rPr>
          <w:lang w:val="fr-FR"/>
        </w:rPr>
        <w:t>du</w:t>
      </w:r>
      <w:r w:rsidRPr="00B47019">
        <w:rPr>
          <w:lang w:val="fr-FR"/>
        </w:rPr>
        <w:t xml:space="preserve"> paragraphe</w:t>
      </w:r>
      <w:r w:rsidR="009C20AE">
        <w:rPr>
          <w:lang w:val="fr-FR"/>
        </w:rPr>
        <w:t> </w:t>
      </w:r>
      <w:r w:rsidRPr="00B47019">
        <w:rPr>
          <w:lang w:val="fr-FR"/>
        </w:rPr>
        <w:t>2.1 (définition de la ligne de coupure asymétrique) de l</w:t>
      </w:r>
      <w:r>
        <w:rPr>
          <w:lang w:val="fr-FR"/>
        </w:rPr>
        <w:t>’</w:t>
      </w:r>
      <w:r w:rsidRPr="00B47019">
        <w:rPr>
          <w:lang w:val="fr-FR"/>
        </w:rPr>
        <w:t>annexe</w:t>
      </w:r>
      <w:r w:rsidR="009C20AE">
        <w:rPr>
          <w:lang w:val="fr-FR"/>
        </w:rPr>
        <w:t> </w:t>
      </w:r>
      <w:r w:rsidRPr="00B47019">
        <w:rPr>
          <w:lang w:val="fr-FR"/>
        </w:rPr>
        <w:t xml:space="preserve">5. </w:t>
      </w:r>
      <w:r w:rsidRPr="006E7738">
        <w:rPr>
          <w:lang w:val="fr-FR"/>
        </w:rPr>
        <w:t>Dans le cas des AFS destinés aux véhicules de la catégorie</w:t>
      </w:r>
      <w:r w:rsidR="009C20AE">
        <w:rPr>
          <w:lang w:val="fr-FR"/>
        </w:rPr>
        <w:t> </w:t>
      </w:r>
      <w:r w:rsidRPr="006E7738">
        <w:rPr>
          <w:lang w:val="fr-FR"/>
        </w:rPr>
        <w:t>L</w:t>
      </w:r>
      <w:r w:rsidRPr="006E7738">
        <w:rPr>
          <w:vertAlign w:val="subscript"/>
          <w:lang w:val="fr-FR"/>
        </w:rPr>
        <w:t>3</w:t>
      </w:r>
      <w:r w:rsidRPr="006E7738">
        <w:rPr>
          <w:lang w:val="fr-FR"/>
        </w:rPr>
        <w:t>, lorsqu</w:t>
      </w:r>
      <w:r>
        <w:rPr>
          <w:lang w:val="fr-FR"/>
        </w:rPr>
        <w:t>’</w:t>
      </w:r>
      <w:r w:rsidRPr="006E7738">
        <w:rPr>
          <w:lang w:val="fr-FR"/>
        </w:rPr>
        <w:t>il émet le faisceau de croisement dans un mode donné, le système doit être conforme aux prescriptions relatives aux faisceaux de croisement de la classe</w:t>
      </w:r>
      <w:r w:rsidR="009C20AE">
        <w:rPr>
          <w:lang w:val="fr-FR"/>
        </w:rPr>
        <w:t> </w:t>
      </w:r>
      <w:r w:rsidRPr="006E7738">
        <w:rPr>
          <w:lang w:val="fr-FR"/>
        </w:rPr>
        <w:t>DS énoncées au paragraphe</w:t>
      </w:r>
      <w:r w:rsidR="009C20AE">
        <w:rPr>
          <w:lang w:val="fr-FR"/>
        </w:rPr>
        <w:t> </w:t>
      </w:r>
      <w:r w:rsidRPr="006E7738">
        <w:rPr>
          <w:lang w:val="fr-FR"/>
        </w:rPr>
        <w:t>5.4 du présent Règlement. </w:t>
      </w:r>
      <w:r w:rsidRPr="00B47019">
        <w:rPr>
          <w:lang w:val="fr-FR"/>
        </w:rPr>
        <w:t>».</w:t>
      </w:r>
    </w:p>
    <w:p w14:paraId="4DA7C2DB" w14:textId="33CEDD73" w:rsidR="001E2A41" w:rsidRPr="006241F7" w:rsidRDefault="001E2A41" w:rsidP="001E2A41">
      <w:pPr>
        <w:pStyle w:val="SingleTxtG"/>
        <w:keepNext/>
        <w:rPr>
          <w:lang w:val="fr-FR"/>
        </w:rPr>
      </w:pPr>
      <w:r w:rsidRPr="006241F7">
        <w:rPr>
          <w:i/>
          <w:iCs/>
          <w:lang w:val="fr-FR"/>
        </w:rPr>
        <w:lastRenderedPageBreak/>
        <w:t>Paragraphe</w:t>
      </w:r>
      <w:r w:rsidR="009C20AE">
        <w:rPr>
          <w:i/>
          <w:iCs/>
          <w:lang w:val="fr-FR"/>
        </w:rPr>
        <w:t> </w:t>
      </w:r>
      <w:r w:rsidRPr="006241F7">
        <w:rPr>
          <w:i/>
          <w:iCs/>
          <w:lang w:val="fr-FR"/>
        </w:rPr>
        <w:t>5.3.3.4</w:t>
      </w:r>
      <w:r w:rsidRPr="006241F7">
        <w:rPr>
          <w:lang w:val="fr-FR"/>
        </w:rPr>
        <w:t>, lire</w:t>
      </w:r>
      <w:r>
        <w:rPr>
          <w:lang w:val="fr-FR"/>
        </w:rPr>
        <w:t> </w:t>
      </w:r>
      <w:r w:rsidRPr="006241F7">
        <w:rPr>
          <w:lang w:val="fr-FR"/>
        </w:rPr>
        <w:t>:</w:t>
      </w:r>
    </w:p>
    <w:p w14:paraId="37EB1C68" w14:textId="77777777" w:rsidR="001E2A41" w:rsidRDefault="001E2A41" w:rsidP="001E2A41">
      <w:pPr>
        <w:pStyle w:val="SingleTxtG"/>
        <w:ind w:left="2268" w:hanging="1134"/>
        <w:rPr>
          <w:lang w:val="fr-FR"/>
        </w:rPr>
      </w:pPr>
      <w:r w:rsidRPr="00730D3A">
        <w:rPr>
          <w:spacing w:val="-2"/>
          <w:lang w:val="fr-FR"/>
        </w:rPr>
        <w:t>« 5.3.3.4</w:t>
      </w:r>
      <w:r w:rsidRPr="00730D3A">
        <w:rPr>
          <w:spacing w:val="-2"/>
          <w:lang w:val="fr-FR"/>
        </w:rPr>
        <w:tab/>
        <w:t>Le système doit être conçu de telle sorte que la ou les unités d</w:t>
      </w:r>
      <w:r>
        <w:rPr>
          <w:spacing w:val="-2"/>
          <w:lang w:val="fr-FR"/>
        </w:rPr>
        <w:t>’</w:t>
      </w:r>
      <w:r w:rsidRPr="00730D3A">
        <w:rPr>
          <w:spacing w:val="-2"/>
          <w:lang w:val="fr-FR"/>
        </w:rPr>
        <w:t xml:space="preserve">éclairage du côté </w:t>
      </w:r>
      <w:r w:rsidRPr="001E2A41">
        <w:rPr>
          <w:lang w:val="fr-FR"/>
        </w:rPr>
        <w:t>droit</w:t>
      </w:r>
      <w:r w:rsidRPr="00730D3A">
        <w:rPr>
          <w:spacing w:val="-2"/>
          <w:lang w:val="fr-FR"/>
        </w:rPr>
        <w:t xml:space="preserve"> et du côté gauche fournissent chacune au moins </w:t>
      </w:r>
      <w:r w:rsidRPr="006E7738">
        <w:rPr>
          <w:spacing w:val="-2"/>
          <w:lang w:val="fr-FR"/>
        </w:rPr>
        <w:t>1,60</w:t>
      </w:r>
      <w:r w:rsidRPr="00730D3A">
        <w:rPr>
          <w:spacing w:val="-2"/>
          <w:lang w:val="fr-FR"/>
        </w:rPr>
        <w:t>∙10</w:t>
      </w:r>
      <w:r w:rsidRPr="00730D3A">
        <w:rPr>
          <w:spacing w:val="-2"/>
          <w:vertAlign w:val="superscript"/>
          <w:lang w:val="fr-FR"/>
        </w:rPr>
        <w:t>4</w:t>
      </w:r>
      <w:r w:rsidRPr="00730D3A">
        <w:rPr>
          <w:spacing w:val="-2"/>
          <w:lang w:val="fr-FR"/>
        </w:rPr>
        <w:t> cd au point HV. Dans le cas des ADB destinés aux véhicules de la catégorie L</w:t>
      </w:r>
      <w:r w:rsidRPr="00730D3A">
        <w:rPr>
          <w:spacing w:val="-2"/>
          <w:vertAlign w:val="subscript"/>
          <w:lang w:val="fr-FR"/>
        </w:rPr>
        <w:t>3</w:t>
      </w:r>
      <w:r w:rsidRPr="00730D3A">
        <w:rPr>
          <w:spacing w:val="-2"/>
          <w:lang w:val="fr-FR"/>
        </w:rPr>
        <w:t xml:space="preserve">, chaque </w:t>
      </w:r>
      <w:r w:rsidRPr="00730D3A">
        <w:rPr>
          <w:lang w:val="fr-FR"/>
        </w:rPr>
        <w:t>unité d</w:t>
      </w:r>
      <w:r>
        <w:rPr>
          <w:lang w:val="fr-FR"/>
        </w:rPr>
        <w:t>’</w:t>
      </w:r>
      <w:r w:rsidRPr="00730D3A">
        <w:rPr>
          <w:lang w:val="fr-FR"/>
        </w:rPr>
        <w:t xml:space="preserve">installation doit fournir au moins </w:t>
      </w:r>
      <w:r w:rsidRPr="006E7738">
        <w:rPr>
          <w:lang w:val="fr-FR"/>
        </w:rPr>
        <w:t>1,60</w:t>
      </w:r>
      <w:r w:rsidRPr="00730D3A">
        <w:rPr>
          <w:lang w:val="fr-FR"/>
        </w:rPr>
        <w:t>∙10</w:t>
      </w:r>
      <w:r w:rsidRPr="00730D3A">
        <w:rPr>
          <w:vertAlign w:val="superscript"/>
          <w:lang w:val="fr-FR"/>
        </w:rPr>
        <w:t>4</w:t>
      </w:r>
      <w:r w:rsidRPr="00730D3A">
        <w:rPr>
          <w:lang w:val="fr-FR"/>
        </w:rPr>
        <w:t> cd au point HV. ».</w:t>
      </w:r>
    </w:p>
    <w:p w14:paraId="51AD9B3F" w14:textId="1B775CCB" w:rsidR="001E2A41" w:rsidRDefault="001E2A41" w:rsidP="001E2A41">
      <w:pPr>
        <w:pStyle w:val="SingleTxtG"/>
        <w:rPr>
          <w:lang w:val="fr-FR"/>
        </w:rPr>
      </w:pPr>
      <w:r w:rsidRPr="006241F7">
        <w:rPr>
          <w:i/>
          <w:iCs/>
          <w:lang w:val="fr-FR"/>
        </w:rPr>
        <w:t>Paragraphe</w:t>
      </w:r>
      <w:r>
        <w:rPr>
          <w:i/>
          <w:iCs/>
          <w:lang w:val="fr-FR"/>
        </w:rPr>
        <w:t>s</w:t>
      </w:r>
      <w:r w:rsidR="009C20AE">
        <w:rPr>
          <w:i/>
          <w:iCs/>
          <w:lang w:val="fr-FR"/>
        </w:rPr>
        <w:t> </w:t>
      </w:r>
      <w:r>
        <w:rPr>
          <w:i/>
          <w:iCs/>
          <w:lang w:val="fr-FR"/>
        </w:rPr>
        <w:t>5.6.2 et 5.6.3, ainsi que les sous-paragraphes correspondants</w:t>
      </w:r>
      <w:r w:rsidRPr="006241F7">
        <w:rPr>
          <w:lang w:val="fr-FR"/>
        </w:rPr>
        <w:t xml:space="preserve">, </w:t>
      </w:r>
      <w:r>
        <w:rPr>
          <w:lang w:val="fr-FR"/>
        </w:rPr>
        <w:t>supprimer.</w:t>
      </w:r>
    </w:p>
    <w:p w14:paraId="0C299515" w14:textId="77777777" w:rsidR="001E2A41" w:rsidRDefault="001E2A41" w:rsidP="001E2A41">
      <w:pPr>
        <w:pStyle w:val="SingleTxtG"/>
      </w:pPr>
      <w:r>
        <w:rPr>
          <w:i/>
          <w:iCs/>
          <w:lang w:val="fr-FR"/>
        </w:rPr>
        <w:t xml:space="preserve">Les paragraphes 5.6.4, 5.6.4.1 et 5.6.4.2 </w:t>
      </w:r>
      <w:r>
        <w:rPr>
          <w:lang w:val="fr-FR"/>
        </w:rPr>
        <w:t>deviennent les paragraphes</w:t>
      </w:r>
      <w:r>
        <w:t> 5.6.2, 5.6.2.1 et 5.6.2.2, respectivement.</w:t>
      </w:r>
    </w:p>
    <w:p w14:paraId="32490E43" w14:textId="77777777" w:rsidR="001E2A41" w:rsidRPr="006241F7" w:rsidRDefault="001E2A41" w:rsidP="001E2A41">
      <w:pPr>
        <w:pStyle w:val="SingleTxtG"/>
        <w:rPr>
          <w:iCs/>
          <w:lang w:val="fr-FR"/>
        </w:rPr>
      </w:pPr>
      <w:r w:rsidRPr="00730D3A">
        <w:rPr>
          <w:i/>
          <w:iCs/>
          <w:lang w:val="fr-FR"/>
        </w:rPr>
        <w:t>Tableau 36, partie B</w:t>
      </w:r>
      <w:r w:rsidRPr="006241F7">
        <w:rPr>
          <w:lang w:val="fr-FR"/>
        </w:rPr>
        <w:t>, lire</w:t>
      </w:r>
      <w:r>
        <w:rPr>
          <w:lang w:val="fr-FR"/>
        </w:rPr>
        <w:t> </w:t>
      </w:r>
      <w:r w:rsidRPr="006241F7">
        <w:rPr>
          <w:lang w:val="fr-FR"/>
        </w:rPr>
        <w:t>:</w:t>
      </w:r>
    </w:p>
    <w:p w14:paraId="37B4ECB1" w14:textId="77777777" w:rsidR="001E2A41" w:rsidRPr="006241F7" w:rsidRDefault="001E2A41" w:rsidP="001E2A41">
      <w:pPr>
        <w:spacing w:after="120"/>
        <w:ind w:left="2268" w:right="1134" w:hanging="1134"/>
        <w:rPr>
          <w:iCs/>
          <w:lang w:val="fr-FR"/>
        </w:rPr>
      </w:pPr>
      <w:r w:rsidRPr="002E3FD0">
        <w:rPr>
          <w:lang w:val="fr-FR"/>
        </w:rPr>
        <w:t>«</w:t>
      </w:r>
      <w:r w:rsidRPr="006241F7">
        <w:rPr>
          <w:i/>
          <w:iCs/>
          <w:lang w:val="fr-FR"/>
        </w:rPr>
        <w:t> ...</w:t>
      </w: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831"/>
        <w:gridCol w:w="1275"/>
        <w:gridCol w:w="1329"/>
        <w:gridCol w:w="1163"/>
        <w:gridCol w:w="1164"/>
        <w:gridCol w:w="1164"/>
      </w:tblGrid>
      <w:tr w:rsidR="001E2A41" w:rsidRPr="009D39E9" w14:paraId="3F13BB16" w14:textId="77777777" w:rsidTr="009C20AE">
        <w:trPr>
          <w:trHeight w:val="287"/>
          <w:tblHeader/>
        </w:trPr>
        <w:tc>
          <w:tcPr>
            <w:tcW w:w="286" w:type="dxa"/>
            <w:vMerge w:val="restart"/>
            <w:shd w:val="clear" w:color="auto" w:fill="auto"/>
            <w:textDirection w:val="btLr"/>
            <w:vAlign w:val="center"/>
          </w:tcPr>
          <w:p w14:paraId="32E91FAA" w14:textId="77777777" w:rsidR="001E2A41" w:rsidRPr="006241F7" w:rsidRDefault="001E2A41" w:rsidP="00BC014D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Partie B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14:paraId="34707CAC" w14:textId="77777777" w:rsidR="001E2A41" w:rsidRPr="004A3F15" w:rsidRDefault="001E2A41" w:rsidP="00BC014D">
            <w:pPr>
              <w:spacing w:before="20" w:after="20" w:line="240" w:lineRule="auto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6718C8">
              <w:rPr>
                <w:b/>
                <w:bCs/>
                <w:i/>
                <w:iCs/>
                <w:sz w:val="16"/>
                <w:szCs w:val="16"/>
                <w:lang w:val="fr-FR"/>
              </w:rPr>
              <w:t>Élément</w:t>
            </w:r>
            <w:r w:rsidRPr="00377E19">
              <w:rPr>
                <w:i/>
                <w:iCs/>
                <w:sz w:val="16"/>
                <w:szCs w:val="16"/>
                <w:vertAlign w:val="superscript"/>
                <w:lang w:val="fr-FR"/>
              </w:rPr>
              <w:t>a</w:t>
            </w:r>
          </w:p>
        </w:tc>
        <w:tc>
          <w:tcPr>
            <w:tcW w:w="2604" w:type="dxa"/>
            <w:gridSpan w:val="2"/>
            <w:vMerge w:val="restart"/>
            <w:vAlign w:val="center"/>
          </w:tcPr>
          <w:p w14:paraId="6F65A1D5" w14:textId="211B50C7" w:rsidR="001E2A41" w:rsidRPr="004A3F15" w:rsidRDefault="001E2A41" w:rsidP="001E2A41">
            <w:pPr>
              <w:spacing w:before="20" w:after="20" w:line="240" w:lineRule="auto"/>
              <w:jc w:val="center"/>
              <w:rPr>
                <w:rFonts w:eastAsia="HGSGothicM"/>
                <w:b/>
                <w:bCs/>
                <w:i/>
                <w:sz w:val="16"/>
                <w:szCs w:val="16"/>
                <w:lang w:val="fr-FR"/>
              </w:rPr>
            </w:pPr>
            <w:r w:rsidRPr="006718C8">
              <w:rPr>
                <w:b/>
                <w:bCs/>
                <w:i/>
                <w:iCs/>
                <w:sz w:val="16"/>
                <w:szCs w:val="16"/>
                <w:lang w:val="fr-FR"/>
              </w:rPr>
              <w:t>Coordonnées angulaires (degrés)</w:t>
            </w:r>
          </w:p>
        </w:tc>
        <w:tc>
          <w:tcPr>
            <w:tcW w:w="3491" w:type="dxa"/>
            <w:gridSpan w:val="3"/>
            <w:shd w:val="clear" w:color="auto" w:fill="auto"/>
            <w:vAlign w:val="center"/>
          </w:tcPr>
          <w:p w14:paraId="28FE4E6F" w14:textId="77777777" w:rsidR="001E2A41" w:rsidRPr="004A3F15" w:rsidRDefault="001E2A41" w:rsidP="00BC014D">
            <w:pPr>
              <w:spacing w:before="40" w:after="40" w:line="240" w:lineRule="auto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6718C8">
              <w:rPr>
                <w:b/>
                <w:bCs/>
                <w:i/>
                <w:iCs/>
                <w:sz w:val="16"/>
                <w:szCs w:val="16"/>
                <w:lang w:val="fr-FR"/>
              </w:rPr>
              <w:t>Intensité lumineuse minimale</w:t>
            </w:r>
            <w:r w:rsidRPr="00377E19">
              <w:rPr>
                <w:i/>
                <w:iCs/>
                <w:sz w:val="16"/>
                <w:szCs w:val="16"/>
                <w:vertAlign w:val="superscript"/>
                <w:lang w:val="fr-FR"/>
              </w:rPr>
              <w:t>b</w:t>
            </w:r>
            <w:r w:rsidRPr="006718C8">
              <w:rPr>
                <w:b/>
                <w:bCs/>
                <w:i/>
                <w:iCs/>
                <w:sz w:val="16"/>
                <w:szCs w:val="16"/>
                <w:lang w:val="fr-FR"/>
              </w:rPr>
              <w:t xml:space="preserve"> (cd)</w:t>
            </w:r>
          </w:p>
        </w:tc>
      </w:tr>
      <w:tr w:rsidR="001E2A41" w:rsidRPr="006241F7" w14:paraId="2E7C7C1C" w14:textId="77777777" w:rsidTr="009C20AE">
        <w:trPr>
          <w:trHeight w:val="270"/>
          <w:tblHeader/>
        </w:trPr>
        <w:tc>
          <w:tcPr>
            <w:tcW w:w="286" w:type="dxa"/>
            <w:vMerge/>
            <w:shd w:val="clear" w:color="auto" w:fill="auto"/>
            <w:textDirection w:val="btLr"/>
            <w:vAlign w:val="center"/>
          </w:tcPr>
          <w:p w14:paraId="72FD0EC2" w14:textId="77777777" w:rsidR="001E2A41" w:rsidRPr="006241F7" w:rsidRDefault="001E2A41" w:rsidP="00BC014D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14:paraId="712C2B86" w14:textId="77777777" w:rsidR="001E2A41" w:rsidRPr="004A3F15" w:rsidRDefault="001E2A41" w:rsidP="00BC014D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</w:p>
        </w:tc>
        <w:tc>
          <w:tcPr>
            <w:tcW w:w="26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68EA80B" w14:textId="77777777" w:rsidR="001E2A41" w:rsidRPr="004A3F15" w:rsidRDefault="001E2A41" w:rsidP="00BC014D">
            <w:pPr>
              <w:spacing w:before="20" w:after="2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9D18B48" w14:textId="77777777" w:rsidR="001E2A41" w:rsidRPr="004A3F15" w:rsidRDefault="001E2A41" w:rsidP="00BC014D">
            <w:pPr>
              <w:spacing w:before="40" w:after="40" w:line="240" w:lineRule="auto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6718C8">
              <w:rPr>
                <w:b/>
                <w:bCs/>
                <w:i/>
                <w:iCs/>
                <w:sz w:val="16"/>
                <w:szCs w:val="16"/>
                <w:lang w:val="fr-FR"/>
              </w:rPr>
              <w:t>Colonne 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6D92878" w14:textId="77777777" w:rsidR="001E2A41" w:rsidRPr="004A3F15" w:rsidRDefault="001E2A41" w:rsidP="00BC014D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6718C8">
              <w:rPr>
                <w:b/>
                <w:bCs/>
                <w:i/>
                <w:iCs/>
                <w:sz w:val="16"/>
                <w:szCs w:val="16"/>
                <w:lang w:val="fr-FR"/>
              </w:rPr>
              <w:t>Colonne B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3F238DD" w14:textId="77777777" w:rsidR="001E2A41" w:rsidRPr="004A3F15" w:rsidRDefault="001E2A41" w:rsidP="00BC014D">
            <w:pPr>
              <w:spacing w:before="40" w:after="4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6718C8">
              <w:rPr>
                <w:b/>
                <w:bCs/>
                <w:i/>
                <w:iCs/>
                <w:sz w:val="16"/>
                <w:szCs w:val="16"/>
                <w:lang w:val="fr-FR"/>
              </w:rPr>
              <w:t>Colonne C</w:t>
            </w:r>
          </w:p>
        </w:tc>
      </w:tr>
      <w:tr w:rsidR="001E2A41" w:rsidRPr="006241F7" w14:paraId="4CE2F389" w14:textId="77777777" w:rsidTr="009C20AE">
        <w:trPr>
          <w:trHeight w:val="20"/>
          <w:tblHeader/>
        </w:trPr>
        <w:tc>
          <w:tcPr>
            <w:tcW w:w="286" w:type="dxa"/>
            <w:vMerge/>
            <w:shd w:val="clear" w:color="auto" w:fill="auto"/>
          </w:tcPr>
          <w:p w14:paraId="78B20187" w14:textId="77777777" w:rsidR="001E2A41" w:rsidRPr="006241F7" w:rsidRDefault="001E2A41" w:rsidP="00BC014D">
            <w:pPr>
              <w:spacing w:before="20" w:after="2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3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FF1A38F" w14:textId="77777777" w:rsidR="001E2A41" w:rsidRPr="004A3F15" w:rsidRDefault="001E2A41" w:rsidP="00BC014D">
            <w:pPr>
              <w:spacing w:before="20" w:after="20" w:line="240" w:lineRule="auto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541C872E" w14:textId="77777777" w:rsidR="001E2A41" w:rsidRPr="004A3F15" w:rsidRDefault="001E2A41" w:rsidP="00BC014D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6718C8">
              <w:rPr>
                <w:b/>
                <w:bCs/>
                <w:i/>
                <w:iCs/>
                <w:sz w:val="16"/>
                <w:szCs w:val="16"/>
                <w:lang w:val="fr-FR"/>
              </w:rPr>
              <w:t>Angle vertical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7ACE91" w14:textId="77777777" w:rsidR="001E2A41" w:rsidRPr="004A3F15" w:rsidRDefault="001E2A41" w:rsidP="00BC014D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6718C8">
              <w:rPr>
                <w:b/>
                <w:bCs/>
                <w:i/>
                <w:iCs/>
                <w:sz w:val="16"/>
                <w:szCs w:val="16"/>
                <w:lang w:val="fr-FR"/>
              </w:rPr>
              <w:t>Angle horizontal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538F3B" w14:textId="77777777" w:rsidR="001E2A41" w:rsidRPr="004A3F15" w:rsidRDefault="001E2A41" w:rsidP="00BC014D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6718C8">
              <w:rPr>
                <w:b/>
                <w:bCs/>
                <w:i/>
                <w:iCs/>
                <w:sz w:val="16"/>
                <w:szCs w:val="16"/>
                <w:lang w:val="fr-FR"/>
              </w:rPr>
              <w:t>≙ 0 % d</w:t>
            </w:r>
            <w:r>
              <w:rPr>
                <w:b/>
                <w:bCs/>
                <w:i/>
                <w:iCs/>
                <w:sz w:val="16"/>
                <w:szCs w:val="16"/>
                <w:lang w:val="fr-FR"/>
              </w:rPr>
              <w:t>’</w:t>
            </w:r>
            <w:r w:rsidRPr="006718C8">
              <w:rPr>
                <w:b/>
                <w:bCs/>
                <w:i/>
                <w:iCs/>
                <w:sz w:val="16"/>
                <w:szCs w:val="16"/>
                <w:lang w:val="fr-FR"/>
              </w:rPr>
              <w:t>écart</w:t>
            </w:r>
          </w:p>
        </w:tc>
        <w:tc>
          <w:tcPr>
            <w:tcW w:w="11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AA9C42" w14:textId="77777777" w:rsidR="001E2A41" w:rsidRPr="004A3F15" w:rsidRDefault="001E2A41" w:rsidP="00BC014D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6718C8">
              <w:rPr>
                <w:b/>
                <w:bCs/>
                <w:i/>
                <w:iCs/>
                <w:sz w:val="16"/>
                <w:szCs w:val="16"/>
                <w:lang w:val="fr-FR"/>
              </w:rPr>
              <w:t>≙ 20 % d</w:t>
            </w:r>
            <w:r>
              <w:rPr>
                <w:b/>
                <w:bCs/>
                <w:i/>
                <w:iCs/>
                <w:sz w:val="16"/>
                <w:szCs w:val="16"/>
                <w:lang w:val="fr-FR"/>
              </w:rPr>
              <w:t>’</w:t>
            </w:r>
            <w:r w:rsidRPr="006718C8">
              <w:rPr>
                <w:b/>
                <w:bCs/>
                <w:i/>
                <w:iCs/>
                <w:sz w:val="16"/>
                <w:szCs w:val="16"/>
                <w:lang w:val="fr-FR"/>
              </w:rPr>
              <w:t>écart</w:t>
            </w:r>
          </w:p>
        </w:tc>
        <w:tc>
          <w:tcPr>
            <w:tcW w:w="11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3950F0" w14:textId="77777777" w:rsidR="001E2A41" w:rsidRPr="004A3F15" w:rsidRDefault="001E2A41" w:rsidP="00BC014D">
            <w:pPr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6718C8">
              <w:rPr>
                <w:b/>
                <w:bCs/>
                <w:i/>
                <w:iCs/>
                <w:sz w:val="16"/>
                <w:szCs w:val="16"/>
                <w:lang w:val="fr-FR"/>
              </w:rPr>
              <w:t>≙ 30 % d</w:t>
            </w:r>
            <w:r>
              <w:rPr>
                <w:b/>
                <w:bCs/>
                <w:i/>
                <w:iCs/>
                <w:sz w:val="16"/>
                <w:szCs w:val="16"/>
                <w:lang w:val="fr-FR"/>
              </w:rPr>
              <w:t>’</w:t>
            </w:r>
            <w:r w:rsidRPr="006718C8">
              <w:rPr>
                <w:b/>
                <w:bCs/>
                <w:i/>
                <w:iCs/>
                <w:sz w:val="16"/>
                <w:szCs w:val="16"/>
                <w:lang w:val="fr-FR"/>
              </w:rPr>
              <w:t>écart</w:t>
            </w:r>
          </w:p>
        </w:tc>
      </w:tr>
      <w:tr w:rsidR="001E2A41" w:rsidRPr="006241F7" w14:paraId="4CA8E9E4" w14:textId="77777777" w:rsidTr="009C20AE">
        <w:trPr>
          <w:trHeight w:val="20"/>
        </w:trPr>
        <w:tc>
          <w:tcPr>
            <w:tcW w:w="286" w:type="dxa"/>
            <w:vMerge/>
            <w:shd w:val="clear" w:color="auto" w:fill="AEAAAA"/>
          </w:tcPr>
          <w:p w14:paraId="39A59B46" w14:textId="77777777" w:rsidR="001E2A41" w:rsidRPr="006241F7" w:rsidRDefault="001E2A41" w:rsidP="00BC014D">
            <w:pPr>
              <w:spacing w:before="20" w:after="2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42915E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50 L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11CF7AD3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0,86° D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A7A28E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3.43° L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13FA60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2,55∙10</w:t>
            </w:r>
            <w:r w:rsidRPr="006241F7">
              <w:rPr>
                <w:vertAlign w:val="superscript"/>
                <w:lang w:val="fr-FR"/>
              </w:rPr>
              <w:t>3</w:t>
            </w:r>
          </w:p>
        </w:tc>
        <w:tc>
          <w:tcPr>
            <w:tcW w:w="11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791815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2,04∙10</w:t>
            </w:r>
            <w:r w:rsidRPr="006241F7">
              <w:rPr>
                <w:vertAlign w:val="superscript"/>
                <w:lang w:val="fr-FR"/>
              </w:rPr>
              <w:t>3</w:t>
            </w:r>
          </w:p>
        </w:tc>
        <w:tc>
          <w:tcPr>
            <w:tcW w:w="11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9DA3FD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1,79∙10</w:t>
            </w:r>
            <w:r w:rsidRPr="006241F7">
              <w:rPr>
                <w:vertAlign w:val="superscript"/>
                <w:lang w:val="fr-FR"/>
              </w:rPr>
              <w:t>3</w:t>
            </w:r>
          </w:p>
        </w:tc>
      </w:tr>
      <w:tr w:rsidR="001E2A41" w:rsidRPr="006241F7" w14:paraId="3AFC7EAA" w14:textId="77777777" w:rsidTr="009C20AE">
        <w:trPr>
          <w:trHeight w:val="20"/>
        </w:trPr>
        <w:tc>
          <w:tcPr>
            <w:tcW w:w="286" w:type="dxa"/>
            <w:vMerge/>
            <w:shd w:val="clear" w:color="auto" w:fill="AEAAAA"/>
          </w:tcPr>
          <w:p w14:paraId="0721A686" w14:textId="77777777" w:rsidR="001E2A41" w:rsidRPr="006241F7" w:rsidRDefault="001E2A41" w:rsidP="00BC014D">
            <w:pPr>
              <w:spacing w:before="20" w:after="2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30FE1C3A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50 V</w:t>
            </w:r>
          </w:p>
        </w:tc>
        <w:tc>
          <w:tcPr>
            <w:tcW w:w="1275" w:type="dxa"/>
            <w:vAlign w:val="center"/>
          </w:tcPr>
          <w:p w14:paraId="1F8DA3BB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0,86° D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7CEFB6D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0°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904ACD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5,10∙10</w:t>
            </w:r>
            <w:r w:rsidRPr="006241F7">
              <w:rPr>
                <w:vertAlign w:val="superscript"/>
                <w:lang w:val="fr-FR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C92A23F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4,08∙10</w:t>
            </w:r>
            <w:r w:rsidRPr="006241F7">
              <w:rPr>
                <w:vertAlign w:val="superscript"/>
                <w:lang w:val="fr-FR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0670374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3,57∙10</w:t>
            </w:r>
            <w:r w:rsidRPr="006241F7">
              <w:rPr>
                <w:vertAlign w:val="superscript"/>
                <w:lang w:val="fr-FR"/>
              </w:rPr>
              <w:t>3</w:t>
            </w:r>
          </w:p>
        </w:tc>
      </w:tr>
      <w:tr w:rsidR="001E2A41" w:rsidRPr="006241F7" w14:paraId="3CB06A56" w14:textId="77777777" w:rsidTr="009C20AE">
        <w:trPr>
          <w:trHeight w:val="20"/>
        </w:trPr>
        <w:tc>
          <w:tcPr>
            <w:tcW w:w="286" w:type="dxa"/>
            <w:vMerge/>
            <w:shd w:val="clear" w:color="auto" w:fill="AEAAAA"/>
          </w:tcPr>
          <w:p w14:paraId="03940D9D" w14:textId="77777777" w:rsidR="001E2A41" w:rsidRPr="006241F7" w:rsidRDefault="001E2A41" w:rsidP="00BC014D">
            <w:pPr>
              <w:spacing w:before="20" w:after="2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61DAE8F2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50 R</w:t>
            </w:r>
          </w:p>
        </w:tc>
        <w:tc>
          <w:tcPr>
            <w:tcW w:w="1275" w:type="dxa"/>
            <w:vAlign w:val="center"/>
          </w:tcPr>
          <w:p w14:paraId="26276C80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0,86° D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17A2325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1.72° R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A32891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5,10∙10</w:t>
            </w:r>
            <w:r w:rsidRPr="006241F7">
              <w:rPr>
                <w:vertAlign w:val="superscript"/>
                <w:lang w:val="fr-FR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F58329E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4,08∙10</w:t>
            </w:r>
            <w:r w:rsidRPr="006241F7">
              <w:rPr>
                <w:vertAlign w:val="superscript"/>
                <w:lang w:val="fr-FR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59ABF7A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3,57∙10</w:t>
            </w:r>
            <w:r w:rsidRPr="006241F7">
              <w:rPr>
                <w:vertAlign w:val="superscript"/>
                <w:lang w:val="fr-FR"/>
              </w:rPr>
              <w:t>3</w:t>
            </w:r>
          </w:p>
        </w:tc>
      </w:tr>
      <w:tr w:rsidR="001E2A41" w:rsidRPr="006241F7" w14:paraId="2B5379AF" w14:textId="77777777" w:rsidTr="009C20AE">
        <w:trPr>
          <w:trHeight w:val="20"/>
        </w:trPr>
        <w:tc>
          <w:tcPr>
            <w:tcW w:w="286" w:type="dxa"/>
            <w:vMerge/>
            <w:shd w:val="clear" w:color="auto" w:fill="AEAAAA"/>
          </w:tcPr>
          <w:p w14:paraId="56EC35DD" w14:textId="77777777" w:rsidR="001E2A41" w:rsidRPr="006241F7" w:rsidRDefault="001E2A41" w:rsidP="00BC014D">
            <w:pPr>
              <w:spacing w:before="20" w:after="2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3EDB4A35" w14:textId="77777777" w:rsidR="001E2A41" w:rsidRPr="006241F7" w:rsidRDefault="001E2A41" w:rsidP="00BC014D">
            <w:pPr>
              <w:pageBreakBefore/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25 LL</w:t>
            </w:r>
          </w:p>
        </w:tc>
        <w:tc>
          <w:tcPr>
            <w:tcW w:w="1275" w:type="dxa"/>
            <w:vAlign w:val="center"/>
          </w:tcPr>
          <w:p w14:paraId="7DBAB4CF" w14:textId="77777777" w:rsidR="001E2A41" w:rsidRPr="006241F7" w:rsidRDefault="001E2A41" w:rsidP="00BC014D">
            <w:pPr>
              <w:pageBreakBefore/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1,72° D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EB75611" w14:textId="77777777" w:rsidR="001E2A41" w:rsidRPr="006241F7" w:rsidRDefault="001E2A41" w:rsidP="00BC014D">
            <w:pPr>
              <w:pageBreakBefore/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16° L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6DC788" w14:textId="77777777" w:rsidR="001E2A41" w:rsidRPr="006241F7" w:rsidRDefault="001E2A41" w:rsidP="00BC014D">
            <w:pPr>
              <w:pageBreakBefore/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1,18∙10</w:t>
            </w:r>
            <w:r w:rsidRPr="006241F7">
              <w:rPr>
                <w:vertAlign w:val="superscript"/>
                <w:lang w:val="fr-FR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08C81E6" w14:textId="77777777" w:rsidR="001E2A41" w:rsidRPr="006241F7" w:rsidRDefault="001E2A41" w:rsidP="00BC014D">
            <w:pPr>
              <w:pageBreakBefore/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9,44∙10</w:t>
            </w:r>
            <w:r w:rsidRPr="006241F7">
              <w:rPr>
                <w:vertAlign w:val="superscript"/>
                <w:lang w:val="fr-FR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960380F" w14:textId="77777777" w:rsidR="001E2A41" w:rsidRPr="006241F7" w:rsidRDefault="001E2A41" w:rsidP="00BC014D">
            <w:pPr>
              <w:pageBreakBefore/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8,26∙10</w:t>
            </w:r>
            <w:r w:rsidRPr="006241F7">
              <w:rPr>
                <w:vertAlign w:val="superscript"/>
                <w:lang w:val="fr-FR"/>
              </w:rPr>
              <w:t>2</w:t>
            </w:r>
          </w:p>
        </w:tc>
      </w:tr>
      <w:tr w:rsidR="001E2A41" w:rsidRPr="006241F7" w14:paraId="1679FD53" w14:textId="77777777" w:rsidTr="009C20AE">
        <w:trPr>
          <w:trHeight w:val="20"/>
        </w:trPr>
        <w:tc>
          <w:tcPr>
            <w:tcW w:w="286" w:type="dxa"/>
            <w:vMerge/>
            <w:shd w:val="clear" w:color="auto" w:fill="AEAAAA"/>
          </w:tcPr>
          <w:p w14:paraId="3C6FE712" w14:textId="77777777" w:rsidR="001E2A41" w:rsidRPr="006241F7" w:rsidRDefault="001E2A41" w:rsidP="00BC014D">
            <w:pPr>
              <w:spacing w:before="20" w:after="2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2C0075BB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25 RR</w:t>
            </w:r>
          </w:p>
        </w:tc>
        <w:tc>
          <w:tcPr>
            <w:tcW w:w="1275" w:type="dxa"/>
            <w:vAlign w:val="center"/>
          </w:tcPr>
          <w:p w14:paraId="28B158C2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1,72° D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6A6CB71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11° R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7D77409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1,18∙10</w:t>
            </w:r>
            <w:r w:rsidRPr="006E7738">
              <w:rPr>
                <w:vertAlign w:val="superscript"/>
                <w:lang w:val="fr-FR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F8B49C5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9,44∙10</w:t>
            </w:r>
            <w:r w:rsidRPr="006241F7">
              <w:rPr>
                <w:vertAlign w:val="superscript"/>
                <w:lang w:val="fr-FR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D99F5DC" w14:textId="77777777" w:rsidR="001E2A41" w:rsidRPr="006241F7" w:rsidRDefault="001E2A41" w:rsidP="00BC014D">
            <w:pPr>
              <w:spacing w:before="20" w:after="2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6241F7">
              <w:rPr>
                <w:lang w:val="fr-FR"/>
              </w:rPr>
              <w:t>8,26∙10</w:t>
            </w:r>
            <w:r w:rsidRPr="006241F7">
              <w:rPr>
                <w:vertAlign w:val="superscript"/>
                <w:lang w:val="fr-FR"/>
              </w:rPr>
              <w:t>2</w:t>
            </w:r>
          </w:p>
        </w:tc>
      </w:tr>
    </w:tbl>
    <w:p w14:paraId="60F80B21" w14:textId="77777777" w:rsidR="001E2A41" w:rsidRPr="006241F7" w:rsidRDefault="001E2A41" w:rsidP="001E2A41">
      <w:pPr>
        <w:pStyle w:val="SingleTxtG"/>
        <w:spacing w:before="120"/>
        <w:ind w:right="282"/>
        <w:jc w:val="right"/>
        <w:rPr>
          <w:iCs/>
          <w:lang w:val="fr-FR"/>
        </w:rPr>
      </w:pPr>
      <w:r w:rsidRPr="006241F7">
        <w:rPr>
          <w:lang w:val="fr-FR"/>
        </w:rPr>
        <w:t>... ».</w:t>
      </w:r>
    </w:p>
    <w:p w14:paraId="26CFD0C0" w14:textId="77777777" w:rsidR="001E2A41" w:rsidRPr="006241F7" w:rsidRDefault="001E2A41" w:rsidP="001E2A41">
      <w:pPr>
        <w:pStyle w:val="SingleTxtG"/>
        <w:rPr>
          <w:lang w:val="fr-FR"/>
        </w:rPr>
      </w:pPr>
      <w:r w:rsidRPr="006241F7">
        <w:rPr>
          <w:i/>
          <w:iCs/>
          <w:lang w:val="fr-FR"/>
        </w:rPr>
        <w:t>Paragraphe 6.2.1.1.4.4</w:t>
      </w:r>
      <w:r w:rsidRPr="00730D3A">
        <w:rPr>
          <w:lang w:val="fr-FR"/>
        </w:rPr>
        <w:t>, lire :</w:t>
      </w:r>
    </w:p>
    <w:p w14:paraId="0D880E79" w14:textId="77777777" w:rsidR="001E2A41" w:rsidRDefault="001E2A41" w:rsidP="001E2A41">
      <w:pPr>
        <w:pStyle w:val="SingleTxtG"/>
        <w:ind w:left="2268" w:hanging="1134"/>
        <w:rPr>
          <w:iCs/>
          <w:lang w:val="fr-FR"/>
        </w:rPr>
      </w:pPr>
      <w:r w:rsidRPr="00730D3A">
        <w:rPr>
          <w:spacing w:val="-4"/>
          <w:lang w:val="fr-FR"/>
        </w:rPr>
        <w:t>« 6.2.1.1.4.4</w:t>
      </w:r>
      <w:r w:rsidRPr="006241F7">
        <w:rPr>
          <w:lang w:val="fr-FR"/>
        </w:rPr>
        <w:tab/>
        <w:t>À défaut de procéder à la réorientation décrite au paragraphe 4.1 de l</w:t>
      </w:r>
      <w:r>
        <w:rPr>
          <w:lang w:val="fr-FR"/>
        </w:rPr>
        <w:t>’</w:t>
      </w:r>
      <w:r w:rsidRPr="006241F7">
        <w:rPr>
          <w:lang w:val="fr-FR"/>
        </w:rPr>
        <w:t>annexe 5, on peut considérer que la prescription d</w:t>
      </w:r>
      <w:r>
        <w:rPr>
          <w:lang w:val="fr-FR"/>
        </w:rPr>
        <w:t>’</w:t>
      </w:r>
      <w:r w:rsidRPr="006241F7">
        <w:rPr>
          <w:lang w:val="fr-FR"/>
        </w:rPr>
        <w:t>intensité lumineuse fixée dans la colonne</w:t>
      </w:r>
      <w:r>
        <w:rPr>
          <w:lang w:val="fr-FR"/>
        </w:rPr>
        <w:t> </w:t>
      </w:r>
      <w:r w:rsidRPr="006241F7">
        <w:rPr>
          <w:lang w:val="fr-FR"/>
        </w:rPr>
        <w:t>A, B ou C des tableaux </w:t>
      </w:r>
      <w:r w:rsidRPr="006E7738">
        <w:rPr>
          <w:lang w:val="fr-FR"/>
        </w:rPr>
        <w:t>21 à 36</w:t>
      </w:r>
      <w:r w:rsidRPr="006241F7">
        <w:rPr>
          <w:lang w:val="fr-FR"/>
        </w:rPr>
        <w:t xml:space="preserve"> pour une direction d</w:t>
      </w:r>
      <w:r>
        <w:rPr>
          <w:lang w:val="fr-FR"/>
        </w:rPr>
        <w:t>’</w:t>
      </w:r>
      <w:r w:rsidRPr="006241F7">
        <w:rPr>
          <w:lang w:val="fr-FR"/>
        </w:rPr>
        <w:t>observation donnée est satisfaite si elle l</w:t>
      </w:r>
      <w:r>
        <w:rPr>
          <w:lang w:val="fr-FR"/>
        </w:rPr>
        <w:t>’</w:t>
      </w:r>
      <w:r w:rsidRPr="006241F7">
        <w:rPr>
          <w:lang w:val="fr-FR"/>
        </w:rPr>
        <w:t>est effectivement dans une direction ne s</w:t>
      </w:r>
      <w:r>
        <w:rPr>
          <w:lang w:val="fr-FR"/>
        </w:rPr>
        <w:t>’</w:t>
      </w:r>
      <w:r w:rsidRPr="006241F7">
        <w:rPr>
          <w:lang w:val="fr-FR"/>
        </w:rPr>
        <w:t>écartant pas de plus d</w:t>
      </w:r>
      <w:r>
        <w:rPr>
          <w:lang w:val="fr-FR"/>
        </w:rPr>
        <w:t>’</w:t>
      </w:r>
      <w:r w:rsidRPr="006241F7">
        <w:rPr>
          <w:lang w:val="fr-FR"/>
        </w:rPr>
        <w:t>un quart de degré de la direction d</w:t>
      </w:r>
      <w:r>
        <w:rPr>
          <w:lang w:val="fr-FR"/>
        </w:rPr>
        <w:t>’</w:t>
      </w:r>
      <w:r w:rsidRPr="006241F7">
        <w:rPr>
          <w:lang w:val="fr-FR"/>
        </w:rPr>
        <w:t>observation. ».</w:t>
      </w:r>
    </w:p>
    <w:p w14:paraId="379FFEB1" w14:textId="525A46F3" w:rsidR="001E2A41" w:rsidRPr="006241F7" w:rsidRDefault="001E2A41" w:rsidP="001E2A41">
      <w:pPr>
        <w:pStyle w:val="SingleTxtG"/>
        <w:rPr>
          <w:iCs/>
          <w:lang w:val="fr-FR"/>
        </w:rPr>
      </w:pPr>
      <w:r w:rsidRPr="006241F7">
        <w:rPr>
          <w:i/>
          <w:iCs/>
          <w:lang w:val="fr-FR"/>
        </w:rPr>
        <w:t>Figure A13-III, exemples de marques 3</w:t>
      </w:r>
      <w:r w:rsidR="00377E19">
        <w:rPr>
          <w:i/>
          <w:iCs/>
          <w:lang w:val="fr-FR"/>
        </w:rPr>
        <w:noBreakHyphen/>
      </w:r>
      <w:r w:rsidRPr="006241F7">
        <w:rPr>
          <w:i/>
          <w:iCs/>
          <w:lang w:val="fr-FR"/>
        </w:rPr>
        <w:t>a et 3</w:t>
      </w:r>
      <w:r w:rsidR="00377E19">
        <w:rPr>
          <w:i/>
          <w:iCs/>
          <w:lang w:val="fr-FR"/>
        </w:rPr>
        <w:noBreakHyphen/>
      </w:r>
      <w:r w:rsidRPr="006241F7">
        <w:rPr>
          <w:i/>
          <w:iCs/>
          <w:lang w:val="fr-FR"/>
        </w:rPr>
        <w:t>b</w:t>
      </w:r>
      <w:r w:rsidRPr="006241F7">
        <w:rPr>
          <w:lang w:val="fr-FR"/>
        </w:rPr>
        <w:t>, lire :</w:t>
      </w:r>
    </w:p>
    <w:p w14:paraId="0FFA91C3" w14:textId="77777777" w:rsidR="001E2A41" w:rsidRPr="006241F7" w:rsidRDefault="001E2A41" w:rsidP="004611A4">
      <w:pPr>
        <w:pStyle w:val="H23G"/>
        <w:rPr>
          <w:i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6241F7">
        <w:rPr>
          <w:lang w:val="fr-FR"/>
        </w:rPr>
        <w:t>« Exemple de marque 3-a</w:t>
      </w:r>
    </w:p>
    <w:p w14:paraId="1AB6A7EE" w14:textId="77777777" w:rsidR="001E2A41" w:rsidRPr="006241F7" w:rsidRDefault="001E2A41" w:rsidP="001E2A41">
      <w:pPr>
        <w:spacing w:after="120"/>
        <w:ind w:left="2268" w:right="1134" w:hanging="1134"/>
        <w:rPr>
          <w:iCs/>
          <w:lang w:val="fr-FR"/>
        </w:rPr>
      </w:pPr>
      <w:r w:rsidRPr="006241F7">
        <w:rPr>
          <w:iCs/>
          <w:noProof/>
          <w:lang w:val="fr-FR" w:eastAsia="de-DE"/>
        </w:rPr>
        <w:drawing>
          <wp:inline distT="0" distB="0" distL="0" distR="0" wp14:anchorId="5EC178A0" wp14:editId="3F3D71CF">
            <wp:extent cx="4695731" cy="1562100"/>
            <wp:effectExtent l="0" t="0" r="0" b="0"/>
            <wp:docPr id="536138505" name="Image 536138505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138505" name="Image 536138505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345" cy="1571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5510E0" w14:textId="77777777" w:rsidR="001E2A41" w:rsidRPr="006241F7" w:rsidRDefault="001E2A41" w:rsidP="004611A4">
      <w:pPr>
        <w:pStyle w:val="H23G"/>
        <w:rPr>
          <w:snapToGrid w:val="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6241F7">
        <w:rPr>
          <w:lang w:val="fr-FR"/>
        </w:rPr>
        <w:t>Exemple de marque 3-b</w:t>
      </w:r>
    </w:p>
    <w:p w14:paraId="16756327" w14:textId="77777777" w:rsidR="001E2A41" w:rsidRPr="006241F7" w:rsidRDefault="001E2A41" w:rsidP="001E2A41">
      <w:pPr>
        <w:spacing w:after="120"/>
        <w:ind w:left="2268" w:right="1134" w:hanging="1134"/>
        <w:rPr>
          <w:iCs/>
          <w:lang w:val="fr-FR"/>
        </w:rPr>
      </w:pPr>
      <w:r w:rsidRPr="006241F7">
        <w:rPr>
          <w:iCs/>
          <w:noProof/>
          <w:lang w:val="fr-FR" w:eastAsia="de-DE"/>
        </w:rPr>
        <w:drawing>
          <wp:inline distT="0" distB="0" distL="0" distR="0" wp14:anchorId="3343EA51" wp14:editId="4F80F047">
            <wp:extent cx="4666434" cy="1390650"/>
            <wp:effectExtent l="0" t="0" r="1270" b="0"/>
            <wp:docPr id="4" name="Immagine 4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052" cy="1397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6999B9" w14:textId="77777777" w:rsidR="001E2A41" w:rsidRPr="006241F7" w:rsidRDefault="001E2A41" w:rsidP="001E2A41">
      <w:pPr>
        <w:pStyle w:val="SingleTxtG"/>
        <w:jc w:val="right"/>
        <w:rPr>
          <w:iCs/>
          <w:lang w:val="fr-FR"/>
        </w:rPr>
      </w:pPr>
      <w:r w:rsidRPr="006241F7">
        <w:rPr>
          <w:lang w:val="fr-FR"/>
        </w:rPr>
        <w:t> ».</w:t>
      </w:r>
    </w:p>
    <w:p w14:paraId="5E3B1DC8" w14:textId="1EDED4A4" w:rsidR="001E2A41" w:rsidRPr="00B47019" w:rsidRDefault="001E2A41" w:rsidP="001E2A41">
      <w:pPr>
        <w:pStyle w:val="SingleTxtG"/>
        <w:rPr>
          <w:rFonts w:eastAsia="Calibri"/>
          <w:i/>
          <w:lang w:val="fr-FR"/>
        </w:rPr>
      </w:pPr>
      <w:r w:rsidRPr="00B47019">
        <w:rPr>
          <w:i/>
          <w:iCs/>
          <w:lang w:val="fr-FR"/>
        </w:rPr>
        <w:lastRenderedPageBreak/>
        <w:t>Annexe</w:t>
      </w:r>
      <w:r w:rsidR="00377E19">
        <w:rPr>
          <w:i/>
          <w:iCs/>
          <w:lang w:val="fr-FR"/>
        </w:rPr>
        <w:t> </w:t>
      </w:r>
      <w:r w:rsidRPr="00B47019">
        <w:rPr>
          <w:i/>
          <w:iCs/>
          <w:lang w:val="fr-FR"/>
        </w:rPr>
        <w:t>1,</w:t>
      </w:r>
      <w:r w:rsidRPr="00B47019">
        <w:rPr>
          <w:lang w:val="fr-FR"/>
        </w:rPr>
        <w:t xml:space="preserve"> </w:t>
      </w:r>
    </w:p>
    <w:p w14:paraId="1CF257C0" w14:textId="5489DB7A" w:rsidR="001E2A41" w:rsidRPr="00B47019" w:rsidRDefault="001E2A41" w:rsidP="001E2A41">
      <w:pPr>
        <w:pStyle w:val="SingleTxtG"/>
        <w:rPr>
          <w:rFonts w:eastAsia="Calibri"/>
          <w:i/>
          <w:lang w:val="fr-FR"/>
        </w:rPr>
      </w:pPr>
      <w:r w:rsidRPr="007B1A00">
        <w:rPr>
          <w:i/>
          <w:iCs/>
          <w:lang w:val="fr-FR"/>
        </w:rPr>
        <w:t>Paragraphe</w:t>
      </w:r>
      <w:r w:rsidR="00377E19">
        <w:rPr>
          <w:i/>
          <w:iCs/>
          <w:lang w:val="fr-FR"/>
        </w:rPr>
        <w:t> </w:t>
      </w:r>
      <w:r w:rsidRPr="007B1A00">
        <w:rPr>
          <w:i/>
          <w:iCs/>
          <w:lang w:val="fr-FR"/>
        </w:rPr>
        <w:t>9.2.9, ajouter la nouvelle note de bas de page 6</w:t>
      </w:r>
      <w:r w:rsidRPr="00B47019">
        <w:rPr>
          <w:lang w:val="fr-FR"/>
        </w:rPr>
        <w:t>, libellée comme suit :</w:t>
      </w:r>
    </w:p>
    <w:p w14:paraId="181D2F47" w14:textId="6C935EA2" w:rsidR="001E2A41" w:rsidRDefault="001E2A41" w:rsidP="001E2A41">
      <w:pPr>
        <w:pStyle w:val="SingleTxtG"/>
        <w:rPr>
          <w:i/>
          <w:iCs/>
          <w:lang w:val="fr-FR"/>
        </w:rPr>
      </w:pPr>
      <w:r w:rsidRPr="00476892">
        <w:rPr>
          <w:lang w:val="fr-FR"/>
        </w:rPr>
        <w:t>« </w:t>
      </w:r>
      <w:r w:rsidRPr="006E7738">
        <w:rPr>
          <w:sz w:val="18"/>
          <w:szCs w:val="18"/>
          <w:lang w:val="fr-FR"/>
        </w:rPr>
        <w:t>6</w:t>
      </w:r>
      <w:r w:rsidRPr="00476892">
        <w:rPr>
          <w:sz w:val="18"/>
          <w:szCs w:val="18"/>
          <w:lang w:val="fr-FR"/>
        </w:rPr>
        <w:tab/>
      </w:r>
      <w:r w:rsidRPr="006E7738">
        <w:rPr>
          <w:sz w:val="18"/>
          <w:szCs w:val="18"/>
          <w:lang w:val="fr-FR"/>
        </w:rPr>
        <w:t>Dans le cas des AFS destinés aux véhicules de la catégorie L</w:t>
      </w:r>
      <w:r w:rsidRPr="006E7738">
        <w:rPr>
          <w:sz w:val="18"/>
          <w:szCs w:val="18"/>
          <w:vertAlign w:val="subscript"/>
          <w:lang w:val="fr-FR"/>
        </w:rPr>
        <w:t>3</w:t>
      </w:r>
      <w:r w:rsidRPr="006E7738">
        <w:rPr>
          <w:sz w:val="18"/>
          <w:szCs w:val="18"/>
          <w:lang w:val="fr-FR"/>
        </w:rPr>
        <w:t xml:space="preserve">, les renseignements visés aux </w:t>
      </w:r>
      <w:r w:rsidRPr="00D54B07">
        <w:rPr>
          <w:sz w:val="18"/>
          <w:szCs w:val="18"/>
          <w:lang w:val="fr-FR"/>
        </w:rPr>
        <w:t>paragraphes</w:t>
      </w:r>
      <w:r w:rsidR="00377E19">
        <w:rPr>
          <w:sz w:val="18"/>
          <w:szCs w:val="18"/>
          <w:lang w:val="fr-FR"/>
        </w:rPr>
        <w:t> </w:t>
      </w:r>
      <w:r w:rsidRPr="00D54B07">
        <w:rPr>
          <w:sz w:val="18"/>
          <w:szCs w:val="18"/>
          <w:lang w:val="fr-FR"/>
        </w:rPr>
        <w:t>9.2.9.2 à 9.2.10.5 ne sont pas nécessaires.</w:t>
      </w:r>
      <w:r w:rsidRPr="00D54B07">
        <w:rPr>
          <w:lang w:val="fr-FR"/>
        </w:rPr>
        <w:t> </w:t>
      </w:r>
      <w:r w:rsidRPr="00476892">
        <w:rPr>
          <w:lang w:val="fr-FR"/>
        </w:rPr>
        <w:t>»</w:t>
      </w:r>
      <w:r w:rsidRPr="00D54B07">
        <w:rPr>
          <w:i/>
          <w:iCs/>
          <w:lang w:val="fr-FR"/>
        </w:rPr>
        <w:t xml:space="preserve"> </w:t>
      </w:r>
    </w:p>
    <w:p w14:paraId="32AB780F" w14:textId="77777777" w:rsidR="001E2A41" w:rsidRPr="00D54B07" w:rsidRDefault="001E2A41" w:rsidP="001E2A41">
      <w:pPr>
        <w:pStyle w:val="SingleTxtG"/>
        <w:rPr>
          <w:rFonts w:eastAsia="Calibri"/>
          <w:sz w:val="18"/>
          <w:szCs w:val="18"/>
          <w:lang w:val="fr-FR"/>
        </w:rPr>
      </w:pPr>
      <w:r w:rsidRPr="00606B72">
        <w:rPr>
          <w:i/>
          <w:iCs/>
          <w:lang w:val="fr-FR"/>
        </w:rPr>
        <w:t xml:space="preserve">Les notes de bas de page 6 à 8 </w:t>
      </w:r>
      <w:r w:rsidRPr="00606B72">
        <w:rPr>
          <w:lang w:val="fr-FR"/>
        </w:rPr>
        <w:t>deviennent les notes de bas de page 7 à 9</w:t>
      </w:r>
      <w:r w:rsidRPr="00476892">
        <w:rPr>
          <w:lang w:val="fr-FR"/>
        </w:rPr>
        <w:t>.</w:t>
      </w:r>
    </w:p>
    <w:p w14:paraId="772992F0" w14:textId="77777777" w:rsidR="001E2A41" w:rsidRPr="006241F7" w:rsidRDefault="001E2A41" w:rsidP="001E2A41">
      <w:pPr>
        <w:pStyle w:val="SingleTxtG"/>
        <w:rPr>
          <w:iCs/>
          <w:lang w:val="fr-FR"/>
        </w:rPr>
      </w:pPr>
      <w:r>
        <w:rPr>
          <w:i/>
          <w:iCs/>
          <w:lang w:val="fr-FR"/>
        </w:rPr>
        <w:t>P</w:t>
      </w:r>
      <w:r w:rsidRPr="006241F7">
        <w:rPr>
          <w:i/>
          <w:iCs/>
          <w:lang w:val="fr-FR"/>
        </w:rPr>
        <w:t>aragraphe</w:t>
      </w:r>
      <w:r>
        <w:rPr>
          <w:i/>
          <w:iCs/>
          <w:lang w:val="fr-FR"/>
        </w:rPr>
        <w:t> </w:t>
      </w:r>
      <w:r w:rsidRPr="006241F7">
        <w:rPr>
          <w:i/>
          <w:iCs/>
          <w:lang w:val="fr-FR"/>
        </w:rPr>
        <w:t>9.4.7</w:t>
      </w:r>
      <w:r w:rsidRPr="006241F7">
        <w:rPr>
          <w:lang w:val="fr-FR"/>
        </w:rPr>
        <w:t>, lire :</w:t>
      </w:r>
    </w:p>
    <w:p w14:paraId="10F709EF" w14:textId="77777777" w:rsidR="001E2A41" w:rsidRDefault="001E2A41" w:rsidP="001E2A41">
      <w:pPr>
        <w:pStyle w:val="SingleTxtG"/>
        <w:ind w:left="2268" w:hanging="1134"/>
        <w:rPr>
          <w:lang w:val="fr-FR"/>
        </w:rPr>
      </w:pPr>
      <w:r w:rsidRPr="006241F7">
        <w:rPr>
          <w:lang w:val="fr-FR"/>
        </w:rPr>
        <w:t>« 9.4.7</w:t>
      </w:r>
      <w:r w:rsidRPr="006241F7">
        <w:rPr>
          <w:lang w:val="fr-FR"/>
        </w:rPr>
        <w:tab/>
        <w:t>Flux lumineux de la source lumineuse (voir par.</w:t>
      </w:r>
      <w:r>
        <w:rPr>
          <w:lang w:val="fr-FR"/>
        </w:rPr>
        <w:t> </w:t>
      </w:r>
      <w:r w:rsidRPr="006241F7">
        <w:rPr>
          <w:lang w:val="fr-FR"/>
        </w:rPr>
        <w:t>4.5.3.</w:t>
      </w:r>
      <w:r>
        <w:rPr>
          <w:lang w:val="fr-FR"/>
        </w:rPr>
        <w:t>5</w:t>
      </w:r>
      <w:r w:rsidRPr="006241F7">
        <w:rPr>
          <w:lang w:val="fr-FR"/>
        </w:rPr>
        <w:t>)</w:t>
      </w:r>
      <w:r>
        <w:rPr>
          <w:lang w:val="fr-FR"/>
        </w:rPr>
        <w:t xml:space="preserve"> </w:t>
      </w:r>
      <w:r w:rsidRPr="006241F7">
        <w:rPr>
          <w:lang w:val="fr-FR"/>
        </w:rPr>
        <w:t xml:space="preserve">supérieur à </w:t>
      </w:r>
      <w:r>
        <w:rPr>
          <w:lang w:val="fr-FR"/>
        </w:rPr>
        <w:t>2,00</w:t>
      </w:r>
      <w:r w:rsidRPr="006241F7">
        <w:rPr>
          <w:lang w:val="fr-FR"/>
        </w:rPr>
        <w:t>∙10</w:t>
      </w:r>
      <w:r w:rsidRPr="006241F7">
        <w:rPr>
          <w:vertAlign w:val="superscript"/>
          <w:lang w:val="fr-FR"/>
        </w:rPr>
        <w:t>3</w:t>
      </w:r>
      <w:r>
        <w:rPr>
          <w:vertAlign w:val="superscript"/>
          <w:lang w:val="fr-FR"/>
        </w:rPr>
        <w:t> </w:t>
      </w:r>
      <w:r w:rsidRPr="006241F7">
        <w:rPr>
          <w:lang w:val="fr-FR"/>
        </w:rPr>
        <w:t>lumens : … oui/non</w:t>
      </w:r>
      <w:r w:rsidRPr="006241F7">
        <w:rPr>
          <w:vertAlign w:val="superscript"/>
          <w:lang w:val="fr-FR"/>
        </w:rPr>
        <w:t>2</w:t>
      </w:r>
      <w:r w:rsidRPr="006241F7">
        <w:rPr>
          <w:lang w:val="fr-FR"/>
        </w:rPr>
        <w:t> ».</w:t>
      </w:r>
    </w:p>
    <w:p w14:paraId="7044DC54" w14:textId="77777777" w:rsidR="001E2A41" w:rsidRPr="00384CDD" w:rsidRDefault="001E2A41" w:rsidP="001E2A41">
      <w:pPr>
        <w:pStyle w:val="SingleTxtG"/>
        <w:rPr>
          <w:rFonts w:eastAsia="Malgun Gothic"/>
        </w:rPr>
      </w:pPr>
      <w:r>
        <w:rPr>
          <w:i/>
          <w:iCs/>
          <w:lang w:val="fr-FR"/>
        </w:rPr>
        <w:t>Annexe 10, tableau A10-1,</w:t>
      </w:r>
      <w:r>
        <w:rPr>
          <w:lang w:val="fr-FR"/>
        </w:rPr>
        <w:t xml:space="preserve"> lire : </w:t>
      </w:r>
    </w:p>
    <w:p w14:paraId="1CC57FCC" w14:textId="2CCE9463" w:rsidR="001E2A41" w:rsidRPr="00384CDD" w:rsidRDefault="001E2A41" w:rsidP="00377E19">
      <w:pPr>
        <w:pStyle w:val="Titre1"/>
        <w:spacing w:after="120"/>
        <w:ind w:left="2268"/>
      </w:pPr>
      <w:r w:rsidRPr="006E7738">
        <w:rPr>
          <w:lang w:val="fr-FR"/>
        </w:rPr>
        <w:t>«</w:t>
      </w:r>
      <w:r>
        <w:rPr>
          <w:lang w:val="fr-FR"/>
        </w:rPr>
        <w:t> </w:t>
      </w:r>
      <w:r w:rsidRPr="004B22D3">
        <w:rPr>
          <w:lang w:val="fr-FR"/>
        </w:rPr>
        <w:t>Tableau</w:t>
      </w:r>
      <w:r>
        <w:rPr>
          <w:lang w:val="fr-FR"/>
        </w:rPr>
        <w:t> </w:t>
      </w:r>
      <w:r w:rsidRPr="004B22D3">
        <w:rPr>
          <w:lang w:val="fr-FR"/>
        </w:rPr>
        <w:t>A10</w:t>
      </w:r>
      <w:r w:rsidR="00377E19">
        <w:rPr>
          <w:b/>
          <w:lang w:val="fr-FR"/>
        </w:rPr>
        <w:noBreakHyphen/>
      </w:r>
      <w:r w:rsidRPr="004B22D3">
        <w:rPr>
          <w:lang w:val="fr-FR"/>
        </w:rPr>
        <w:t>1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Pr="00377E19">
        <w:rPr>
          <w:b/>
          <w:bCs/>
          <w:lang w:val="fr-FR"/>
        </w:rPr>
        <w:t>Essais supplémentaires : points dans le temps</w:t>
      </w:r>
    </w:p>
    <w:tbl>
      <w:tblPr>
        <w:tblW w:w="6232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2077"/>
        <w:gridCol w:w="2078"/>
      </w:tblGrid>
      <w:tr w:rsidR="004611A4" w:rsidRPr="004611A4" w14:paraId="05AB3F88" w14:textId="77777777" w:rsidTr="004611A4">
        <w:trPr>
          <w:tblHeader/>
        </w:trPr>
        <w:tc>
          <w:tcPr>
            <w:tcW w:w="2077" w:type="dxa"/>
            <w:shd w:val="clear" w:color="auto" w:fill="auto"/>
          </w:tcPr>
          <w:p w14:paraId="5FC4838F" w14:textId="77777777" w:rsidR="001E2A41" w:rsidRPr="004611A4" w:rsidRDefault="001E2A41" w:rsidP="004611A4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4611A4">
              <w:rPr>
                <w:i/>
                <w:sz w:val="16"/>
                <w:lang w:val="fr-FR"/>
              </w:rPr>
              <w:t>Feu (fonction)</w:t>
            </w:r>
          </w:p>
        </w:tc>
        <w:tc>
          <w:tcPr>
            <w:tcW w:w="2077" w:type="dxa"/>
            <w:shd w:val="clear" w:color="auto" w:fill="auto"/>
            <w:vAlign w:val="bottom"/>
          </w:tcPr>
          <w:p w14:paraId="10F7E59C" w14:textId="38B65863" w:rsidR="001E2A41" w:rsidRPr="004611A4" w:rsidRDefault="001E2A41" w:rsidP="004611A4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4611A4">
              <w:rPr>
                <w:i/>
                <w:sz w:val="16"/>
                <w:lang w:val="fr-FR"/>
              </w:rPr>
              <w:t>Temps après l’activation (</w:t>
            </w:r>
            <w:r w:rsidR="004611A4">
              <w:rPr>
                <w:i/>
                <w:sz w:val="16"/>
                <w:lang w:val="fr-FR"/>
              </w:rPr>
              <w:t>E</w:t>
            </w:r>
            <w:r w:rsidRPr="004611A4">
              <w:rPr>
                <w:i/>
                <w:sz w:val="16"/>
                <w:lang w:val="fr-FR"/>
              </w:rPr>
              <w:t>n secondes)</w:t>
            </w:r>
          </w:p>
        </w:tc>
        <w:tc>
          <w:tcPr>
            <w:tcW w:w="2078" w:type="dxa"/>
            <w:shd w:val="clear" w:color="auto" w:fill="auto"/>
          </w:tcPr>
          <w:p w14:paraId="1130514A" w14:textId="77777777" w:rsidR="001E2A41" w:rsidRPr="004611A4" w:rsidRDefault="001E2A41" w:rsidP="004611A4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4611A4">
              <w:rPr>
                <w:i/>
                <w:sz w:val="16"/>
                <w:lang w:val="fr-FR"/>
              </w:rPr>
              <w:t>Point d’essai</w:t>
            </w:r>
          </w:p>
        </w:tc>
      </w:tr>
      <w:tr w:rsidR="004611A4" w:rsidRPr="004611A4" w14:paraId="305E3807" w14:textId="77777777" w:rsidTr="004611A4">
        <w:tc>
          <w:tcPr>
            <w:tcW w:w="2077" w:type="dxa"/>
            <w:shd w:val="clear" w:color="auto" w:fill="auto"/>
          </w:tcPr>
          <w:p w14:paraId="15B0E800" w14:textId="77777777" w:rsidR="001E2A41" w:rsidRPr="004611A4" w:rsidRDefault="001E2A41" w:rsidP="004611A4">
            <w:pPr>
              <w:suppressAutoHyphens w:val="0"/>
              <w:spacing w:before="40" w:after="120"/>
              <w:ind w:left="113" w:right="113"/>
              <w:rPr>
                <w:szCs w:val="18"/>
              </w:rPr>
            </w:pPr>
            <w:r w:rsidRPr="004611A4">
              <w:rPr>
                <w:lang w:val="fr-FR"/>
              </w:rPr>
              <w:t>Faisceau de route (</w:t>
            </w:r>
            <w:r w:rsidRPr="004611A4">
              <w:rPr>
                <w:iCs/>
                <w:lang w:val="fr-FR"/>
              </w:rPr>
              <w:t>projecteur produisant seulement un faisceau de route</w:t>
            </w:r>
            <w:r w:rsidRPr="004611A4">
              <w:rPr>
                <w:lang w:val="fr-FR"/>
              </w:rPr>
              <w:t>)</w:t>
            </w:r>
          </w:p>
        </w:tc>
        <w:tc>
          <w:tcPr>
            <w:tcW w:w="2077" w:type="dxa"/>
            <w:shd w:val="clear" w:color="auto" w:fill="auto"/>
          </w:tcPr>
          <w:p w14:paraId="3EC10631" w14:textId="77777777" w:rsidR="001E2A41" w:rsidRPr="004611A4" w:rsidRDefault="001E2A41" w:rsidP="004611A4">
            <w:pPr>
              <w:suppressAutoHyphens w:val="0"/>
              <w:spacing w:before="40" w:after="120"/>
              <w:ind w:left="113" w:right="113"/>
              <w:rPr>
                <w:szCs w:val="18"/>
              </w:rPr>
            </w:pPr>
            <w:r w:rsidRPr="004611A4">
              <w:rPr>
                <w:lang w:val="fr-FR"/>
              </w:rPr>
              <w:t xml:space="preserve">1 </w:t>
            </w:r>
          </w:p>
        </w:tc>
        <w:tc>
          <w:tcPr>
            <w:tcW w:w="2078" w:type="dxa"/>
            <w:shd w:val="clear" w:color="auto" w:fill="auto"/>
          </w:tcPr>
          <w:p w14:paraId="0E175680" w14:textId="77777777" w:rsidR="001E2A41" w:rsidRPr="004611A4" w:rsidRDefault="001E2A41" w:rsidP="004611A4">
            <w:pPr>
              <w:suppressAutoHyphens w:val="0"/>
              <w:spacing w:before="40" w:after="120"/>
              <w:ind w:left="113" w:right="113"/>
              <w:rPr>
                <w:szCs w:val="18"/>
              </w:rPr>
            </w:pPr>
            <w:r w:rsidRPr="004611A4">
              <w:rPr>
                <w:lang w:val="fr-FR"/>
              </w:rPr>
              <w:t>HV</w:t>
            </w:r>
          </w:p>
        </w:tc>
      </w:tr>
      <w:tr w:rsidR="004611A4" w:rsidRPr="004611A4" w14:paraId="42210C6B" w14:textId="77777777" w:rsidTr="004611A4">
        <w:tc>
          <w:tcPr>
            <w:tcW w:w="2077" w:type="dxa"/>
            <w:shd w:val="clear" w:color="auto" w:fill="auto"/>
          </w:tcPr>
          <w:p w14:paraId="299841FB" w14:textId="77777777" w:rsidR="001E2A41" w:rsidRPr="004611A4" w:rsidRDefault="001E2A41" w:rsidP="004611A4">
            <w:pPr>
              <w:suppressAutoHyphens w:val="0"/>
              <w:spacing w:before="40" w:after="120"/>
              <w:ind w:left="113" w:right="113"/>
              <w:rPr>
                <w:szCs w:val="18"/>
              </w:rPr>
            </w:pPr>
            <w:r w:rsidRPr="004611A4">
              <w:rPr>
                <w:lang w:val="fr-FR"/>
              </w:rPr>
              <w:t xml:space="preserve">Faisceau de </w:t>
            </w:r>
            <w:proofErr w:type="spellStart"/>
            <w:r w:rsidRPr="004611A4">
              <w:rPr>
                <w:lang w:val="fr-FR"/>
              </w:rPr>
              <w:t>croisement</w:t>
            </w:r>
            <w:r w:rsidRPr="00086847">
              <w:rPr>
                <w:i/>
                <w:vertAlign w:val="superscript"/>
                <w:lang w:val="fr-FR"/>
              </w:rPr>
              <w:t>a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14:paraId="51280111" w14:textId="77777777" w:rsidR="001E2A41" w:rsidRPr="004611A4" w:rsidRDefault="001E2A41" w:rsidP="004611A4">
            <w:pPr>
              <w:suppressAutoHyphens w:val="0"/>
              <w:spacing w:before="40" w:after="120"/>
              <w:ind w:left="113" w:right="113"/>
              <w:rPr>
                <w:szCs w:val="18"/>
              </w:rPr>
            </w:pPr>
            <w:r w:rsidRPr="004611A4">
              <w:rPr>
                <w:lang w:val="fr-FR"/>
              </w:rPr>
              <w:t xml:space="preserve">4 </w:t>
            </w:r>
          </w:p>
        </w:tc>
        <w:tc>
          <w:tcPr>
            <w:tcW w:w="2078" w:type="dxa"/>
            <w:shd w:val="clear" w:color="auto" w:fill="auto"/>
          </w:tcPr>
          <w:p w14:paraId="37F80D3F" w14:textId="77777777" w:rsidR="001E2A41" w:rsidRPr="004611A4" w:rsidRDefault="001E2A41" w:rsidP="004611A4">
            <w:pPr>
              <w:suppressAutoHyphens w:val="0"/>
              <w:spacing w:before="40" w:after="120"/>
              <w:ind w:left="113" w:right="113"/>
              <w:rPr>
                <w:szCs w:val="18"/>
              </w:rPr>
            </w:pPr>
            <w:r w:rsidRPr="004611A4">
              <w:rPr>
                <w:lang w:val="fr-FR"/>
              </w:rPr>
              <w:t>25V(V, 1,72°D)</w:t>
            </w:r>
          </w:p>
        </w:tc>
      </w:tr>
      <w:tr w:rsidR="004611A4" w:rsidRPr="004611A4" w14:paraId="656B6859" w14:textId="77777777" w:rsidTr="004611A4">
        <w:tc>
          <w:tcPr>
            <w:tcW w:w="2077" w:type="dxa"/>
            <w:shd w:val="clear" w:color="auto" w:fill="auto"/>
          </w:tcPr>
          <w:p w14:paraId="08E6393E" w14:textId="77777777" w:rsidR="001E2A41" w:rsidRPr="004611A4" w:rsidRDefault="001E2A41" w:rsidP="004611A4">
            <w:pPr>
              <w:suppressAutoHyphens w:val="0"/>
              <w:spacing w:before="40" w:after="120"/>
              <w:ind w:left="113" w:right="113"/>
              <w:rPr>
                <w:szCs w:val="18"/>
              </w:rPr>
            </w:pPr>
            <w:r w:rsidRPr="004611A4">
              <w:rPr>
                <w:lang w:val="fr-FR"/>
              </w:rPr>
              <w:t xml:space="preserve">AFS de classe </w:t>
            </w:r>
            <w:proofErr w:type="gramStart"/>
            <w:r w:rsidRPr="004611A4">
              <w:rPr>
                <w:lang w:val="fr-FR"/>
              </w:rPr>
              <w:t>C</w:t>
            </w:r>
            <w:r w:rsidRPr="00086847">
              <w:rPr>
                <w:i/>
                <w:vertAlign w:val="superscript"/>
                <w:lang w:val="fr-FR"/>
              </w:rPr>
              <w:t>a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14:paraId="032EC73C" w14:textId="77777777" w:rsidR="001E2A41" w:rsidRPr="004611A4" w:rsidRDefault="001E2A41" w:rsidP="004611A4">
            <w:pPr>
              <w:suppressAutoHyphens w:val="0"/>
              <w:spacing w:before="40" w:after="120"/>
              <w:ind w:left="113" w:right="113"/>
              <w:rPr>
                <w:szCs w:val="18"/>
              </w:rPr>
            </w:pPr>
            <w:r w:rsidRPr="004611A4">
              <w:rPr>
                <w:lang w:val="fr-FR"/>
              </w:rPr>
              <w:t xml:space="preserve">4 </w:t>
            </w:r>
          </w:p>
        </w:tc>
        <w:tc>
          <w:tcPr>
            <w:tcW w:w="2078" w:type="dxa"/>
            <w:shd w:val="clear" w:color="auto" w:fill="auto"/>
          </w:tcPr>
          <w:p w14:paraId="2AE9C65B" w14:textId="77777777" w:rsidR="001E2A41" w:rsidRPr="004611A4" w:rsidRDefault="001E2A41" w:rsidP="004611A4">
            <w:pPr>
              <w:suppressAutoHyphens w:val="0"/>
              <w:spacing w:before="40" w:after="120"/>
              <w:ind w:left="113" w:right="113"/>
              <w:rPr>
                <w:szCs w:val="18"/>
              </w:rPr>
            </w:pPr>
            <w:r w:rsidRPr="004611A4">
              <w:rPr>
                <w:lang w:val="fr-FR"/>
              </w:rPr>
              <w:t>25V(V, 1,72°D)</w:t>
            </w:r>
          </w:p>
        </w:tc>
      </w:tr>
      <w:tr w:rsidR="004611A4" w:rsidRPr="004611A4" w14:paraId="236C83ED" w14:textId="77777777" w:rsidTr="004611A4">
        <w:tc>
          <w:tcPr>
            <w:tcW w:w="2077" w:type="dxa"/>
            <w:shd w:val="clear" w:color="auto" w:fill="auto"/>
          </w:tcPr>
          <w:p w14:paraId="648F0F9F" w14:textId="77777777" w:rsidR="001E2A41" w:rsidRPr="004611A4" w:rsidRDefault="001E2A41" w:rsidP="004611A4">
            <w:pPr>
              <w:suppressAutoHyphens w:val="0"/>
              <w:spacing w:before="40" w:after="120"/>
              <w:ind w:left="113" w:right="113"/>
              <w:rPr>
                <w:lang w:val="fr-FR"/>
              </w:rPr>
            </w:pPr>
          </w:p>
        </w:tc>
        <w:tc>
          <w:tcPr>
            <w:tcW w:w="2077" w:type="dxa"/>
            <w:shd w:val="clear" w:color="auto" w:fill="auto"/>
          </w:tcPr>
          <w:p w14:paraId="5F57392D" w14:textId="77777777" w:rsidR="001E2A41" w:rsidRPr="004611A4" w:rsidRDefault="001E2A41" w:rsidP="004611A4">
            <w:pPr>
              <w:suppressAutoHyphens w:val="0"/>
              <w:spacing w:before="40" w:after="120"/>
              <w:ind w:left="113" w:right="113"/>
              <w:rPr>
                <w:lang w:val="fr-FR"/>
              </w:rPr>
            </w:pPr>
          </w:p>
        </w:tc>
        <w:tc>
          <w:tcPr>
            <w:tcW w:w="2078" w:type="dxa"/>
            <w:shd w:val="clear" w:color="auto" w:fill="auto"/>
          </w:tcPr>
          <w:p w14:paraId="30395B33" w14:textId="77777777" w:rsidR="001E2A41" w:rsidRPr="004611A4" w:rsidDel="0077047B" w:rsidRDefault="001E2A41" w:rsidP="004611A4">
            <w:pPr>
              <w:suppressAutoHyphens w:val="0"/>
              <w:spacing w:before="40" w:after="120"/>
              <w:ind w:left="113" w:right="113"/>
              <w:rPr>
                <w:strike/>
                <w:lang w:val="fr-FR"/>
              </w:rPr>
            </w:pPr>
          </w:p>
        </w:tc>
      </w:tr>
      <w:tr w:rsidR="004611A4" w:rsidRPr="004611A4" w14:paraId="206A89F3" w14:textId="77777777" w:rsidTr="004611A4">
        <w:tc>
          <w:tcPr>
            <w:tcW w:w="2077" w:type="dxa"/>
            <w:shd w:val="clear" w:color="auto" w:fill="auto"/>
          </w:tcPr>
          <w:p w14:paraId="150DF11E" w14:textId="77777777" w:rsidR="001E2A41" w:rsidRPr="004611A4" w:rsidRDefault="001E2A41" w:rsidP="004611A4">
            <w:pPr>
              <w:suppressAutoHyphens w:val="0"/>
              <w:spacing w:before="40" w:after="120"/>
              <w:ind w:left="113" w:right="113"/>
              <w:rPr>
                <w:szCs w:val="18"/>
              </w:rPr>
            </w:pPr>
            <w:r w:rsidRPr="004611A4">
              <w:rPr>
                <w:lang w:val="fr-FR"/>
              </w:rPr>
              <w:t>Feu de brouillard avant</w:t>
            </w:r>
          </w:p>
        </w:tc>
        <w:tc>
          <w:tcPr>
            <w:tcW w:w="2077" w:type="dxa"/>
            <w:shd w:val="clear" w:color="auto" w:fill="auto"/>
          </w:tcPr>
          <w:p w14:paraId="52E7D374" w14:textId="77777777" w:rsidR="001E2A41" w:rsidRPr="004611A4" w:rsidRDefault="001E2A41" w:rsidP="004611A4">
            <w:pPr>
              <w:suppressAutoHyphens w:val="0"/>
              <w:spacing w:before="40" w:after="120"/>
              <w:ind w:left="113" w:right="113"/>
              <w:rPr>
                <w:szCs w:val="18"/>
              </w:rPr>
            </w:pPr>
            <w:r w:rsidRPr="004611A4">
              <w:rPr>
                <w:lang w:val="fr-FR"/>
              </w:rPr>
              <w:t xml:space="preserve">4 </w:t>
            </w:r>
          </w:p>
        </w:tc>
        <w:tc>
          <w:tcPr>
            <w:tcW w:w="2078" w:type="dxa"/>
            <w:shd w:val="clear" w:color="auto" w:fill="auto"/>
          </w:tcPr>
          <w:p w14:paraId="22A7F4E4" w14:textId="77777777" w:rsidR="001E2A41" w:rsidRPr="004611A4" w:rsidRDefault="001E2A41" w:rsidP="004611A4">
            <w:pPr>
              <w:suppressAutoHyphens w:val="0"/>
              <w:spacing w:before="40" w:after="120"/>
              <w:ind w:left="113" w:right="113"/>
              <w:rPr>
                <w:szCs w:val="18"/>
              </w:rPr>
            </w:pPr>
            <w:r w:rsidRPr="004611A4">
              <w:rPr>
                <w:lang w:val="fr-FR"/>
              </w:rPr>
              <w:t>V, 2,5°D</w:t>
            </w:r>
          </w:p>
        </w:tc>
      </w:tr>
      <w:tr w:rsidR="004611A4" w:rsidRPr="004611A4" w14:paraId="44E3B19E" w14:textId="77777777" w:rsidTr="004611A4">
        <w:tc>
          <w:tcPr>
            <w:tcW w:w="2077" w:type="dxa"/>
            <w:shd w:val="clear" w:color="auto" w:fill="auto"/>
          </w:tcPr>
          <w:p w14:paraId="323AEED1" w14:textId="77777777" w:rsidR="001E2A41" w:rsidRPr="004611A4" w:rsidRDefault="001E2A41" w:rsidP="004611A4">
            <w:pPr>
              <w:suppressAutoHyphens w:val="0"/>
              <w:spacing w:before="40" w:after="120"/>
              <w:ind w:left="113" w:right="113"/>
              <w:rPr>
                <w:szCs w:val="18"/>
              </w:rPr>
            </w:pPr>
            <w:r w:rsidRPr="004611A4">
              <w:rPr>
                <w:lang w:val="fr-FR"/>
              </w:rPr>
              <w:t>Feu d’angle</w:t>
            </w:r>
          </w:p>
        </w:tc>
        <w:tc>
          <w:tcPr>
            <w:tcW w:w="2077" w:type="dxa"/>
            <w:shd w:val="clear" w:color="auto" w:fill="auto"/>
          </w:tcPr>
          <w:p w14:paraId="19E8A2F7" w14:textId="77777777" w:rsidR="001E2A41" w:rsidRPr="004611A4" w:rsidRDefault="001E2A41" w:rsidP="004611A4">
            <w:pPr>
              <w:suppressAutoHyphens w:val="0"/>
              <w:spacing w:before="40" w:after="120"/>
              <w:ind w:left="113" w:right="113"/>
              <w:rPr>
                <w:szCs w:val="18"/>
              </w:rPr>
            </w:pPr>
            <w:r w:rsidRPr="004611A4">
              <w:rPr>
                <w:lang w:val="fr-FR"/>
              </w:rPr>
              <w:t xml:space="preserve">1 </w:t>
            </w:r>
          </w:p>
        </w:tc>
        <w:tc>
          <w:tcPr>
            <w:tcW w:w="2078" w:type="dxa"/>
            <w:shd w:val="clear" w:color="auto" w:fill="auto"/>
          </w:tcPr>
          <w:p w14:paraId="0CC0ABCF" w14:textId="77777777" w:rsidR="001E2A41" w:rsidRPr="004611A4" w:rsidRDefault="001E2A41" w:rsidP="004611A4">
            <w:pPr>
              <w:suppressAutoHyphens w:val="0"/>
              <w:spacing w:before="40" w:after="120"/>
              <w:ind w:left="113" w:right="113"/>
              <w:rPr>
                <w:szCs w:val="18"/>
              </w:rPr>
            </w:pPr>
            <w:r w:rsidRPr="004611A4">
              <w:rPr>
                <w:lang w:val="fr-FR"/>
              </w:rPr>
              <w:t>45°L 2,5°D</w:t>
            </w:r>
          </w:p>
          <w:p w14:paraId="568BE204" w14:textId="77777777" w:rsidR="001E2A41" w:rsidRPr="004611A4" w:rsidRDefault="001E2A41" w:rsidP="004611A4">
            <w:pPr>
              <w:suppressAutoHyphens w:val="0"/>
              <w:spacing w:before="40" w:after="120"/>
              <w:ind w:left="113" w:right="113"/>
              <w:rPr>
                <w:szCs w:val="18"/>
              </w:rPr>
            </w:pPr>
            <w:r w:rsidRPr="004611A4">
              <w:rPr>
                <w:lang w:val="fr-FR"/>
              </w:rPr>
              <w:t>resp.</w:t>
            </w:r>
          </w:p>
          <w:p w14:paraId="4F6A87AC" w14:textId="77777777" w:rsidR="001E2A41" w:rsidRPr="004611A4" w:rsidRDefault="001E2A41" w:rsidP="004611A4">
            <w:pPr>
              <w:suppressAutoHyphens w:val="0"/>
              <w:spacing w:before="40" w:after="120"/>
              <w:ind w:left="113" w:right="113"/>
              <w:rPr>
                <w:szCs w:val="18"/>
              </w:rPr>
            </w:pPr>
            <w:r w:rsidRPr="004611A4">
              <w:rPr>
                <w:lang w:val="fr-FR"/>
              </w:rPr>
              <w:t>45°R 2,5°D</w:t>
            </w:r>
          </w:p>
        </w:tc>
      </w:tr>
    </w:tbl>
    <w:p w14:paraId="6E21D5F5" w14:textId="50702305" w:rsidR="001E2A41" w:rsidRPr="004B22D3" w:rsidRDefault="001E2A41" w:rsidP="00377E19">
      <w:pPr>
        <w:spacing w:before="120" w:after="120" w:line="240" w:lineRule="auto"/>
        <w:ind w:left="2268" w:right="1134" w:firstLine="170"/>
        <w:jc w:val="both"/>
        <w:rPr>
          <w:sz w:val="18"/>
          <w:szCs w:val="18"/>
        </w:rPr>
      </w:pPr>
      <w:proofErr w:type="gramStart"/>
      <w:r w:rsidRPr="004B22D3">
        <w:rPr>
          <w:i/>
          <w:iCs/>
          <w:sz w:val="18"/>
          <w:szCs w:val="18"/>
          <w:vertAlign w:val="superscript"/>
          <w:lang w:val="fr-FR"/>
        </w:rPr>
        <w:t>a</w:t>
      </w:r>
      <w:r>
        <w:rPr>
          <w:i/>
          <w:iCs/>
          <w:sz w:val="18"/>
          <w:szCs w:val="18"/>
          <w:lang w:val="fr-FR"/>
        </w:rPr>
        <w:t xml:space="preserve">  </w:t>
      </w:r>
      <w:r w:rsidRPr="004B22D3">
        <w:rPr>
          <w:sz w:val="18"/>
          <w:szCs w:val="18"/>
          <w:lang w:val="fr-FR"/>
        </w:rPr>
        <w:t>Après</w:t>
      </w:r>
      <w:proofErr w:type="gramEnd"/>
      <w:r w:rsidRPr="004B22D3">
        <w:rPr>
          <w:sz w:val="18"/>
          <w:szCs w:val="18"/>
          <w:lang w:val="fr-FR"/>
        </w:rPr>
        <w:t xml:space="preserve"> 1</w:t>
      </w:r>
      <w:r>
        <w:rPr>
          <w:sz w:val="18"/>
          <w:szCs w:val="18"/>
          <w:lang w:val="fr-FR"/>
        </w:rPr>
        <w:t xml:space="preserve"> </w:t>
      </w:r>
      <w:r w:rsidRPr="004B22D3">
        <w:rPr>
          <w:sz w:val="18"/>
          <w:szCs w:val="18"/>
          <w:lang w:val="fr-FR"/>
        </w:rPr>
        <w:t>seconde, il doit satisfaire à au moins 25 % des prescriptions applicables au</w:t>
      </w:r>
      <w:r w:rsidR="00377E19">
        <w:rPr>
          <w:sz w:val="18"/>
          <w:szCs w:val="18"/>
          <w:lang w:val="fr-FR"/>
        </w:rPr>
        <w:t> </w:t>
      </w:r>
      <w:r w:rsidRPr="004B22D3">
        <w:rPr>
          <w:sz w:val="18"/>
          <w:szCs w:val="18"/>
          <w:lang w:val="fr-FR"/>
        </w:rPr>
        <w:t>point d</w:t>
      </w:r>
      <w:r>
        <w:rPr>
          <w:sz w:val="18"/>
          <w:szCs w:val="18"/>
          <w:lang w:val="fr-FR"/>
        </w:rPr>
        <w:t>’</w:t>
      </w:r>
      <w:r w:rsidRPr="004B22D3">
        <w:rPr>
          <w:sz w:val="18"/>
          <w:szCs w:val="18"/>
          <w:lang w:val="fr-FR"/>
        </w:rPr>
        <w:t>essai. ».</w:t>
      </w:r>
    </w:p>
    <w:p w14:paraId="231A16DC" w14:textId="77777777" w:rsidR="001E2A41" w:rsidRDefault="001E2A41" w:rsidP="001E2A41">
      <w:pPr>
        <w:pStyle w:val="SingleTxtG"/>
        <w:rPr>
          <w:i/>
          <w:iCs/>
          <w:lang w:val="fr-FR"/>
        </w:rPr>
      </w:pPr>
      <w:r w:rsidRPr="00B47019">
        <w:rPr>
          <w:i/>
          <w:iCs/>
          <w:lang w:val="fr-FR"/>
        </w:rPr>
        <w:t xml:space="preserve">Annexe 14, </w:t>
      </w:r>
    </w:p>
    <w:p w14:paraId="3AEBBD54" w14:textId="77777777" w:rsidR="001E2A41" w:rsidRPr="00B47019" w:rsidRDefault="001E2A41" w:rsidP="001E2A41">
      <w:pPr>
        <w:pStyle w:val="SingleTxtG"/>
        <w:rPr>
          <w:rFonts w:eastAsia="Calibri"/>
          <w:i/>
          <w:lang w:val="fr-FR"/>
        </w:rPr>
      </w:pPr>
      <w:r>
        <w:rPr>
          <w:i/>
          <w:iCs/>
          <w:lang w:val="fr-FR"/>
        </w:rPr>
        <w:t>N</w:t>
      </w:r>
      <w:r w:rsidRPr="00B47019">
        <w:rPr>
          <w:i/>
          <w:iCs/>
          <w:lang w:val="fr-FR"/>
        </w:rPr>
        <w:t>ote de bas de page 2 d)</w:t>
      </w:r>
      <w:r w:rsidRPr="00B47019">
        <w:rPr>
          <w:lang w:val="fr-FR"/>
        </w:rPr>
        <w:t>, lire :</w:t>
      </w:r>
    </w:p>
    <w:p w14:paraId="00CB1D54" w14:textId="2DD868EF" w:rsidR="001E2A41" w:rsidRPr="00B47019" w:rsidRDefault="001E2A41" w:rsidP="001E2A41">
      <w:pPr>
        <w:pStyle w:val="SingleTxtG"/>
        <w:ind w:left="1701" w:hanging="567"/>
        <w:rPr>
          <w:rFonts w:eastAsia="Calibri"/>
          <w:sz w:val="18"/>
          <w:szCs w:val="18"/>
          <w:lang w:val="fr-FR"/>
        </w:rPr>
      </w:pPr>
      <w:r w:rsidRPr="00B47019">
        <w:rPr>
          <w:lang w:val="fr-FR"/>
        </w:rPr>
        <w:t>« </w:t>
      </w:r>
      <w:r w:rsidRPr="00837487">
        <w:rPr>
          <w:sz w:val="18"/>
          <w:szCs w:val="18"/>
          <w:lang w:val="fr-FR"/>
        </w:rPr>
        <w:t>d)</w:t>
      </w:r>
      <w:r w:rsidRPr="00837487">
        <w:rPr>
          <w:sz w:val="18"/>
          <w:szCs w:val="18"/>
          <w:lang w:val="fr-FR"/>
        </w:rPr>
        <w:tab/>
        <w:t>État du signal lorsque les prescriptions applicables figurant au paragraphe 6.22.7.4 du Règlement ONU n</w:t>
      </w:r>
      <w:r w:rsidRPr="00837487">
        <w:rPr>
          <w:sz w:val="18"/>
          <w:szCs w:val="18"/>
          <w:vertAlign w:val="superscript"/>
          <w:lang w:val="fr-FR"/>
        </w:rPr>
        <w:t>o</w:t>
      </w:r>
      <w:r w:rsidRPr="00837487">
        <w:rPr>
          <w:sz w:val="18"/>
          <w:szCs w:val="18"/>
          <w:lang w:val="fr-FR"/>
        </w:rPr>
        <w:t xml:space="preserve"> 48 </w:t>
      </w:r>
      <w:r w:rsidRPr="006E7738">
        <w:rPr>
          <w:sz w:val="18"/>
          <w:szCs w:val="18"/>
          <w:lang w:val="fr-FR"/>
        </w:rPr>
        <w:t>ou au paragraphe 6.</w:t>
      </w:r>
      <w:r>
        <w:rPr>
          <w:sz w:val="18"/>
          <w:szCs w:val="18"/>
          <w:lang w:val="fr-FR"/>
        </w:rPr>
        <w:t>18</w:t>
      </w:r>
      <w:r w:rsidRPr="006E7738">
        <w:rPr>
          <w:sz w:val="18"/>
          <w:szCs w:val="18"/>
          <w:lang w:val="fr-FR"/>
        </w:rPr>
        <w:t>.6.3 du Règlement ONU n</w:t>
      </w:r>
      <w:r w:rsidRPr="006E7738">
        <w:rPr>
          <w:sz w:val="18"/>
          <w:szCs w:val="18"/>
          <w:vertAlign w:val="superscript"/>
          <w:lang w:val="fr-FR"/>
        </w:rPr>
        <w:t>o</w:t>
      </w:r>
      <w:r w:rsidRPr="006E7738">
        <w:rPr>
          <w:sz w:val="18"/>
          <w:szCs w:val="18"/>
          <w:lang w:val="fr-FR"/>
        </w:rPr>
        <w:t> 53</w:t>
      </w:r>
      <w:r w:rsidRPr="00837487">
        <w:rPr>
          <w:sz w:val="18"/>
          <w:szCs w:val="18"/>
          <w:lang w:val="fr-FR"/>
        </w:rPr>
        <w:t xml:space="preserve"> sont satisfaites</w:t>
      </w:r>
      <w:r w:rsidR="00377E19">
        <w:rPr>
          <w:sz w:val="18"/>
          <w:szCs w:val="18"/>
          <w:lang w:val="fr-FR"/>
        </w:rPr>
        <w:t>. </w:t>
      </w:r>
      <w:r w:rsidRPr="00B47019">
        <w:rPr>
          <w:lang w:val="fr-FR"/>
        </w:rPr>
        <w:t xml:space="preserve">». </w:t>
      </w:r>
    </w:p>
    <w:p w14:paraId="0B30E2E1" w14:textId="77777777" w:rsidR="001E2A41" w:rsidRPr="00B47019" w:rsidRDefault="001E2A41" w:rsidP="001E2A41">
      <w:pPr>
        <w:pStyle w:val="SingleTxtG"/>
        <w:rPr>
          <w:rFonts w:eastAsia="Calibri"/>
          <w:i/>
          <w:lang w:val="fr-FR"/>
        </w:rPr>
      </w:pPr>
      <w:r>
        <w:rPr>
          <w:i/>
          <w:iCs/>
          <w:lang w:val="fr-FR"/>
        </w:rPr>
        <w:t>N</w:t>
      </w:r>
      <w:r w:rsidRPr="00B47019">
        <w:rPr>
          <w:i/>
          <w:iCs/>
          <w:lang w:val="fr-FR"/>
        </w:rPr>
        <w:t>ote de bas de page 5</w:t>
      </w:r>
      <w:r w:rsidRPr="00B47019">
        <w:rPr>
          <w:lang w:val="fr-FR"/>
        </w:rPr>
        <w:t>, lire :</w:t>
      </w:r>
    </w:p>
    <w:p w14:paraId="6D7C9087" w14:textId="7EBC5796" w:rsidR="001E2A41" w:rsidRPr="00C67EB7" w:rsidRDefault="001E2A41" w:rsidP="001E2A41">
      <w:pPr>
        <w:pStyle w:val="SingleTxtG"/>
        <w:ind w:left="1701" w:hanging="567"/>
        <w:rPr>
          <w:lang w:val="fr-FR"/>
        </w:rPr>
      </w:pPr>
      <w:r w:rsidRPr="00B47019">
        <w:rPr>
          <w:lang w:val="fr-FR"/>
        </w:rPr>
        <w:t>« </w:t>
      </w:r>
      <w:r w:rsidRPr="00837487">
        <w:rPr>
          <w:sz w:val="18"/>
          <w:szCs w:val="18"/>
          <w:lang w:val="fr-FR"/>
        </w:rPr>
        <w:t>5</w:t>
      </w:r>
      <w:r w:rsidRPr="00837487">
        <w:rPr>
          <w:sz w:val="18"/>
          <w:szCs w:val="18"/>
          <w:lang w:val="fr-FR"/>
        </w:rPr>
        <w:tab/>
        <w:t xml:space="preserve">Correspondant aux prescriptions du paragraphe 6.22.6.1.2 du Règlement ONU </w:t>
      </w:r>
      <w:r w:rsidRPr="00606B72">
        <w:rPr>
          <w:sz w:val="18"/>
          <w:szCs w:val="18"/>
          <w:lang w:val="fr-FR"/>
        </w:rPr>
        <w:t>n</w:t>
      </w:r>
      <w:r w:rsidRPr="00606B72">
        <w:rPr>
          <w:sz w:val="18"/>
          <w:szCs w:val="18"/>
          <w:vertAlign w:val="superscript"/>
          <w:lang w:val="fr-FR"/>
        </w:rPr>
        <w:t>o</w:t>
      </w:r>
      <w:r w:rsidRPr="00606B72">
        <w:rPr>
          <w:sz w:val="18"/>
          <w:szCs w:val="18"/>
          <w:lang w:val="fr-FR"/>
        </w:rPr>
        <w:t> 48</w:t>
      </w:r>
      <w:r w:rsidRPr="00837487">
        <w:rPr>
          <w:sz w:val="18"/>
          <w:szCs w:val="18"/>
          <w:lang w:val="fr-FR"/>
        </w:rPr>
        <w:t xml:space="preserve"> </w:t>
      </w:r>
      <w:r w:rsidRPr="006E7738">
        <w:rPr>
          <w:sz w:val="18"/>
          <w:szCs w:val="18"/>
          <w:lang w:val="fr-FR"/>
        </w:rPr>
        <w:t>ou du paragraphe</w:t>
      </w:r>
      <w:r w:rsidR="00377E19">
        <w:rPr>
          <w:sz w:val="18"/>
          <w:szCs w:val="18"/>
          <w:lang w:val="fr-FR"/>
        </w:rPr>
        <w:t> </w:t>
      </w:r>
      <w:r w:rsidRPr="006E7738">
        <w:rPr>
          <w:sz w:val="18"/>
          <w:szCs w:val="18"/>
          <w:lang w:val="fr-FR"/>
        </w:rPr>
        <w:t>6.1</w:t>
      </w:r>
      <w:r>
        <w:rPr>
          <w:sz w:val="18"/>
          <w:szCs w:val="18"/>
          <w:lang w:val="fr-FR"/>
        </w:rPr>
        <w:t>8</w:t>
      </w:r>
      <w:r w:rsidRPr="006E7738">
        <w:rPr>
          <w:sz w:val="18"/>
          <w:szCs w:val="18"/>
          <w:lang w:val="fr-FR"/>
        </w:rPr>
        <w:t>.5.1 du Règlement ONU n</w:t>
      </w:r>
      <w:r w:rsidRPr="006E7738">
        <w:rPr>
          <w:sz w:val="18"/>
          <w:szCs w:val="18"/>
          <w:vertAlign w:val="superscript"/>
          <w:lang w:val="fr-FR"/>
        </w:rPr>
        <w:t>o</w:t>
      </w:r>
      <w:r w:rsidRPr="006E7738">
        <w:rPr>
          <w:sz w:val="18"/>
          <w:szCs w:val="18"/>
          <w:lang w:val="fr-FR"/>
        </w:rPr>
        <w:t> 53.</w:t>
      </w:r>
      <w:r w:rsidRPr="00E73E2F">
        <w:rPr>
          <w:lang w:val="fr-FR"/>
        </w:rPr>
        <w:t> </w:t>
      </w:r>
      <w:r w:rsidRPr="00B47019">
        <w:rPr>
          <w:lang w:val="fr-FR"/>
        </w:rPr>
        <w:t>».</w:t>
      </w:r>
    </w:p>
    <w:p w14:paraId="6427CE0D" w14:textId="4B154E98" w:rsidR="00F9573C" w:rsidRPr="001E2A41" w:rsidRDefault="001E2A41" w:rsidP="001E2A4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1E2A41" w:rsidSect="001E2A4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960D" w14:textId="77777777" w:rsidR="007B50A1" w:rsidRDefault="007B50A1" w:rsidP="00F95C08">
      <w:pPr>
        <w:spacing w:line="240" w:lineRule="auto"/>
      </w:pPr>
    </w:p>
  </w:endnote>
  <w:endnote w:type="continuationSeparator" w:id="0">
    <w:p w14:paraId="5100A22A" w14:textId="77777777" w:rsidR="007B50A1" w:rsidRPr="00AC3823" w:rsidRDefault="007B50A1" w:rsidP="00AC3823">
      <w:pPr>
        <w:pStyle w:val="Pieddepage"/>
      </w:pPr>
    </w:p>
  </w:endnote>
  <w:endnote w:type="continuationNotice" w:id="1">
    <w:p w14:paraId="387F498A" w14:textId="77777777" w:rsidR="007B50A1" w:rsidRDefault="007B50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GothicM">
    <w:altName w:val="Yu Gothic"/>
    <w:charset w:val="80"/>
    <w:family w:val="modern"/>
    <w:pitch w:val="variable"/>
    <w:sig w:usb0="80000281" w:usb1="28C76CF8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5F24" w14:textId="09C73818" w:rsidR="001E2A41" w:rsidRPr="001E2A41" w:rsidRDefault="001E2A41" w:rsidP="001E2A41">
    <w:pPr>
      <w:pStyle w:val="Pieddepage"/>
      <w:tabs>
        <w:tab w:val="right" w:pos="9638"/>
      </w:tabs>
    </w:pPr>
    <w:r w:rsidRPr="001E2A41">
      <w:rPr>
        <w:b/>
        <w:sz w:val="18"/>
      </w:rPr>
      <w:fldChar w:fldCharType="begin"/>
    </w:r>
    <w:r w:rsidRPr="001E2A41">
      <w:rPr>
        <w:b/>
        <w:sz w:val="18"/>
      </w:rPr>
      <w:instrText xml:space="preserve"> PAGE  \* MERGEFORMAT </w:instrText>
    </w:r>
    <w:r w:rsidRPr="001E2A41">
      <w:rPr>
        <w:b/>
        <w:sz w:val="18"/>
      </w:rPr>
      <w:fldChar w:fldCharType="separate"/>
    </w:r>
    <w:r w:rsidRPr="001E2A41">
      <w:rPr>
        <w:b/>
        <w:noProof/>
        <w:sz w:val="18"/>
      </w:rPr>
      <w:t>2</w:t>
    </w:r>
    <w:r w:rsidRPr="001E2A41">
      <w:rPr>
        <w:b/>
        <w:sz w:val="18"/>
      </w:rPr>
      <w:fldChar w:fldCharType="end"/>
    </w:r>
    <w:r>
      <w:rPr>
        <w:b/>
        <w:sz w:val="18"/>
      </w:rPr>
      <w:tab/>
    </w:r>
    <w:r>
      <w:t>GE.23-25711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023A" w14:textId="3DA8FC4D" w:rsidR="001E2A41" w:rsidRPr="001E2A41" w:rsidRDefault="001E2A41" w:rsidP="001E2A41">
    <w:pPr>
      <w:pStyle w:val="Pieddepage"/>
      <w:tabs>
        <w:tab w:val="right" w:pos="9638"/>
      </w:tabs>
      <w:rPr>
        <w:b/>
        <w:sz w:val="18"/>
      </w:rPr>
    </w:pPr>
    <w:r>
      <w:t>GE.23-25711</w:t>
    </w:r>
    <w:r>
      <w:tab/>
    </w:r>
    <w:r w:rsidRPr="001E2A41">
      <w:rPr>
        <w:b/>
        <w:sz w:val="18"/>
      </w:rPr>
      <w:fldChar w:fldCharType="begin"/>
    </w:r>
    <w:r w:rsidRPr="001E2A41">
      <w:rPr>
        <w:b/>
        <w:sz w:val="18"/>
      </w:rPr>
      <w:instrText xml:space="preserve"> PAGE  \* MERGEFORMAT </w:instrText>
    </w:r>
    <w:r w:rsidRPr="001E2A41">
      <w:rPr>
        <w:b/>
        <w:sz w:val="18"/>
      </w:rPr>
      <w:fldChar w:fldCharType="separate"/>
    </w:r>
    <w:r w:rsidRPr="001E2A41">
      <w:rPr>
        <w:b/>
        <w:noProof/>
        <w:sz w:val="18"/>
      </w:rPr>
      <w:t>3</w:t>
    </w:r>
    <w:r w:rsidRPr="001E2A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7F1C" w14:textId="4571BC2E" w:rsidR="007F20FA" w:rsidRPr="001E2A41" w:rsidRDefault="001E2A41" w:rsidP="001E2A4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3458DE3" wp14:editId="0D4F34C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23-25711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BA2AF9D" wp14:editId="2E8FB06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51709555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9D2">
      <w:rPr>
        <w:sz w:val="20"/>
      </w:rPr>
      <w:t xml:space="preserve">    090124    090124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25BF" w14:textId="77777777" w:rsidR="007B50A1" w:rsidRPr="00AC3823" w:rsidRDefault="007B50A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B89FB3" w14:textId="77777777" w:rsidR="007B50A1" w:rsidRPr="00AC3823" w:rsidRDefault="007B50A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D4F56A4" w14:textId="77777777" w:rsidR="007B50A1" w:rsidRPr="00AC3823" w:rsidRDefault="007B50A1">
      <w:pPr>
        <w:spacing w:line="240" w:lineRule="auto"/>
        <w:rPr>
          <w:sz w:val="2"/>
          <w:szCs w:val="2"/>
        </w:rPr>
      </w:pPr>
    </w:p>
  </w:footnote>
  <w:footnote w:id="2">
    <w:p w14:paraId="208EBF3E" w14:textId="77777777" w:rsidR="001E2A41" w:rsidRPr="00730D3A" w:rsidRDefault="001E2A41" w:rsidP="001E2A41">
      <w:pPr>
        <w:pStyle w:val="Notedebasdepage"/>
      </w:pPr>
      <w:r>
        <w:rPr>
          <w:rStyle w:val="Appelnotedebasdep"/>
        </w:rPr>
        <w:tab/>
      </w:r>
      <w:r w:rsidRPr="00730D3A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qu’il figure dans le projet de budget-programme pour 2024 (A/78/6 (Sect. 20), tableau 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14:paraId="1F4B7322" w14:textId="77777777" w:rsidR="001E2A41" w:rsidRPr="00730D3A" w:rsidRDefault="001E2A41" w:rsidP="001E2A41">
      <w:pPr>
        <w:pStyle w:val="Notedebasdepage"/>
        <w:rPr>
          <w:sz w:val="2"/>
          <w:szCs w:val="2"/>
          <w:lang w:val="fr-SN"/>
        </w:rPr>
      </w:pPr>
    </w:p>
  </w:footnote>
  <w:footnote w:id="4">
    <w:p w14:paraId="2C8CAF60" w14:textId="77777777" w:rsidR="001E2A41" w:rsidRDefault="001E2A41" w:rsidP="001E2A41">
      <w:pPr>
        <w:pStyle w:val="Notedebasdepage"/>
      </w:pPr>
      <w:r>
        <w:tab/>
      </w:r>
      <w:r w:rsidRPr="006E7738">
        <w:rPr>
          <w:rStyle w:val="Appelnotedebasdep"/>
        </w:rPr>
        <w:footnoteRef/>
      </w:r>
      <w:r>
        <w:tab/>
      </w:r>
      <w:r>
        <w:rPr>
          <w:lang w:val="fr-FR"/>
        </w:rPr>
        <w:t xml:space="preserve">Dans le cas d’une unité d’installation simple, le symbole XC </w:t>
      </w:r>
      <w:r w:rsidRPr="006E7738">
        <w:rPr>
          <w:lang w:val="fr-FR"/>
        </w:rPr>
        <w:t>ou MXC</w:t>
      </w:r>
      <w:r>
        <w:rPr>
          <w:lang w:val="fr-FR"/>
        </w:rPr>
        <w:t xml:space="preserve"> n’est inscrit qu’une seule fois.</w:t>
      </w:r>
    </w:p>
  </w:footnote>
  <w:footnote w:id="5">
    <w:p w14:paraId="2C30CF6A" w14:textId="77777777" w:rsidR="001E2A41" w:rsidRDefault="001E2A41" w:rsidP="001E2A41">
      <w:pPr>
        <w:pStyle w:val="Notedebasdepage"/>
      </w:pPr>
      <w:r>
        <w:tab/>
      </w:r>
      <w:r w:rsidRPr="006E7738">
        <w:rPr>
          <w:rStyle w:val="Appelnotedebasdep"/>
        </w:rPr>
        <w:footnoteRef/>
      </w:r>
      <w:r>
        <w:tab/>
      </w:r>
      <w:r>
        <w:rPr>
          <w:lang w:val="fr-FR"/>
        </w:rPr>
        <w:t xml:space="preserve">Dans le cas de plusieurs unités d’installation assurant chacune une ou plusieurs fonctions d’éclairage avant adaptatif (AFS), chaque unité porte le symbole X </w:t>
      </w:r>
      <w:r w:rsidRPr="006E7738">
        <w:rPr>
          <w:lang w:val="fr-FR"/>
        </w:rPr>
        <w:t>ou MX</w:t>
      </w:r>
      <w:r>
        <w:rPr>
          <w:lang w:val="fr-FR"/>
        </w:rPr>
        <w:t xml:space="preserve"> suivi du ou des symboles d’identification de la ou des fonctions AFS assurées.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DFDC" w14:textId="2EDD28D0" w:rsidR="001E2A41" w:rsidRPr="001E2A41" w:rsidRDefault="005E1FE8">
    <w:pPr>
      <w:pStyle w:val="En-tte"/>
    </w:pPr>
    <w:fldSimple w:instr=" TITLE  \* MERGEFORMAT ">
      <w:r w:rsidR="00407F07">
        <w:t>ECE/TRANS/WP.29/2024/25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C08F" w14:textId="6B7AABCE" w:rsidR="001E2A41" w:rsidRPr="001E2A41" w:rsidRDefault="005E1FE8" w:rsidP="001E2A41">
    <w:pPr>
      <w:pStyle w:val="En-tte"/>
      <w:jc w:val="right"/>
    </w:pPr>
    <w:fldSimple w:instr=" TITLE  \* MERGEFORMAT ">
      <w:r w:rsidR="00407F07">
        <w:t>ECE/TRANS/WP.29/2024/25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47AF3"/>
    <w:multiLevelType w:val="hybridMultilevel"/>
    <w:tmpl w:val="A502DD88"/>
    <w:lvl w:ilvl="0" w:tplc="72AA3EE0">
      <w:start w:val="108"/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63A5BD7"/>
    <w:multiLevelType w:val="hybridMultilevel"/>
    <w:tmpl w:val="97AC2B00"/>
    <w:lvl w:ilvl="0" w:tplc="49F24384">
      <w:start w:val="108"/>
      <w:numFmt w:val="bullet"/>
      <w:lvlText w:val="*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4BFB13D3"/>
    <w:multiLevelType w:val="hybridMultilevel"/>
    <w:tmpl w:val="4C56DDFC"/>
    <w:lvl w:ilvl="0" w:tplc="08282420">
      <w:start w:val="108"/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927615201">
    <w:abstractNumId w:val="15"/>
  </w:num>
  <w:num w:numId="2" w16cid:durableId="1603339114">
    <w:abstractNumId w:val="12"/>
  </w:num>
  <w:num w:numId="3" w16cid:durableId="268003047">
    <w:abstractNumId w:val="10"/>
  </w:num>
  <w:num w:numId="4" w16cid:durableId="879821096">
    <w:abstractNumId w:val="8"/>
  </w:num>
  <w:num w:numId="5" w16cid:durableId="337775586">
    <w:abstractNumId w:val="3"/>
  </w:num>
  <w:num w:numId="6" w16cid:durableId="1740051265">
    <w:abstractNumId w:val="2"/>
  </w:num>
  <w:num w:numId="7" w16cid:durableId="1999261165">
    <w:abstractNumId w:val="1"/>
  </w:num>
  <w:num w:numId="8" w16cid:durableId="1208106244">
    <w:abstractNumId w:val="0"/>
  </w:num>
  <w:num w:numId="9" w16cid:durableId="1009792382">
    <w:abstractNumId w:val="9"/>
  </w:num>
  <w:num w:numId="10" w16cid:durableId="892539886">
    <w:abstractNumId w:val="7"/>
  </w:num>
  <w:num w:numId="11" w16cid:durableId="809057902">
    <w:abstractNumId w:val="6"/>
  </w:num>
  <w:num w:numId="12" w16cid:durableId="870999636">
    <w:abstractNumId w:val="5"/>
  </w:num>
  <w:num w:numId="13" w16cid:durableId="1842113459">
    <w:abstractNumId w:val="4"/>
  </w:num>
  <w:num w:numId="14" w16cid:durableId="1647707767">
    <w:abstractNumId w:val="15"/>
  </w:num>
  <w:num w:numId="15" w16cid:durableId="1063797732">
    <w:abstractNumId w:val="12"/>
  </w:num>
  <w:num w:numId="16" w16cid:durableId="775946990">
    <w:abstractNumId w:val="10"/>
  </w:num>
  <w:num w:numId="17" w16cid:durableId="726105514">
    <w:abstractNumId w:val="13"/>
  </w:num>
  <w:num w:numId="18" w16cid:durableId="1401556815">
    <w:abstractNumId w:val="14"/>
  </w:num>
  <w:num w:numId="19" w16cid:durableId="159396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A1"/>
    <w:rsid w:val="00017F94"/>
    <w:rsid w:val="00023842"/>
    <w:rsid w:val="000334F9"/>
    <w:rsid w:val="00045FEB"/>
    <w:rsid w:val="0007335B"/>
    <w:rsid w:val="0007796D"/>
    <w:rsid w:val="00086847"/>
    <w:rsid w:val="000B7790"/>
    <w:rsid w:val="00111F2F"/>
    <w:rsid w:val="0014365E"/>
    <w:rsid w:val="00143C66"/>
    <w:rsid w:val="00176178"/>
    <w:rsid w:val="001E2A41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77E19"/>
    <w:rsid w:val="003916DE"/>
    <w:rsid w:val="00407F07"/>
    <w:rsid w:val="00421996"/>
    <w:rsid w:val="00441C3B"/>
    <w:rsid w:val="00446FE5"/>
    <w:rsid w:val="00452396"/>
    <w:rsid w:val="004611A4"/>
    <w:rsid w:val="00477EB2"/>
    <w:rsid w:val="004837D8"/>
    <w:rsid w:val="004E2EED"/>
    <w:rsid w:val="004E468C"/>
    <w:rsid w:val="005505B7"/>
    <w:rsid w:val="00573BE5"/>
    <w:rsid w:val="00586ED3"/>
    <w:rsid w:val="00596AA9"/>
    <w:rsid w:val="005E1FE8"/>
    <w:rsid w:val="0071601D"/>
    <w:rsid w:val="007A62E6"/>
    <w:rsid w:val="007B50A1"/>
    <w:rsid w:val="007F20FA"/>
    <w:rsid w:val="0080684C"/>
    <w:rsid w:val="008159D2"/>
    <w:rsid w:val="00871C75"/>
    <w:rsid w:val="008776DC"/>
    <w:rsid w:val="008D5EF9"/>
    <w:rsid w:val="009446C0"/>
    <w:rsid w:val="009705C8"/>
    <w:rsid w:val="009C1CF4"/>
    <w:rsid w:val="009C20AE"/>
    <w:rsid w:val="009F6B74"/>
    <w:rsid w:val="00A10B92"/>
    <w:rsid w:val="00A3029F"/>
    <w:rsid w:val="00A30353"/>
    <w:rsid w:val="00A30DE7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B75AB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DD597"/>
  <w15:docId w15:val="{0EA983B5-F14A-4E5C-A05B-87751555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1E2A4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1E2A41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6</Pages>
  <Words>1770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ECE/TRANS/WP.29/2024/25</vt:lpstr>
    </vt:vector>
  </TitlesOfParts>
  <Company>DCM</Company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ECE/TRANS/WP.29/2024/25</dc:title>
  <dc:subject/>
  <dc:creator>Estelle-Delphine DITTA</dc:creator>
  <cp:keywords/>
  <cp:lastModifiedBy>Estelle-Delphine DITTA</cp:lastModifiedBy>
  <cp:revision>3</cp:revision>
  <cp:lastPrinted>2024-01-09T15:24:00Z</cp:lastPrinted>
  <dcterms:created xsi:type="dcterms:W3CDTF">2024-01-09T15:23:00Z</dcterms:created>
  <dcterms:modified xsi:type="dcterms:W3CDTF">2024-01-09T15:25:00Z</dcterms:modified>
</cp:coreProperties>
</file>