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D646C5D" w14:textId="77777777" w:rsidTr="00B20551">
        <w:trPr>
          <w:cantSplit/>
          <w:trHeight w:hRule="exact" w:val="851"/>
        </w:trPr>
        <w:tc>
          <w:tcPr>
            <w:tcW w:w="1276" w:type="dxa"/>
            <w:tcBorders>
              <w:bottom w:val="single" w:sz="4" w:space="0" w:color="auto"/>
            </w:tcBorders>
            <w:vAlign w:val="bottom"/>
          </w:tcPr>
          <w:p w14:paraId="3971491A" w14:textId="77777777" w:rsidR="009E6CB7" w:rsidRDefault="009E6CB7" w:rsidP="00B20551">
            <w:pPr>
              <w:spacing w:after="80"/>
            </w:pPr>
          </w:p>
        </w:tc>
        <w:tc>
          <w:tcPr>
            <w:tcW w:w="2268" w:type="dxa"/>
            <w:tcBorders>
              <w:bottom w:val="single" w:sz="4" w:space="0" w:color="auto"/>
            </w:tcBorders>
            <w:vAlign w:val="bottom"/>
          </w:tcPr>
          <w:p w14:paraId="4A0E2ACF"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C8D222A" w14:textId="625B1A46" w:rsidR="009E6CB7" w:rsidRPr="00D47EEA" w:rsidRDefault="009953AC" w:rsidP="009953AC">
            <w:pPr>
              <w:jc w:val="right"/>
            </w:pPr>
            <w:r w:rsidRPr="009953AC">
              <w:rPr>
                <w:sz w:val="40"/>
              </w:rPr>
              <w:t>ECE</w:t>
            </w:r>
            <w:r>
              <w:t>/TRANS/WP.29/2024/25</w:t>
            </w:r>
          </w:p>
        </w:tc>
      </w:tr>
      <w:tr w:rsidR="009E6CB7" w14:paraId="2D10CEDC" w14:textId="77777777" w:rsidTr="00B20551">
        <w:trPr>
          <w:cantSplit/>
          <w:trHeight w:hRule="exact" w:val="2835"/>
        </w:trPr>
        <w:tc>
          <w:tcPr>
            <w:tcW w:w="1276" w:type="dxa"/>
            <w:tcBorders>
              <w:top w:val="single" w:sz="4" w:space="0" w:color="auto"/>
              <w:bottom w:val="single" w:sz="12" w:space="0" w:color="auto"/>
            </w:tcBorders>
          </w:tcPr>
          <w:p w14:paraId="409E1416" w14:textId="77777777" w:rsidR="009E6CB7" w:rsidRDefault="00686A48" w:rsidP="00B20551">
            <w:pPr>
              <w:spacing w:before="120"/>
            </w:pPr>
            <w:r>
              <w:rPr>
                <w:noProof/>
                <w:lang w:val="fr-CH" w:eastAsia="fr-CH"/>
              </w:rPr>
              <w:drawing>
                <wp:inline distT="0" distB="0" distL="0" distR="0" wp14:anchorId="43A11B13" wp14:editId="169872C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7563D7"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CB209DF" w14:textId="77777777" w:rsidR="009E6CB7" w:rsidRDefault="009953AC" w:rsidP="009953AC">
            <w:pPr>
              <w:spacing w:before="240" w:line="240" w:lineRule="exact"/>
            </w:pPr>
            <w:r>
              <w:t>Distr.: General</w:t>
            </w:r>
          </w:p>
          <w:p w14:paraId="04EE3216" w14:textId="7B142EAC" w:rsidR="009953AC" w:rsidRDefault="009953AC" w:rsidP="009953AC">
            <w:pPr>
              <w:spacing w:line="240" w:lineRule="exact"/>
            </w:pPr>
            <w:r>
              <w:t>20 December 202</w:t>
            </w:r>
            <w:r w:rsidR="00F34FE8">
              <w:t>3</w:t>
            </w:r>
          </w:p>
          <w:p w14:paraId="5561CD2A" w14:textId="77777777" w:rsidR="009953AC" w:rsidRDefault="009953AC" w:rsidP="009953AC">
            <w:pPr>
              <w:spacing w:line="240" w:lineRule="exact"/>
            </w:pPr>
          </w:p>
          <w:p w14:paraId="3183EC66" w14:textId="2408AAD6" w:rsidR="009953AC" w:rsidRDefault="009953AC" w:rsidP="009953AC">
            <w:pPr>
              <w:spacing w:line="240" w:lineRule="exact"/>
            </w:pPr>
            <w:r>
              <w:t>Original: English</w:t>
            </w:r>
          </w:p>
        </w:tc>
      </w:tr>
    </w:tbl>
    <w:p w14:paraId="53382739" w14:textId="77777777" w:rsidR="009953AC" w:rsidRPr="001D703D" w:rsidRDefault="009953AC" w:rsidP="00A36AC2">
      <w:pPr>
        <w:spacing w:before="120"/>
        <w:rPr>
          <w:b/>
          <w:sz w:val="28"/>
          <w:szCs w:val="28"/>
        </w:rPr>
      </w:pPr>
      <w:r w:rsidRPr="001D703D">
        <w:rPr>
          <w:b/>
          <w:sz w:val="28"/>
          <w:szCs w:val="28"/>
        </w:rPr>
        <w:t>Economic Commission for Europe</w:t>
      </w:r>
    </w:p>
    <w:p w14:paraId="2C459072" w14:textId="77777777" w:rsidR="009953AC" w:rsidRPr="001D703D" w:rsidRDefault="009953AC" w:rsidP="00A36AC2">
      <w:pPr>
        <w:spacing w:before="120"/>
        <w:rPr>
          <w:sz w:val="28"/>
          <w:szCs w:val="28"/>
        </w:rPr>
      </w:pPr>
      <w:r w:rsidRPr="001D703D">
        <w:rPr>
          <w:sz w:val="28"/>
          <w:szCs w:val="28"/>
        </w:rPr>
        <w:t>Inland Transport Committee</w:t>
      </w:r>
    </w:p>
    <w:p w14:paraId="03C33DFC" w14:textId="77777777" w:rsidR="009953AC" w:rsidRPr="001D703D" w:rsidRDefault="009953AC" w:rsidP="00A36AC2">
      <w:pPr>
        <w:spacing w:before="120"/>
        <w:rPr>
          <w:b/>
          <w:sz w:val="24"/>
          <w:szCs w:val="24"/>
        </w:rPr>
      </w:pPr>
      <w:r w:rsidRPr="001D703D">
        <w:rPr>
          <w:b/>
          <w:sz w:val="24"/>
          <w:szCs w:val="24"/>
        </w:rPr>
        <w:t>World Forum for Harmonization of Vehicle Regulations</w:t>
      </w:r>
    </w:p>
    <w:p w14:paraId="165B5615" w14:textId="77777777" w:rsidR="00A924D6" w:rsidRPr="006D33D9" w:rsidRDefault="00A924D6" w:rsidP="00A924D6">
      <w:pPr>
        <w:spacing w:before="120"/>
        <w:rPr>
          <w:b/>
          <w:lang w:val="en-US"/>
        </w:rPr>
      </w:pPr>
      <w:r>
        <w:rPr>
          <w:b/>
          <w:lang w:val="en-US"/>
        </w:rPr>
        <w:t xml:space="preserve">192nd </w:t>
      </w:r>
      <w:r w:rsidRPr="006D33D9">
        <w:rPr>
          <w:b/>
          <w:lang w:val="en-US"/>
        </w:rPr>
        <w:t>session</w:t>
      </w:r>
    </w:p>
    <w:p w14:paraId="49022DCF" w14:textId="77777777" w:rsidR="00A924D6" w:rsidRPr="00C64574" w:rsidRDefault="00A924D6" w:rsidP="00A924D6">
      <w:r w:rsidRPr="00C64574">
        <w:t xml:space="preserve">Geneva, </w:t>
      </w:r>
      <w:r>
        <w:t>5</w:t>
      </w:r>
      <w:r w:rsidRPr="002A5241">
        <w:t>–</w:t>
      </w:r>
      <w:r>
        <w:t xml:space="preserve">8 March </w:t>
      </w:r>
      <w:r w:rsidRPr="00C64574">
        <w:t>20</w:t>
      </w:r>
      <w:r>
        <w:t>24</w:t>
      </w:r>
    </w:p>
    <w:p w14:paraId="73A4314B" w14:textId="77777777" w:rsidR="00A924D6" w:rsidRDefault="00A924D6" w:rsidP="00A924D6">
      <w:r>
        <w:t>Item 4.9.10 of the provisional agenda</w:t>
      </w:r>
    </w:p>
    <w:p w14:paraId="7D03F4F1" w14:textId="77777777" w:rsidR="00A924D6" w:rsidRDefault="00A924D6" w:rsidP="00A924D6">
      <w:pPr>
        <w:rPr>
          <w:b/>
        </w:rPr>
      </w:pPr>
      <w:r>
        <w:rPr>
          <w:b/>
        </w:rPr>
        <w:t>1958 Agreement:</w:t>
      </w:r>
    </w:p>
    <w:p w14:paraId="1BD8B491" w14:textId="77777777" w:rsidR="00A924D6" w:rsidRDefault="00A924D6" w:rsidP="00A924D6">
      <w:pPr>
        <w:rPr>
          <w:b/>
        </w:rPr>
      </w:pPr>
      <w:r>
        <w:rPr>
          <w:b/>
        </w:rPr>
        <w:t>Consideration of draft amendments to existing</w:t>
      </w:r>
    </w:p>
    <w:p w14:paraId="6393F19F" w14:textId="77777777" w:rsidR="00A924D6" w:rsidRDefault="00A924D6" w:rsidP="00A924D6">
      <w:pPr>
        <w:rPr>
          <w:b/>
          <w:bCs/>
        </w:rPr>
      </w:pPr>
      <w:r>
        <w:rPr>
          <w:b/>
        </w:rPr>
        <w:t>UN Regulations submitted by GRE</w:t>
      </w:r>
    </w:p>
    <w:p w14:paraId="5AE99B30" w14:textId="77777777" w:rsidR="00A924D6" w:rsidRDefault="00A924D6" w:rsidP="00A924D6">
      <w:pPr>
        <w:pStyle w:val="HChG"/>
        <w:ind w:left="1124" w:right="1138" w:firstLine="0"/>
      </w:pPr>
      <w:r w:rsidRPr="00CB5C31">
        <w:t xml:space="preserve">Proposal for Supplement </w:t>
      </w:r>
      <w:r>
        <w:t>3</w:t>
      </w:r>
      <w:r w:rsidRPr="00CB5C31">
        <w:t xml:space="preserve"> to the 0</w:t>
      </w:r>
      <w:r>
        <w:t>1</w:t>
      </w:r>
      <w:r w:rsidRPr="00CB5C31">
        <w:t xml:space="preserve"> series of amendments to UN Regulation No. 149 (Road illumination devices)</w:t>
      </w:r>
      <w:r>
        <w:t xml:space="preserve"> </w:t>
      </w:r>
    </w:p>
    <w:p w14:paraId="4EF36FC8" w14:textId="77777777" w:rsidR="00A924D6" w:rsidRDefault="00A924D6" w:rsidP="00A924D6">
      <w:pPr>
        <w:pStyle w:val="H1G"/>
        <w:rPr>
          <w:szCs w:val="24"/>
        </w:rPr>
      </w:pPr>
      <w:r>
        <w:tab/>
      </w:r>
      <w:r>
        <w:tab/>
      </w:r>
      <w:r>
        <w:rPr>
          <w:szCs w:val="24"/>
        </w:rPr>
        <w:t>Submitted by the Working Party on Lighting and Light-Signalling</w:t>
      </w:r>
      <w:r w:rsidRPr="00CB6F40">
        <w:footnoteReference w:customMarkFollows="1" w:id="2"/>
        <w:t>*</w:t>
      </w:r>
    </w:p>
    <w:p w14:paraId="72B9023C" w14:textId="47E38C1C" w:rsidR="00A924D6" w:rsidRDefault="00A924D6" w:rsidP="00A924D6">
      <w:pPr>
        <w:pStyle w:val="SingleTxtG"/>
        <w:ind w:firstLine="567"/>
        <w:rPr>
          <w:lang w:val="en-US"/>
        </w:rPr>
      </w:pPr>
      <w:r>
        <w:rPr>
          <w:lang w:val="en-US"/>
        </w:rPr>
        <w:t>The text reproduced below was adopted by the Working Party on Lighting and Light-</w:t>
      </w:r>
      <w:proofErr w:type="spellStart"/>
      <w:r>
        <w:rPr>
          <w:lang w:val="en-US"/>
        </w:rPr>
        <w:t>Signalling</w:t>
      </w:r>
      <w:proofErr w:type="spellEnd"/>
      <w:r>
        <w:rPr>
          <w:lang w:val="en-US"/>
        </w:rPr>
        <w:t xml:space="preserve"> (GRE) at its eighty-ninth session (</w:t>
      </w:r>
      <w:r w:rsidRPr="00754EE6">
        <w:rPr>
          <w:lang w:val="en-US"/>
        </w:rPr>
        <w:t>ECE/TRANS/WP.29/GRE/89, paras. 10, 29, 30 and 31</w:t>
      </w:r>
      <w:r>
        <w:rPr>
          <w:lang w:val="en-US"/>
        </w:rPr>
        <w:t xml:space="preserve">). It is </w:t>
      </w:r>
      <w:r w:rsidRPr="00754EE6">
        <w:rPr>
          <w:lang w:val="en-US"/>
        </w:rPr>
        <w:t>based on ECE/TRANS/WP.29/GRE/2023/15, ECE/TRANS/WP.29/GRE/2023/18, ECE/TRANS/WP.29/GRE/2023/23</w:t>
      </w:r>
      <w:r>
        <w:rPr>
          <w:lang w:val="en-US"/>
        </w:rPr>
        <w:t xml:space="preserve"> and</w:t>
      </w:r>
      <w:r w:rsidRPr="007D2527">
        <w:t xml:space="preserve"> </w:t>
      </w:r>
      <w:r w:rsidRPr="007D2527">
        <w:rPr>
          <w:lang w:val="en-US"/>
        </w:rPr>
        <w:t>ECE/TRANS/WP.29/GRE/2023/1</w:t>
      </w:r>
      <w:r>
        <w:rPr>
          <w:lang w:val="en-US"/>
        </w:rPr>
        <w:t xml:space="preserve">7, as amended by informal document </w:t>
      </w:r>
      <w:r w:rsidRPr="00754EE6">
        <w:rPr>
          <w:lang w:val="en-US"/>
        </w:rPr>
        <w:t>GRE-89-28</w:t>
      </w:r>
      <w:r>
        <w:rPr>
          <w:lang w:val="en-US"/>
        </w:rPr>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March </w:t>
      </w:r>
      <w:r w:rsidRPr="00496D41">
        <w:rPr>
          <w:lang w:val="en-US"/>
        </w:rPr>
        <w:t>202</w:t>
      </w:r>
      <w:r>
        <w:rPr>
          <w:lang w:val="en-US"/>
        </w:rPr>
        <w:t>4</w:t>
      </w:r>
      <w:r w:rsidRPr="00496D41">
        <w:rPr>
          <w:lang w:val="en-US"/>
        </w:rPr>
        <w:t xml:space="preserve"> sessions</w:t>
      </w:r>
      <w:r>
        <w:rPr>
          <w:lang w:val="en-US"/>
        </w:rPr>
        <w:t>.</w:t>
      </w:r>
    </w:p>
    <w:p w14:paraId="7F82E6A9" w14:textId="01307C34" w:rsidR="00A924D6" w:rsidRDefault="00A924D6" w:rsidP="00A924D6">
      <w:pPr>
        <w:pStyle w:val="SingleTxtG"/>
        <w:ind w:firstLine="567"/>
        <w:rPr>
          <w:lang w:val="en-US"/>
        </w:rPr>
      </w:pPr>
      <w:r>
        <w:rPr>
          <w:lang w:val="en-US"/>
        </w:rPr>
        <w:br w:type="page"/>
      </w:r>
    </w:p>
    <w:p w14:paraId="0E00E3AA" w14:textId="77777777" w:rsidR="00A924D6" w:rsidRPr="003E27DC" w:rsidRDefault="00A924D6" w:rsidP="00A924D6">
      <w:pPr>
        <w:spacing w:after="120"/>
        <w:ind w:left="1701" w:hanging="567"/>
        <w:rPr>
          <w:rFonts w:eastAsia="Calibri"/>
          <w:i/>
        </w:rPr>
      </w:pPr>
      <w:r w:rsidRPr="003E27DC">
        <w:rPr>
          <w:rFonts w:eastAsia="Calibri"/>
          <w:i/>
        </w:rPr>
        <w:lastRenderedPageBreak/>
        <w:t xml:space="preserve">Paragraph 1., </w:t>
      </w:r>
      <w:r w:rsidRPr="003E27DC">
        <w:rPr>
          <w:rFonts w:eastAsia="Calibri"/>
          <w:iCs/>
        </w:rPr>
        <w:t>amend to read:</w:t>
      </w:r>
    </w:p>
    <w:p w14:paraId="532AA6DB" w14:textId="77777777" w:rsidR="00A924D6" w:rsidRPr="003E27DC" w:rsidRDefault="00A924D6" w:rsidP="00A924D6">
      <w:pPr>
        <w:pStyle w:val="HChG"/>
        <w:spacing w:before="0" w:after="120" w:line="240" w:lineRule="atLeast"/>
        <w:ind w:left="2259" w:hanging="1125"/>
        <w:rPr>
          <w:b w:val="0"/>
          <w:sz w:val="20"/>
        </w:rPr>
      </w:pPr>
      <w:r w:rsidRPr="003E27DC">
        <w:rPr>
          <w:rStyle w:val="Carpredefinitoparagrafo1"/>
          <w:b w:val="0"/>
          <w:sz w:val="20"/>
        </w:rPr>
        <w:t>“1.</w:t>
      </w:r>
      <w:r w:rsidRPr="003E27DC">
        <w:rPr>
          <w:rStyle w:val="Carpredefinitoparagrafo1"/>
          <w:b w:val="0"/>
          <w:sz w:val="20"/>
        </w:rPr>
        <w:tab/>
      </w:r>
      <w:r w:rsidRPr="003E27DC">
        <w:rPr>
          <w:b w:val="0"/>
          <w:sz w:val="20"/>
        </w:rPr>
        <w:t>Scope</w:t>
      </w:r>
    </w:p>
    <w:p w14:paraId="264FFEF2" w14:textId="77777777" w:rsidR="00A924D6" w:rsidRPr="003E27DC" w:rsidRDefault="00A924D6" w:rsidP="00A924D6">
      <w:pPr>
        <w:pStyle w:val="SingleTxtG"/>
        <w:ind w:left="2268"/>
      </w:pPr>
      <w:r w:rsidRPr="003E27DC">
        <w:t>This Regulation applies to the following road illumination devices (lamps):</w:t>
      </w:r>
    </w:p>
    <w:p w14:paraId="65F44628" w14:textId="77777777" w:rsidR="00A924D6" w:rsidRPr="003E27DC" w:rsidRDefault="00A924D6" w:rsidP="00A924D6">
      <w:pPr>
        <w:pStyle w:val="para"/>
        <w:numPr>
          <w:ilvl w:val="0"/>
          <w:numId w:val="20"/>
        </w:numPr>
        <w:tabs>
          <w:tab w:val="right" w:pos="3119"/>
        </w:tabs>
        <w:suppressAutoHyphens/>
        <w:ind w:left="2694" w:hanging="357"/>
        <w:rPr>
          <w:lang w:val="en-GB"/>
        </w:rPr>
      </w:pPr>
      <w:r w:rsidRPr="003E27DC">
        <w:rPr>
          <w:lang w:val="en-GB"/>
        </w:rPr>
        <w:t xml:space="preserve">Headlamps emitting a driving-beam and/or an asymmetrical passing-beam for vehicles of categories L, M, N and T </w:t>
      </w:r>
    </w:p>
    <w:p w14:paraId="673447DE" w14:textId="77777777" w:rsidR="00A924D6" w:rsidRPr="003E27DC" w:rsidRDefault="00A924D6" w:rsidP="00A924D6">
      <w:pPr>
        <w:pStyle w:val="para"/>
        <w:numPr>
          <w:ilvl w:val="0"/>
          <w:numId w:val="20"/>
        </w:numPr>
        <w:tabs>
          <w:tab w:val="right" w:pos="3119"/>
        </w:tabs>
        <w:suppressAutoHyphens/>
        <w:ind w:left="2694" w:right="991" w:hanging="357"/>
        <w:rPr>
          <w:lang w:val="en-GB"/>
        </w:rPr>
      </w:pPr>
      <w:r w:rsidRPr="003E27DC">
        <w:rPr>
          <w:lang w:val="en-GB"/>
        </w:rPr>
        <w:t>Adaptive front-lighting systems (AFS) for vehicles of categories M, N and L</w:t>
      </w:r>
      <w:r w:rsidRPr="003E27DC">
        <w:rPr>
          <w:vertAlign w:val="subscript"/>
          <w:lang w:val="en-GB"/>
        </w:rPr>
        <w:t>3</w:t>
      </w:r>
    </w:p>
    <w:p w14:paraId="5BB5F998" w14:textId="77777777" w:rsidR="00A924D6" w:rsidRPr="003E27DC" w:rsidRDefault="00A924D6" w:rsidP="00A924D6">
      <w:pPr>
        <w:pStyle w:val="para"/>
        <w:numPr>
          <w:ilvl w:val="0"/>
          <w:numId w:val="20"/>
        </w:numPr>
        <w:tabs>
          <w:tab w:val="right" w:pos="3119"/>
        </w:tabs>
        <w:suppressAutoHyphens/>
        <w:ind w:left="2694" w:right="991" w:hanging="357"/>
        <w:rPr>
          <w:lang w:val="en-GB"/>
        </w:rPr>
      </w:pPr>
      <w:r w:rsidRPr="003E27DC">
        <w:rPr>
          <w:lang w:val="en-GB"/>
        </w:rPr>
        <w:t>Adaptive Driving-Beam (ADB) for vehicles of category L</w:t>
      </w:r>
      <w:r w:rsidRPr="003E27DC">
        <w:rPr>
          <w:vertAlign w:val="subscript"/>
          <w:lang w:val="en-GB"/>
        </w:rPr>
        <w:t>3</w:t>
      </w:r>
    </w:p>
    <w:p w14:paraId="6F353646" w14:textId="77777777" w:rsidR="00A924D6" w:rsidRPr="003E27DC" w:rsidRDefault="00A924D6" w:rsidP="00A924D6">
      <w:pPr>
        <w:pStyle w:val="para"/>
        <w:numPr>
          <w:ilvl w:val="0"/>
          <w:numId w:val="20"/>
        </w:numPr>
        <w:tabs>
          <w:tab w:val="right" w:pos="3119"/>
        </w:tabs>
        <w:suppressAutoHyphens/>
        <w:ind w:left="2694" w:hanging="357"/>
        <w:rPr>
          <w:lang w:val="en-GB"/>
        </w:rPr>
      </w:pPr>
      <w:r w:rsidRPr="003E27DC">
        <w:rPr>
          <w:lang w:val="en-GB"/>
        </w:rPr>
        <w:t xml:space="preserve">Headlamps emitting a driving-beam and/or a symmetrical passing-beam for vehicles of categories L and T </w:t>
      </w:r>
    </w:p>
    <w:p w14:paraId="67701782" w14:textId="77777777" w:rsidR="00A924D6" w:rsidRPr="003E27DC" w:rsidRDefault="00A924D6" w:rsidP="00A924D6">
      <w:pPr>
        <w:pStyle w:val="para"/>
        <w:numPr>
          <w:ilvl w:val="0"/>
          <w:numId w:val="20"/>
        </w:numPr>
        <w:tabs>
          <w:tab w:val="right" w:pos="3119"/>
        </w:tabs>
        <w:suppressAutoHyphens/>
        <w:ind w:left="2694" w:hanging="357"/>
        <w:rPr>
          <w:lang w:val="en-GB"/>
        </w:rPr>
      </w:pPr>
      <w:r w:rsidRPr="003E27DC">
        <w:rPr>
          <w:lang w:val="en-GB"/>
        </w:rPr>
        <w:t>Front fog lamps for vehicles of categories L</w:t>
      </w:r>
      <w:r w:rsidRPr="003E27DC">
        <w:rPr>
          <w:vertAlign w:val="subscript"/>
          <w:lang w:val="en-GB"/>
        </w:rPr>
        <w:t>3</w:t>
      </w:r>
      <w:r w:rsidRPr="003E27DC">
        <w:rPr>
          <w:lang w:val="en-GB"/>
        </w:rPr>
        <w:t>, L</w:t>
      </w:r>
      <w:r w:rsidRPr="003E27DC">
        <w:rPr>
          <w:vertAlign w:val="subscript"/>
          <w:lang w:val="en-GB"/>
        </w:rPr>
        <w:t>4</w:t>
      </w:r>
      <w:r w:rsidRPr="003E27DC">
        <w:rPr>
          <w:lang w:val="en-GB"/>
        </w:rPr>
        <w:t>, L</w:t>
      </w:r>
      <w:r w:rsidRPr="003E27DC">
        <w:rPr>
          <w:vertAlign w:val="subscript"/>
          <w:lang w:val="en-GB"/>
        </w:rPr>
        <w:t>5</w:t>
      </w:r>
      <w:r w:rsidRPr="003E27DC">
        <w:rPr>
          <w:lang w:val="en-GB"/>
        </w:rPr>
        <w:t>, L</w:t>
      </w:r>
      <w:r w:rsidRPr="003E27DC">
        <w:rPr>
          <w:vertAlign w:val="subscript"/>
          <w:lang w:val="en-GB"/>
        </w:rPr>
        <w:t>7</w:t>
      </w:r>
      <w:r w:rsidRPr="003E27DC">
        <w:rPr>
          <w:lang w:val="en-GB"/>
        </w:rPr>
        <w:t>, M, N and T</w:t>
      </w:r>
    </w:p>
    <w:p w14:paraId="5242CEA3" w14:textId="77777777" w:rsidR="00A924D6" w:rsidRPr="00EC5CF9" w:rsidRDefault="00A924D6" w:rsidP="00A924D6">
      <w:pPr>
        <w:pStyle w:val="para"/>
        <w:numPr>
          <w:ilvl w:val="0"/>
          <w:numId w:val="20"/>
        </w:numPr>
        <w:tabs>
          <w:tab w:val="right" w:pos="3119"/>
        </w:tabs>
        <w:suppressAutoHyphens/>
        <w:ind w:left="2694" w:hanging="357"/>
        <w:rPr>
          <w:lang w:val="en-GB"/>
        </w:rPr>
      </w:pPr>
      <w:r w:rsidRPr="00EC5CF9">
        <w:rPr>
          <w:lang w:val="en-GB"/>
        </w:rPr>
        <w:t>Cornering lamps for vehicles of categories M, N and T.”</w:t>
      </w:r>
    </w:p>
    <w:p w14:paraId="67FE1915" w14:textId="77777777" w:rsidR="00A924D6" w:rsidRPr="00D6591A" w:rsidRDefault="00A924D6" w:rsidP="00A924D6">
      <w:pPr>
        <w:spacing w:after="200" w:line="276" w:lineRule="auto"/>
        <w:ind w:left="2268" w:right="1134" w:hanging="1134"/>
        <w:jc w:val="both"/>
        <w:rPr>
          <w:rFonts w:eastAsia="Calibri"/>
          <w:iCs/>
        </w:rPr>
      </w:pPr>
      <w:r>
        <w:rPr>
          <w:rFonts w:eastAsia="Calibri"/>
          <w:i/>
        </w:rPr>
        <w:t>P</w:t>
      </w:r>
      <w:r w:rsidRPr="001731E8">
        <w:rPr>
          <w:rFonts w:eastAsia="Calibri"/>
          <w:i/>
        </w:rPr>
        <w:t xml:space="preserve">aragraph </w:t>
      </w:r>
      <w:r>
        <w:rPr>
          <w:rFonts w:eastAsia="Calibri"/>
          <w:i/>
        </w:rPr>
        <w:t xml:space="preserve">3.1.2.2.2. (g), </w:t>
      </w:r>
      <w:r w:rsidRPr="00D6591A">
        <w:rPr>
          <w:rFonts w:eastAsia="Calibri"/>
          <w:iCs/>
        </w:rPr>
        <w:t>amend to read:</w:t>
      </w:r>
    </w:p>
    <w:p w14:paraId="1A151A9D" w14:textId="77777777" w:rsidR="00A924D6" w:rsidRDefault="00A924D6" w:rsidP="00A924D6">
      <w:pPr>
        <w:spacing w:after="200" w:line="276" w:lineRule="auto"/>
        <w:ind w:left="2268" w:right="1134" w:hanging="1134"/>
        <w:jc w:val="both"/>
        <w:rPr>
          <w:rFonts w:eastAsia="Calibri"/>
        </w:rPr>
      </w:pPr>
      <w:r>
        <w:rPr>
          <w:rFonts w:eastAsia="Calibri"/>
        </w:rPr>
        <w:t>“3.1.2.2.2.</w:t>
      </w:r>
      <w:r>
        <w:rPr>
          <w:rFonts w:eastAsia="Calibri"/>
        </w:rPr>
        <w:tab/>
        <w:t>…</w:t>
      </w:r>
    </w:p>
    <w:p w14:paraId="36AAC6A9" w14:textId="77777777" w:rsidR="00A924D6" w:rsidRPr="004965F7" w:rsidRDefault="00A924D6" w:rsidP="00A924D6">
      <w:pPr>
        <w:spacing w:after="200" w:line="276" w:lineRule="auto"/>
        <w:ind w:left="2835" w:right="1134" w:hanging="567"/>
        <w:jc w:val="both"/>
        <w:rPr>
          <w:rFonts w:eastAsia="Calibri"/>
          <w:bCs/>
        </w:rPr>
      </w:pPr>
      <w:r>
        <w:rPr>
          <w:rFonts w:eastAsia="Calibri"/>
        </w:rPr>
        <w:t>(g)</w:t>
      </w:r>
      <w:r>
        <w:rPr>
          <w:rFonts w:eastAsia="Calibri"/>
        </w:rPr>
        <w:tab/>
      </w:r>
      <w:r>
        <w:rPr>
          <w:rFonts w:eastAsia="Calibri"/>
        </w:rPr>
        <w:tab/>
        <w:t xml:space="preserve">The indication(s) according to the provision of paragraph 5.3.5.1. with respect to paragraph 6.22. of UN Regulation No. 48 </w:t>
      </w:r>
      <w:r w:rsidRPr="004965F7">
        <w:rPr>
          <w:rFonts w:eastAsia="Calibri"/>
          <w:bCs/>
        </w:rPr>
        <w:t>or paragraph 6.18. of UN Regulation No. 53;</w:t>
      </w:r>
    </w:p>
    <w:p w14:paraId="50942220" w14:textId="77777777" w:rsidR="00A924D6" w:rsidRDefault="00A924D6" w:rsidP="00A924D6">
      <w:pPr>
        <w:spacing w:after="200" w:line="276" w:lineRule="auto"/>
        <w:ind w:left="2835" w:right="1134" w:hanging="567"/>
        <w:jc w:val="both"/>
        <w:rPr>
          <w:i/>
        </w:rPr>
      </w:pPr>
      <w:r>
        <w:rPr>
          <w:rFonts w:eastAsia="Calibri"/>
        </w:rPr>
        <w:t>…”</w:t>
      </w:r>
    </w:p>
    <w:p w14:paraId="5DEE1292" w14:textId="77777777" w:rsidR="00A924D6" w:rsidRPr="00A03E55" w:rsidRDefault="00A924D6" w:rsidP="00A924D6">
      <w:pPr>
        <w:spacing w:after="120"/>
        <w:ind w:left="2268" w:right="1134" w:hanging="1134"/>
        <w:rPr>
          <w:lang w:val="en-US"/>
        </w:rPr>
      </w:pPr>
      <w:r w:rsidRPr="00164C92">
        <w:rPr>
          <w:i/>
        </w:rPr>
        <w:t>Paragraph</w:t>
      </w:r>
      <w:r w:rsidRPr="00DB2A15">
        <w:rPr>
          <w:i/>
          <w:iCs/>
          <w:lang w:val="en-US"/>
        </w:rPr>
        <w:t xml:space="preserve"> 3.2.,</w:t>
      </w:r>
      <w:r w:rsidRPr="00DB2A15">
        <w:rPr>
          <w:lang w:val="en-US"/>
        </w:rPr>
        <w:t xml:space="preserve"> amend to read</w:t>
      </w:r>
      <w:r w:rsidRPr="00A03E55">
        <w:rPr>
          <w:i/>
          <w:iCs/>
          <w:lang w:val="en-US"/>
        </w:rPr>
        <w:t>:</w:t>
      </w:r>
    </w:p>
    <w:p w14:paraId="114B48ED" w14:textId="77777777" w:rsidR="00A924D6" w:rsidRPr="004C7C47" w:rsidRDefault="00A924D6" w:rsidP="00A924D6">
      <w:pPr>
        <w:pStyle w:val="2para2ndlevel"/>
      </w:pPr>
      <w:r w:rsidRPr="00A03E55">
        <w:rPr>
          <w:lang w:val="en-US"/>
        </w:rPr>
        <w:t>“</w:t>
      </w:r>
      <w:r w:rsidRPr="00B313F8">
        <w:t>3.2.</w:t>
      </w:r>
      <w:r w:rsidRPr="004C7C47">
        <w:tab/>
        <w:t>Approval</w:t>
      </w:r>
    </w:p>
    <w:p w14:paraId="1039766E" w14:textId="77777777" w:rsidR="00A924D6" w:rsidRPr="004C7C47" w:rsidRDefault="00A924D6" w:rsidP="00A924D6">
      <w:pPr>
        <w:spacing w:after="120"/>
        <w:ind w:left="2268" w:right="1134"/>
        <w:jc w:val="both"/>
      </w:pPr>
      <w:r w:rsidRPr="004C7C47">
        <w:t>A separate approval is required for each lamp listed in paragraph 1.</w:t>
      </w:r>
    </w:p>
    <w:p w14:paraId="078114A2" w14:textId="77777777" w:rsidR="00A924D6" w:rsidRPr="00B313F8" w:rsidRDefault="00A924D6" w:rsidP="00A924D6">
      <w:pPr>
        <w:spacing w:after="120"/>
        <w:ind w:left="2268" w:right="1134"/>
        <w:jc w:val="both"/>
      </w:pPr>
      <w:r w:rsidRPr="00B313F8">
        <w:t>When two or more lamps are part of the same assembly of grouped, combined or reciprocally incorporated lamps, approval is granted only if each of these lamps satisfies the requirements of this Regulation or of another Regulation. Lamps not satisfying any one of those Regulations shall not be part of such an assembly of grouped, combined or reciprocally incorporated lamps.</w:t>
      </w:r>
      <w:r>
        <w:rPr>
          <w:lang w:val="en-US"/>
        </w:rPr>
        <w:t>”</w:t>
      </w:r>
    </w:p>
    <w:p w14:paraId="7E0146F1" w14:textId="77777777" w:rsidR="00A924D6" w:rsidRPr="00D358B2" w:rsidRDefault="00A924D6" w:rsidP="00A924D6">
      <w:pPr>
        <w:spacing w:after="120"/>
        <w:ind w:left="2268" w:right="1134" w:hanging="1134"/>
      </w:pPr>
      <w:r w:rsidRPr="00164C92">
        <w:rPr>
          <w:i/>
        </w:rPr>
        <w:t>Paragraph</w:t>
      </w:r>
      <w:r w:rsidRPr="00D358B2">
        <w:rPr>
          <w:i/>
          <w:iCs/>
        </w:rPr>
        <w:t xml:space="preserve"> 3.2.2.,</w:t>
      </w:r>
      <w:r w:rsidRPr="00D358B2">
        <w:t xml:space="preserve"> amend to read:</w:t>
      </w:r>
    </w:p>
    <w:p w14:paraId="120B7F51" w14:textId="77777777" w:rsidR="00A924D6" w:rsidRDefault="00A924D6" w:rsidP="00A924D6">
      <w:pPr>
        <w:spacing w:after="120"/>
        <w:ind w:left="2268" w:right="1134" w:hanging="1134"/>
        <w:jc w:val="both"/>
        <w:rPr>
          <w:lang w:val="en-US"/>
        </w:rPr>
      </w:pPr>
      <w:r w:rsidRPr="001D50C4">
        <w:rPr>
          <w:lang w:val="en-US"/>
        </w:rPr>
        <w:t>“3.2.2.</w:t>
      </w:r>
      <w:r w:rsidRPr="001D50C4">
        <w:rPr>
          <w:lang w:val="en-US"/>
        </w:rPr>
        <w:tab/>
        <w:t xml:space="preserve">An approval number shall be assigned to each type approved and shall be marked on the device following the requirements of paragraph 3.3. The same Contracting Party shall not assign the same number to another type of device covered by this Regulation </w:t>
      </w:r>
      <w:r w:rsidRPr="00DA5307">
        <w:rPr>
          <w:lang w:val="en-US"/>
        </w:rPr>
        <w:t xml:space="preserve">except in the case of an extension of the approval to a front fog lamp differing only in the </w:t>
      </w:r>
      <w:proofErr w:type="spellStart"/>
      <w:r w:rsidRPr="00DA5307">
        <w:rPr>
          <w:lang w:val="en-US"/>
        </w:rPr>
        <w:t>colour</w:t>
      </w:r>
      <w:proofErr w:type="spellEnd"/>
      <w:r w:rsidRPr="00DA5307">
        <w:rPr>
          <w:lang w:val="en-US"/>
        </w:rPr>
        <w:t xml:space="preserve"> of the light emitted by the lamp.”</w:t>
      </w:r>
    </w:p>
    <w:p w14:paraId="5E201254" w14:textId="77777777" w:rsidR="00A924D6" w:rsidRPr="00F80B07" w:rsidRDefault="00A924D6" w:rsidP="00A924D6">
      <w:pPr>
        <w:spacing w:after="120"/>
        <w:ind w:left="2268" w:right="1134" w:hanging="1134"/>
        <w:jc w:val="both"/>
        <w:rPr>
          <w:rFonts w:eastAsia="Calibri"/>
          <w:iCs/>
        </w:rPr>
      </w:pPr>
      <w:r>
        <w:rPr>
          <w:rFonts w:eastAsia="Calibri"/>
          <w:i/>
        </w:rPr>
        <w:t>Pa</w:t>
      </w:r>
      <w:r w:rsidRPr="001731E8">
        <w:rPr>
          <w:rFonts w:eastAsia="Calibri"/>
          <w:i/>
        </w:rPr>
        <w:t xml:space="preserve">ragraph </w:t>
      </w:r>
      <w:r>
        <w:rPr>
          <w:rFonts w:eastAsia="Calibri"/>
          <w:i/>
        </w:rPr>
        <w:t xml:space="preserve">3.2.4., </w:t>
      </w:r>
      <w:r w:rsidRPr="00F80B07">
        <w:rPr>
          <w:rFonts w:eastAsia="Calibri"/>
          <w:iCs/>
        </w:rPr>
        <w:t>amend to read:</w:t>
      </w:r>
    </w:p>
    <w:p w14:paraId="0F6BFA6F" w14:textId="77777777" w:rsidR="00A924D6" w:rsidRPr="00623543" w:rsidRDefault="00A924D6" w:rsidP="00A924D6">
      <w:pPr>
        <w:spacing w:after="120"/>
        <w:ind w:left="2268" w:right="1134" w:hanging="1134"/>
        <w:jc w:val="both"/>
        <w:rPr>
          <w:rFonts w:eastAsia="Calibri"/>
          <w:lang w:val="en-US"/>
        </w:rPr>
      </w:pPr>
      <w:r>
        <w:rPr>
          <w:rFonts w:eastAsia="Calibri"/>
          <w:lang w:val="en-US"/>
        </w:rPr>
        <w:t>“</w:t>
      </w:r>
      <w:r w:rsidRPr="001C5A8D">
        <w:rPr>
          <w:rFonts w:eastAsia="Calibri"/>
          <w:lang w:val="en-US"/>
        </w:rPr>
        <w:t>3.2.4.</w:t>
      </w:r>
      <w:r w:rsidRPr="001C5A8D">
        <w:rPr>
          <w:rFonts w:eastAsia="Calibri"/>
          <w:b/>
          <w:lang w:val="en-US"/>
        </w:rPr>
        <w:tab/>
      </w:r>
      <w:r w:rsidRPr="001C5A8D">
        <w:rPr>
          <w:rFonts w:eastAsia="Calibri"/>
          <w:lang w:val="en-US"/>
        </w:rPr>
        <w:t xml:space="preserve">If approval is sought for an AFS which is not intended to be included as part of the approval of a vehicle </w:t>
      </w:r>
      <w:r w:rsidRPr="00623543">
        <w:rPr>
          <w:rFonts w:eastAsia="Calibri"/>
          <w:lang w:val="en-US"/>
        </w:rPr>
        <w:t>type according to UN Regulation No. 48 or if approval is sought for an ADB or AFS for vehicles of category L3 which is not intended to be included as part of the approval of a vehicle type according to UN Regulation No. 53,”</w:t>
      </w:r>
    </w:p>
    <w:p w14:paraId="3C73269A" w14:textId="77777777" w:rsidR="00A924D6" w:rsidRPr="00623543" w:rsidRDefault="00A924D6" w:rsidP="00A924D6">
      <w:pPr>
        <w:spacing w:after="120"/>
        <w:ind w:left="2268" w:right="1134" w:hanging="1134"/>
        <w:jc w:val="both"/>
        <w:rPr>
          <w:rFonts w:eastAsia="Calibri"/>
          <w:iCs/>
        </w:rPr>
      </w:pPr>
      <w:r w:rsidRPr="00623543">
        <w:rPr>
          <w:rFonts w:eastAsia="Calibri"/>
          <w:i/>
        </w:rPr>
        <w:t xml:space="preserve">Paragraph 3.2.4.1., </w:t>
      </w:r>
      <w:r w:rsidRPr="00623543">
        <w:rPr>
          <w:rFonts w:eastAsia="Calibri"/>
          <w:iCs/>
        </w:rPr>
        <w:t>amend to read:</w:t>
      </w:r>
    </w:p>
    <w:p w14:paraId="289CB737" w14:textId="77777777" w:rsidR="00A924D6" w:rsidRDefault="00A924D6" w:rsidP="00A924D6">
      <w:pPr>
        <w:spacing w:after="120"/>
        <w:ind w:left="2268" w:right="1134" w:hanging="1134"/>
        <w:jc w:val="both"/>
        <w:rPr>
          <w:lang w:val="en-US"/>
        </w:rPr>
      </w:pPr>
      <w:r w:rsidRPr="00623543">
        <w:rPr>
          <w:lang w:val="en-US"/>
        </w:rPr>
        <w:t>“3.2.4.1.</w:t>
      </w:r>
      <w:r w:rsidRPr="00623543">
        <w:rPr>
          <w:lang w:val="en-US"/>
        </w:rPr>
        <w:tab/>
        <w:t xml:space="preserve">The applicant shall submit sufficient documentation to prove the capability of the system to comply with the provisions of paragraph 6.22. of the UN Regulation No. 48 or paragraph 6.16. and 6.18. of </w:t>
      </w:r>
      <w:r>
        <w:rPr>
          <w:lang w:val="en-US"/>
        </w:rPr>
        <w:t>UN Regulation No. 53 when correctly installed, and”</w:t>
      </w:r>
    </w:p>
    <w:p w14:paraId="1F2D8795" w14:textId="77777777" w:rsidR="00A924D6" w:rsidRDefault="00A924D6" w:rsidP="00AA3751">
      <w:pPr>
        <w:pageBreakBefore/>
        <w:spacing w:after="120"/>
        <w:ind w:left="2268" w:hanging="1134"/>
        <w:rPr>
          <w:lang w:val="en-US"/>
        </w:rPr>
      </w:pPr>
      <w:r>
        <w:rPr>
          <w:i/>
          <w:lang w:val="en-US"/>
        </w:rPr>
        <w:lastRenderedPageBreak/>
        <w:t>P</w:t>
      </w:r>
      <w:r w:rsidRPr="00FD7E9F">
        <w:rPr>
          <w:i/>
          <w:lang w:val="en-US"/>
        </w:rPr>
        <w:t>aragraph 3.2.5.</w:t>
      </w:r>
      <w:r>
        <w:rPr>
          <w:i/>
          <w:lang w:val="en-US"/>
        </w:rPr>
        <w:t>,</w:t>
      </w:r>
      <w:r w:rsidRPr="00FD7E9F">
        <w:rPr>
          <w:i/>
          <w:lang w:val="en-US"/>
        </w:rPr>
        <w:t xml:space="preserve"> Table 1, </w:t>
      </w:r>
      <w:r w:rsidRPr="00F80B07">
        <w:rPr>
          <w:iCs/>
          <w:lang w:val="en-US"/>
        </w:rPr>
        <w:t>amend to read:</w:t>
      </w:r>
    </w:p>
    <w:p w14:paraId="30B7275C" w14:textId="77777777" w:rsidR="00A924D6" w:rsidRPr="006C4627" w:rsidRDefault="00A924D6" w:rsidP="00A924D6">
      <w:pPr>
        <w:pStyle w:val="NoSpacing"/>
        <w:ind w:left="1134"/>
      </w:pPr>
      <w:bookmarkStart w:id="0" w:name="_Hlk141272780"/>
      <w:r>
        <w:t>“</w:t>
      </w:r>
      <w:r w:rsidRPr="006C4627">
        <w:t xml:space="preserve">Table 1 </w:t>
      </w:r>
    </w:p>
    <w:p w14:paraId="7D6DD227" w14:textId="77777777" w:rsidR="00A924D6" w:rsidRPr="00C27DA8" w:rsidRDefault="00A924D6" w:rsidP="00A924D6">
      <w:pPr>
        <w:pStyle w:val="NoSpacing"/>
        <w:spacing w:after="120"/>
        <w:ind w:left="1134"/>
        <w:rPr>
          <w:b/>
          <w:bCs/>
        </w:rPr>
      </w:pPr>
      <w:r w:rsidRPr="00C27DA8">
        <w:rPr>
          <w:rStyle w:val="Carpredefinitoparagrafo1"/>
          <w:b/>
          <w:bCs/>
        </w:rPr>
        <w:t>List of symbols/combinations</w:t>
      </w:r>
    </w:p>
    <w:tbl>
      <w:tblPr>
        <w:tblW w:w="808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82"/>
        <w:gridCol w:w="855"/>
        <w:gridCol w:w="1848"/>
      </w:tblGrid>
      <w:tr w:rsidR="00A924D6" w:rsidRPr="008B4779" w14:paraId="1C121B50" w14:textId="77777777" w:rsidTr="008A19B5">
        <w:trPr>
          <w:tblHeader/>
        </w:trPr>
        <w:tc>
          <w:tcPr>
            <w:tcW w:w="5382" w:type="dxa"/>
            <w:tcBorders>
              <w:bottom w:val="single" w:sz="12" w:space="0" w:color="auto"/>
            </w:tcBorders>
            <w:shd w:val="clear" w:color="auto" w:fill="auto"/>
            <w:vAlign w:val="center"/>
          </w:tcPr>
          <w:p w14:paraId="79242B49" w14:textId="77777777" w:rsidR="00A924D6" w:rsidRPr="008B4779" w:rsidRDefault="00A924D6" w:rsidP="008A19B5">
            <w:pPr>
              <w:spacing w:before="80" w:after="80" w:line="200" w:lineRule="exact"/>
              <w:ind w:left="142" w:right="162"/>
              <w:rPr>
                <w:i/>
                <w:iCs/>
                <w:sz w:val="16"/>
                <w:szCs w:val="16"/>
              </w:rPr>
            </w:pPr>
            <w:r w:rsidRPr="008B4779">
              <w:rPr>
                <w:rStyle w:val="Carpredefinitoparagrafo1"/>
                <w:i/>
                <w:iCs/>
                <w:sz w:val="16"/>
                <w:szCs w:val="16"/>
              </w:rPr>
              <w:t>Lamp</w:t>
            </w:r>
            <w:r w:rsidRPr="008B4779">
              <w:rPr>
                <w:i/>
                <w:iCs/>
                <w:sz w:val="16"/>
                <w:szCs w:val="16"/>
              </w:rPr>
              <w:t xml:space="preserve"> (function)</w:t>
            </w:r>
          </w:p>
        </w:tc>
        <w:tc>
          <w:tcPr>
            <w:tcW w:w="855" w:type="dxa"/>
            <w:tcBorders>
              <w:bottom w:val="single" w:sz="12" w:space="0" w:color="auto"/>
            </w:tcBorders>
            <w:shd w:val="clear" w:color="auto" w:fill="auto"/>
            <w:vAlign w:val="center"/>
          </w:tcPr>
          <w:p w14:paraId="7B9D78F1" w14:textId="77777777" w:rsidR="00A924D6" w:rsidRPr="008B4779" w:rsidRDefault="00A924D6" w:rsidP="008A19B5">
            <w:pPr>
              <w:spacing w:before="80" w:after="80" w:line="200" w:lineRule="exact"/>
              <w:ind w:left="142" w:right="162"/>
              <w:rPr>
                <w:i/>
                <w:iCs/>
                <w:sz w:val="16"/>
                <w:szCs w:val="16"/>
              </w:rPr>
            </w:pPr>
            <w:r w:rsidRPr="008B4779">
              <w:rPr>
                <w:rStyle w:val="Carpredefinitoparagrafo1"/>
                <w:i/>
                <w:iCs/>
                <w:sz w:val="16"/>
                <w:szCs w:val="16"/>
              </w:rPr>
              <w:t>Symbol</w:t>
            </w:r>
          </w:p>
        </w:tc>
        <w:tc>
          <w:tcPr>
            <w:tcW w:w="1848" w:type="dxa"/>
            <w:tcBorders>
              <w:bottom w:val="single" w:sz="12" w:space="0" w:color="auto"/>
            </w:tcBorders>
            <w:vAlign w:val="center"/>
          </w:tcPr>
          <w:p w14:paraId="6335A544" w14:textId="77777777" w:rsidR="00A924D6" w:rsidRPr="008B4779" w:rsidRDefault="00A924D6" w:rsidP="008A19B5">
            <w:pPr>
              <w:spacing w:before="80" w:after="80" w:line="200" w:lineRule="exact"/>
              <w:ind w:left="142" w:right="162"/>
              <w:rPr>
                <w:i/>
                <w:iCs/>
                <w:sz w:val="16"/>
                <w:szCs w:val="16"/>
              </w:rPr>
            </w:pPr>
            <w:r w:rsidRPr="008B4779">
              <w:rPr>
                <w:rStyle w:val="Carpredefinitoparagrafo1"/>
                <w:i/>
                <w:iCs/>
                <w:sz w:val="16"/>
                <w:szCs w:val="16"/>
              </w:rPr>
              <w:t>Symbol</w:t>
            </w:r>
            <w:r w:rsidRPr="008B4779">
              <w:rPr>
                <w:i/>
                <w:iCs/>
                <w:sz w:val="16"/>
                <w:szCs w:val="16"/>
              </w:rPr>
              <w:t xml:space="preserve"> if device is part of a matched pair</w:t>
            </w:r>
          </w:p>
        </w:tc>
      </w:tr>
      <w:tr w:rsidR="00A924D6" w:rsidRPr="00944176" w14:paraId="007F2C82" w14:textId="77777777" w:rsidTr="008A19B5">
        <w:trPr>
          <w:trHeight w:val="284"/>
        </w:trPr>
        <w:tc>
          <w:tcPr>
            <w:tcW w:w="5382" w:type="dxa"/>
            <w:tcBorders>
              <w:top w:val="single" w:sz="12" w:space="0" w:color="auto"/>
            </w:tcBorders>
            <w:shd w:val="clear" w:color="auto" w:fill="auto"/>
          </w:tcPr>
          <w:p w14:paraId="7DAE9E55" w14:textId="77777777" w:rsidR="00A924D6" w:rsidRPr="00944176" w:rsidRDefault="00A924D6" w:rsidP="008A19B5">
            <w:pPr>
              <w:widowControl w:val="0"/>
              <w:spacing w:before="40" w:after="120" w:line="220" w:lineRule="exact"/>
              <w:ind w:left="113" w:right="113"/>
              <w:rPr>
                <w:sz w:val="18"/>
                <w:szCs w:val="18"/>
              </w:rPr>
            </w:pPr>
            <w:r>
              <w:rPr>
                <w:sz w:val="18"/>
                <w:szCs w:val="18"/>
              </w:rPr>
              <w:t>Driving-beam</w:t>
            </w:r>
            <w:r w:rsidRPr="00944176">
              <w:rPr>
                <w:sz w:val="18"/>
                <w:szCs w:val="18"/>
              </w:rPr>
              <w:t xml:space="preserve"> headlamp of Class A </w:t>
            </w:r>
          </w:p>
        </w:tc>
        <w:tc>
          <w:tcPr>
            <w:tcW w:w="855" w:type="dxa"/>
            <w:tcBorders>
              <w:top w:val="single" w:sz="12" w:space="0" w:color="auto"/>
            </w:tcBorders>
            <w:shd w:val="clear" w:color="auto" w:fill="auto"/>
          </w:tcPr>
          <w:p w14:paraId="2EFD0DA7" w14:textId="77777777" w:rsidR="00A924D6" w:rsidRPr="00944176" w:rsidRDefault="00A924D6" w:rsidP="008A19B5">
            <w:pPr>
              <w:widowControl w:val="0"/>
              <w:spacing w:before="40" w:after="120" w:line="220" w:lineRule="exact"/>
              <w:jc w:val="center"/>
              <w:rPr>
                <w:sz w:val="18"/>
                <w:szCs w:val="18"/>
              </w:rPr>
            </w:pPr>
            <w:r w:rsidRPr="00944176">
              <w:rPr>
                <w:sz w:val="18"/>
                <w:szCs w:val="18"/>
              </w:rPr>
              <w:t>R</w:t>
            </w:r>
          </w:p>
        </w:tc>
        <w:tc>
          <w:tcPr>
            <w:tcW w:w="1848" w:type="dxa"/>
            <w:tcBorders>
              <w:top w:val="single" w:sz="12" w:space="0" w:color="auto"/>
            </w:tcBorders>
          </w:tcPr>
          <w:p w14:paraId="3D01935D" w14:textId="77777777" w:rsidR="00A924D6" w:rsidRPr="00944176" w:rsidRDefault="00A924D6" w:rsidP="008A19B5">
            <w:pPr>
              <w:widowControl w:val="0"/>
              <w:spacing w:before="40" w:after="120" w:line="220" w:lineRule="exact"/>
              <w:jc w:val="center"/>
              <w:rPr>
                <w:sz w:val="18"/>
                <w:szCs w:val="18"/>
              </w:rPr>
            </w:pPr>
            <w:r w:rsidRPr="00944176">
              <w:rPr>
                <w:sz w:val="18"/>
                <w:szCs w:val="18"/>
              </w:rPr>
              <w:t>YR</w:t>
            </w:r>
          </w:p>
        </w:tc>
      </w:tr>
      <w:tr w:rsidR="00A924D6" w:rsidRPr="00944176" w14:paraId="2DE65837" w14:textId="77777777" w:rsidTr="008A19B5">
        <w:trPr>
          <w:trHeight w:val="284"/>
        </w:trPr>
        <w:tc>
          <w:tcPr>
            <w:tcW w:w="5382" w:type="dxa"/>
            <w:shd w:val="clear" w:color="auto" w:fill="auto"/>
          </w:tcPr>
          <w:p w14:paraId="29DB22E9" w14:textId="77777777" w:rsidR="00A924D6" w:rsidRPr="00944176" w:rsidRDefault="00A924D6" w:rsidP="008A19B5">
            <w:pPr>
              <w:widowControl w:val="0"/>
              <w:spacing w:before="40" w:after="120" w:line="220" w:lineRule="exact"/>
              <w:ind w:left="113" w:right="113"/>
              <w:rPr>
                <w:sz w:val="18"/>
                <w:szCs w:val="18"/>
              </w:rPr>
            </w:pPr>
            <w:r>
              <w:rPr>
                <w:sz w:val="18"/>
                <w:szCs w:val="18"/>
              </w:rPr>
              <w:t>Passing-beam</w:t>
            </w:r>
            <w:r w:rsidRPr="00944176">
              <w:rPr>
                <w:sz w:val="18"/>
                <w:szCs w:val="18"/>
              </w:rPr>
              <w:t xml:space="preserve"> headlamp of Class V (asymmetrical)</w:t>
            </w:r>
          </w:p>
        </w:tc>
        <w:tc>
          <w:tcPr>
            <w:tcW w:w="855" w:type="dxa"/>
            <w:shd w:val="clear" w:color="auto" w:fill="auto"/>
          </w:tcPr>
          <w:p w14:paraId="56D71A83" w14:textId="77777777" w:rsidR="00A924D6" w:rsidRPr="00944176" w:rsidRDefault="00A924D6" w:rsidP="008A19B5">
            <w:pPr>
              <w:widowControl w:val="0"/>
              <w:spacing w:before="40" w:after="120" w:line="220" w:lineRule="exact"/>
              <w:jc w:val="center"/>
              <w:rPr>
                <w:sz w:val="18"/>
                <w:szCs w:val="18"/>
              </w:rPr>
            </w:pPr>
            <w:r w:rsidRPr="00944176">
              <w:rPr>
                <w:sz w:val="18"/>
                <w:szCs w:val="18"/>
              </w:rPr>
              <w:t>V</w:t>
            </w:r>
          </w:p>
        </w:tc>
        <w:tc>
          <w:tcPr>
            <w:tcW w:w="1848" w:type="dxa"/>
          </w:tcPr>
          <w:p w14:paraId="1520FF14" w14:textId="77777777" w:rsidR="00A924D6" w:rsidRPr="00944176" w:rsidRDefault="00A924D6" w:rsidP="008A19B5">
            <w:pPr>
              <w:widowControl w:val="0"/>
              <w:spacing w:before="40" w:after="120" w:line="220" w:lineRule="exact"/>
              <w:jc w:val="center"/>
              <w:rPr>
                <w:sz w:val="18"/>
                <w:szCs w:val="18"/>
              </w:rPr>
            </w:pPr>
            <w:r w:rsidRPr="00944176">
              <w:rPr>
                <w:sz w:val="18"/>
                <w:szCs w:val="18"/>
              </w:rPr>
              <w:t>YV</w:t>
            </w:r>
          </w:p>
        </w:tc>
      </w:tr>
      <w:tr w:rsidR="00A924D6" w:rsidRPr="00944176" w14:paraId="076143BD" w14:textId="77777777" w:rsidTr="008A19B5">
        <w:trPr>
          <w:trHeight w:val="284"/>
        </w:trPr>
        <w:tc>
          <w:tcPr>
            <w:tcW w:w="5382" w:type="dxa"/>
            <w:shd w:val="clear" w:color="auto" w:fill="auto"/>
          </w:tcPr>
          <w:p w14:paraId="78D3076D" w14:textId="77777777" w:rsidR="00A924D6" w:rsidRPr="00944176" w:rsidRDefault="00A924D6" w:rsidP="008A19B5">
            <w:pPr>
              <w:widowControl w:val="0"/>
              <w:spacing w:before="40" w:after="120" w:line="220" w:lineRule="exact"/>
              <w:ind w:left="113" w:right="113"/>
              <w:rPr>
                <w:sz w:val="18"/>
                <w:szCs w:val="18"/>
              </w:rPr>
            </w:pPr>
            <w:r>
              <w:rPr>
                <w:sz w:val="18"/>
                <w:szCs w:val="18"/>
              </w:rPr>
              <w:t>Driving-beam</w:t>
            </w:r>
            <w:r w:rsidRPr="00944176">
              <w:rPr>
                <w:sz w:val="18"/>
                <w:szCs w:val="18"/>
              </w:rPr>
              <w:t xml:space="preserve"> headlamp of Class B </w:t>
            </w:r>
          </w:p>
        </w:tc>
        <w:tc>
          <w:tcPr>
            <w:tcW w:w="855" w:type="dxa"/>
            <w:shd w:val="clear" w:color="auto" w:fill="auto"/>
          </w:tcPr>
          <w:p w14:paraId="52D0CB72" w14:textId="77777777" w:rsidR="00A924D6" w:rsidRPr="00944176" w:rsidRDefault="00A924D6" w:rsidP="008A19B5">
            <w:pPr>
              <w:widowControl w:val="0"/>
              <w:spacing w:before="40" w:after="120" w:line="220" w:lineRule="exact"/>
              <w:jc w:val="center"/>
              <w:rPr>
                <w:sz w:val="18"/>
                <w:szCs w:val="18"/>
              </w:rPr>
            </w:pPr>
            <w:r w:rsidRPr="00944176">
              <w:rPr>
                <w:sz w:val="18"/>
                <w:szCs w:val="18"/>
              </w:rPr>
              <w:t>HR</w:t>
            </w:r>
          </w:p>
        </w:tc>
        <w:tc>
          <w:tcPr>
            <w:tcW w:w="1848" w:type="dxa"/>
          </w:tcPr>
          <w:p w14:paraId="2F19AF27" w14:textId="77777777" w:rsidR="00A924D6" w:rsidRPr="00944176" w:rsidRDefault="00A924D6" w:rsidP="008A19B5">
            <w:pPr>
              <w:widowControl w:val="0"/>
              <w:spacing w:before="40" w:after="120" w:line="220" w:lineRule="exact"/>
              <w:jc w:val="center"/>
              <w:rPr>
                <w:sz w:val="18"/>
                <w:szCs w:val="18"/>
              </w:rPr>
            </w:pPr>
            <w:r w:rsidRPr="00944176">
              <w:rPr>
                <w:sz w:val="18"/>
                <w:szCs w:val="18"/>
              </w:rPr>
              <w:t>YHR</w:t>
            </w:r>
          </w:p>
        </w:tc>
      </w:tr>
      <w:tr w:rsidR="00A924D6" w:rsidRPr="00944176" w14:paraId="2A13260F" w14:textId="77777777" w:rsidTr="008A19B5">
        <w:trPr>
          <w:trHeight w:val="284"/>
        </w:trPr>
        <w:tc>
          <w:tcPr>
            <w:tcW w:w="5382" w:type="dxa"/>
            <w:shd w:val="clear" w:color="auto" w:fill="auto"/>
          </w:tcPr>
          <w:p w14:paraId="39705199" w14:textId="77777777" w:rsidR="00A924D6" w:rsidRPr="00944176" w:rsidRDefault="00A924D6" w:rsidP="008A19B5">
            <w:pPr>
              <w:widowControl w:val="0"/>
              <w:spacing w:before="40" w:after="120" w:line="220" w:lineRule="exact"/>
              <w:ind w:left="113" w:right="113"/>
              <w:rPr>
                <w:sz w:val="18"/>
                <w:szCs w:val="18"/>
              </w:rPr>
            </w:pPr>
            <w:r>
              <w:rPr>
                <w:sz w:val="18"/>
                <w:szCs w:val="18"/>
              </w:rPr>
              <w:t>Passing-beam</w:t>
            </w:r>
            <w:r w:rsidRPr="00944176">
              <w:rPr>
                <w:sz w:val="18"/>
                <w:szCs w:val="18"/>
              </w:rPr>
              <w:t xml:space="preserve"> headlamp of Class C (asymmetrical)</w:t>
            </w:r>
          </w:p>
        </w:tc>
        <w:tc>
          <w:tcPr>
            <w:tcW w:w="855" w:type="dxa"/>
            <w:shd w:val="clear" w:color="auto" w:fill="auto"/>
          </w:tcPr>
          <w:p w14:paraId="24F72D4E" w14:textId="77777777" w:rsidR="00A924D6" w:rsidRPr="00944176" w:rsidRDefault="00A924D6" w:rsidP="008A19B5">
            <w:pPr>
              <w:widowControl w:val="0"/>
              <w:spacing w:before="40" w:after="120" w:line="220" w:lineRule="exact"/>
              <w:jc w:val="center"/>
              <w:rPr>
                <w:sz w:val="18"/>
                <w:szCs w:val="18"/>
              </w:rPr>
            </w:pPr>
            <w:r w:rsidRPr="00944176">
              <w:rPr>
                <w:sz w:val="18"/>
                <w:szCs w:val="18"/>
              </w:rPr>
              <w:t>C</w:t>
            </w:r>
          </w:p>
        </w:tc>
        <w:tc>
          <w:tcPr>
            <w:tcW w:w="1848" w:type="dxa"/>
          </w:tcPr>
          <w:p w14:paraId="3991D131" w14:textId="77777777" w:rsidR="00A924D6" w:rsidRPr="00944176" w:rsidRDefault="00A924D6" w:rsidP="008A19B5">
            <w:pPr>
              <w:widowControl w:val="0"/>
              <w:spacing w:before="40" w:after="120" w:line="220" w:lineRule="exact"/>
              <w:jc w:val="center"/>
              <w:rPr>
                <w:sz w:val="18"/>
                <w:szCs w:val="18"/>
              </w:rPr>
            </w:pPr>
            <w:r w:rsidRPr="00944176">
              <w:rPr>
                <w:sz w:val="18"/>
                <w:szCs w:val="18"/>
              </w:rPr>
              <w:t>YC</w:t>
            </w:r>
          </w:p>
        </w:tc>
      </w:tr>
      <w:tr w:rsidR="00A924D6" w:rsidRPr="00944176" w14:paraId="41F7981F" w14:textId="77777777" w:rsidTr="008A19B5">
        <w:trPr>
          <w:trHeight w:val="284"/>
        </w:trPr>
        <w:tc>
          <w:tcPr>
            <w:tcW w:w="5382" w:type="dxa"/>
            <w:shd w:val="clear" w:color="auto" w:fill="auto"/>
          </w:tcPr>
          <w:p w14:paraId="3BA7DE73" w14:textId="77777777" w:rsidR="00A924D6" w:rsidRPr="00944176" w:rsidRDefault="00A924D6" w:rsidP="008A19B5">
            <w:pPr>
              <w:widowControl w:val="0"/>
              <w:spacing w:before="40" w:after="120" w:line="220" w:lineRule="exact"/>
              <w:ind w:left="113" w:right="113"/>
              <w:rPr>
                <w:sz w:val="18"/>
                <w:szCs w:val="18"/>
              </w:rPr>
            </w:pPr>
            <w:r w:rsidRPr="00944176">
              <w:rPr>
                <w:sz w:val="18"/>
                <w:szCs w:val="18"/>
              </w:rPr>
              <w:t xml:space="preserve">Auxiliary </w:t>
            </w:r>
            <w:r>
              <w:rPr>
                <w:sz w:val="18"/>
                <w:szCs w:val="18"/>
              </w:rPr>
              <w:t>Driving-Beam of Class RA</w:t>
            </w:r>
          </w:p>
        </w:tc>
        <w:tc>
          <w:tcPr>
            <w:tcW w:w="855" w:type="dxa"/>
            <w:shd w:val="clear" w:color="auto" w:fill="auto"/>
          </w:tcPr>
          <w:p w14:paraId="320DA2D1" w14:textId="77777777" w:rsidR="00A924D6" w:rsidRPr="00944176" w:rsidRDefault="00A924D6" w:rsidP="008A19B5">
            <w:pPr>
              <w:widowControl w:val="0"/>
              <w:spacing w:before="40" w:after="120" w:line="220" w:lineRule="exact"/>
              <w:jc w:val="center"/>
              <w:rPr>
                <w:sz w:val="18"/>
                <w:szCs w:val="18"/>
              </w:rPr>
            </w:pPr>
            <w:r w:rsidRPr="00944176">
              <w:rPr>
                <w:sz w:val="18"/>
                <w:szCs w:val="18"/>
              </w:rPr>
              <w:t>RA</w:t>
            </w:r>
          </w:p>
        </w:tc>
        <w:tc>
          <w:tcPr>
            <w:tcW w:w="1848" w:type="dxa"/>
          </w:tcPr>
          <w:p w14:paraId="502BF8E0" w14:textId="77777777" w:rsidR="00A924D6" w:rsidRPr="00944176" w:rsidRDefault="00A924D6" w:rsidP="008A19B5">
            <w:pPr>
              <w:widowControl w:val="0"/>
              <w:spacing w:before="40" w:after="120" w:line="220" w:lineRule="exact"/>
              <w:jc w:val="center"/>
              <w:rPr>
                <w:sz w:val="18"/>
                <w:szCs w:val="18"/>
              </w:rPr>
            </w:pPr>
            <w:r w:rsidRPr="00944176">
              <w:rPr>
                <w:sz w:val="18"/>
                <w:szCs w:val="18"/>
              </w:rPr>
              <w:t>-</w:t>
            </w:r>
          </w:p>
        </w:tc>
      </w:tr>
      <w:tr w:rsidR="00A924D6" w:rsidRPr="00944176" w14:paraId="74DC478C" w14:textId="77777777" w:rsidTr="008A19B5">
        <w:trPr>
          <w:trHeight w:val="284"/>
        </w:trPr>
        <w:tc>
          <w:tcPr>
            <w:tcW w:w="5382" w:type="dxa"/>
            <w:shd w:val="clear" w:color="auto" w:fill="auto"/>
            <w:vAlign w:val="bottom"/>
          </w:tcPr>
          <w:p w14:paraId="5293A292" w14:textId="77777777" w:rsidR="00A924D6" w:rsidRPr="00944176" w:rsidRDefault="00A924D6" w:rsidP="008A19B5">
            <w:pPr>
              <w:spacing w:before="40" w:after="120" w:line="220" w:lineRule="exact"/>
              <w:ind w:left="113" w:right="113"/>
              <w:rPr>
                <w:sz w:val="18"/>
                <w:szCs w:val="18"/>
              </w:rPr>
            </w:pPr>
            <w:r w:rsidRPr="00944176">
              <w:rPr>
                <w:sz w:val="18"/>
                <w:szCs w:val="18"/>
              </w:rPr>
              <w:t>Adaptive Front lighting System (</w:t>
            </w:r>
            <w:r>
              <w:rPr>
                <w:sz w:val="18"/>
                <w:szCs w:val="18"/>
              </w:rPr>
              <w:t xml:space="preserve">Class </w:t>
            </w:r>
            <w:r w:rsidRPr="00944176">
              <w:rPr>
                <w:sz w:val="18"/>
                <w:szCs w:val="18"/>
              </w:rPr>
              <w:t>AFS</w:t>
            </w:r>
            <w:r>
              <w:rPr>
                <w:sz w:val="18"/>
                <w:szCs w:val="18"/>
              </w:rPr>
              <w:t>-C</w:t>
            </w:r>
            <w:r w:rsidRPr="00944176">
              <w:rPr>
                <w:sz w:val="18"/>
                <w:szCs w:val="18"/>
              </w:rPr>
              <w:t xml:space="preserve">): basic </w:t>
            </w:r>
            <w:r>
              <w:rPr>
                <w:sz w:val="18"/>
                <w:szCs w:val="18"/>
              </w:rPr>
              <w:t>passing-beam</w:t>
            </w:r>
          </w:p>
        </w:tc>
        <w:tc>
          <w:tcPr>
            <w:tcW w:w="855" w:type="dxa"/>
            <w:shd w:val="clear" w:color="auto" w:fill="auto"/>
            <w:vAlign w:val="bottom"/>
          </w:tcPr>
          <w:p w14:paraId="04D0958E" w14:textId="77777777" w:rsidR="00A924D6" w:rsidRPr="00944176" w:rsidRDefault="00A924D6" w:rsidP="008A19B5">
            <w:pPr>
              <w:spacing w:before="40" w:after="120" w:line="220" w:lineRule="exact"/>
              <w:jc w:val="center"/>
              <w:rPr>
                <w:sz w:val="18"/>
                <w:szCs w:val="18"/>
              </w:rPr>
            </w:pPr>
            <w:r w:rsidRPr="00944176">
              <w:rPr>
                <w:sz w:val="18"/>
                <w:szCs w:val="18"/>
              </w:rPr>
              <w:t>XC</w:t>
            </w:r>
            <w:r>
              <w:rPr>
                <w:sz w:val="18"/>
                <w:szCs w:val="18"/>
                <w:vertAlign w:val="superscript"/>
              </w:rPr>
              <w:t>3</w:t>
            </w:r>
          </w:p>
        </w:tc>
        <w:tc>
          <w:tcPr>
            <w:tcW w:w="1848" w:type="dxa"/>
          </w:tcPr>
          <w:p w14:paraId="51062C3F" w14:textId="77777777" w:rsidR="00A924D6" w:rsidRPr="00944176" w:rsidRDefault="00A924D6" w:rsidP="008A19B5">
            <w:pPr>
              <w:spacing w:before="40" w:after="120" w:line="220" w:lineRule="exact"/>
              <w:jc w:val="center"/>
              <w:rPr>
                <w:sz w:val="18"/>
                <w:szCs w:val="18"/>
              </w:rPr>
            </w:pPr>
            <w:r w:rsidRPr="00944176">
              <w:rPr>
                <w:sz w:val="18"/>
                <w:szCs w:val="18"/>
              </w:rPr>
              <w:t>-</w:t>
            </w:r>
          </w:p>
        </w:tc>
      </w:tr>
      <w:tr w:rsidR="00A924D6" w:rsidRPr="00944176" w14:paraId="040E8D81" w14:textId="77777777" w:rsidTr="008A19B5">
        <w:trPr>
          <w:trHeight w:val="284"/>
        </w:trPr>
        <w:tc>
          <w:tcPr>
            <w:tcW w:w="5382" w:type="dxa"/>
            <w:shd w:val="clear" w:color="auto" w:fill="auto"/>
            <w:vAlign w:val="bottom"/>
          </w:tcPr>
          <w:p w14:paraId="41B1BDD2" w14:textId="77777777" w:rsidR="00A924D6" w:rsidRPr="00944176" w:rsidRDefault="00A924D6" w:rsidP="008A19B5">
            <w:pPr>
              <w:spacing w:before="40" w:after="120" w:line="220" w:lineRule="exact"/>
              <w:ind w:left="113" w:right="113"/>
              <w:rPr>
                <w:sz w:val="18"/>
                <w:szCs w:val="18"/>
              </w:rPr>
            </w:pPr>
            <w:r w:rsidRPr="00944176">
              <w:rPr>
                <w:sz w:val="18"/>
                <w:szCs w:val="18"/>
              </w:rPr>
              <w:t>Adaptive Front lighting System (</w:t>
            </w:r>
            <w:r>
              <w:rPr>
                <w:sz w:val="18"/>
                <w:szCs w:val="18"/>
              </w:rPr>
              <w:t xml:space="preserve">Class </w:t>
            </w:r>
            <w:r w:rsidRPr="00944176">
              <w:rPr>
                <w:sz w:val="18"/>
                <w:szCs w:val="18"/>
              </w:rPr>
              <w:t>AFS</w:t>
            </w:r>
            <w:r>
              <w:rPr>
                <w:sz w:val="18"/>
                <w:szCs w:val="18"/>
              </w:rPr>
              <w:t>-E</w:t>
            </w:r>
            <w:r w:rsidRPr="00944176">
              <w:rPr>
                <w:sz w:val="18"/>
                <w:szCs w:val="18"/>
              </w:rPr>
              <w:t xml:space="preserve">): motorway </w:t>
            </w:r>
            <w:r>
              <w:rPr>
                <w:sz w:val="18"/>
                <w:szCs w:val="18"/>
              </w:rPr>
              <w:t>passing-beam</w:t>
            </w:r>
          </w:p>
        </w:tc>
        <w:tc>
          <w:tcPr>
            <w:tcW w:w="855" w:type="dxa"/>
            <w:shd w:val="clear" w:color="auto" w:fill="auto"/>
            <w:vAlign w:val="bottom"/>
          </w:tcPr>
          <w:p w14:paraId="5ACBF3C9" w14:textId="77777777" w:rsidR="00A924D6" w:rsidRPr="00944176" w:rsidRDefault="00A924D6" w:rsidP="008A19B5">
            <w:pPr>
              <w:spacing w:before="40" w:after="120" w:line="220" w:lineRule="exact"/>
              <w:jc w:val="center"/>
              <w:rPr>
                <w:sz w:val="18"/>
                <w:szCs w:val="18"/>
              </w:rPr>
            </w:pPr>
            <w:r w:rsidRPr="00944176">
              <w:rPr>
                <w:sz w:val="18"/>
                <w:szCs w:val="18"/>
              </w:rPr>
              <w:t>XCE</w:t>
            </w:r>
            <w:r w:rsidRPr="00944176">
              <w:rPr>
                <w:rStyle w:val="FootnoteReference"/>
                <w:szCs w:val="18"/>
              </w:rPr>
              <w:footnoteReference w:id="3"/>
            </w:r>
            <w:r w:rsidRPr="00977B22">
              <w:rPr>
                <w:sz w:val="18"/>
                <w:szCs w:val="18"/>
                <w:vertAlign w:val="superscript"/>
              </w:rPr>
              <w:t xml:space="preserve">, </w:t>
            </w:r>
            <w:r w:rsidRPr="00944176">
              <w:rPr>
                <w:rStyle w:val="FootnoteReference"/>
                <w:szCs w:val="18"/>
              </w:rPr>
              <w:footnoteReference w:id="4"/>
            </w:r>
          </w:p>
        </w:tc>
        <w:tc>
          <w:tcPr>
            <w:tcW w:w="1848" w:type="dxa"/>
          </w:tcPr>
          <w:p w14:paraId="5D543F55" w14:textId="77777777" w:rsidR="00A924D6" w:rsidRPr="00944176" w:rsidRDefault="00A924D6" w:rsidP="008A19B5">
            <w:pPr>
              <w:spacing w:before="40" w:after="120" w:line="220" w:lineRule="exact"/>
              <w:jc w:val="center"/>
              <w:rPr>
                <w:sz w:val="18"/>
                <w:szCs w:val="18"/>
              </w:rPr>
            </w:pPr>
            <w:r w:rsidRPr="00944176">
              <w:rPr>
                <w:sz w:val="18"/>
                <w:szCs w:val="18"/>
              </w:rPr>
              <w:t>-</w:t>
            </w:r>
          </w:p>
        </w:tc>
      </w:tr>
      <w:tr w:rsidR="00A924D6" w:rsidRPr="00944176" w14:paraId="6BFCCF54" w14:textId="77777777" w:rsidTr="008A19B5">
        <w:trPr>
          <w:trHeight w:val="284"/>
        </w:trPr>
        <w:tc>
          <w:tcPr>
            <w:tcW w:w="5382" w:type="dxa"/>
            <w:shd w:val="clear" w:color="auto" w:fill="auto"/>
            <w:vAlign w:val="bottom"/>
          </w:tcPr>
          <w:p w14:paraId="3D573760" w14:textId="77777777" w:rsidR="00A924D6" w:rsidRPr="00944176" w:rsidRDefault="00A924D6" w:rsidP="008A19B5">
            <w:pPr>
              <w:spacing w:before="40" w:after="120" w:line="220" w:lineRule="exact"/>
              <w:ind w:left="113" w:right="113"/>
              <w:rPr>
                <w:sz w:val="18"/>
                <w:szCs w:val="18"/>
              </w:rPr>
            </w:pPr>
            <w:r w:rsidRPr="00944176">
              <w:rPr>
                <w:sz w:val="18"/>
                <w:szCs w:val="18"/>
              </w:rPr>
              <w:t>Adaptive Front lighting System (</w:t>
            </w:r>
            <w:r>
              <w:rPr>
                <w:sz w:val="18"/>
                <w:szCs w:val="18"/>
              </w:rPr>
              <w:t xml:space="preserve">Class </w:t>
            </w:r>
            <w:r w:rsidRPr="00944176">
              <w:rPr>
                <w:sz w:val="18"/>
                <w:szCs w:val="18"/>
              </w:rPr>
              <w:t>AFS</w:t>
            </w:r>
            <w:r>
              <w:rPr>
                <w:sz w:val="18"/>
                <w:szCs w:val="18"/>
              </w:rPr>
              <w:t>-V</w:t>
            </w:r>
            <w:r w:rsidRPr="00944176">
              <w:rPr>
                <w:sz w:val="18"/>
                <w:szCs w:val="18"/>
              </w:rPr>
              <w:t xml:space="preserve">): town </w:t>
            </w:r>
            <w:r>
              <w:rPr>
                <w:sz w:val="18"/>
                <w:szCs w:val="18"/>
              </w:rPr>
              <w:t>passing-beam</w:t>
            </w:r>
          </w:p>
        </w:tc>
        <w:tc>
          <w:tcPr>
            <w:tcW w:w="855" w:type="dxa"/>
            <w:shd w:val="clear" w:color="auto" w:fill="auto"/>
            <w:vAlign w:val="bottom"/>
          </w:tcPr>
          <w:p w14:paraId="55F4297A" w14:textId="77777777" w:rsidR="00A924D6" w:rsidRPr="00944176" w:rsidRDefault="00A924D6" w:rsidP="008A19B5">
            <w:pPr>
              <w:spacing w:before="40" w:after="120" w:line="220" w:lineRule="exact"/>
              <w:jc w:val="center"/>
              <w:rPr>
                <w:sz w:val="18"/>
                <w:szCs w:val="18"/>
                <w:lang w:val="it-IT"/>
              </w:rPr>
            </w:pPr>
            <w:r w:rsidRPr="00944176">
              <w:rPr>
                <w:sz w:val="18"/>
                <w:szCs w:val="18"/>
                <w:lang w:val="it-IT"/>
              </w:rPr>
              <w:t>XCV</w:t>
            </w:r>
            <w:r w:rsidRPr="00145FC9">
              <w:rPr>
                <w:sz w:val="18"/>
                <w:szCs w:val="18"/>
                <w:vertAlign w:val="superscript"/>
                <w:lang w:val="it-IT"/>
              </w:rPr>
              <w:t>3</w:t>
            </w:r>
            <w:r w:rsidRPr="00F94E63">
              <w:rPr>
                <w:sz w:val="18"/>
                <w:szCs w:val="18"/>
                <w:vertAlign w:val="superscript"/>
              </w:rPr>
              <w:t>, 4</w:t>
            </w:r>
          </w:p>
        </w:tc>
        <w:tc>
          <w:tcPr>
            <w:tcW w:w="1848" w:type="dxa"/>
          </w:tcPr>
          <w:p w14:paraId="12E811BA" w14:textId="77777777" w:rsidR="00A924D6" w:rsidRPr="00944176" w:rsidRDefault="00A924D6" w:rsidP="008A19B5">
            <w:pPr>
              <w:spacing w:before="40" w:after="120" w:line="220" w:lineRule="exact"/>
              <w:jc w:val="center"/>
              <w:rPr>
                <w:sz w:val="18"/>
                <w:szCs w:val="18"/>
                <w:lang w:val="it-IT"/>
              </w:rPr>
            </w:pPr>
            <w:r w:rsidRPr="00944176">
              <w:rPr>
                <w:sz w:val="18"/>
                <w:szCs w:val="18"/>
                <w:lang w:val="it-IT"/>
              </w:rPr>
              <w:t>-</w:t>
            </w:r>
          </w:p>
        </w:tc>
      </w:tr>
      <w:tr w:rsidR="00A924D6" w:rsidRPr="00944176" w14:paraId="472A5F8D" w14:textId="77777777" w:rsidTr="008A19B5">
        <w:trPr>
          <w:trHeight w:val="284"/>
        </w:trPr>
        <w:tc>
          <w:tcPr>
            <w:tcW w:w="5382" w:type="dxa"/>
            <w:shd w:val="clear" w:color="auto" w:fill="auto"/>
            <w:vAlign w:val="bottom"/>
          </w:tcPr>
          <w:p w14:paraId="5CAAC3A6" w14:textId="77777777" w:rsidR="00A924D6" w:rsidRPr="00944176" w:rsidRDefault="00A924D6" w:rsidP="008A19B5">
            <w:pPr>
              <w:spacing w:before="40" w:after="120" w:line="220" w:lineRule="exact"/>
              <w:ind w:left="113" w:right="113"/>
              <w:rPr>
                <w:sz w:val="18"/>
                <w:szCs w:val="18"/>
              </w:rPr>
            </w:pPr>
            <w:r w:rsidRPr="00944176">
              <w:rPr>
                <w:sz w:val="18"/>
                <w:szCs w:val="18"/>
              </w:rPr>
              <w:t>Adaptive Front lighting System (</w:t>
            </w:r>
            <w:r>
              <w:rPr>
                <w:sz w:val="18"/>
                <w:szCs w:val="18"/>
              </w:rPr>
              <w:t xml:space="preserve">Class </w:t>
            </w:r>
            <w:r w:rsidRPr="00944176">
              <w:rPr>
                <w:sz w:val="18"/>
                <w:szCs w:val="18"/>
              </w:rPr>
              <w:t>AFS</w:t>
            </w:r>
            <w:r>
              <w:rPr>
                <w:sz w:val="18"/>
                <w:szCs w:val="18"/>
              </w:rPr>
              <w:t>-W</w:t>
            </w:r>
            <w:r w:rsidRPr="00944176">
              <w:rPr>
                <w:sz w:val="18"/>
                <w:szCs w:val="18"/>
              </w:rPr>
              <w:t xml:space="preserve">): adverse weather </w:t>
            </w:r>
            <w:r>
              <w:rPr>
                <w:sz w:val="18"/>
                <w:szCs w:val="18"/>
              </w:rPr>
              <w:t>passing-beam</w:t>
            </w:r>
          </w:p>
        </w:tc>
        <w:tc>
          <w:tcPr>
            <w:tcW w:w="855" w:type="dxa"/>
            <w:shd w:val="clear" w:color="auto" w:fill="auto"/>
            <w:vAlign w:val="bottom"/>
          </w:tcPr>
          <w:p w14:paraId="1E209425" w14:textId="77777777" w:rsidR="00A924D6" w:rsidRPr="00944176" w:rsidRDefault="00A924D6" w:rsidP="008A19B5">
            <w:pPr>
              <w:spacing w:before="40" w:after="120" w:line="220" w:lineRule="exact"/>
              <w:jc w:val="center"/>
              <w:rPr>
                <w:sz w:val="18"/>
                <w:szCs w:val="18"/>
                <w:lang w:val="it-IT"/>
              </w:rPr>
            </w:pPr>
            <w:r w:rsidRPr="00944176">
              <w:rPr>
                <w:sz w:val="18"/>
                <w:szCs w:val="18"/>
                <w:lang w:val="it-IT"/>
              </w:rPr>
              <w:t>XCW</w:t>
            </w:r>
            <w:r w:rsidRPr="00145FC9">
              <w:rPr>
                <w:sz w:val="18"/>
                <w:szCs w:val="18"/>
                <w:vertAlign w:val="superscript"/>
                <w:lang w:val="it-IT"/>
              </w:rPr>
              <w:t>3</w:t>
            </w:r>
            <w:r w:rsidRPr="00F94E63">
              <w:rPr>
                <w:sz w:val="18"/>
                <w:szCs w:val="18"/>
                <w:vertAlign w:val="superscript"/>
              </w:rPr>
              <w:t>, 4</w:t>
            </w:r>
          </w:p>
        </w:tc>
        <w:tc>
          <w:tcPr>
            <w:tcW w:w="1848" w:type="dxa"/>
          </w:tcPr>
          <w:p w14:paraId="62E004F0" w14:textId="77777777" w:rsidR="00A924D6" w:rsidRPr="00944176" w:rsidRDefault="00A924D6" w:rsidP="008A19B5">
            <w:pPr>
              <w:spacing w:before="40" w:after="120" w:line="220" w:lineRule="exact"/>
              <w:jc w:val="center"/>
              <w:rPr>
                <w:sz w:val="18"/>
                <w:szCs w:val="18"/>
                <w:lang w:val="it-IT"/>
              </w:rPr>
            </w:pPr>
            <w:r w:rsidRPr="00944176">
              <w:rPr>
                <w:sz w:val="18"/>
                <w:szCs w:val="18"/>
                <w:lang w:val="it-IT"/>
              </w:rPr>
              <w:t>-</w:t>
            </w:r>
          </w:p>
        </w:tc>
      </w:tr>
      <w:tr w:rsidR="00A924D6" w:rsidRPr="008B4779" w14:paraId="32664B0A" w14:textId="77777777" w:rsidTr="008A19B5">
        <w:trPr>
          <w:trHeight w:val="284"/>
        </w:trPr>
        <w:tc>
          <w:tcPr>
            <w:tcW w:w="5382" w:type="dxa"/>
            <w:shd w:val="clear" w:color="auto" w:fill="auto"/>
            <w:vAlign w:val="bottom"/>
          </w:tcPr>
          <w:p w14:paraId="3FA0816F" w14:textId="77777777" w:rsidR="00A924D6" w:rsidRPr="008B4779" w:rsidRDefault="00A924D6" w:rsidP="008A19B5">
            <w:pPr>
              <w:spacing w:before="40" w:after="120" w:line="220" w:lineRule="exact"/>
              <w:ind w:left="113" w:right="113"/>
              <w:rPr>
                <w:bCs/>
                <w:sz w:val="18"/>
                <w:szCs w:val="18"/>
              </w:rPr>
            </w:pPr>
            <w:r w:rsidRPr="008B4779">
              <w:rPr>
                <w:bCs/>
                <w:sz w:val="18"/>
                <w:szCs w:val="18"/>
              </w:rPr>
              <w:t>Adaptive Front lighting System for vehicle of category L</w:t>
            </w:r>
            <w:r w:rsidRPr="008B4779">
              <w:rPr>
                <w:bCs/>
                <w:sz w:val="18"/>
                <w:szCs w:val="18"/>
                <w:vertAlign w:val="subscript"/>
              </w:rPr>
              <w:t>3</w:t>
            </w:r>
            <w:r w:rsidRPr="008B4779">
              <w:rPr>
                <w:bCs/>
                <w:sz w:val="18"/>
                <w:szCs w:val="18"/>
              </w:rPr>
              <w:t xml:space="preserve"> (Class AFS-C): basic passing-beam</w:t>
            </w:r>
          </w:p>
        </w:tc>
        <w:tc>
          <w:tcPr>
            <w:tcW w:w="855" w:type="dxa"/>
            <w:shd w:val="clear" w:color="auto" w:fill="auto"/>
            <w:vAlign w:val="bottom"/>
          </w:tcPr>
          <w:p w14:paraId="0B9257AB" w14:textId="77777777" w:rsidR="00A924D6" w:rsidRPr="008B4779" w:rsidRDefault="00A924D6" w:rsidP="008A19B5">
            <w:pPr>
              <w:spacing w:before="40" w:after="120" w:line="220" w:lineRule="exact"/>
              <w:jc w:val="center"/>
              <w:rPr>
                <w:bCs/>
                <w:sz w:val="18"/>
                <w:szCs w:val="18"/>
                <w:lang w:val="it-IT"/>
              </w:rPr>
            </w:pPr>
            <w:r w:rsidRPr="008B4779">
              <w:rPr>
                <w:bCs/>
                <w:sz w:val="18"/>
                <w:szCs w:val="18"/>
              </w:rPr>
              <w:t>MXC</w:t>
            </w:r>
            <w:r w:rsidRPr="008B4779">
              <w:rPr>
                <w:bCs/>
                <w:sz w:val="18"/>
                <w:szCs w:val="18"/>
                <w:vertAlign w:val="superscript"/>
              </w:rPr>
              <w:t>3</w:t>
            </w:r>
          </w:p>
        </w:tc>
        <w:tc>
          <w:tcPr>
            <w:tcW w:w="1848" w:type="dxa"/>
          </w:tcPr>
          <w:p w14:paraId="0839F485" w14:textId="77777777" w:rsidR="00A924D6" w:rsidRPr="008B4779" w:rsidRDefault="00A924D6" w:rsidP="008A19B5">
            <w:pPr>
              <w:spacing w:before="40" w:after="120" w:line="220" w:lineRule="exact"/>
              <w:jc w:val="center"/>
              <w:rPr>
                <w:bCs/>
                <w:sz w:val="18"/>
                <w:szCs w:val="18"/>
                <w:lang w:val="it-IT"/>
              </w:rPr>
            </w:pPr>
          </w:p>
        </w:tc>
      </w:tr>
      <w:tr w:rsidR="00A924D6" w:rsidRPr="008B4779" w14:paraId="62C2DA42" w14:textId="77777777" w:rsidTr="008A19B5">
        <w:trPr>
          <w:trHeight w:val="284"/>
        </w:trPr>
        <w:tc>
          <w:tcPr>
            <w:tcW w:w="5382" w:type="dxa"/>
            <w:shd w:val="clear" w:color="auto" w:fill="auto"/>
            <w:vAlign w:val="bottom"/>
          </w:tcPr>
          <w:p w14:paraId="1959855E" w14:textId="77777777" w:rsidR="00A924D6" w:rsidRPr="008B4779" w:rsidRDefault="00A924D6" w:rsidP="008A19B5">
            <w:pPr>
              <w:spacing w:before="40" w:after="120" w:line="220" w:lineRule="exact"/>
              <w:ind w:left="113" w:right="113"/>
              <w:rPr>
                <w:bCs/>
                <w:sz w:val="18"/>
                <w:szCs w:val="18"/>
              </w:rPr>
            </w:pPr>
            <w:r w:rsidRPr="008B4779">
              <w:rPr>
                <w:bCs/>
                <w:sz w:val="18"/>
                <w:szCs w:val="18"/>
              </w:rPr>
              <w:t>Adaptive Front lighting System for vehicle of category L</w:t>
            </w:r>
            <w:r w:rsidRPr="008B4779">
              <w:rPr>
                <w:bCs/>
                <w:sz w:val="18"/>
                <w:szCs w:val="18"/>
                <w:vertAlign w:val="subscript"/>
              </w:rPr>
              <w:t>3</w:t>
            </w:r>
            <w:r w:rsidRPr="008B4779">
              <w:rPr>
                <w:bCs/>
                <w:sz w:val="18"/>
                <w:szCs w:val="18"/>
              </w:rPr>
              <w:t xml:space="preserve"> (Class AFS-E): motorway passing-beam</w:t>
            </w:r>
          </w:p>
        </w:tc>
        <w:tc>
          <w:tcPr>
            <w:tcW w:w="855" w:type="dxa"/>
            <w:shd w:val="clear" w:color="auto" w:fill="auto"/>
            <w:vAlign w:val="bottom"/>
          </w:tcPr>
          <w:p w14:paraId="1A5E2C9C" w14:textId="77777777" w:rsidR="00A924D6" w:rsidRPr="008B4779" w:rsidRDefault="00A924D6" w:rsidP="008A19B5">
            <w:pPr>
              <w:spacing w:before="40" w:after="120" w:line="220" w:lineRule="exact"/>
              <w:rPr>
                <w:bCs/>
                <w:sz w:val="18"/>
                <w:szCs w:val="18"/>
                <w:lang w:val="it-IT"/>
              </w:rPr>
            </w:pPr>
            <w:r w:rsidRPr="008B4779">
              <w:rPr>
                <w:bCs/>
                <w:sz w:val="18"/>
                <w:szCs w:val="18"/>
                <w:lang w:val="it-IT"/>
              </w:rPr>
              <w:t xml:space="preserve">  MXCE</w:t>
            </w:r>
            <w:r w:rsidRPr="008B4779">
              <w:rPr>
                <w:bCs/>
                <w:sz w:val="18"/>
                <w:szCs w:val="18"/>
                <w:vertAlign w:val="superscript"/>
                <w:lang w:val="it-IT"/>
              </w:rPr>
              <w:t>3</w:t>
            </w:r>
            <w:r w:rsidRPr="008B4779">
              <w:rPr>
                <w:bCs/>
                <w:sz w:val="18"/>
                <w:szCs w:val="18"/>
                <w:vertAlign w:val="superscript"/>
              </w:rPr>
              <w:t>, 4</w:t>
            </w:r>
          </w:p>
        </w:tc>
        <w:tc>
          <w:tcPr>
            <w:tcW w:w="1848" w:type="dxa"/>
          </w:tcPr>
          <w:p w14:paraId="29E21EC3" w14:textId="77777777" w:rsidR="00A924D6" w:rsidRPr="008B4779" w:rsidRDefault="00A924D6" w:rsidP="008A19B5">
            <w:pPr>
              <w:spacing w:before="40" w:after="120" w:line="220" w:lineRule="exact"/>
              <w:jc w:val="center"/>
              <w:rPr>
                <w:bCs/>
                <w:sz w:val="18"/>
                <w:szCs w:val="18"/>
                <w:lang w:val="it-IT"/>
              </w:rPr>
            </w:pPr>
          </w:p>
        </w:tc>
      </w:tr>
      <w:tr w:rsidR="00A924D6" w:rsidRPr="008B4779" w14:paraId="6D39C6F0" w14:textId="77777777" w:rsidTr="008A19B5">
        <w:trPr>
          <w:trHeight w:val="284"/>
        </w:trPr>
        <w:tc>
          <w:tcPr>
            <w:tcW w:w="5382" w:type="dxa"/>
            <w:shd w:val="clear" w:color="auto" w:fill="auto"/>
            <w:vAlign w:val="bottom"/>
          </w:tcPr>
          <w:p w14:paraId="683BF163" w14:textId="77777777" w:rsidR="00A924D6" w:rsidRPr="008B4779" w:rsidRDefault="00A924D6" w:rsidP="008A19B5">
            <w:pPr>
              <w:spacing w:before="40" w:after="120" w:line="220" w:lineRule="exact"/>
              <w:ind w:left="113" w:right="113"/>
              <w:rPr>
                <w:bCs/>
                <w:sz w:val="18"/>
                <w:szCs w:val="18"/>
              </w:rPr>
            </w:pPr>
            <w:r w:rsidRPr="008B4779">
              <w:rPr>
                <w:bCs/>
                <w:sz w:val="18"/>
                <w:szCs w:val="18"/>
              </w:rPr>
              <w:t>Adaptive Front lighting System for vehicle of category L</w:t>
            </w:r>
            <w:r w:rsidRPr="008B4779">
              <w:rPr>
                <w:bCs/>
                <w:sz w:val="18"/>
                <w:szCs w:val="18"/>
                <w:vertAlign w:val="subscript"/>
              </w:rPr>
              <w:t>3</w:t>
            </w:r>
            <w:r w:rsidRPr="008B4779">
              <w:rPr>
                <w:bCs/>
                <w:sz w:val="18"/>
                <w:szCs w:val="18"/>
              </w:rPr>
              <w:t xml:space="preserve"> (Class AFS-V): town passing-beam</w:t>
            </w:r>
          </w:p>
        </w:tc>
        <w:tc>
          <w:tcPr>
            <w:tcW w:w="855" w:type="dxa"/>
            <w:shd w:val="clear" w:color="auto" w:fill="auto"/>
            <w:vAlign w:val="bottom"/>
          </w:tcPr>
          <w:p w14:paraId="5EA853E1" w14:textId="77777777" w:rsidR="00A924D6" w:rsidRPr="008B4779" w:rsidRDefault="00A924D6" w:rsidP="008A19B5">
            <w:pPr>
              <w:spacing w:before="40" w:after="120" w:line="220" w:lineRule="exact"/>
              <w:jc w:val="center"/>
              <w:rPr>
                <w:bCs/>
                <w:sz w:val="18"/>
                <w:szCs w:val="18"/>
                <w:lang w:val="it-IT"/>
              </w:rPr>
            </w:pPr>
            <w:r w:rsidRPr="008B4779">
              <w:rPr>
                <w:bCs/>
                <w:sz w:val="18"/>
                <w:szCs w:val="18"/>
                <w:lang w:val="it-IT"/>
              </w:rPr>
              <w:t>MXCV</w:t>
            </w:r>
            <w:r w:rsidRPr="008B4779">
              <w:rPr>
                <w:bCs/>
                <w:sz w:val="18"/>
                <w:szCs w:val="18"/>
                <w:vertAlign w:val="superscript"/>
                <w:lang w:val="it-IT"/>
              </w:rPr>
              <w:t>3</w:t>
            </w:r>
            <w:r w:rsidRPr="008B4779">
              <w:rPr>
                <w:bCs/>
                <w:sz w:val="18"/>
                <w:szCs w:val="18"/>
                <w:vertAlign w:val="superscript"/>
              </w:rPr>
              <w:t>, 4</w:t>
            </w:r>
          </w:p>
        </w:tc>
        <w:tc>
          <w:tcPr>
            <w:tcW w:w="1848" w:type="dxa"/>
          </w:tcPr>
          <w:p w14:paraId="7AA6D4AC" w14:textId="77777777" w:rsidR="00A924D6" w:rsidRPr="008B4779" w:rsidRDefault="00A924D6" w:rsidP="008A19B5">
            <w:pPr>
              <w:spacing w:before="40" w:after="120" w:line="220" w:lineRule="exact"/>
              <w:jc w:val="center"/>
              <w:rPr>
                <w:bCs/>
                <w:sz w:val="18"/>
                <w:szCs w:val="18"/>
                <w:lang w:val="it-IT"/>
              </w:rPr>
            </w:pPr>
          </w:p>
        </w:tc>
      </w:tr>
      <w:tr w:rsidR="00A924D6" w:rsidRPr="008B4779" w14:paraId="61384207" w14:textId="77777777" w:rsidTr="008A19B5">
        <w:trPr>
          <w:trHeight w:val="284"/>
        </w:trPr>
        <w:tc>
          <w:tcPr>
            <w:tcW w:w="5382" w:type="dxa"/>
            <w:shd w:val="clear" w:color="auto" w:fill="auto"/>
            <w:vAlign w:val="bottom"/>
          </w:tcPr>
          <w:p w14:paraId="5C91DA26" w14:textId="77777777" w:rsidR="00A924D6" w:rsidRPr="008B4779" w:rsidRDefault="00A924D6" w:rsidP="008A19B5">
            <w:pPr>
              <w:spacing w:before="40" w:after="120" w:line="220" w:lineRule="exact"/>
              <w:ind w:left="113" w:right="113"/>
              <w:rPr>
                <w:bCs/>
                <w:sz w:val="18"/>
                <w:szCs w:val="18"/>
              </w:rPr>
            </w:pPr>
            <w:r w:rsidRPr="008B4779">
              <w:rPr>
                <w:bCs/>
                <w:sz w:val="18"/>
                <w:szCs w:val="18"/>
              </w:rPr>
              <w:t>Adaptive Front lighting System for vehicle of category L</w:t>
            </w:r>
            <w:r w:rsidRPr="008B4779">
              <w:rPr>
                <w:bCs/>
                <w:sz w:val="18"/>
                <w:szCs w:val="18"/>
                <w:vertAlign w:val="subscript"/>
              </w:rPr>
              <w:t>3</w:t>
            </w:r>
            <w:r w:rsidRPr="008B4779">
              <w:rPr>
                <w:bCs/>
                <w:sz w:val="18"/>
                <w:szCs w:val="18"/>
              </w:rPr>
              <w:t xml:space="preserve"> (Class AFS-W): adverse weather passing-beam</w:t>
            </w:r>
          </w:p>
        </w:tc>
        <w:tc>
          <w:tcPr>
            <w:tcW w:w="855" w:type="dxa"/>
            <w:shd w:val="clear" w:color="auto" w:fill="auto"/>
            <w:vAlign w:val="bottom"/>
          </w:tcPr>
          <w:p w14:paraId="626AD279" w14:textId="77777777" w:rsidR="00A924D6" w:rsidRPr="008B4779" w:rsidRDefault="00A924D6" w:rsidP="008A19B5">
            <w:pPr>
              <w:spacing w:before="40" w:after="120" w:line="220" w:lineRule="exact"/>
              <w:jc w:val="center"/>
              <w:rPr>
                <w:bCs/>
                <w:sz w:val="18"/>
                <w:szCs w:val="18"/>
                <w:lang w:val="it-IT"/>
              </w:rPr>
            </w:pPr>
            <w:r w:rsidRPr="008B4779">
              <w:rPr>
                <w:bCs/>
                <w:sz w:val="18"/>
                <w:szCs w:val="18"/>
                <w:lang w:val="it-IT"/>
              </w:rPr>
              <w:t>MXCW</w:t>
            </w:r>
            <w:r w:rsidRPr="008B4779">
              <w:rPr>
                <w:bCs/>
                <w:sz w:val="18"/>
                <w:szCs w:val="18"/>
                <w:vertAlign w:val="superscript"/>
                <w:lang w:val="it-IT"/>
              </w:rPr>
              <w:t>3</w:t>
            </w:r>
            <w:r w:rsidRPr="008B4779">
              <w:rPr>
                <w:bCs/>
                <w:sz w:val="18"/>
                <w:szCs w:val="18"/>
                <w:vertAlign w:val="superscript"/>
              </w:rPr>
              <w:t>, 4</w:t>
            </w:r>
          </w:p>
        </w:tc>
        <w:tc>
          <w:tcPr>
            <w:tcW w:w="1848" w:type="dxa"/>
          </w:tcPr>
          <w:p w14:paraId="371950A9" w14:textId="77777777" w:rsidR="00A924D6" w:rsidRPr="008B4779" w:rsidRDefault="00A924D6" w:rsidP="008A19B5">
            <w:pPr>
              <w:spacing w:before="40" w:after="120" w:line="220" w:lineRule="exact"/>
              <w:jc w:val="center"/>
              <w:rPr>
                <w:bCs/>
                <w:sz w:val="18"/>
                <w:szCs w:val="18"/>
                <w:lang w:val="it-IT"/>
              </w:rPr>
            </w:pPr>
          </w:p>
        </w:tc>
      </w:tr>
      <w:tr w:rsidR="00A924D6" w:rsidRPr="00944176" w14:paraId="2D97484D" w14:textId="77777777" w:rsidTr="008A19B5">
        <w:trPr>
          <w:trHeight w:val="284"/>
        </w:trPr>
        <w:tc>
          <w:tcPr>
            <w:tcW w:w="5382" w:type="dxa"/>
            <w:shd w:val="clear" w:color="auto" w:fill="auto"/>
            <w:vAlign w:val="bottom"/>
          </w:tcPr>
          <w:p w14:paraId="4649F031" w14:textId="77777777" w:rsidR="00A924D6" w:rsidRPr="00944176" w:rsidRDefault="00A924D6" w:rsidP="008A19B5">
            <w:pPr>
              <w:spacing w:before="40" w:after="120" w:line="220" w:lineRule="exact"/>
              <w:ind w:left="113" w:right="113"/>
              <w:rPr>
                <w:sz w:val="18"/>
                <w:szCs w:val="18"/>
              </w:rPr>
            </w:pPr>
            <w:r w:rsidRPr="00944176">
              <w:rPr>
                <w:sz w:val="18"/>
                <w:szCs w:val="18"/>
              </w:rPr>
              <w:t>Adaptive Front lighting System (</w:t>
            </w:r>
            <w:r>
              <w:rPr>
                <w:sz w:val="18"/>
                <w:szCs w:val="18"/>
              </w:rPr>
              <w:t xml:space="preserve">Class </w:t>
            </w:r>
            <w:r w:rsidRPr="00944176">
              <w:rPr>
                <w:sz w:val="18"/>
                <w:szCs w:val="18"/>
              </w:rPr>
              <w:t>AFS</w:t>
            </w:r>
            <w:r>
              <w:rPr>
                <w:sz w:val="18"/>
                <w:szCs w:val="18"/>
              </w:rPr>
              <w:t>-R</w:t>
            </w:r>
            <w:r w:rsidRPr="00944176">
              <w:rPr>
                <w:sz w:val="18"/>
                <w:szCs w:val="18"/>
              </w:rPr>
              <w:t xml:space="preserve">): </w:t>
            </w:r>
            <w:r>
              <w:rPr>
                <w:sz w:val="18"/>
                <w:szCs w:val="18"/>
              </w:rPr>
              <w:t>driving-beam</w:t>
            </w:r>
          </w:p>
        </w:tc>
        <w:tc>
          <w:tcPr>
            <w:tcW w:w="855" w:type="dxa"/>
            <w:shd w:val="clear" w:color="auto" w:fill="auto"/>
            <w:vAlign w:val="bottom"/>
          </w:tcPr>
          <w:p w14:paraId="1D9065FD" w14:textId="77777777" w:rsidR="00A924D6" w:rsidRPr="00944176" w:rsidRDefault="00A924D6" w:rsidP="008A19B5">
            <w:pPr>
              <w:spacing w:before="40" w:after="120" w:line="220" w:lineRule="exact"/>
              <w:jc w:val="center"/>
              <w:rPr>
                <w:sz w:val="18"/>
                <w:szCs w:val="18"/>
                <w:lang w:val="it-IT"/>
              </w:rPr>
            </w:pPr>
            <w:r w:rsidRPr="00944176">
              <w:rPr>
                <w:sz w:val="18"/>
                <w:szCs w:val="18"/>
                <w:lang w:val="it-IT"/>
              </w:rPr>
              <w:t>XR</w:t>
            </w:r>
            <w:r>
              <w:rPr>
                <w:sz w:val="18"/>
                <w:szCs w:val="18"/>
                <w:vertAlign w:val="superscript"/>
              </w:rPr>
              <w:t>3</w:t>
            </w:r>
          </w:p>
        </w:tc>
        <w:tc>
          <w:tcPr>
            <w:tcW w:w="1848" w:type="dxa"/>
          </w:tcPr>
          <w:p w14:paraId="47A55AC0" w14:textId="77777777" w:rsidR="00A924D6" w:rsidRPr="00944176" w:rsidRDefault="00A924D6" w:rsidP="008A19B5">
            <w:pPr>
              <w:spacing w:before="40" w:after="120" w:line="220" w:lineRule="exact"/>
              <w:jc w:val="center"/>
              <w:rPr>
                <w:sz w:val="18"/>
                <w:szCs w:val="18"/>
                <w:lang w:val="it-IT"/>
              </w:rPr>
            </w:pPr>
            <w:r w:rsidRPr="00944176">
              <w:rPr>
                <w:sz w:val="18"/>
                <w:szCs w:val="18"/>
                <w:lang w:val="it-IT"/>
              </w:rPr>
              <w:t>-</w:t>
            </w:r>
          </w:p>
        </w:tc>
      </w:tr>
      <w:tr w:rsidR="00A924D6" w:rsidRPr="00944176" w14:paraId="2B295A39" w14:textId="77777777" w:rsidTr="008A19B5">
        <w:trPr>
          <w:trHeight w:val="284"/>
        </w:trPr>
        <w:tc>
          <w:tcPr>
            <w:tcW w:w="5382" w:type="dxa"/>
            <w:shd w:val="clear" w:color="auto" w:fill="auto"/>
            <w:vAlign w:val="bottom"/>
          </w:tcPr>
          <w:p w14:paraId="1FBD6F91" w14:textId="77777777" w:rsidR="00A924D6" w:rsidRPr="00944176" w:rsidRDefault="00A924D6" w:rsidP="008A19B5">
            <w:pPr>
              <w:spacing w:before="40" w:after="120" w:line="220" w:lineRule="exact"/>
              <w:ind w:left="113" w:right="113"/>
              <w:rPr>
                <w:sz w:val="18"/>
                <w:szCs w:val="18"/>
              </w:rPr>
            </w:pPr>
            <w:r>
              <w:rPr>
                <w:sz w:val="18"/>
                <w:szCs w:val="18"/>
              </w:rPr>
              <w:t>Passing-beam</w:t>
            </w:r>
            <w:r w:rsidRPr="00944176">
              <w:rPr>
                <w:sz w:val="18"/>
                <w:szCs w:val="18"/>
              </w:rPr>
              <w:t xml:space="preserve"> headlamp of Class AS (symmetrical)</w:t>
            </w:r>
          </w:p>
        </w:tc>
        <w:tc>
          <w:tcPr>
            <w:tcW w:w="855" w:type="dxa"/>
            <w:shd w:val="clear" w:color="auto" w:fill="auto"/>
            <w:vAlign w:val="bottom"/>
          </w:tcPr>
          <w:p w14:paraId="416DCCFE" w14:textId="77777777" w:rsidR="00A924D6" w:rsidRPr="00944176" w:rsidRDefault="00A924D6" w:rsidP="008A19B5">
            <w:pPr>
              <w:spacing w:before="40" w:after="120" w:line="220" w:lineRule="exact"/>
              <w:jc w:val="center"/>
              <w:rPr>
                <w:sz w:val="18"/>
                <w:szCs w:val="18"/>
              </w:rPr>
            </w:pPr>
            <w:r w:rsidRPr="00944176">
              <w:rPr>
                <w:sz w:val="18"/>
                <w:szCs w:val="18"/>
              </w:rPr>
              <w:t>C-AS</w:t>
            </w:r>
          </w:p>
        </w:tc>
        <w:tc>
          <w:tcPr>
            <w:tcW w:w="1848" w:type="dxa"/>
          </w:tcPr>
          <w:p w14:paraId="2C5DF268" w14:textId="77777777" w:rsidR="00A924D6" w:rsidRPr="00944176" w:rsidRDefault="00A924D6" w:rsidP="008A19B5">
            <w:pPr>
              <w:spacing w:before="40" w:after="120" w:line="220" w:lineRule="exact"/>
              <w:jc w:val="center"/>
              <w:rPr>
                <w:sz w:val="18"/>
                <w:szCs w:val="18"/>
              </w:rPr>
            </w:pPr>
            <w:r w:rsidRPr="00944176">
              <w:rPr>
                <w:sz w:val="18"/>
                <w:szCs w:val="18"/>
              </w:rPr>
              <w:t>Y</w:t>
            </w:r>
            <w:r>
              <w:rPr>
                <w:sz w:val="18"/>
                <w:szCs w:val="18"/>
              </w:rPr>
              <w:t>C-A</w:t>
            </w:r>
            <w:r w:rsidRPr="00944176">
              <w:rPr>
                <w:sz w:val="18"/>
                <w:szCs w:val="18"/>
              </w:rPr>
              <w:t>S</w:t>
            </w:r>
          </w:p>
        </w:tc>
      </w:tr>
      <w:tr w:rsidR="00A924D6" w:rsidRPr="00944176" w14:paraId="208F0D55" w14:textId="77777777" w:rsidTr="008A19B5">
        <w:trPr>
          <w:trHeight w:val="284"/>
        </w:trPr>
        <w:tc>
          <w:tcPr>
            <w:tcW w:w="5382" w:type="dxa"/>
            <w:shd w:val="clear" w:color="auto" w:fill="auto"/>
            <w:vAlign w:val="bottom"/>
          </w:tcPr>
          <w:p w14:paraId="6C76F966" w14:textId="77777777" w:rsidR="00A924D6" w:rsidRPr="00944176" w:rsidRDefault="00A924D6" w:rsidP="008A19B5">
            <w:pPr>
              <w:spacing w:before="40" w:after="120" w:line="220" w:lineRule="exact"/>
              <w:ind w:left="113" w:right="113"/>
              <w:rPr>
                <w:sz w:val="18"/>
                <w:szCs w:val="18"/>
              </w:rPr>
            </w:pPr>
            <w:r>
              <w:rPr>
                <w:sz w:val="18"/>
                <w:szCs w:val="18"/>
              </w:rPr>
              <w:t>Passing-beam</w:t>
            </w:r>
            <w:r w:rsidRPr="00944176">
              <w:rPr>
                <w:sz w:val="18"/>
                <w:szCs w:val="18"/>
              </w:rPr>
              <w:t xml:space="preserve"> headlamp of Class BS (symmetrical)</w:t>
            </w:r>
          </w:p>
        </w:tc>
        <w:tc>
          <w:tcPr>
            <w:tcW w:w="855" w:type="dxa"/>
            <w:shd w:val="clear" w:color="auto" w:fill="auto"/>
            <w:vAlign w:val="bottom"/>
          </w:tcPr>
          <w:p w14:paraId="2B4A9CD7" w14:textId="77777777" w:rsidR="00A924D6" w:rsidRPr="00944176" w:rsidRDefault="00A924D6" w:rsidP="008A19B5">
            <w:pPr>
              <w:spacing w:before="40" w:after="120" w:line="220" w:lineRule="exact"/>
              <w:jc w:val="center"/>
              <w:rPr>
                <w:sz w:val="18"/>
                <w:szCs w:val="18"/>
              </w:rPr>
            </w:pPr>
            <w:r w:rsidRPr="00944176">
              <w:rPr>
                <w:sz w:val="18"/>
                <w:szCs w:val="18"/>
              </w:rPr>
              <w:t>C-BS</w:t>
            </w:r>
          </w:p>
        </w:tc>
        <w:tc>
          <w:tcPr>
            <w:tcW w:w="1848" w:type="dxa"/>
          </w:tcPr>
          <w:p w14:paraId="686FB567" w14:textId="77777777" w:rsidR="00A924D6" w:rsidRPr="00944176" w:rsidRDefault="00A924D6" w:rsidP="008A19B5">
            <w:pPr>
              <w:spacing w:before="40" w:after="120" w:line="220" w:lineRule="exact"/>
              <w:jc w:val="center"/>
              <w:rPr>
                <w:sz w:val="18"/>
                <w:szCs w:val="18"/>
              </w:rPr>
            </w:pPr>
            <w:r w:rsidRPr="00944176">
              <w:rPr>
                <w:sz w:val="18"/>
                <w:szCs w:val="18"/>
              </w:rPr>
              <w:t xml:space="preserve">YC-BS </w:t>
            </w:r>
          </w:p>
        </w:tc>
      </w:tr>
      <w:tr w:rsidR="00A924D6" w:rsidRPr="00944176" w14:paraId="6B3EBAB5" w14:textId="77777777" w:rsidTr="008A19B5">
        <w:trPr>
          <w:trHeight w:val="284"/>
        </w:trPr>
        <w:tc>
          <w:tcPr>
            <w:tcW w:w="5382" w:type="dxa"/>
            <w:shd w:val="clear" w:color="auto" w:fill="auto"/>
            <w:vAlign w:val="bottom"/>
          </w:tcPr>
          <w:p w14:paraId="2AFF3259" w14:textId="77777777" w:rsidR="00A924D6" w:rsidRPr="00944176" w:rsidRDefault="00A924D6" w:rsidP="008A19B5">
            <w:pPr>
              <w:spacing w:before="40" w:after="120" w:line="220" w:lineRule="exact"/>
              <w:ind w:left="113" w:right="113"/>
              <w:rPr>
                <w:sz w:val="18"/>
                <w:szCs w:val="18"/>
              </w:rPr>
            </w:pPr>
            <w:r>
              <w:rPr>
                <w:sz w:val="18"/>
                <w:szCs w:val="18"/>
              </w:rPr>
              <w:t>Passing-beam</w:t>
            </w:r>
            <w:r w:rsidRPr="00944176">
              <w:rPr>
                <w:sz w:val="18"/>
                <w:szCs w:val="18"/>
              </w:rPr>
              <w:t xml:space="preserve"> headlamp of Class CS (symmetrical)</w:t>
            </w:r>
          </w:p>
        </w:tc>
        <w:tc>
          <w:tcPr>
            <w:tcW w:w="855" w:type="dxa"/>
            <w:shd w:val="clear" w:color="auto" w:fill="auto"/>
            <w:vAlign w:val="bottom"/>
          </w:tcPr>
          <w:p w14:paraId="1B3B4A37" w14:textId="77777777" w:rsidR="00A924D6" w:rsidRPr="00944176" w:rsidRDefault="00A924D6" w:rsidP="008A19B5">
            <w:pPr>
              <w:spacing w:before="40" w:after="120" w:line="220" w:lineRule="exact"/>
              <w:jc w:val="center"/>
              <w:rPr>
                <w:sz w:val="18"/>
                <w:szCs w:val="18"/>
              </w:rPr>
            </w:pPr>
            <w:r w:rsidRPr="00944176">
              <w:rPr>
                <w:sz w:val="18"/>
                <w:szCs w:val="18"/>
              </w:rPr>
              <w:t>WC-CS</w:t>
            </w:r>
          </w:p>
        </w:tc>
        <w:tc>
          <w:tcPr>
            <w:tcW w:w="1848" w:type="dxa"/>
          </w:tcPr>
          <w:p w14:paraId="4C9AD734" w14:textId="77777777" w:rsidR="00A924D6" w:rsidRPr="00944176" w:rsidRDefault="00A924D6" w:rsidP="008A19B5">
            <w:pPr>
              <w:spacing w:before="40" w:after="120" w:line="220" w:lineRule="exact"/>
              <w:jc w:val="center"/>
              <w:rPr>
                <w:sz w:val="18"/>
                <w:szCs w:val="18"/>
              </w:rPr>
            </w:pPr>
            <w:r w:rsidRPr="00944176">
              <w:rPr>
                <w:sz w:val="18"/>
                <w:szCs w:val="18"/>
              </w:rPr>
              <w:t>YC-CS</w:t>
            </w:r>
            <w:r>
              <w:rPr>
                <w:sz w:val="18"/>
                <w:szCs w:val="18"/>
              </w:rPr>
              <w:t>*</w:t>
            </w:r>
          </w:p>
        </w:tc>
      </w:tr>
      <w:tr w:rsidR="00A924D6" w:rsidRPr="00944176" w14:paraId="7CC11F88" w14:textId="77777777" w:rsidTr="008A19B5">
        <w:trPr>
          <w:trHeight w:val="284"/>
        </w:trPr>
        <w:tc>
          <w:tcPr>
            <w:tcW w:w="5382" w:type="dxa"/>
            <w:shd w:val="clear" w:color="auto" w:fill="auto"/>
            <w:vAlign w:val="bottom"/>
          </w:tcPr>
          <w:p w14:paraId="608DA345" w14:textId="77777777" w:rsidR="00A924D6" w:rsidRPr="00944176" w:rsidRDefault="00A924D6" w:rsidP="008A19B5">
            <w:pPr>
              <w:spacing w:before="40" w:after="120" w:line="220" w:lineRule="exact"/>
              <w:ind w:left="113" w:right="113"/>
              <w:rPr>
                <w:sz w:val="18"/>
                <w:szCs w:val="18"/>
              </w:rPr>
            </w:pPr>
            <w:r>
              <w:rPr>
                <w:sz w:val="18"/>
                <w:szCs w:val="18"/>
              </w:rPr>
              <w:t>Passing-beam</w:t>
            </w:r>
            <w:r w:rsidRPr="00944176">
              <w:rPr>
                <w:sz w:val="18"/>
                <w:szCs w:val="18"/>
              </w:rPr>
              <w:t xml:space="preserve"> headlamp of Class DS (symmetrical)</w:t>
            </w:r>
          </w:p>
        </w:tc>
        <w:tc>
          <w:tcPr>
            <w:tcW w:w="855" w:type="dxa"/>
            <w:shd w:val="clear" w:color="auto" w:fill="auto"/>
            <w:vAlign w:val="bottom"/>
          </w:tcPr>
          <w:p w14:paraId="34BD6F19" w14:textId="77777777" w:rsidR="00A924D6" w:rsidRPr="00944176" w:rsidRDefault="00A924D6" w:rsidP="008A19B5">
            <w:pPr>
              <w:spacing w:before="40" w:after="120" w:line="220" w:lineRule="exact"/>
              <w:jc w:val="center"/>
              <w:rPr>
                <w:sz w:val="18"/>
                <w:szCs w:val="18"/>
              </w:rPr>
            </w:pPr>
            <w:r w:rsidRPr="00944176">
              <w:rPr>
                <w:sz w:val="18"/>
                <w:szCs w:val="18"/>
              </w:rPr>
              <w:t>WC-DS</w:t>
            </w:r>
          </w:p>
        </w:tc>
        <w:tc>
          <w:tcPr>
            <w:tcW w:w="1848" w:type="dxa"/>
          </w:tcPr>
          <w:p w14:paraId="625BF489" w14:textId="77777777" w:rsidR="00A924D6" w:rsidRPr="00944176" w:rsidRDefault="00A924D6" w:rsidP="008A19B5">
            <w:pPr>
              <w:spacing w:before="40" w:after="120" w:line="220" w:lineRule="exact"/>
              <w:jc w:val="center"/>
              <w:rPr>
                <w:sz w:val="18"/>
                <w:szCs w:val="18"/>
              </w:rPr>
            </w:pPr>
            <w:r w:rsidRPr="00944176">
              <w:rPr>
                <w:sz w:val="18"/>
                <w:szCs w:val="18"/>
              </w:rPr>
              <w:t>YC-DS</w:t>
            </w:r>
            <w:r>
              <w:rPr>
                <w:sz w:val="18"/>
                <w:szCs w:val="18"/>
              </w:rPr>
              <w:t>*</w:t>
            </w:r>
          </w:p>
        </w:tc>
      </w:tr>
      <w:tr w:rsidR="00A924D6" w:rsidRPr="00944176" w14:paraId="3A0EBCBB" w14:textId="77777777" w:rsidTr="008A19B5">
        <w:trPr>
          <w:trHeight w:val="284"/>
        </w:trPr>
        <w:tc>
          <w:tcPr>
            <w:tcW w:w="5382" w:type="dxa"/>
            <w:shd w:val="clear" w:color="auto" w:fill="auto"/>
            <w:vAlign w:val="bottom"/>
          </w:tcPr>
          <w:p w14:paraId="17E3969A" w14:textId="77777777" w:rsidR="00A924D6" w:rsidRPr="00944176" w:rsidRDefault="00A924D6" w:rsidP="008A19B5">
            <w:pPr>
              <w:spacing w:before="40" w:after="120" w:line="220" w:lineRule="exact"/>
              <w:ind w:left="113" w:right="113"/>
              <w:rPr>
                <w:sz w:val="18"/>
                <w:szCs w:val="18"/>
              </w:rPr>
            </w:pPr>
            <w:r>
              <w:rPr>
                <w:sz w:val="18"/>
                <w:szCs w:val="18"/>
              </w:rPr>
              <w:t>Driving-beam</w:t>
            </w:r>
            <w:r w:rsidRPr="00944176">
              <w:rPr>
                <w:sz w:val="18"/>
                <w:szCs w:val="18"/>
              </w:rPr>
              <w:t xml:space="preserve"> headlamp of Class BS </w:t>
            </w:r>
          </w:p>
        </w:tc>
        <w:tc>
          <w:tcPr>
            <w:tcW w:w="855" w:type="dxa"/>
            <w:shd w:val="clear" w:color="auto" w:fill="auto"/>
            <w:vAlign w:val="bottom"/>
          </w:tcPr>
          <w:p w14:paraId="11153E88" w14:textId="77777777" w:rsidR="00A924D6" w:rsidRPr="00944176" w:rsidRDefault="00A924D6" w:rsidP="008A19B5">
            <w:pPr>
              <w:spacing w:before="40" w:after="120" w:line="220" w:lineRule="exact"/>
              <w:jc w:val="center"/>
              <w:rPr>
                <w:sz w:val="18"/>
                <w:szCs w:val="18"/>
              </w:rPr>
            </w:pPr>
            <w:r w:rsidRPr="00944176">
              <w:rPr>
                <w:sz w:val="18"/>
                <w:szCs w:val="18"/>
              </w:rPr>
              <w:t>R-BS</w:t>
            </w:r>
          </w:p>
        </w:tc>
        <w:tc>
          <w:tcPr>
            <w:tcW w:w="1848" w:type="dxa"/>
          </w:tcPr>
          <w:p w14:paraId="770C9DCD" w14:textId="77777777" w:rsidR="00A924D6" w:rsidRPr="00944176" w:rsidRDefault="00A924D6" w:rsidP="008A19B5">
            <w:pPr>
              <w:spacing w:before="40" w:after="120" w:line="220" w:lineRule="exact"/>
              <w:jc w:val="center"/>
              <w:rPr>
                <w:sz w:val="18"/>
                <w:szCs w:val="18"/>
              </w:rPr>
            </w:pPr>
            <w:r w:rsidRPr="00944176">
              <w:rPr>
                <w:sz w:val="18"/>
                <w:szCs w:val="18"/>
              </w:rPr>
              <w:t>YR-BS</w:t>
            </w:r>
            <w:r>
              <w:rPr>
                <w:sz w:val="18"/>
                <w:szCs w:val="18"/>
              </w:rPr>
              <w:t>*</w:t>
            </w:r>
          </w:p>
        </w:tc>
      </w:tr>
      <w:tr w:rsidR="00A924D6" w:rsidRPr="00944176" w14:paraId="0841D1CA" w14:textId="77777777" w:rsidTr="008A19B5">
        <w:trPr>
          <w:trHeight w:val="284"/>
        </w:trPr>
        <w:tc>
          <w:tcPr>
            <w:tcW w:w="5382" w:type="dxa"/>
            <w:shd w:val="clear" w:color="auto" w:fill="auto"/>
            <w:vAlign w:val="bottom"/>
          </w:tcPr>
          <w:p w14:paraId="626B2421" w14:textId="77777777" w:rsidR="00A924D6" w:rsidRPr="00944176" w:rsidRDefault="00A924D6" w:rsidP="008A19B5">
            <w:pPr>
              <w:spacing w:before="40" w:after="120" w:line="220" w:lineRule="exact"/>
              <w:ind w:left="113" w:right="113"/>
              <w:rPr>
                <w:sz w:val="18"/>
                <w:szCs w:val="18"/>
              </w:rPr>
            </w:pPr>
            <w:r>
              <w:rPr>
                <w:sz w:val="18"/>
                <w:szCs w:val="18"/>
              </w:rPr>
              <w:t>Secondary d</w:t>
            </w:r>
            <w:r w:rsidRPr="00944176">
              <w:rPr>
                <w:sz w:val="18"/>
                <w:szCs w:val="18"/>
              </w:rPr>
              <w:t>riving</w:t>
            </w:r>
            <w:r>
              <w:rPr>
                <w:sz w:val="18"/>
                <w:szCs w:val="18"/>
              </w:rPr>
              <w:t>-</w:t>
            </w:r>
            <w:r w:rsidRPr="00944176">
              <w:rPr>
                <w:sz w:val="18"/>
                <w:szCs w:val="18"/>
              </w:rPr>
              <w:t xml:space="preserve">beam headlamp of Class CS </w:t>
            </w:r>
          </w:p>
        </w:tc>
        <w:tc>
          <w:tcPr>
            <w:tcW w:w="855" w:type="dxa"/>
            <w:shd w:val="clear" w:color="auto" w:fill="auto"/>
            <w:vAlign w:val="bottom"/>
          </w:tcPr>
          <w:p w14:paraId="4355E9CB" w14:textId="77777777" w:rsidR="00A924D6" w:rsidRPr="00944176" w:rsidRDefault="00A924D6" w:rsidP="008A19B5">
            <w:pPr>
              <w:spacing w:before="40" w:after="120" w:line="220" w:lineRule="exact"/>
              <w:jc w:val="center"/>
              <w:rPr>
                <w:sz w:val="18"/>
                <w:szCs w:val="18"/>
              </w:rPr>
            </w:pPr>
            <w:r w:rsidRPr="00944176">
              <w:rPr>
                <w:sz w:val="18"/>
                <w:szCs w:val="18"/>
              </w:rPr>
              <w:t>WR-CS</w:t>
            </w:r>
          </w:p>
        </w:tc>
        <w:tc>
          <w:tcPr>
            <w:tcW w:w="1848" w:type="dxa"/>
          </w:tcPr>
          <w:p w14:paraId="51F6E87D" w14:textId="77777777" w:rsidR="00A924D6" w:rsidRPr="00944176" w:rsidRDefault="00A924D6" w:rsidP="008A19B5">
            <w:pPr>
              <w:spacing w:before="40" w:after="120" w:line="220" w:lineRule="exact"/>
              <w:jc w:val="center"/>
              <w:rPr>
                <w:sz w:val="18"/>
                <w:szCs w:val="18"/>
              </w:rPr>
            </w:pPr>
            <w:r w:rsidRPr="00944176">
              <w:rPr>
                <w:sz w:val="18"/>
                <w:szCs w:val="18"/>
              </w:rPr>
              <w:t>YR-CS</w:t>
            </w:r>
            <w:r>
              <w:rPr>
                <w:sz w:val="18"/>
                <w:szCs w:val="18"/>
              </w:rPr>
              <w:t>*</w:t>
            </w:r>
          </w:p>
        </w:tc>
      </w:tr>
      <w:tr w:rsidR="00A924D6" w:rsidRPr="00944176" w14:paraId="2FFDF87E" w14:textId="77777777" w:rsidTr="008A19B5">
        <w:trPr>
          <w:trHeight w:val="284"/>
        </w:trPr>
        <w:tc>
          <w:tcPr>
            <w:tcW w:w="5382" w:type="dxa"/>
            <w:shd w:val="clear" w:color="auto" w:fill="auto"/>
            <w:vAlign w:val="bottom"/>
          </w:tcPr>
          <w:p w14:paraId="6019E5B5" w14:textId="77777777" w:rsidR="00A924D6" w:rsidRPr="00944176" w:rsidRDefault="00A924D6" w:rsidP="008A19B5">
            <w:pPr>
              <w:spacing w:before="40" w:after="120" w:line="220" w:lineRule="exact"/>
              <w:ind w:left="113" w:right="113"/>
              <w:rPr>
                <w:sz w:val="18"/>
                <w:szCs w:val="18"/>
              </w:rPr>
            </w:pPr>
            <w:r>
              <w:rPr>
                <w:sz w:val="18"/>
                <w:szCs w:val="18"/>
              </w:rPr>
              <w:t>Secondary d</w:t>
            </w:r>
            <w:r w:rsidRPr="00944176">
              <w:rPr>
                <w:sz w:val="18"/>
                <w:szCs w:val="18"/>
              </w:rPr>
              <w:t>riving</w:t>
            </w:r>
            <w:r>
              <w:rPr>
                <w:sz w:val="18"/>
                <w:szCs w:val="18"/>
              </w:rPr>
              <w:t>-</w:t>
            </w:r>
            <w:r w:rsidRPr="00944176">
              <w:rPr>
                <w:sz w:val="18"/>
                <w:szCs w:val="18"/>
              </w:rPr>
              <w:t xml:space="preserve">beam headlamp of Class DS </w:t>
            </w:r>
          </w:p>
        </w:tc>
        <w:tc>
          <w:tcPr>
            <w:tcW w:w="855" w:type="dxa"/>
            <w:shd w:val="clear" w:color="auto" w:fill="auto"/>
            <w:vAlign w:val="bottom"/>
          </w:tcPr>
          <w:p w14:paraId="5C8E3ADA" w14:textId="77777777" w:rsidR="00A924D6" w:rsidRPr="00944176" w:rsidRDefault="00A924D6" w:rsidP="008A19B5">
            <w:pPr>
              <w:spacing w:before="40" w:after="120" w:line="220" w:lineRule="exact"/>
              <w:jc w:val="center"/>
              <w:rPr>
                <w:sz w:val="18"/>
                <w:szCs w:val="18"/>
              </w:rPr>
            </w:pPr>
            <w:r w:rsidRPr="00944176">
              <w:rPr>
                <w:sz w:val="18"/>
                <w:szCs w:val="18"/>
              </w:rPr>
              <w:t>WR-DS</w:t>
            </w:r>
          </w:p>
        </w:tc>
        <w:tc>
          <w:tcPr>
            <w:tcW w:w="1848" w:type="dxa"/>
          </w:tcPr>
          <w:p w14:paraId="57749ED3" w14:textId="77777777" w:rsidR="00A924D6" w:rsidRPr="00944176" w:rsidRDefault="00A924D6" w:rsidP="008A19B5">
            <w:pPr>
              <w:spacing w:before="40" w:after="120" w:line="220" w:lineRule="exact"/>
              <w:jc w:val="center"/>
              <w:rPr>
                <w:sz w:val="18"/>
                <w:szCs w:val="18"/>
              </w:rPr>
            </w:pPr>
            <w:r w:rsidRPr="00944176">
              <w:rPr>
                <w:sz w:val="18"/>
                <w:szCs w:val="18"/>
              </w:rPr>
              <w:t>YR-DS</w:t>
            </w:r>
            <w:r>
              <w:rPr>
                <w:sz w:val="18"/>
                <w:szCs w:val="18"/>
              </w:rPr>
              <w:t>*</w:t>
            </w:r>
          </w:p>
        </w:tc>
      </w:tr>
      <w:tr w:rsidR="00A924D6" w:rsidRPr="00944176" w14:paraId="4DDF929B" w14:textId="77777777" w:rsidTr="008A19B5">
        <w:trPr>
          <w:trHeight w:val="284"/>
        </w:trPr>
        <w:tc>
          <w:tcPr>
            <w:tcW w:w="5382" w:type="dxa"/>
            <w:tcBorders>
              <w:bottom w:val="single" w:sz="4" w:space="0" w:color="auto"/>
            </w:tcBorders>
            <w:shd w:val="clear" w:color="auto" w:fill="auto"/>
          </w:tcPr>
          <w:p w14:paraId="3D32CC92" w14:textId="77777777" w:rsidR="00A924D6" w:rsidRPr="00944176" w:rsidRDefault="00A924D6" w:rsidP="008A19B5">
            <w:pPr>
              <w:widowControl w:val="0"/>
              <w:spacing w:before="40" w:after="120" w:line="220" w:lineRule="exact"/>
              <w:ind w:left="113" w:right="113"/>
              <w:rPr>
                <w:sz w:val="18"/>
                <w:szCs w:val="18"/>
              </w:rPr>
            </w:pPr>
            <w:r w:rsidRPr="00944176">
              <w:rPr>
                <w:sz w:val="18"/>
                <w:szCs w:val="18"/>
              </w:rPr>
              <w:t>Adaptive driving</w:t>
            </w:r>
            <w:r>
              <w:rPr>
                <w:sz w:val="18"/>
                <w:szCs w:val="18"/>
              </w:rPr>
              <w:t>-</w:t>
            </w:r>
            <w:r w:rsidRPr="00944176">
              <w:rPr>
                <w:sz w:val="18"/>
                <w:szCs w:val="18"/>
              </w:rPr>
              <w:t>beam for vehicles of category L3</w:t>
            </w:r>
          </w:p>
        </w:tc>
        <w:tc>
          <w:tcPr>
            <w:tcW w:w="855" w:type="dxa"/>
            <w:tcBorders>
              <w:bottom w:val="single" w:sz="4" w:space="0" w:color="auto"/>
            </w:tcBorders>
            <w:shd w:val="clear" w:color="auto" w:fill="auto"/>
          </w:tcPr>
          <w:p w14:paraId="60DECBDD" w14:textId="77777777" w:rsidR="00A924D6" w:rsidRPr="00944176" w:rsidRDefault="00A924D6" w:rsidP="008A19B5">
            <w:pPr>
              <w:widowControl w:val="0"/>
              <w:spacing w:before="40" w:after="120" w:line="220" w:lineRule="exact"/>
              <w:jc w:val="center"/>
              <w:rPr>
                <w:sz w:val="18"/>
                <w:szCs w:val="18"/>
              </w:rPr>
            </w:pPr>
            <w:r w:rsidRPr="00944176">
              <w:rPr>
                <w:sz w:val="18"/>
                <w:szCs w:val="18"/>
              </w:rPr>
              <w:t>ADB</w:t>
            </w:r>
          </w:p>
        </w:tc>
        <w:tc>
          <w:tcPr>
            <w:tcW w:w="1848" w:type="dxa"/>
            <w:tcBorders>
              <w:bottom w:val="single" w:sz="4" w:space="0" w:color="auto"/>
            </w:tcBorders>
          </w:tcPr>
          <w:p w14:paraId="5E3FBA6B" w14:textId="77777777" w:rsidR="00A924D6" w:rsidRPr="00944176" w:rsidRDefault="00A924D6" w:rsidP="008A19B5">
            <w:pPr>
              <w:widowControl w:val="0"/>
              <w:spacing w:before="40" w:after="120" w:line="220" w:lineRule="exact"/>
              <w:jc w:val="center"/>
              <w:rPr>
                <w:sz w:val="18"/>
                <w:szCs w:val="18"/>
              </w:rPr>
            </w:pPr>
            <w:r w:rsidRPr="00944176">
              <w:rPr>
                <w:sz w:val="18"/>
                <w:szCs w:val="18"/>
              </w:rPr>
              <w:t xml:space="preserve">YADB </w:t>
            </w:r>
          </w:p>
        </w:tc>
      </w:tr>
      <w:tr w:rsidR="00A924D6" w:rsidRPr="00944176" w14:paraId="72277D96" w14:textId="77777777" w:rsidTr="008A19B5">
        <w:trPr>
          <w:trHeight w:val="284"/>
        </w:trPr>
        <w:tc>
          <w:tcPr>
            <w:tcW w:w="5382" w:type="dxa"/>
            <w:tcBorders>
              <w:bottom w:val="single" w:sz="4" w:space="0" w:color="auto"/>
            </w:tcBorders>
            <w:shd w:val="clear" w:color="auto" w:fill="auto"/>
          </w:tcPr>
          <w:p w14:paraId="15082831" w14:textId="77777777" w:rsidR="00A924D6" w:rsidRPr="00944176" w:rsidRDefault="00A924D6" w:rsidP="008A19B5">
            <w:pPr>
              <w:widowControl w:val="0"/>
              <w:spacing w:before="40" w:after="120" w:line="220" w:lineRule="exact"/>
              <w:ind w:left="113" w:right="113"/>
              <w:rPr>
                <w:sz w:val="18"/>
                <w:szCs w:val="18"/>
              </w:rPr>
            </w:pPr>
            <w:r w:rsidRPr="00944176">
              <w:rPr>
                <w:sz w:val="18"/>
                <w:szCs w:val="18"/>
              </w:rPr>
              <w:t xml:space="preserve">Front fog lamp </w:t>
            </w:r>
            <w:r>
              <w:rPr>
                <w:sz w:val="18"/>
                <w:szCs w:val="18"/>
              </w:rPr>
              <w:t xml:space="preserve">of </w:t>
            </w:r>
            <w:r w:rsidRPr="00944176">
              <w:rPr>
                <w:sz w:val="18"/>
                <w:szCs w:val="18"/>
              </w:rPr>
              <w:t>Class F3</w:t>
            </w:r>
          </w:p>
        </w:tc>
        <w:tc>
          <w:tcPr>
            <w:tcW w:w="855" w:type="dxa"/>
            <w:tcBorders>
              <w:bottom w:val="single" w:sz="4" w:space="0" w:color="auto"/>
            </w:tcBorders>
            <w:shd w:val="clear" w:color="auto" w:fill="auto"/>
          </w:tcPr>
          <w:p w14:paraId="74FA9825" w14:textId="77777777" w:rsidR="00A924D6" w:rsidRPr="00944176" w:rsidRDefault="00A924D6" w:rsidP="008A19B5">
            <w:pPr>
              <w:widowControl w:val="0"/>
              <w:spacing w:before="40" w:after="120" w:line="220" w:lineRule="exact"/>
              <w:jc w:val="center"/>
              <w:rPr>
                <w:sz w:val="18"/>
                <w:szCs w:val="18"/>
              </w:rPr>
            </w:pPr>
            <w:r w:rsidRPr="00944176">
              <w:rPr>
                <w:sz w:val="18"/>
                <w:szCs w:val="18"/>
              </w:rPr>
              <w:t>F3</w:t>
            </w:r>
          </w:p>
        </w:tc>
        <w:tc>
          <w:tcPr>
            <w:tcW w:w="1848" w:type="dxa"/>
            <w:tcBorders>
              <w:bottom w:val="single" w:sz="4" w:space="0" w:color="auto"/>
            </w:tcBorders>
          </w:tcPr>
          <w:p w14:paraId="4CABB40F" w14:textId="77777777" w:rsidR="00A924D6" w:rsidRPr="00944176" w:rsidRDefault="00A924D6" w:rsidP="008A19B5">
            <w:pPr>
              <w:widowControl w:val="0"/>
              <w:spacing w:before="40" w:after="120" w:line="220" w:lineRule="exact"/>
              <w:jc w:val="center"/>
              <w:rPr>
                <w:sz w:val="18"/>
                <w:szCs w:val="18"/>
              </w:rPr>
            </w:pPr>
            <w:r>
              <w:rPr>
                <w:sz w:val="18"/>
                <w:szCs w:val="18"/>
              </w:rPr>
              <w:t>Y</w:t>
            </w:r>
            <w:r w:rsidRPr="00944176">
              <w:rPr>
                <w:sz w:val="18"/>
                <w:szCs w:val="18"/>
              </w:rPr>
              <w:t>F3</w:t>
            </w:r>
          </w:p>
        </w:tc>
      </w:tr>
      <w:tr w:rsidR="00A924D6" w:rsidRPr="00944176" w14:paraId="6B4D6F3D" w14:textId="77777777" w:rsidTr="008A19B5">
        <w:trPr>
          <w:trHeight w:val="284"/>
        </w:trPr>
        <w:tc>
          <w:tcPr>
            <w:tcW w:w="5382" w:type="dxa"/>
            <w:tcBorders>
              <w:bottom w:val="single" w:sz="12" w:space="0" w:color="auto"/>
            </w:tcBorders>
            <w:shd w:val="clear" w:color="auto" w:fill="auto"/>
          </w:tcPr>
          <w:p w14:paraId="7009D109" w14:textId="77777777" w:rsidR="00A924D6" w:rsidRPr="00944176" w:rsidRDefault="00A924D6" w:rsidP="008A19B5">
            <w:pPr>
              <w:widowControl w:val="0"/>
              <w:spacing w:before="40" w:after="120" w:line="220" w:lineRule="exact"/>
              <w:ind w:left="113" w:right="113"/>
              <w:rPr>
                <w:sz w:val="18"/>
                <w:szCs w:val="18"/>
              </w:rPr>
            </w:pPr>
            <w:r w:rsidRPr="00944176">
              <w:rPr>
                <w:sz w:val="18"/>
                <w:szCs w:val="18"/>
              </w:rPr>
              <w:t>Cornering lamp</w:t>
            </w:r>
            <w:r>
              <w:rPr>
                <w:sz w:val="18"/>
                <w:szCs w:val="18"/>
              </w:rPr>
              <w:t xml:space="preserve"> of Class K</w:t>
            </w:r>
          </w:p>
        </w:tc>
        <w:tc>
          <w:tcPr>
            <w:tcW w:w="855" w:type="dxa"/>
            <w:tcBorders>
              <w:bottom w:val="single" w:sz="12" w:space="0" w:color="auto"/>
            </w:tcBorders>
            <w:shd w:val="clear" w:color="auto" w:fill="auto"/>
          </w:tcPr>
          <w:p w14:paraId="43A535B0" w14:textId="77777777" w:rsidR="00A924D6" w:rsidRPr="00944176" w:rsidRDefault="00A924D6" w:rsidP="008A19B5">
            <w:pPr>
              <w:widowControl w:val="0"/>
              <w:spacing w:before="40" w:after="120" w:line="220" w:lineRule="exact"/>
              <w:jc w:val="center"/>
              <w:rPr>
                <w:sz w:val="18"/>
                <w:szCs w:val="18"/>
              </w:rPr>
            </w:pPr>
            <w:r w:rsidRPr="00944176">
              <w:rPr>
                <w:sz w:val="18"/>
                <w:szCs w:val="18"/>
              </w:rPr>
              <w:t>K</w:t>
            </w:r>
          </w:p>
        </w:tc>
        <w:tc>
          <w:tcPr>
            <w:tcW w:w="1848" w:type="dxa"/>
            <w:tcBorders>
              <w:bottom w:val="single" w:sz="12" w:space="0" w:color="auto"/>
            </w:tcBorders>
          </w:tcPr>
          <w:p w14:paraId="34097EAD" w14:textId="77777777" w:rsidR="00A924D6" w:rsidRPr="00944176" w:rsidRDefault="00A924D6" w:rsidP="008A19B5">
            <w:pPr>
              <w:widowControl w:val="0"/>
              <w:spacing w:before="40" w:after="120" w:line="220" w:lineRule="exact"/>
              <w:jc w:val="center"/>
              <w:rPr>
                <w:sz w:val="18"/>
                <w:szCs w:val="18"/>
              </w:rPr>
            </w:pPr>
            <w:r w:rsidRPr="00944176">
              <w:rPr>
                <w:sz w:val="18"/>
                <w:szCs w:val="18"/>
              </w:rPr>
              <w:t>-</w:t>
            </w:r>
          </w:p>
        </w:tc>
      </w:tr>
    </w:tbl>
    <w:p w14:paraId="14B16070" w14:textId="77777777" w:rsidR="00A924D6" w:rsidRPr="00BE6D45" w:rsidRDefault="00A924D6" w:rsidP="00A924D6">
      <w:pPr>
        <w:spacing w:before="120" w:line="240" w:lineRule="auto"/>
        <w:ind w:left="1276" w:right="1134"/>
        <w:jc w:val="both"/>
        <w:rPr>
          <w:i/>
        </w:rPr>
      </w:pPr>
      <w:r w:rsidRPr="0054266C">
        <w:rPr>
          <w:sz w:val="18"/>
          <w:szCs w:val="18"/>
        </w:rPr>
        <w:t xml:space="preserve">* The symbol </w:t>
      </w:r>
      <w:r w:rsidRPr="0054266C">
        <w:rPr>
          <w:sz w:val="18"/>
          <w:szCs w:val="18"/>
          <w:lang w:eastAsia="ja-JP"/>
        </w:rPr>
        <w:t>“W” is not indicated because deemed unnecessary for these classes as part of a matched pair</w:t>
      </w:r>
      <w:bookmarkEnd w:id="0"/>
      <w:r>
        <w:rPr>
          <w:sz w:val="18"/>
          <w:szCs w:val="18"/>
          <w:lang w:eastAsia="ja-JP"/>
        </w:rPr>
        <w:t>.”</w:t>
      </w:r>
    </w:p>
    <w:p w14:paraId="73CD641A" w14:textId="77777777" w:rsidR="00A924D6" w:rsidRPr="00C033DF" w:rsidRDefault="00A924D6" w:rsidP="00A924D6">
      <w:pPr>
        <w:spacing w:before="120" w:after="120"/>
        <w:ind w:left="2268" w:right="1134" w:hanging="1134"/>
        <w:jc w:val="both"/>
        <w:rPr>
          <w:rFonts w:eastAsia="Calibri"/>
          <w:iCs/>
        </w:rPr>
      </w:pPr>
      <w:r>
        <w:rPr>
          <w:rFonts w:eastAsia="Calibri"/>
          <w:i/>
        </w:rPr>
        <w:lastRenderedPageBreak/>
        <w:t>P</w:t>
      </w:r>
      <w:r w:rsidRPr="001731E8">
        <w:rPr>
          <w:rFonts w:eastAsia="Calibri"/>
          <w:i/>
        </w:rPr>
        <w:t xml:space="preserve">aragraph </w:t>
      </w:r>
      <w:r>
        <w:rPr>
          <w:rFonts w:eastAsia="Calibri"/>
          <w:i/>
        </w:rPr>
        <w:t xml:space="preserve">4.5.3.6., </w:t>
      </w:r>
      <w:r w:rsidRPr="00C033DF">
        <w:rPr>
          <w:rFonts w:eastAsia="Calibri"/>
          <w:iCs/>
        </w:rPr>
        <w:t>amend to read:</w:t>
      </w:r>
    </w:p>
    <w:p w14:paraId="29863B39" w14:textId="77777777" w:rsidR="00A924D6" w:rsidRDefault="00A924D6" w:rsidP="00A924D6">
      <w:pPr>
        <w:spacing w:after="120"/>
        <w:ind w:left="2268" w:right="1134" w:hanging="1134"/>
        <w:jc w:val="both"/>
        <w:rPr>
          <w:lang w:val="en-US"/>
        </w:rPr>
      </w:pPr>
      <w:r w:rsidRPr="00627CE7">
        <w:rPr>
          <w:lang w:val="en-US"/>
        </w:rPr>
        <w:t>“4.5.3.6.</w:t>
      </w:r>
      <w:r w:rsidRPr="00627CE7">
        <w:rPr>
          <w:lang w:val="en-US"/>
        </w:rPr>
        <w:tab/>
        <w:t>In case of an AFS incorporating light sources and/or light source modules producing the basic passing-beam and having a total objective luminous flux of the lighting units as indicated under item 9.2.3.(a) of the communication form which exceeds 2.00·10</w:t>
      </w:r>
      <w:r w:rsidRPr="00627CE7">
        <w:rPr>
          <w:vertAlign w:val="superscript"/>
          <w:lang w:val="en-US"/>
        </w:rPr>
        <w:t xml:space="preserve">3 </w:t>
      </w:r>
      <w:r w:rsidRPr="00627CE7">
        <w:rPr>
          <w:lang w:val="en-US"/>
        </w:rPr>
        <w:t>lumen per side, a reference shall be made in the communication form in Annex 1. This information is not necessary in case the AFS is intended for a vehicle of category L</w:t>
      </w:r>
      <w:r w:rsidRPr="00627CE7">
        <w:rPr>
          <w:vertAlign w:val="subscript"/>
          <w:lang w:val="en-US"/>
        </w:rPr>
        <w:t>3.</w:t>
      </w:r>
      <w:r w:rsidRPr="00627CE7">
        <w:rPr>
          <w:lang w:val="en-US"/>
        </w:rPr>
        <w:t>”</w:t>
      </w:r>
    </w:p>
    <w:p w14:paraId="1D9AC443" w14:textId="77777777" w:rsidR="00A924D6" w:rsidRPr="00617570" w:rsidRDefault="00A924D6" w:rsidP="00A924D6">
      <w:pPr>
        <w:spacing w:after="120"/>
        <w:ind w:left="2268" w:right="1134" w:hanging="1134"/>
        <w:jc w:val="both"/>
        <w:rPr>
          <w:iCs/>
          <w:lang w:val="en-US"/>
        </w:rPr>
      </w:pPr>
      <w:r w:rsidRPr="00617570">
        <w:rPr>
          <w:i/>
          <w:lang w:val="en-US"/>
        </w:rPr>
        <w:t xml:space="preserve">Paragraph 5.3.2.1., </w:t>
      </w:r>
      <w:r w:rsidRPr="00617570">
        <w:rPr>
          <w:iCs/>
          <w:lang w:val="en-US"/>
        </w:rPr>
        <w:t>amend to read:</w:t>
      </w:r>
    </w:p>
    <w:p w14:paraId="55680DEA" w14:textId="77777777" w:rsidR="00A924D6" w:rsidRPr="00617570" w:rsidRDefault="00A924D6" w:rsidP="00A924D6">
      <w:pPr>
        <w:spacing w:after="120"/>
        <w:ind w:left="2268" w:right="1134" w:hanging="1134"/>
        <w:jc w:val="both"/>
        <w:rPr>
          <w:lang w:val="en-US"/>
        </w:rPr>
      </w:pPr>
      <w:r w:rsidRPr="00617570">
        <w:rPr>
          <w:lang w:val="en-US"/>
        </w:rPr>
        <w:t>“5.3.2.1.</w:t>
      </w:r>
      <w:r w:rsidRPr="00617570">
        <w:rPr>
          <w:lang w:val="en-US"/>
        </w:rPr>
        <w:tab/>
        <w:t>For each side of the system (vehicle) or in the case of AFS for vehicles of category L</w:t>
      </w:r>
      <w:r w:rsidRPr="00617570">
        <w:rPr>
          <w:vertAlign w:val="subscript"/>
          <w:lang w:val="en-US"/>
        </w:rPr>
        <w:t>3</w:t>
      </w:r>
      <w:r w:rsidRPr="00617570">
        <w:rPr>
          <w:lang w:val="en-US"/>
        </w:rPr>
        <w:t xml:space="preserve"> for the system the passing-beam in its neutral state shall produce from at least one lighting unit a “cut-off” as defined in Annex 5 or,”</w:t>
      </w:r>
    </w:p>
    <w:p w14:paraId="13EAA01A" w14:textId="77777777" w:rsidR="00A924D6" w:rsidRPr="00617570" w:rsidRDefault="00A924D6" w:rsidP="00A924D6">
      <w:pPr>
        <w:spacing w:after="120"/>
        <w:ind w:left="2268" w:right="1134" w:hanging="1134"/>
        <w:jc w:val="both"/>
        <w:rPr>
          <w:lang w:val="en-US"/>
        </w:rPr>
      </w:pPr>
      <w:r w:rsidRPr="00617570">
        <w:rPr>
          <w:i/>
          <w:iCs/>
          <w:lang w:val="en-US"/>
        </w:rPr>
        <w:t>Paragraph 5.3.2.2.</w:t>
      </w:r>
      <w:r w:rsidRPr="00617570">
        <w:rPr>
          <w:lang w:val="en-US"/>
        </w:rPr>
        <w:t>, amend to read:</w:t>
      </w:r>
    </w:p>
    <w:p w14:paraId="2B0CD3F9" w14:textId="77777777" w:rsidR="00A924D6" w:rsidRPr="00617570" w:rsidRDefault="00A924D6" w:rsidP="00A924D6">
      <w:pPr>
        <w:spacing w:after="120"/>
        <w:ind w:left="2268" w:right="1134" w:hanging="1134"/>
        <w:jc w:val="both"/>
        <w:rPr>
          <w:lang w:val="en-US"/>
        </w:rPr>
      </w:pPr>
      <w:r w:rsidRPr="00617570">
        <w:rPr>
          <w:lang w:val="en-US"/>
        </w:rPr>
        <w:t>“5.3.2.2.</w:t>
      </w:r>
      <w:r w:rsidRPr="00617570">
        <w:rPr>
          <w:lang w:val="en-US"/>
        </w:rPr>
        <w:tab/>
        <w:t>The system or part(s) thereof shall be aimed according to the requirements of Annex 5 paragraph 3.2. including the allowed specific tolerances of paragraph 4 so that the position of the cut-off complies with the requirements indicated in Table 8. For AFS for vehicles of category L</w:t>
      </w:r>
      <w:r w:rsidRPr="00617570">
        <w:rPr>
          <w:vertAlign w:val="subscript"/>
          <w:lang w:val="en-US"/>
        </w:rPr>
        <w:t>3</w:t>
      </w:r>
      <w:r w:rsidRPr="00617570">
        <w:rPr>
          <w:lang w:val="en-US"/>
        </w:rPr>
        <w:t xml:space="preserve"> the system or part(s) thereof shall be aimed according to the requirements of Annex 5 paragraph 3.3.</w:t>
      </w:r>
    </w:p>
    <w:p w14:paraId="262CB8B9" w14:textId="77777777" w:rsidR="00A924D6" w:rsidRDefault="00A924D6" w:rsidP="00A924D6">
      <w:pPr>
        <w:spacing w:after="120"/>
        <w:ind w:left="2268" w:right="1134" w:hanging="1134"/>
        <w:jc w:val="both"/>
        <w:rPr>
          <w:lang w:val="en-US"/>
        </w:rPr>
      </w:pPr>
      <w:r w:rsidRPr="00617570">
        <w:rPr>
          <w:lang w:val="en-US"/>
        </w:rPr>
        <w:tab/>
        <w:t>If, however, the vertical adjustment cannot be performed repeatedly to the required position within the allowed tolerances, the instrument method of Annex 6, paragraph 2. shall be applied to the test compliance with the required minimum quality of the asymmetric “cut-off” line or of the symmetric “cut-off” line for AFS for vehicles of category L</w:t>
      </w:r>
      <w:r w:rsidRPr="00617570">
        <w:rPr>
          <w:vertAlign w:val="subscript"/>
          <w:lang w:val="en-US"/>
        </w:rPr>
        <w:t>3</w:t>
      </w:r>
      <w:r w:rsidRPr="00617570">
        <w:rPr>
          <w:lang w:val="en-US"/>
        </w:rPr>
        <w:t xml:space="preserve"> and to perform the beam vertical adjustment.”</w:t>
      </w:r>
    </w:p>
    <w:p w14:paraId="1CB74CB4" w14:textId="77777777" w:rsidR="00A924D6" w:rsidRPr="009C238A" w:rsidRDefault="00A924D6" w:rsidP="00A924D6">
      <w:pPr>
        <w:spacing w:after="120"/>
        <w:ind w:left="2268" w:right="1134" w:hanging="1134"/>
        <w:jc w:val="both"/>
        <w:rPr>
          <w:rFonts w:eastAsia="Calibri"/>
          <w:iCs/>
        </w:rPr>
      </w:pPr>
      <w:r w:rsidRPr="009C238A">
        <w:rPr>
          <w:rFonts w:eastAsia="Calibri"/>
          <w:i/>
        </w:rPr>
        <w:t xml:space="preserve">Paragraph 5.3.2.4., </w:t>
      </w:r>
      <w:r w:rsidRPr="009C238A">
        <w:rPr>
          <w:rFonts w:eastAsia="Calibri"/>
          <w:iCs/>
        </w:rPr>
        <w:t>amend to read:</w:t>
      </w:r>
    </w:p>
    <w:p w14:paraId="3F065169" w14:textId="77777777" w:rsidR="00A924D6" w:rsidRPr="009C238A" w:rsidRDefault="00A924D6" w:rsidP="00A924D6">
      <w:pPr>
        <w:spacing w:after="120"/>
        <w:ind w:left="2268" w:right="1134" w:hanging="1134"/>
        <w:jc w:val="both"/>
        <w:rPr>
          <w:i/>
          <w:lang w:val="en-US"/>
        </w:rPr>
      </w:pPr>
      <w:r w:rsidRPr="009C238A">
        <w:rPr>
          <w:lang w:val="en-US"/>
        </w:rPr>
        <w:t>“5.3.2.4.</w:t>
      </w:r>
      <w:r w:rsidRPr="009C238A">
        <w:rPr>
          <w:lang w:val="en-US"/>
        </w:rPr>
        <w:tab/>
        <w:t>When emitting a specified mode of the passing-beam, the system shall meet the requirements in the respective section (C, V, E, W) of part A of the Table 7 (photometric values) and in Table 8 (I</w:t>
      </w:r>
      <w:r w:rsidRPr="009C238A">
        <w:rPr>
          <w:vertAlign w:val="subscript"/>
          <w:lang w:val="en-US"/>
        </w:rPr>
        <w:t xml:space="preserve">max </w:t>
      </w:r>
      <w:r w:rsidRPr="009C238A">
        <w:rPr>
          <w:lang w:val="en-US"/>
        </w:rPr>
        <w:t>and “cut-off” positions), as well as paragraph 2.1. (asymmetric “cut-off” definition) of Annex 5. For AFS for vehicles of category L</w:t>
      </w:r>
      <w:r w:rsidRPr="009C238A">
        <w:rPr>
          <w:vertAlign w:val="subscript"/>
          <w:lang w:val="en-US"/>
        </w:rPr>
        <w:t>3</w:t>
      </w:r>
      <w:r w:rsidRPr="009C238A">
        <w:rPr>
          <w:lang w:val="en-US"/>
        </w:rPr>
        <w:t xml:space="preserve">, when emitting a specified mode of the passing-beam, the system shall meet the requirements for passing-beam of Class DS specified in paragraph 5.4. of this Regulation.” </w:t>
      </w:r>
    </w:p>
    <w:p w14:paraId="706DEF93" w14:textId="77777777" w:rsidR="00A924D6" w:rsidRDefault="00A924D6" w:rsidP="00A924D6">
      <w:pPr>
        <w:spacing w:before="120" w:after="120"/>
        <w:ind w:left="2268" w:right="1134" w:hanging="1134"/>
      </w:pPr>
      <w:r w:rsidRPr="00164C92">
        <w:rPr>
          <w:i/>
        </w:rPr>
        <w:t>Paragraph</w:t>
      </w:r>
      <w:r>
        <w:rPr>
          <w:i/>
          <w:iCs/>
        </w:rPr>
        <w:t xml:space="preserve"> 5.3.3.4.</w:t>
      </w:r>
      <w:r>
        <w:t>, amend to read:</w:t>
      </w:r>
    </w:p>
    <w:p w14:paraId="448CD0B7" w14:textId="77777777" w:rsidR="00A924D6" w:rsidRPr="00627CE7" w:rsidRDefault="00A924D6" w:rsidP="00A924D6">
      <w:pPr>
        <w:pStyle w:val="4Para4thlevel"/>
        <w:rPr>
          <w:i/>
          <w:iCs/>
          <w:lang w:val="en-US"/>
        </w:rPr>
      </w:pPr>
      <w:r>
        <w:t>“5.3.3.4.</w:t>
      </w:r>
      <w:r>
        <w:tab/>
      </w:r>
      <w:r w:rsidRPr="004C7C47">
        <w:t>The system shall be so made that the lighting unit(s) of the right side and of the left side each provide at least 1.60∙10</w:t>
      </w:r>
      <w:r w:rsidRPr="004C7C47">
        <w:rPr>
          <w:vertAlign w:val="superscript"/>
        </w:rPr>
        <w:t>4</w:t>
      </w:r>
      <w:r w:rsidRPr="004C7C47">
        <w:t xml:space="preserve"> cd at the point HV. In case of ADB for vehicles of category L</w:t>
      </w:r>
      <w:r w:rsidRPr="004C7C47">
        <w:rPr>
          <w:vertAlign w:val="subscript"/>
        </w:rPr>
        <w:t>3</w:t>
      </w:r>
      <w:r w:rsidRPr="004C7C47">
        <w:t>, each installation unit shall provide at least 1.60</w:t>
      </w:r>
      <w:r w:rsidRPr="004C7C47">
        <w:rPr>
          <w:lang w:val="en-US"/>
        </w:rPr>
        <w:t>∙10</w:t>
      </w:r>
      <w:r w:rsidRPr="004C7C47">
        <w:rPr>
          <w:vertAlign w:val="superscript"/>
          <w:lang w:val="en-US"/>
        </w:rPr>
        <w:t>4</w:t>
      </w:r>
      <w:r w:rsidRPr="004C7C47">
        <w:t xml:space="preserve"> cd at the point HV.”</w:t>
      </w:r>
    </w:p>
    <w:p w14:paraId="692FCF20" w14:textId="77777777" w:rsidR="00A924D6" w:rsidRDefault="00A924D6" w:rsidP="00A924D6">
      <w:pPr>
        <w:pStyle w:val="SingleTxtG"/>
      </w:pPr>
      <w:r>
        <w:rPr>
          <w:i/>
          <w:iCs/>
        </w:rPr>
        <w:t>P</w:t>
      </w:r>
      <w:r w:rsidRPr="009B56E1">
        <w:rPr>
          <w:i/>
          <w:iCs/>
        </w:rPr>
        <w:t>aragraphs 5.6.2., 5.6.3. and related sub-paragraphs</w:t>
      </w:r>
      <w:r w:rsidRPr="00456A54">
        <w:t xml:space="preserve">, </w:t>
      </w:r>
      <w:r>
        <w:t xml:space="preserve">delete. </w:t>
      </w:r>
    </w:p>
    <w:p w14:paraId="6A29E5E0" w14:textId="77777777" w:rsidR="00A924D6" w:rsidRDefault="00A924D6" w:rsidP="00A924D6">
      <w:pPr>
        <w:pStyle w:val="3para3rdlevel"/>
        <w:spacing w:before="120"/>
        <w:ind w:left="1134" w:firstLine="0"/>
        <w:rPr>
          <w:i/>
        </w:rPr>
      </w:pPr>
      <w:r>
        <w:rPr>
          <w:i/>
          <w:iCs/>
        </w:rPr>
        <w:t>P</w:t>
      </w:r>
      <w:r w:rsidRPr="002D5C8B">
        <w:rPr>
          <w:i/>
          <w:iCs/>
        </w:rPr>
        <w:t>aragraph</w:t>
      </w:r>
      <w:r>
        <w:rPr>
          <w:i/>
          <w:iCs/>
        </w:rPr>
        <w:t xml:space="preserve">s 5.6.4., 5.6.4.1. and 5.6.4.2., </w:t>
      </w:r>
      <w:r>
        <w:t xml:space="preserve">renumber as </w:t>
      </w:r>
      <w:r w:rsidRPr="009E3E80">
        <w:t>5.6.</w:t>
      </w:r>
      <w:r>
        <w:t>2</w:t>
      </w:r>
      <w:r w:rsidRPr="009E3E80">
        <w:t>., 5.6.</w:t>
      </w:r>
      <w:r>
        <w:t>2</w:t>
      </w:r>
      <w:r w:rsidRPr="009E3E80">
        <w:t>.1. and 5.6.</w:t>
      </w:r>
      <w:r>
        <w:t>2</w:t>
      </w:r>
      <w:r w:rsidRPr="009E3E80">
        <w:t>.2.</w:t>
      </w:r>
      <w:r>
        <w:t xml:space="preserve">, respectively. </w:t>
      </w:r>
    </w:p>
    <w:p w14:paraId="6464A7C0" w14:textId="77777777" w:rsidR="00A924D6" w:rsidRDefault="00A924D6" w:rsidP="00A924D6">
      <w:pPr>
        <w:spacing w:after="120"/>
        <w:ind w:left="2268" w:right="1134" w:hanging="1134"/>
        <w:rPr>
          <w:iCs/>
        </w:rPr>
      </w:pPr>
      <w:r>
        <w:rPr>
          <w:i/>
        </w:rPr>
        <w:t>Table 36, Part B</w:t>
      </w:r>
      <w:r>
        <w:rPr>
          <w:iCs/>
        </w:rPr>
        <w:t>, amend to read:</w:t>
      </w:r>
    </w:p>
    <w:p w14:paraId="048467BD" w14:textId="77777777" w:rsidR="00A924D6" w:rsidRDefault="00A924D6" w:rsidP="00A924D6">
      <w:pPr>
        <w:spacing w:after="120"/>
        <w:ind w:left="2268" w:right="1134" w:hanging="1134"/>
        <w:rPr>
          <w:iCs/>
        </w:rPr>
      </w:pPr>
      <w:r>
        <w:rPr>
          <w:i/>
        </w:rPr>
        <w:t>“…</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6"/>
        <w:gridCol w:w="2823"/>
        <w:gridCol w:w="992"/>
        <w:gridCol w:w="1276"/>
        <w:gridCol w:w="992"/>
        <w:gridCol w:w="942"/>
        <w:gridCol w:w="901"/>
      </w:tblGrid>
      <w:tr w:rsidR="00A924D6" w14:paraId="3453FD14" w14:textId="77777777" w:rsidTr="008A19B5">
        <w:trPr>
          <w:trHeight w:val="287"/>
          <w:tblHeader/>
        </w:trPr>
        <w:tc>
          <w:tcPr>
            <w:tcW w:w="286" w:type="dxa"/>
            <w:vMerge w:val="restart"/>
            <w:shd w:val="clear" w:color="auto" w:fill="auto"/>
            <w:textDirection w:val="btLr"/>
            <w:vAlign w:val="center"/>
          </w:tcPr>
          <w:p w14:paraId="668C8238" w14:textId="77777777" w:rsidR="00A924D6" w:rsidRDefault="00A924D6" w:rsidP="008A19B5">
            <w:pPr>
              <w:spacing w:before="20" w:after="20" w:line="240" w:lineRule="auto"/>
              <w:ind w:left="113" w:right="113"/>
              <w:jc w:val="center"/>
              <w:rPr>
                <w:sz w:val="18"/>
                <w:szCs w:val="18"/>
              </w:rPr>
            </w:pPr>
            <w:r>
              <w:rPr>
                <w:sz w:val="18"/>
                <w:szCs w:val="18"/>
              </w:rPr>
              <w:t>Part B</w:t>
            </w:r>
          </w:p>
        </w:tc>
        <w:tc>
          <w:tcPr>
            <w:tcW w:w="2823" w:type="dxa"/>
            <w:vMerge w:val="restart"/>
            <w:shd w:val="clear" w:color="auto" w:fill="auto"/>
            <w:vAlign w:val="center"/>
          </w:tcPr>
          <w:p w14:paraId="376C7FE7" w14:textId="77777777" w:rsidR="00A924D6" w:rsidRDefault="00A924D6" w:rsidP="008A19B5">
            <w:pPr>
              <w:spacing w:before="20" w:after="20" w:line="240" w:lineRule="auto"/>
              <w:jc w:val="center"/>
              <w:rPr>
                <w:b/>
                <w:bCs/>
                <w:i/>
                <w:iCs/>
                <w:sz w:val="16"/>
                <w:szCs w:val="16"/>
                <w:lang w:val="en-US"/>
              </w:rPr>
            </w:pPr>
            <w:r>
              <w:rPr>
                <w:b/>
                <w:bCs/>
                <w:i/>
                <w:iCs/>
                <w:sz w:val="16"/>
                <w:szCs w:val="16"/>
                <w:lang w:val="en-US"/>
              </w:rPr>
              <w:t>Element</w:t>
            </w:r>
            <w:r>
              <w:rPr>
                <w:b/>
                <w:bCs/>
                <w:i/>
                <w:sz w:val="16"/>
                <w:szCs w:val="16"/>
              </w:rPr>
              <w:t xml:space="preserve"> </w:t>
            </w:r>
            <w:r>
              <w:rPr>
                <w:b/>
                <w:bCs/>
                <w:i/>
                <w:sz w:val="16"/>
                <w:szCs w:val="16"/>
                <w:vertAlign w:val="superscript"/>
              </w:rPr>
              <w:t>a</w:t>
            </w:r>
          </w:p>
        </w:tc>
        <w:tc>
          <w:tcPr>
            <w:tcW w:w="2268" w:type="dxa"/>
            <w:gridSpan w:val="2"/>
            <w:vMerge w:val="restart"/>
            <w:vAlign w:val="center"/>
          </w:tcPr>
          <w:p w14:paraId="5873876D" w14:textId="77777777" w:rsidR="00A924D6" w:rsidRDefault="00A924D6" w:rsidP="008A19B5">
            <w:pPr>
              <w:spacing w:before="20" w:after="20" w:line="240" w:lineRule="auto"/>
              <w:jc w:val="center"/>
              <w:rPr>
                <w:rFonts w:eastAsia="HGSGothicM"/>
                <w:b/>
                <w:bCs/>
                <w:i/>
                <w:sz w:val="16"/>
                <w:szCs w:val="16"/>
                <w:lang w:val="en-US"/>
              </w:rPr>
            </w:pPr>
            <w:r>
              <w:rPr>
                <w:rFonts w:eastAsia="HGSGothicM"/>
                <w:b/>
                <w:bCs/>
                <w:i/>
                <w:sz w:val="16"/>
                <w:szCs w:val="16"/>
                <w:lang w:val="en-US"/>
              </w:rPr>
              <w:t>Angular coordinates</w:t>
            </w:r>
          </w:p>
          <w:p w14:paraId="631F3783" w14:textId="77777777" w:rsidR="00A924D6" w:rsidRDefault="00A924D6" w:rsidP="008A19B5">
            <w:pPr>
              <w:spacing w:before="20" w:after="20" w:line="240" w:lineRule="auto"/>
              <w:jc w:val="center"/>
              <w:rPr>
                <w:rFonts w:eastAsia="HGSGothicM"/>
                <w:b/>
                <w:bCs/>
                <w:i/>
                <w:sz w:val="16"/>
                <w:szCs w:val="16"/>
                <w:lang w:val="en-US"/>
              </w:rPr>
            </w:pPr>
            <w:r>
              <w:rPr>
                <w:rFonts w:eastAsia="HGSGothicM"/>
                <w:b/>
                <w:bCs/>
                <w:i/>
                <w:sz w:val="16"/>
                <w:szCs w:val="16"/>
                <w:lang w:val="en-US"/>
              </w:rPr>
              <w:t xml:space="preserve"> in </w:t>
            </w:r>
            <w:r>
              <w:rPr>
                <w:b/>
                <w:bCs/>
                <w:i/>
                <w:sz w:val="16"/>
                <w:szCs w:val="16"/>
              </w:rPr>
              <w:t>deg.</w:t>
            </w:r>
          </w:p>
        </w:tc>
        <w:tc>
          <w:tcPr>
            <w:tcW w:w="2835" w:type="dxa"/>
            <w:gridSpan w:val="3"/>
            <w:shd w:val="clear" w:color="auto" w:fill="auto"/>
            <w:vAlign w:val="center"/>
          </w:tcPr>
          <w:p w14:paraId="3FA19167" w14:textId="77777777" w:rsidR="00A924D6" w:rsidRDefault="00A924D6" w:rsidP="008A19B5">
            <w:pPr>
              <w:spacing w:before="20" w:after="20" w:line="240" w:lineRule="auto"/>
              <w:jc w:val="center"/>
              <w:rPr>
                <w:b/>
                <w:bCs/>
                <w:i/>
                <w:sz w:val="16"/>
                <w:szCs w:val="16"/>
              </w:rPr>
            </w:pPr>
            <w:r w:rsidRPr="00A5668D">
              <w:rPr>
                <w:b/>
                <w:bCs/>
                <w:i/>
                <w:sz w:val="16"/>
                <w:szCs w:val="16"/>
              </w:rPr>
              <w:t>Min.</w:t>
            </w:r>
            <w:r w:rsidRPr="00295956">
              <w:rPr>
                <w:b/>
                <w:bCs/>
                <w:i/>
                <w:sz w:val="16"/>
                <w:szCs w:val="16"/>
              </w:rPr>
              <w:t xml:space="preserve"> luminous</w:t>
            </w:r>
            <w:r>
              <w:rPr>
                <w:b/>
                <w:bCs/>
                <w:i/>
                <w:sz w:val="16"/>
                <w:szCs w:val="16"/>
              </w:rPr>
              <w:t xml:space="preserve"> intensity </w:t>
            </w:r>
            <w:r>
              <w:rPr>
                <w:b/>
                <w:bCs/>
                <w:i/>
                <w:sz w:val="16"/>
                <w:szCs w:val="16"/>
                <w:vertAlign w:val="superscript"/>
              </w:rPr>
              <w:t>b</w:t>
            </w:r>
            <w:r>
              <w:rPr>
                <w:b/>
                <w:bCs/>
                <w:i/>
                <w:sz w:val="16"/>
                <w:szCs w:val="16"/>
              </w:rPr>
              <w:t xml:space="preserve"> in cd</w:t>
            </w:r>
          </w:p>
        </w:tc>
      </w:tr>
      <w:tr w:rsidR="00A924D6" w14:paraId="6F6436D2" w14:textId="77777777" w:rsidTr="008A19B5">
        <w:trPr>
          <w:trHeight w:val="270"/>
          <w:tblHeader/>
        </w:trPr>
        <w:tc>
          <w:tcPr>
            <w:tcW w:w="286" w:type="dxa"/>
            <w:vMerge/>
            <w:shd w:val="clear" w:color="auto" w:fill="auto"/>
            <w:textDirection w:val="btLr"/>
            <w:vAlign w:val="center"/>
          </w:tcPr>
          <w:p w14:paraId="1520A7E2" w14:textId="77777777" w:rsidR="00A924D6" w:rsidRDefault="00A924D6" w:rsidP="008A19B5">
            <w:pPr>
              <w:spacing w:before="20" w:after="20" w:line="240" w:lineRule="auto"/>
              <w:ind w:left="113" w:right="113"/>
              <w:jc w:val="center"/>
              <w:rPr>
                <w:sz w:val="18"/>
                <w:szCs w:val="18"/>
              </w:rPr>
            </w:pPr>
          </w:p>
        </w:tc>
        <w:tc>
          <w:tcPr>
            <w:tcW w:w="2823" w:type="dxa"/>
            <w:vMerge/>
            <w:shd w:val="clear" w:color="auto" w:fill="auto"/>
            <w:vAlign w:val="center"/>
          </w:tcPr>
          <w:p w14:paraId="20D544BF" w14:textId="77777777" w:rsidR="00A924D6" w:rsidRDefault="00A924D6" w:rsidP="008A19B5">
            <w:pPr>
              <w:spacing w:before="20" w:after="20" w:line="240" w:lineRule="auto"/>
              <w:jc w:val="center"/>
              <w:rPr>
                <w:b/>
                <w:bCs/>
                <w:i/>
                <w:sz w:val="16"/>
                <w:szCs w:val="16"/>
              </w:rPr>
            </w:pPr>
          </w:p>
        </w:tc>
        <w:tc>
          <w:tcPr>
            <w:tcW w:w="2268" w:type="dxa"/>
            <w:gridSpan w:val="2"/>
            <w:vMerge/>
            <w:tcBorders>
              <w:bottom w:val="single" w:sz="4" w:space="0" w:color="auto"/>
            </w:tcBorders>
            <w:vAlign w:val="center"/>
          </w:tcPr>
          <w:p w14:paraId="30BB1D58" w14:textId="77777777" w:rsidR="00A924D6" w:rsidRDefault="00A924D6" w:rsidP="008A19B5">
            <w:pPr>
              <w:spacing w:before="20" w:after="20" w:line="240" w:lineRule="auto"/>
              <w:jc w:val="center"/>
              <w:rPr>
                <w:b/>
                <w:bCs/>
                <w:sz w:val="16"/>
                <w:szCs w:val="16"/>
              </w:rPr>
            </w:pPr>
          </w:p>
        </w:tc>
        <w:tc>
          <w:tcPr>
            <w:tcW w:w="992" w:type="dxa"/>
            <w:shd w:val="clear" w:color="auto" w:fill="auto"/>
            <w:vAlign w:val="center"/>
          </w:tcPr>
          <w:p w14:paraId="1561772A" w14:textId="77777777" w:rsidR="00A924D6" w:rsidRDefault="00A924D6" w:rsidP="008A19B5">
            <w:pPr>
              <w:spacing w:before="20" w:after="20" w:line="240" w:lineRule="auto"/>
              <w:jc w:val="center"/>
              <w:rPr>
                <w:b/>
                <w:bCs/>
                <w:i/>
                <w:sz w:val="16"/>
                <w:szCs w:val="16"/>
              </w:rPr>
            </w:pPr>
            <w:r>
              <w:rPr>
                <w:b/>
                <w:bCs/>
                <w:i/>
                <w:sz w:val="16"/>
                <w:szCs w:val="16"/>
              </w:rPr>
              <w:t>Column A</w:t>
            </w:r>
          </w:p>
        </w:tc>
        <w:tc>
          <w:tcPr>
            <w:tcW w:w="942" w:type="dxa"/>
            <w:shd w:val="clear" w:color="auto" w:fill="auto"/>
            <w:vAlign w:val="center"/>
          </w:tcPr>
          <w:p w14:paraId="57253097" w14:textId="77777777" w:rsidR="00A924D6" w:rsidRDefault="00A924D6" w:rsidP="008A19B5">
            <w:pPr>
              <w:spacing w:before="20" w:after="20" w:line="240" w:lineRule="auto"/>
              <w:jc w:val="center"/>
              <w:rPr>
                <w:b/>
                <w:bCs/>
                <w:sz w:val="16"/>
                <w:szCs w:val="16"/>
              </w:rPr>
            </w:pPr>
            <w:r>
              <w:rPr>
                <w:b/>
                <w:bCs/>
                <w:i/>
                <w:sz w:val="16"/>
                <w:szCs w:val="16"/>
              </w:rPr>
              <w:t>Column B</w:t>
            </w:r>
          </w:p>
        </w:tc>
        <w:tc>
          <w:tcPr>
            <w:tcW w:w="901" w:type="dxa"/>
            <w:shd w:val="clear" w:color="auto" w:fill="auto"/>
            <w:vAlign w:val="center"/>
          </w:tcPr>
          <w:p w14:paraId="48C602BF" w14:textId="77777777" w:rsidR="00A924D6" w:rsidRDefault="00A924D6" w:rsidP="008A19B5">
            <w:pPr>
              <w:spacing w:before="20" w:after="20" w:line="240" w:lineRule="auto"/>
              <w:jc w:val="center"/>
              <w:rPr>
                <w:b/>
                <w:bCs/>
                <w:sz w:val="16"/>
                <w:szCs w:val="16"/>
              </w:rPr>
            </w:pPr>
            <w:r>
              <w:rPr>
                <w:b/>
                <w:bCs/>
                <w:i/>
                <w:sz w:val="16"/>
                <w:szCs w:val="16"/>
              </w:rPr>
              <w:t>Column C</w:t>
            </w:r>
          </w:p>
        </w:tc>
      </w:tr>
      <w:tr w:rsidR="00A924D6" w14:paraId="1AB32F4E" w14:textId="77777777" w:rsidTr="008A19B5">
        <w:trPr>
          <w:trHeight w:val="20"/>
          <w:tblHeader/>
        </w:trPr>
        <w:tc>
          <w:tcPr>
            <w:tcW w:w="286" w:type="dxa"/>
            <w:vMerge/>
            <w:shd w:val="clear" w:color="auto" w:fill="auto"/>
          </w:tcPr>
          <w:p w14:paraId="72980388" w14:textId="77777777" w:rsidR="00A924D6" w:rsidRDefault="00A924D6" w:rsidP="008A19B5">
            <w:pPr>
              <w:spacing w:before="20" w:after="20" w:line="240" w:lineRule="auto"/>
              <w:rPr>
                <w:sz w:val="18"/>
                <w:szCs w:val="18"/>
              </w:rPr>
            </w:pPr>
          </w:p>
        </w:tc>
        <w:tc>
          <w:tcPr>
            <w:tcW w:w="2823" w:type="dxa"/>
            <w:vMerge/>
            <w:tcBorders>
              <w:bottom w:val="single" w:sz="12" w:space="0" w:color="auto"/>
            </w:tcBorders>
            <w:shd w:val="clear" w:color="auto" w:fill="auto"/>
          </w:tcPr>
          <w:p w14:paraId="4CCC7250" w14:textId="77777777" w:rsidR="00A924D6" w:rsidRDefault="00A924D6" w:rsidP="008A19B5">
            <w:pPr>
              <w:spacing w:before="20" w:after="20" w:line="240" w:lineRule="auto"/>
              <w:rPr>
                <w:b/>
                <w:bCs/>
                <w:sz w:val="16"/>
                <w:szCs w:val="16"/>
              </w:rPr>
            </w:pPr>
          </w:p>
        </w:tc>
        <w:tc>
          <w:tcPr>
            <w:tcW w:w="992" w:type="dxa"/>
            <w:tcBorders>
              <w:bottom w:val="single" w:sz="12" w:space="0" w:color="auto"/>
            </w:tcBorders>
            <w:vAlign w:val="center"/>
          </w:tcPr>
          <w:p w14:paraId="5A4A5548" w14:textId="77777777" w:rsidR="00A924D6" w:rsidRDefault="00A924D6" w:rsidP="008A19B5">
            <w:pPr>
              <w:spacing w:before="20" w:after="20" w:line="240" w:lineRule="auto"/>
              <w:jc w:val="center"/>
              <w:rPr>
                <w:b/>
                <w:bCs/>
                <w:i/>
                <w:sz w:val="16"/>
                <w:szCs w:val="16"/>
              </w:rPr>
            </w:pPr>
            <w:r>
              <w:rPr>
                <w:b/>
                <w:bCs/>
                <w:i/>
                <w:sz w:val="16"/>
                <w:szCs w:val="16"/>
              </w:rPr>
              <w:t>vertical</w:t>
            </w:r>
          </w:p>
        </w:tc>
        <w:tc>
          <w:tcPr>
            <w:tcW w:w="1276" w:type="dxa"/>
            <w:tcBorders>
              <w:bottom w:val="single" w:sz="12" w:space="0" w:color="auto"/>
            </w:tcBorders>
            <w:shd w:val="clear" w:color="auto" w:fill="auto"/>
            <w:vAlign w:val="center"/>
          </w:tcPr>
          <w:p w14:paraId="70B68C69" w14:textId="77777777" w:rsidR="00A924D6" w:rsidRDefault="00A924D6" w:rsidP="008A19B5">
            <w:pPr>
              <w:spacing w:before="20" w:after="20" w:line="240" w:lineRule="auto"/>
              <w:jc w:val="center"/>
              <w:rPr>
                <w:b/>
                <w:bCs/>
                <w:i/>
                <w:sz w:val="16"/>
                <w:szCs w:val="16"/>
              </w:rPr>
            </w:pPr>
            <w:r>
              <w:rPr>
                <w:b/>
                <w:bCs/>
                <w:i/>
                <w:sz w:val="16"/>
                <w:szCs w:val="16"/>
              </w:rPr>
              <w:t>horizontal</w:t>
            </w:r>
          </w:p>
        </w:tc>
        <w:tc>
          <w:tcPr>
            <w:tcW w:w="992" w:type="dxa"/>
            <w:tcBorders>
              <w:bottom w:val="single" w:sz="12" w:space="0" w:color="auto"/>
            </w:tcBorders>
            <w:shd w:val="clear" w:color="auto" w:fill="auto"/>
            <w:vAlign w:val="center"/>
          </w:tcPr>
          <w:p w14:paraId="26358F82" w14:textId="77777777" w:rsidR="00A924D6" w:rsidRDefault="00A924D6" w:rsidP="008A19B5">
            <w:pPr>
              <w:spacing w:before="20" w:after="20" w:line="240" w:lineRule="auto"/>
              <w:jc w:val="center"/>
              <w:rPr>
                <w:b/>
                <w:bCs/>
                <w:i/>
                <w:sz w:val="16"/>
                <w:szCs w:val="16"/>
              </w:rPr>
            </w:pPr>
            <w:r>
              <w:rPr>
                <w:rFonts w:ascii="Cambria Math" w:hAnsi="Cambria Math"/>
                <w:b/>
                <w:bCs/>
                <w:i/>
                <w:sz w:val="16"/>
                <w:szCs w:val="16"/>
              </w:rPr>
              <w:t>≙</w:t>
            </w:r>
            <w:r>
              <w:rPr>
                <w:b/>
                <w:bCs/>
                <w:i/>
                <w:sz w:val="16"/>
                <w:szCs w:val="16"/>
              </w:rPr>
              <w:t xml:space="preserve"> 0% CoP</w:t>
            </w:r>
          </w:p>
        </w:tc>
        <w:tc>
          <w:tcPr>
            <w:tcW w:w="942" w:type="dxa"/>
            <w:tcBorders>
              <w:bottom w:val="single" w:sz="12" w:space="0" w:color="auto"/>
            </w:tcBorders>
            <w:shd w:val="clear" w:color="auto" w:fill="auto"/>
            <w:vAlign w:val="center"/>
          </w:tcPr>
          <w:p w14:paraId="6FCF2F56" w14:textId="77777777" w:rsidR="00A924D6" w:rsidRDefault="00A924D6" w:rsidP="008A19B5">
            <w:pPr>
              <w:spacing w:before="20" w:after="20" w:line="240" w:lineRule="auto"/>
              <w:jc w:val="center"/>
              <w:rPr>
                <w:b/>
                <w:bCs/>
                <w:i/>
                <w:sz w:val="16"/>
                <w:szCs w:val="16"/>
              </w:rPr>
            </w:pPr>
            <w:r>
              <w:rPr>
                <w:rFonts w:ascii="Cambria Math" w:hAnsi="Cambria Math"/>
                <w:b/>
                <w:bCs/>
                <w:i/>
                <w:sz w:val="16"/>
                <w:szCs w:val="16"/>
              </w:rPr>
              <w:t>≙</w:t>
            </w:r>
            <w:r>
              <w:rPr>
                <w:b/>
                <w:bCs/>
                <w:i/>
                <w:sz w:val="16"/>
                <w:szCs w:val="16"/>
              </w:rPr>
              <w:t xml:space="preserve"> 20% CoP</w:t>
            </w:r>
          </w:p>
        </w:tc>
        <w:tc>
          <w:tcPr>
            <w:tcW w:w="901" w:type="dxa"/>
            <w:tcBorders>
              <w:bottom w:val="single" w:sz="12" w:space="0" w:color="auto"/>
            </w:tcBorders>
            <w:shd w:val="clear" w:color="auto" w:fill="auto"/>
            <w:vAlign w:val="center"/>
          </w:tcPr>
          <w:p w14:paraId="7A57F086" w14:textId="77777777" w:rsidR="00A924D6" w:rsidRDefault="00A924D6" w:rsidP="008A19B5">
            <w:pPr>
              <w:spacing w:before="20" w:after="20" w:line="240" w:lineRule="auto"/>
              <w:jc w:val="center"/>
              <w:rPr>
                <w:b/>
                <w:bCs/>
                <w:i/>
                <w:sz w:val="16"/>
                <w:szCs w:val="16"/>
              </w:rPr>
            </w:pPr>
            <w:r>
              <w:rPr>
                <w:rFonts w:ascii="Cambria Math" w:hAnsi="Cambria Math"/>
                <w:b/>
                <w:bCs/>
                <w:i/>
                <w:sz w:val="16"/>
                <w:szCs w:val="16"/>
              </w:rPr>
              <w:t>≙</w:t>
            </w:r>
            <w:r>
              <w:rPr>
                <w:b/>
                <w:bCs/>
                <w:i/>
                <w:sz w:val="16"/>
                <w:szCs w:val="16"/>
              </w:rPr>
              <w:t xml:space="preserve"> 30% CoP</w:t>
            </w:r>
          </w:p>
        </w:tc>
      </w:tr>
      <w:tr w:rsidR="00A924D6" w14:paraId="62D66FB7" w14:textId="77777777" w:rsidTr="008A19B5">
        <w:trPr>
          <w:trHeight w:val="20"/>
        </w:trPr>
        <w:tc>
          <w:tcPr>
            <w:tcW w:w="286" w:type="dxa"/>
            <w:vMerge/>
            <w:shd w:val="clear" w:color="auto" w:fill="AEAAAA"/>
          </w:tcPr>
          <w:p w14:paraId="672A8918" w14:textId="77777777" w:rsidR="00A924D6" w:rsidRDefault="00A924D6" w:rsidP="008A19B5">
            <w:pPr>
              <w:spacing w:before="20" w:after="20" w:line="240" w:lineRule="auto"/>
              <w:rPr>
                <w:sz w:val="18"/>
                <w:szCs w:val="18"/>
              </w:rPr>
            </w:pPr>
          </w:p>
        </w:tc>
        <w:tc>
          <w:tcPr>
            <w:tcW w:w="2823" w:type="dxa"/>
            <w:tcBorders>
              <w:top w:val="single" w:sz="12" w:space="0" w:color="auto"/>
            </w:tcBorders>
            <w:shd w:val="clear" w:color="auto" w:fill="auto"/>
            <w:vAlign w:val="center"/>
          </w:tcPr>
          <w:p w14:paraId="65DA3BAD" w14:textId="77777777" w:rsidR="00A924D6" w:rsidRDefault="00A924D6" w:rsidP="008A19B5">
            <w:pPr>
              <w:spacing w:before="20" w:after="20" w:line="240" w:lineRule="auto"/>
              <w:jc w:val="center"/>
              <w:rPr>
                <w:sz w:val="18"/>
                <w:szCs w:val="18"/>
              </w:rPr>
            </w:pPr>
            <w:r>
              <w:rPr>
                <w:bCs/>
                <w:sz w:val="18"/>
                <w:szCs w:val="18"/>
              </w:rPr>
              <w:t>50L</w:t>
            </w:r>
          </w:p>
        </w:tc>
        <w:tc>
          <w:tcPr>
            <w:tcW w:w="992" w:type="dxa"/>
            <w:tcBorders>
              <w:top w:val="single" w:sz="12" w:space="0" w:color="auto"/>
            </w:tcBorders>
            <w:vAlign w:val="center"/>
          </w:tcPr>
          <w:p w14:paraId="00305383" w14:textId="77777777" w:rsidR="00A924D6" w:rsidRDefault="00A924D6" w:rsidP="008A19B5">
            <w:pPr>
              <w:spacing w:before="20" w:after="20" w:line="240" w:lineRule="auto"/>
              <w:jc w:val="center"/>
              <w:rPr>
                <w:sz w:val="18"/>
                <w:szCs w:val="18"/>
              </w:rPr>
            </w:pPr>
            <w:r>
              <w:rPr>
                <w:snapToGrid w:val="0"/>
                <w:sz w:val="18"/>
                <w:szCs w:val="18"/>
              </w:rPr>
              <w:t>0.86°D</w:t>
            </w:r>
          </w:p>
        </w:tc>
        <w:tc>
          <w:tcPr>
            <w:tcW w:w="1276" w:type="dxa"/>
            <w:tcBorders>
              <w:top w:val="single" w:sz="12" w:space="0" w:color="auto"/>
            </w:tcBorders>
            <w:shd w:val="clear" w:color="auto" w:fill="auto"/>
            <w:vAlign w:val="center"/>
          </w:tcPr>
          <w:p w14:paraId="59007F23" w14:textId="77777777" w:rsidR="00A924D6" w:rsidRDefault="00A924D6" w:rsidP="008A19B5">
            <w:pPr>
              <w:spacing w:before="20" w:after="20" w:line="240" w:lineRule="auto"/>
              <w:jc w:val="center"/>
              <w:rPr>
                <w:sz w:val="18"/>
                <w:szCs w:val="18"/>
              </w:rPr>
            </w:pPr>
            <w:r>
              <w:rPr>
                <w:snapToGrid w:val="0"/>
                <w:sz w:val="18"/>
                <w:szCs w:val="18"/>
              </w:rPr>
              <w:t>3.43°L</w:t>
            </w:r>
          </w:p>
        </w:tc>
        <w:tc>
          <w:tcPr>
            <w:tcW w:w="992" w:type="dxa"/>
            <w:tcBorders>
              <w:top w:val="single" w:sz="12" w:space="0" w:color="auto"/>
            </w:tcBorders>
            <w:shd w:val="clear" w:color="auto" w:fill="auto"/>
            <w:vAlign w:val="center"/>
          </w:tcPr>
          <w:p w14:paraId="031A448D" w14:textId="77777777" w:rsidR="00A924D6" w:rsidRDefault="00A924D6" w:rsidP="008A19B5">
            <w:pPr>
              <w:spacing w:before="20" w:after="20" w:line="240" w:lineRule="auto"/>
              <w:jc w:val="center"/>
              <w:rPr>
                <w:sz w:val="18"/>
                <w:szCs w:val="18"/>
              </w:rPr>
            </w:pPr>
            <w:r>
              <w:rPr>
                <w:bCs/>
                <w:sz w:val="18"/>
                <w:szCs w:val="18"/>
              </w:rPr>
              <w:t>2.55∙10</w:t>
            </w:r>
            <w:r>
              <w:rPr>
                <w:bCs/>
                <w:sz w:val="18"/>
                <w:szCs w:val="18"/>
                <w:vertAlign w:val="superscript"/>
              </w:rPr>
              <w:t>3</w:t>
            </w:r>
          </w:p>
        </w:tc>
        <w:tc>
          <w:tcPr>
            <w:tcW w:w="942" w:type="dxa"/>
            <w:tcBorders>
              <w:top w:val="single" w:sz="12" w:space="0" w:color="auto"/>
            </w:tcBorders>
            <w:shd w:val="clear" w:color="auto" w:fill="auto"/>
            <w:vAlign w:val="center"/>
          </w:tcPr>
          <w:p w14:paraId="21C48721" w14:textId="77777777" w:rsidR="00A924D6" w:rsidRDefault="00A924D6" w:rsidP="008A19B5">
            <w:pPr>
              <w:spacing w:before="20" w:after="20" w:line="240" w:lineRule="auto"/>
              <w:jc w:val="center"/>
              <w:rPr>
                <w:sz w:val="18"/>
                <w:szCs w:val="18"/>
              </w:rPr>
            </w:pPr>
            <w:r>
              <w:rPr>
                <w:sz w:val="18"/>
                <w:szCs w:val="18"/>
              </w:rPr>
              <w:t>2.04</w:t>
            </w:r>
            <w:r>
              <w:rPr>
                <w:bCs/>
                <w:sz w:val="18"/>
                <w:szCs w:val="18"/>
              </w:rPr>
              <w:t>∙10</w:t>
            </w:r>
            <w:r>
              <w:rPr>
                <w:bCs/>
                <w:sz w:val="18"/>
                <w:szCs w:val="18"/>
                <w:vertAlign w:val="superscript"/>
              </w:rPr>
              <w:t>3</w:t>
            </w:r>
          </w:p>
        </w:tc>
        <w:tc>
          <w:tcPr>
            <w:tcW w:w="901" w:type="dxa"/>
            <w:tcBorders>
              <w:top w:val="single" w:sz="12" w:space="0" w:color="auto"/>
            </w:tcBorders>
            <w:shd w:val="clear" w:color="auto" w:fill="auto"/>
            <w:vAlign w:val="center"/>
          </w:tcPr>
          <w:p w14:paraId="0B80AF6C" w14:textId="77777777" w:rsidR="00A924D6" w:rsidRDefault="00A924D6" w:rsidP="008A19B5">
            <w:pPr>
              <w:spacing w:before="20" w:after="20" w:line="240" w:lineRule="auto"/>
              <w:jc w:val="center"/>
              <w:rPr>
                <w:sz w:val="18"/>
                <w:szCs w:val="18"/>
              </w:rPr>
            </w:pPr>
            <w:r>
              <w:rPr>
                <w:sz w:val="18"/>
                <w:szCs w:val="18"/>
              </w:rPr>
              <w:t>1.79∙10</w:t>
            </w:r>
            <w:r>
              <w:rPr>
                <w:bCs/>
                <w:sz w:val="18"/>
                <w:szCs w:val="18"/>
                <w:vertAlign w:val="superscript"/>
              </w:rPr>
              <w:t>3</w:t>
            </w:r>
          </w:p>
        </w:tc>
      </w:tr>
      <w:tr w:rsidR="00A924D6" w14:paraId="637D6BEE" w14:textId="77777777" w:rsidTr="008A19B5">
        <w:trPr>
          <w:trHeight w:val="20"/>
        </w:trPr>
        <w:tc>
          <w:tcPr>
            <w:tcW w:w="286" w:type="dxa"/>
            <w:vMerge/>
            <w:shd w:val="clear" w:color="auto" w:fill="AEAAAA"/>
          </w:tcPr>
          <w:p w14:paraId="5788A322" w14:textId="77777777" w:rsidR="00A924D6" w:rsidRDefault="00A924D6" w:rsidP="008A19B5">
            <w:pPr>
              <w:spacing w:before="20" w:after="20" w:line="240" w:lineRule="auto"/>
              <w:rPr>
                <w:sz w:val="18"/>
                <w:szCs w:val="18"/>
              </w:rPr>
            </w:pPr>
          </w:p>
        </w:tc>
        <w:tc>
          <w:tcPr>
            <w:tcW w:w="2823" w:type="dxa"/>
            <w:shd w:val="clear" w:color="auto" w:fill="auto"/>
            <w:vAlign w:val="center"/>
          </w:tcPr>
          <w:p w14:paraId="2FE73F85" w14:textId="77777777" w:rsidR="00A924D6" w:rsidRDefault="00A924D6" w:rsidP="008A19B5">
            <w:pPr>
              <w:spacing w:before="20" w:after="20" w:line="240" w:lineRule="auto"/>
              <w:jc w:val="center"/>
              <w:rPr>
                <w:sz w:val="18"/>
                <w:szCs w:val="18"/>
              </w:rPr>
            </w:pPr>
            <w:r>
              <w:rPr>
                <w:bCs/>
                <w:sz w:val="18"/>
                <w:szCs w:val="18"/>
              </w:rPr>
              <w:t>50V</w:t>
            </w:r>
          </w:p>
        </w:tc>
        <w:tc>
          <w:tcPr>
            <w:tcW w:w="992" w:type="dxa"/>
            <w:vAlign w:val="center"/>
          </w:tcPr>
          <w:p w14:paraId="557CA7EF" w14:textId="77777777" w:rsidR="00A924D6" w:rsidRDefault="00A924D6" w:rsidP="008A19B5">
            <w:pPr>
              <w:spacing w:before="20" w:after="20" w:line="240" w:lineRule="auto"/>
              <w:jc w:val="center"/>
              <w:rPr>
                <w:sz w:val="18"/>
                <w:szCs w:val="18"/>
              </w:rPr>
            </w:pPr>
            <w:r>
              <w:rPr>
                <w:snapToGrid w:val="0"/>
                <w:sz w:val="18"/>
                <w:szCs w:val="18"/>
              </w:rPr>
              <w:t>0.86°D</w:t>
            </w:r>
          </w:p>
        </w:tc>
        <w:tc>
          <w:tcPr>
            <w:tcW w:w="1276" w:type="dxa"/>
            <w:shd w:val="clear" w:color="auto" w:fill="auto"/>
            <w:vAlign w:val="center"/>
          </w:tcPr>
          <w:p w14:paraId="2A4354C4" w14:textId="77777777" w:rsidR="00A924D6" w:rsidRDefault="00A924D6" w:rsidP="008A19B5">
            <w:pPr>
              <w:spacing w:before="20" w:after="20" w:line="240" w:lineRule="auto"/>
              <w:jc w:val="center"/>
              <w:rPr>
                <w:sz w:val="18"/>
                <w:szCs w:val="18"/>
              </w:rPr>
            </w:pPr>
            <w:r>
              <w:rPr>
                <w:sz w:val="18"/>
                <w:szCs w:val="18"/>
              </w:rPr>
              <w:t>0°</w:t>
            </w:r>
          </w:p>
        </w:tc>
        <w:tc>
          <w:tcPr>
            <w:tcW w:w="992" w:type="dxa"/>
            <w:shd w:val="clear" w:color="auto" w:fill="auto"/>
            <w:vAlign w:val="center"/>
          </w:tcPr>
          <w:p w14:paraId="7417ADFB" w14:textId="77777777" w:rsidR="00A924D6" w:rsidRDefault="00A924D6" w:rsidP="008A19B5">
            <w:pPr>
              <w:spacing w:before="20" w:after="20" w:line="240" w:lineRule="auto"/>
              <w:jc w:val="center"/>
              <w:rPr>
                <w:sz w:val="18"/>
                <w:szCs w:val="18"/>
              </w:rPr>
            </w:pPr>
            <w:r>
              <w:rPr>
                <w:bCs/>
                <w:sz w:val="18"/>
                <w:szCs w:val="18"/>
              </w:rPr>
              <w:t>5.10∙10</w:t>
            </w:r>
            <w:r>
              <w:rPr>
                <w:bCs/>
                <w:sz w:val="18"/>
                <w:szCs w:val="18"/>
                <w:vertAlign w:val="superscript"/>
              </w:rPr>
              <w:t>3</w:t>
            </w:r>
          </w:p>
        </w:tc>
        <w:tc>
          <w:tcPr>
            <w:tcW w:w="942" w:type="dxa"/>
            <w:shd w:val="clear" w:color="auto" w:fill="auto"/>
            <w:vAlign w:val="center"/>
          </w:tcPr>
          <w:p w14:paraId="4B7A5AA9" w14:textId="77777777" w:rsidR="00A924D6" w:rsidRDefault="00A924D6" w:rsidP="008A19B5">
            <w:pPr>
              <w:spacing w:before="20" w:after="20" w:line="240" w:lineRule="auto"/>
              <w:jc w:val="center"/>
              <w:rPr>
                <w:sz w:val="18"/>
                <w:szCs w:val="18"/>
              </w:rPr>
            </w:pPr>
            <w:r>
              <w:rPr>
                <w:sz w:val="18"/>
                <w:szCs w:val="18"/>
              </w:rPr>
              <w:t>4.08</w:t>
            </w:r>
            <w:r>
              <w:rPr>
                <w:bCs/>
                <w:sz w:val="18"/>
                <w:szCs w:val="18"/>
              </w:rPr>
              <w:t>∙10</w:t>
            </w:r>
            <w:r>
              <w:rPr>
                <w:bCs/>
                <w:sz w:val="18"/>
                <w:szCs w:val="18"/>
                <w:vertAlign w:val="superscript"/>
              </w:rPr>
              <w:t>3</w:t>
            </w:r>
          </w:p>
        </w:tc>
        <w:tc>
          <w:tcPr>
            <w:tcW w:w="901" w:type="dxa"/>
            <w:shd w:val="clear" w:color="auto" w:fill="auto"/>
            <w:vAlign w:val="center"/>
          </w:tcPr>
          <w:p w14:paraId="2FF4F590" w14:textId="77777777" w:rsidR="00A924D6" w:rsidRDefault="00A924D6" w:rsidP="008A19B5">
            <w:pPr>
              <w:spacing w:before="20" w:after="20" w:line="240" w:lineRule="auto"/>
              <w:jc w:val="center"/>
              <w:rPr>
                <w:sz w:val="18"/>
                <w:szCs w:val="18"/>
              </w:rPr>
            </w:pPr>
            <w:r>
              <w:rPr>
                <w:sz w:val="18"/>
                <w:szCs w:val="18"/>
              </w:rPr>
              <w:t>3.57</w:t>
            </w:r>
            <w:r>
              <w:rPr>
                <w:bCs/>
                <w:sz w:val="18"/>
                <w:szCs w:val="18"/>
              </w:rPr>
              <w:t>∙10</w:t>
            </w:r>
            <w:r>
              <w:rPr>
                <w:bCs/>
                <w:sz w:val="18"/>
                <w:szCs w:val="18"/>
                <w:vertAlign w:val="superscript"/>
              </w:rPr>
              <w:t>3</w:t>
            </w:r>
          </w:p>
        </w:tc>
      </w:tr>
      <w:tr w:rsidR="00A924D6" w14:paraId="1BAAFAB9" w14:textId="77777777" w:rsidTr="008A19B5">
        <w:trPr>
          <w:trHeight w:val="20"/>
        </w:trPr>
        <w:tc>
          <w:tcPr>
            <w:tcW w:w="286" w:type="dxa"/>
            <w:vMerge/>
            <w:shd w:val="clear" w:color="auto" w:fill="AEAAAA"/>
          </w:tcPr>
          <w:p w14:paraId="5DA26266" w14:textId="77777777" w:rsidR="00A924D6" w:rsidRDefault="00A924D6" w:rsidP="008A19B5">
            <w:pPr>
              <w:spacing w:before="20" w:after="20" w:line="240" w:lineRule="auto"/>
              <w:rPr>
                <w:sz w:val="18"/>
                <w:szCs w:val="18"/>
              </w:rPr>
            </w:pPr>
          </w:p>
        </w:tc>
        <w:tc>
          <w:tcPr>
            <w:tcW w:w="2823" w:type="dxa"/>
            <w:shd w:val="clear" w:color="auto" w:fill="auto"/>
            <w:vAlign w:val="center"/>
          </w:tcPr>
          <w:p w14:paraId="39A5D432" w14:textId="77777777" w:rsidR="00A924D6" w:rsidRDefault="00A924D6" w:rsidP="008A19B5">
            <w:pPr>
              <w:spacing w:before="20" w:after="20" w:line="240" w:lineRule="auto"/>
              <w:jc w:val="center"/>
              <w:rPr>
                <w:sz w:val="18"/>
                <w:szCs w:val="18"/>
              </w:rPr>
            </w:pPr>
            <w:r>
              <w:rPr>
                <w:sz w:val="18"/>
                <w:szCs w:val="18"/>
              </w:rPr>
              <w:t>50R</w:t>
            </w:r>
          </w:p>
        </w:tc>
        <w:tc>
          <w:tcPr>
            <w:tcW w:w="992" w:type="dxa"/>
            <w:vAlign w:val="center"/>
          </w:tcPr>
          <w:p w14:paraId="29CA66A5" w14:textId="77777777" w:rsidR="00A924D6" w:rsidRDefault="00A924D6" w:rsidP="008A19B5">
            <w:pPr>
              <w:spacing w:before="20" w:after="20" w:line="240" w:lineRule="auto"/>
              <w:jc w:val="center"/>
              <w:rPr>
                <w:sz w:val="18"/>
                <w:szCs w:val="18"/>
              </w:rPr>
            </w:pPr>
            <w:r>
              <w:rPr>
                <w:snapToGrid w:val="0"/>
                <w:sz w:val="18"/>
                <w:szCs w:val="18"/>
              </w:rPr>
              <w:t>0.86°D</w:t>
            </w:r>
          </w:p>
        </w:tc>
        <w:tc>
          <w:tcPr>
            <w:tcW w:w="1276" w:type="dxa"/>
            <w:shd w:val="clear" w:color="auto" w:fill="auto"/>
            <w:vAlign w:val="center"/>
          </w:tcPr>
          <w:p w14:paraId="54D091AB" w14:textId="77777777" w:rsidR="00A924D6" w:rsidRDefault="00A924D6" w:rsidP="008A19B5">
            <w:pPr>
              <w:spacing w:before="20" w:after="20" w:line="240" w:lineRule="auto"/>
              <w:jc w:val="center"/>
              <w:rPr>
                <w:sz w:val="18"/>
                <w:szCs w:val="18"/>
              </w:rPr>
            </w:pPr>
            <w:r>
              <w:rPr>
                <w:sz w:val="18"/>
                <w:szCs w:val="18"/>
              </w:rPr>
              <w:t>1.72°R</w:t>
            </w:r>
          </w:p>
        </w:tc>
        <w:tc>
          <w:tcPr>
            <w:tcW w:w="992" w:type="dxa"/>
            <w:shd w:val="clear" w:color="auto" w:fill="auto"/>
            <w:vAlign w:val="center"/>
          </w:tcPr>
          <w:p w14:paraId="60714322" w14:textId="77777777" w:rsidR="00A924D6" w:rsidRDefault="00A924D6" w:rsidP="008A19B5">
            <w:pPr>
              <w:spacing w:before="20" w:after="20" w:line="240" w:lineRule="auto"/>
              <w:jc w:val="center"/>
              <w:rPr>
                <w:sz w:val="18"/>
                <w:szCs w:val="18"/>
              </w:rPr>
            </w:pPr>
            <w:r>
              <w:rPr>
                <w:bCs/>
                <w:sz w:val="18"/>
                <w:szCs w:val="18"/>
              </w:rPr>
              <w:t>5.10∙10</w:t>
            </w:r>
            <w:r>
              <w:rPr>
                <w:bCs/>
                <w:sz w:val="18"/>
                <w:szCs w:val="18"/>
                <w:vertAlign w:val="superscript"/>
              </w:rPr>
              <w:t>3</w:t>
            </w:r>
          </w:p>
        </w:tc>
        <w:tc>
          <w:tcPr>
            <w:tcW w:w="942" w:type="dxa"/>
            <w:shd w:val="clear" w:color="auto" w:fill="auto"/>
            <w:vAlign w:val="center"/>
          </w:tcPr>
          <w:p w14:paraId="74294C69" w14:textId="77777777" w:rsidR="00A924D6" w:rsidRDefault="00A924D6" w:rsidP="008A19B5">
            <w:pPr>
              <w:spacing w:before="20" w:after="20" w:line="240" w:lineRule="auto"/>
              <w:jc w:val="center"/>
              <w:rPr>
                <w:sz w:val="18"/>
                <w:szCs w:val="18"/>
              </w:rPr>
            </w:pPr>
            <w:r>
              <w:rPr>
                <w:sz w:val="18"/>
                <w:szCs w:val="18"/>
              </w:rPr>
              <w:t>4.08</w:t>
            </w:r>
            <w:r>
              <w:rPr>
                <w:bCs/>
                <w:sz w:val="18"/>
                <w:szCs w:val="18"/>
              </w:rPr>
              <w:t>∙10</w:t>
            </w:r>
            <w:r>
              <w:rPr>
                <w:bCs/>
                <w:sz w:val="18"/>
                <w:szCs w:val="18"/>
                <w:vertAlign w:val="superscript"/>
              </w:rPr>
              <w:t>3</w:t>
            </w:r>
          </w:p>
        </w:tc>
        <w:tc>
          <w:tcPr>
            <w:tcW w:w="901" w:type="dxa"/>
            <w:shd w:val="clear" w:color="auto" w:fill="auto"/>
            <w:vAlign w:val="center"/>
          </w:tcPr>
          <w:p w14:paraId="6F6548E9" w14:textId="77777777" w:rsidR="00A924D6" w:rsidRDefault="00A924D6" w:rsidP="008A19B5">
            <w:pPr>
              <w:spacing w:before="20" w:after="20" w:line="240" w:lineRule="auto"/>
              <w:jc w:val="center"/>
              <w:rPr>
                <w:sz w:val="18"/>
                <w:szCs w:val="18"/>
              </w:rPr>
            </w:pPr>
            <w:r>
              <w:rPr>
                <w:sz w:val="18"/>
                <w:szCs w:val="18"/>
              </w:rPr>
              <w:t>3.57</w:t>
            </w:r>
            <w:r>
              <w:rPr>
                <w:bCs/>
                <w:sz w:val="18"/>
                <w:szCs w:val="18"/>
              </w:rPr>
              <w:t>∙10</w:t>
            </w:r>
            <w:r>
              <w:rPr>
                <w:bCs/>
                <w:sz w:val="18"/>
                <w:szCs w:val="18"/>
                <w:vertAlign w:val="superscript"/>
              </w:rPr>
              <w:t>3</w:t>
            </w:r>
          </w:p>
        </w:tc>
      </w:tr>
      <w:tr w:rsidR="00A924D6" w14:paraId="2DD4103C" w14:textId="77777777" w:rsidTr="008A19B5">
        <w:trPr>
          <w:trHeight w:val="20"/>
        </w:trPr>
        <w:tc>
          <w:tcPr>
            <w:tcW w:w="286" w:type="dxa"/>
            <w:vMerge/>
            <w:shd w:val="clear" w:color="auto" w:fill="AEAAAA"/>
          </w:tcPr>
          <w:p w14:paraId="09614A3A" w14:textId="77777777" w:rsidR="00A924D6" w:rsidRDefault="00A924D6" w:rsidP="008A19B5">
            <w:pPr>
              <w:spacing w:before="20" w:after="20" w:line="240" w:lineRule="auto"/>
              <w:rPr>
                <w:sz w:val="18"/>
                <w:szCs w:val="18"/>
              </w:rPr>
            </w:pPr>
          </w:p>
        </w:tc>
        <w:tc>
          <w:tcPr>
            <w:tcW w:w="2823" w:type="dxa"/>
            <w:shd w:val="clear" w:color="auto" w:fill="auto"/>
            <w:vAlign w:val="center"/>
          </w:tcPr>
          <w:p w14:paraId="74693D54" w14:textId="77777777" w:rsidR="00A924D6" w:rsidRDefault="00A924D6" w:rsidP="008A19B5">
            <w:pPr>
              <w:pageBreakBefore/>
              <w:spacing w:before="20" w:after="20" w:line="240" w:lineRule="auto"/>
              <w:jc w:val="center"/>
              <w:rPr>
                <w:sz w:val="18"/>
                <w:szCs w:val="18"/>
              </w:rPr>
            </w:pPr>
            <w:r>
              <w:rPr>
                <w:bCs/>
                <w:sz w:val="18"/>
                <w:szCs w:val="18"/>
              </w:rPr>
              <w:t>25LL</w:t>
            </w:r>
          </w:p>
        </w:tc>
        <w:tc>
          <w:tcPr>
            <w:tcW w:w="992" w:type="dxa"/>
            <w:vAlign w:val="center"/>
          </w:tcPr>
          <w:p w14:paraId="0462AA71" w14:textId="77777777" w:rsidR="00A924D6" w:rsidRDefault="00A924D6" w:rsidP="008A19B5">
            <w:pPr>
              <w:pageBreakBefore/>
              <w:spacing w:before="20" w:after="20" w:line="240" w:lineRule="auto"/>
              <w:jc w:val="center"/>
              <w:rPr>
                <w:sz w:val="18"/>
                <w:szCs w:val="18"/>
              </w:rPr>
            </w:pPr>
            <w:r>
              <w:rPr>
                <w:snapToGrid w:val="0"/>
                <w:sz w:val="18"/>
                <w:szCs w:val="18"/>
              </w:rPr>
              <w:t>1.72°D</w:t>
            </w:r>
          </w:p>
        </w:tc>
        <w:tc>
          <w:tcPr>
            <w:tcW w:w="1276" w:type="dxa"/>
            <w:shd w:val="clear" w:color="auto" w:fill="auto"/>
            <w:vAlign w:val="center"/>
          </w:tcPr>
          <w:p w14:paraId="58316C51" w14:textId="77777777" w:rsidR="00A924D6" w:rsidRDefault="00A924D6" w:rsidP="008A19B5">
            <w:pPr>
              <w:pageBreakBefore/>
              <w:spacing w:before="20" w:after="20" w:line="240" w:lineRule="auto"/>
              <w:jc w:val="center"/>
              <w:rPr>
                <w:sz w:val="18"/>
                <w:szCs w:val="18"/>
              </w:rPr>
            </w:pPr>
            <w:r>
              <w:rPr>
                <w:snapToGrid w:val="0"/>
                <w:sz w:val="18"/>
                <w:szCs w:val="18"/>
              </w:rPr>
              <w:t>16°L</w:t>
            </w:r>
          </w:p>
        </w:tc>
        <w:tc>
          <w:tcPr>
            <w:tcW w:w="992" w:type="dxa"/>
            <w:shd w:val="clear" w:color="auto" w:fill="auto"/>
            <w:vAlign w:val="center"/>
          </w:tcPr>
          <w:p w14:paraId="7B155343" w14:textId="77777777" w:rsidR="00A924D6" w:rsidRDefault="00A924D6" w:rsidP="008A19B5">
            <w:pPr>
              <w:pageBreakBefore/>
              <w:spacing w:before="20" w:after="20" w:line="240" w:lineRule="auto"/>
              <w:jc w:val="center"/>
              <w:rPr>
                <w:sz w:val="18"/>
                <w:szCs w:val="18"/>
              </w:rPr>
            </w:pPr>
            <w:r>
              <w:rPr>
                <w:bCs/>
                <w:sz w:val="18"/>
                <w:szCs w:val="18"/>
              </w:rPr>
              <w:t>1.18∙10</w:t>
            </w:r>
            <w:r>
              <w:rPr>
                <w:bCs/>
                <w:sz w:val="18"/>
                <w:szCs w:val="18"/>
                <w:vertAlign w:val="superscript"/>
              </w:rPr>
              <w:t>3</w:t>
            </w:r>
          </w:p>
        </w:tc>
        <w:tc>
          <w:tcPr>
            <w:tcW w:w="942" w:type="dxa"/>
            <w:shd w:val="clear" w:color="auto" w:fill="auto"/>
            <w:vAlign w:val="center"/>
          </w:tcPr>
          <w:p w14:paraId="7C282A7F" w14:textId="77777777" w:rsidR="00A924D6" w:rsidRDefault="00A924D6" w:rsidP="008A19B5">
            <w:pPr>
              <w:pageBreakBefore/>
              <w:spacing w:before="20" w:after="20" w:line="240" w:lineRule="auto"/>
              <w:jc w:val="center"/>
              <w:rPr>
                <w:sz w:val="18"/>
                <w:szCs w:val="18"/>
              </w:rPr>
            </w:pPr>
            <w:r>
              <w:rPr>
                <w:sz w:val="18"/>
                <w:szCs w:val="18"/>
              </w:rPr>
              <w:t>9.44∙10</w:t>
            </w:r>
            <w:r>
              <w:rPr>
                <w:sz w:val="18"/>
                <w:szCs w:val="18"/>
                <w:vertAlign w:val="superscript"/>
              </w:rPr>
              <w:t>2</w:t>
            </w:r>
          </w:p>
        </w:tc>
        <w:tc>
          <w:tcPr>
            <w:tcW w:w="901" w:type="dxa"/>
            <w:shd w:val="clear" w:color="auto" w:fill="auto"/>
            <w:vAlign w:val="center"/>
          </w:tcPr>
          <w:p w14:paraId="2BF33F67" w14:textId="77777777" w:rsidR="00A924D6" w:rsidRDefault="00A924D6" w:rsidP="008A19B5">
            <w:pPr>
              <w:pageBreakBefore/>
              <w:spacing w:before="20" w:after="20" w:line="240" w:lineRule="auto"/>
              <w:jc w:val="center"/>
              <w:rPr>
                <w:sz w:val="18"/>
                <w:szCs w:val="18"/>
              </w:rPr>
            </w:pPr>
            <w:r>
              <w:rPr>
                <w:sz w:val="18"/>
                <w:szCs w:val="18"/>
              </w:rPr>
              <w:t>8.26∙10</w:t>
            </w:r>
            <w:r>
              <w:rPr>
                <w:sz w:val="18"/>
                <w:szCs w:val="18"/>
                <w:vertAlign w:val="superscript"/>
              </w:rPr>
              <w:t>2</w:t>
            </w:r>
          </w:p>
        </w:tc>
      </w:tr>
      <w:tr w:rsidR="00A924D6" w14:paraId="0F0C918C" w14:textId="77777777" w:rsidTr="008A19B5">
        <w:trPr>
          <w:trHeight w:val="20"/>
        </w:trPr>
        <w:tc>
          <w:tcPr>
            <w:tcW w:w="286" w:type="dxa"/>
            <w:vMerge/>
            <w:shd w:val="clear" w:color="auto" w:fill="AEAAAA"/>
          </w:tcPr>
          <w:p w14:paraId="3B7FA204" w14:textId="77777777" w:rsidR="00A924D6" w:rsidRDefault="00A924D6" w:rsidP="008A19B5">
            <w:pPr>
              <w:spacing w:before="20" w:after="20" w:line="240" w:lineRule="auto"/>
              <w:rPr>
                <w:sz w:val="18"/>
                <w:szCs w:val="18"/>
              </w:rPr>
            </w:pPr>
          </w:p>
        </w:tc>
        <w:tc>
          <w:tcPr>
            <w:tcW w:w="2823" w:type="dxa"/>
            <w:shd w:val="clear" w:color="auto" w:fill="auto"/>
            <w:vAlign w:val="center"/>
          </w:tcPr>
          <w:p w14:paraId="2A775396" w14:textId="77777777" w:rsidR="00A924D6" w:rsidRDefault="00A924D6" w:rsidP="008A19B5">
            <w:pPr>
              <w:spacing w:before="20" w:after="20" w:line="240" w:lineRule="auto"/>
              <w:jc w:val="center"/>
              <w:rPr>
                <w:sz w:val="18"/>
                <w:szCs w:val="18"/>
              </w:rPr>
            </w:pPr>
            <w:r>
              <w:rPr>
                <w:bCs/>
                <w:sz w:val="18"/>
                <w:szCs w:val="18"/>
              </w:rPr>
              <w:t>25RR</w:t>
            </w:r>
          </w:p>
        </w:tc>
        <w:tc>
          <w:tcPr>
            <w:tcW w:w="992" w:type="dxa"/>
            <w:vAlign w:val="center"/>
          </w:tcPr>
          <w:p w14:paraId="3ECE7D0E" w14:textId="77777777" w:rsidR="00A924D6" w:rsidRDefault="00A924D6" w:rsidP="008A19B5">
            <w:pPr>
              <w:spacing w:before="20" w:after="20" w:line="240" w:lineRule="auto"/>
              <w:jc w:val="center"/>
              <w:rPr>
                <w:sz w:val="18"/>
                <w:szCs w:val="18"/>
              </w:rPr>
            </w:pPr>
            <w:r>
              <w:rPr>
                <w:snapToGrid w:val="0"/>
                <w:sz w:val="18"/>
                <w:szCs w:val="18"/>
              </w:rPr>
              <w:t>1.72°D</w:t>
            </w:r>
          </w:p>
        </w:tc>
        <w:tc>
          <w:tcPr>
            <w:tcW w:w="1276" w:type="dxa"/>
            <w:shd w:val="clear" w:color="auto" w:fill="auto"/>
            <w:vAlign w:val="center"/>
          </w:tcPr>
          <w:p w14:paraId="12A05A94" w14:textId="77777777" w:rsidR="00A924D6" w:rsidRDefault="00A924D6" w:rsidP="008A19B5">
            <w:pPr>
              <w:spacing w:before="20" w:after="20" w:line="240" w:lineRule="auto"/>
              <w:jc w:val="center"/>
              <w:rPr>
                <w:sz w:val="18"/>
                <w:szCs w:val="18"/>
              </w:rPr>
            </w:pPr>
            <w:r>
              <w:rPr>
                <w:snapToGrid w:val="0"/>
                <w:sz w:val="18"/>
                <w:szCs w:val="18"/>
              </w:rPr>
              <w:t>11°R</w:t>
            </w:r>
          </w:p>
        </w:tc>
        <w:tc>
          <w:tcPr>
            <w:tcW w:w="992" w:type="dxa"/>
            <w:shd w:val="clear" w:color="auto" w:fill="auto"/>
            <w:vAlign w:val="center"/>
          </w:tcPr>
          <w:p w14:paraId="2CBFA719" w14:textId="77777777" w:rsidR="00A924D6" w:rsidRDefault="00A924D6" w:rsidP="008A19B5">
            <w:pPr>
              <w:spacing w:before="20" w:after="20" w:line="240" w:lineRule="auto"/>
              <w:jc w:val="center"/>
              <w:rPr>
                <w:sz w:val="18"/>
                <w:szCs w:val="18"/>
              </w:rPr>
            </w:pPr>
            <w:r>
              <w:rPr>
                <w:bCs/>
                <w:sz w:val="18"/>
                <w:szCs w:val="18"/>
              </w:rPr>
              <w:t>1.18∙10</w:t>
            </w:r>
            <w:r>
              <w:rPr>
                <w:bCs/>
                <w:sz w:val="18"/>
                <w:szCs w:val="18"/>
                <w:vertAlign w:val="superscript"/>
              </w:rPr>
              <w:t>3</w:t>
            </w:r>
          </w:p>
        </w:tc>
        <w:tc>
          <w:tcPr>
            <w:tcW w:w="942" w:type="dxa"/>
            <w:shd w:val="clear" w:color="auto" w:fill="auto"/>
            <w:vAlign w:val="center"/>
          </w:tcPr>
          <w:p w14:paraId="4F7A40EC" w14:textId="77777777" w:rsidR="00A924D6" w:rsidRDefault="00A924D6" w:rsidP="008A19B5">
            <w:pPr>
              <w:spacing w:before="20" w:after="20" w:line="240" w:lineRule="auto"/>
              <w:jc w:val="center"/>
              <w:rPr>
                <w:sz w:val="18"/>
                <w:szCs w:val="18"/>
              </w:rPr>
            </w:pPr>
            <w:r>
              <w:rPr>
                <w:sz w:val="18"/>
                <w:szCs w:val="18"/>
              </w:rPr>
              <w:t>9.44∙10</w:t>
            </w:r>
            <w:r>
              <w:rPr>
                <w:sz w:val="18"/>
                <w:szCs w:val="18"/>
                <w:vertAlign w:val="superscript"/>
              </w:rPr>
              <w:t>2</w:t>
            </w:r>
          </w:p>
        </w:tc>
        <w:tc>
          <w:tcPr>
            <w:tcW w:w="901" w:type="dxa"/>
            <w:shd w:val="clear" w:color="auto" w:fill="auto"/>
            <w:vAlign w:val="center"/>
          </w:tcPr>
          <w:p w14:paraId="20198B95" w14:textId="77777777" w:rsidR="00A924D6" w:rsidRDefault="00A924D6" w:rsidP="008A19B5">
            <w:pPr>
              <w:spacing w:before="20" w:after="20" w:line="240" w:lineRule="auto"/>
              <w:jc w:val="center"/>
              <w:rPr>
                <w:sz w:val="18"/>
                <w:szCs w:val="18"/>
              </w:rPr>
            </w:pPr>
            <w:r>
              <w:rPr>
                <w:sz w:val="18"/>
                <w:szCs w:val="18"/>
              </w:rPr>
              <w:t>8.26∙10</w:t>
            </w:r>
            <w:r>
              <w:rPr>
                <w:sz w:val="18"/>
                <w:szCs w:val="18"/>
                <w:vertAlign w:val="superscript"/>
              </w:rPr>
              <w:t>2</w:t>
            </w:r>
          </w:p>
        </w:tc>
      </w:tr>
    </w:tbl>
    <w:p w14:paraId="70386719" w14:textId="77777777" w:rsidR="00A924D6" w:rsidRDefault="00A924D6" w:rsidP="00A924D6">
      <w:pPr>
        <w:spacing w:after="120"/>
        <w:ind w:left="2268" w:right="1134" w:hanging="1134"/>
        <w:rPr>
          <w:iCs/>
        </w:rPr>
      </w:pPr>
      <w:r>
        <w:rPr>
          <w:iCs/>
        </w:rPr>
        <w:t>…”</w:t>
      </w:r>
    </w:p>
    <w:p w14:paraId="3ED80F9C" w14:textId="77777777" w:rsidR="00A924D6" w:rsidRDefault="00A924D6" w:rsidP="00A924D6">
      <w:pPr>
        <w:spacing w:after="120"/>
        <w:ind w:left="2268" w:right="1134" w:hanging="1134"/>
      </w:pPr>
      <w:r w:rsidRPr="00164C92">
        <w:rPr>
          <w:i/>
        </w:rPr>
        <w:lastRenderedPageBreak/>
        <w:t>Paragraph</w:t>
      </w:r>
      <w:r>
        <w:rPr>
          <w:i/>
          <w:iCs/>
        </w:rPr>
        <w:t xml:space="preserve"> </w:t>
      </w:r>
      <w:r w:rsidRPr="00904AFA">
        <w:rPr>
          <w:i/>
          <w:iCs/>
        </w:rPr>
        <w:t>6.2.1.1.4.4</w:t>
      </w:r>
      <w:r>
        <w:rPr>
          <w:i/>
          <w:iCs/>
        </w:rPr>
        <w:t>.</w:t>
      </w:r>
      <w:r>
        <w:t>, amend to read:</w:t>
      </w:r>
    </w:p>
    <w:p w14:paraId="01DBB24F" w14:textId="77777777" w:rsidR="00A924D6" w:rsidRDefault="00A924D6" w:rsidP="00A924D6">
      <w:pPr>
        <w:spacing w:after="120"/>
        <w:ind w:left="2268" w:right="1134" w:hanging="1134"/>
        <w:jc w:val="both"/>
        <w:rPr>
          <w:i/>
        </w:rPr>
      </w:pPr>
      <w:r>
        <w:rPr>
          <w:iCs/>
        </w:rPr>
        <w:t>“</w:t>
      </w:r>
      <w:r w:rsidRPr="00904AFA">
        <w:rPr>
          <w:iCs/>
        </w:rPr>
        <w:t>6.2.1.1.4.4.</w:t>
      </w:r>
      <w:r>
        <w:rPr>
          <w:iCs/>
        </w:rPr>
        <w:tab/>
      </w:r>
      <w:r w:rsidRPr="00904AFA">
        <w:rPr>
          <w:iCs/>
        </w:rPr>
        <w:t xml:space="preserve">As an alternative to the re-alignment procedure as described in paragraph 4.1. of Annex 5, the intensity requirement of column A, B or C of Tables </w:t>
      </w:r>
      <w:r w:rsidRPr="0010614D">
        <w:rPr>
          <w:iCs/>
        </w:rPr>
        <w:t>21 to 36</w:t>
      </w:r>
      <w:r>
        <w:rPr>
          <w:iCs/>
        </w:rPr>
        <w:t xml:space="preserve"> </w:t>
      </w:r>
      <w:r w:rsidRPr="00904AFA">
        <w:rPr>
          <w:iCs/>
        </w:rPr>
        <w:t>for a particular direction of observation shall be deemed to be satisfied if that requirement is met in a direction deviating by not more than one-quarter of a degree from the direction of observation.</w:t>
      </w:r>
      <w:r>
        <w:rPr>
          <w:iCs/>
        </w:rPr>
        <w:t>”</w:t>
      </w:r>
    </w:p>
    <w:p w14:paraId="645443FC" w14:textId="77777777" w:rsidR="00A924D6" w:rsidRDefault="00A924D6" w:rsidP="00A924D6">
      <w:pPr>
        <w:spacing w:after="120"/>
        <w:ind w:left="2268" w:right="1134" w:hanging="1134"/>
        <w:rPr>
          <w:iCs/>
        </w:rPr>
      </w:pPr>
      <w:r>
        <w:rPr>
          <w:i/>
        </w:rPr>
        <w:t>Figure A13-III</w:t>
      </w:r>
      <w:r>
        <w:rPr>
          <w:iCs/>
        </w:rPr>
        <w:t xml:space="preserve">, </w:t>
      </w:r>
      <w:r>
        <w:rPr>
          <w:i/>
        </w:rPr>
        <w:t>marking examples 3-a and 3-b</w:t>
      </w:r>
      <w:r>
        <w:rPr>
          <w:iCs/>
        </w:rPr>
        <w:t>, replace examples to read:</w:t>
      </w:r>
    </w:p>
    <w:p w14:paraId="0FC0F8BD" w14:textId="77777777" w:rsidR="00A924D6" w:rsidRDefault="00A924D6" w:rsidP="00A924D6">
      <w:pPr>
        <w:spacing w:after="120"/>
        <w:ind w:left="2268" w:right="1134" w:hanging="1134"/>
        <w:rPr>
          <w:iCs/>
        </w:rPr>
      </w:pPr>
      <w:r>
        <w:rPr>
          <w:b/>
          <w:bCs/>
          <w:snapToGrid w:val="0"/>
          <w:lang w:val="en-US"/>
        </w:rPr>
        <w:t>“Marking example 3-a</w:t>
      </w:r>
    </w:p>
    <w:p w14:paraId="79131B23" w14:textId="77777777" w:rsidR="00A924D6" w:rsidRDefault="00A924D6" w:rsidP="00A924D6">
      <w:pPr>
        <w:spacing w:after="120"/>
        <w:ind w:left="2268" w:right="1134" w:hanging="1134"/>
        <w:rPr>
          <w:iCs/>
        </w:rPr>
      </w:pPr>
      <w:r>
        <w:rPr>
          <w:iCs/>
          <w:noProof/>
          <w:lang w:val="de-DE" w:eastAsia="de-DE"/>
        </w:rPr>
        <w:drawing>
          <wp:inline distT="0" distB="0" distL="0" distR="0" wp14:anchorId="753B1AF9" wp14:editId="7786AE20">
            <wp:extent cx="4695731" cy="1562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3345" cy="1571286"/>
                    </a:xfrm>
                    <a:prstGeom prst="rect">
                      <a:avLst/>
                    </a:prstGeom>
                    <a:noFill/>
                  </pic:spPr>
                </pic:pic>
              </a:graphicData>
            </a:graphic>
          </wp:inline>
        </w:drawing>
      </w:r>
    </w:p>
    <w:p w14:paraId="6D04FB8F" w14:textId="77777777" w:rsidR="00A924D6" w:rsidRDefault="00A924D6" w:rsidP="00A924D6">
      <w:pPr>
        <w:spacing w:after="120"/>
        <w:ind w:left="2268" w:right="1134" w:hanging="1134"/>
        <w:rPr>
          <w:b/>
          <w:bCs/>
          <w:snapToGrid w:val="0"/>
          <w:lang w:val="en-US"/>
        </w:rPr>
      </w:pPr>
      <w:r>
        <w:rPr>
          <w:b/>
          <w:bCs/>
          <w:snapToGrid w:val="0"/>
          <w:lang w:val="en-US"/>
        </w:rPr>
        <w:t>Marking example 3-b</w:t>
      </w:r>
    </w:p>
    <w:p w14:paraId="733381E0" w14:textId="77777777" w:rsidR="00A924D6" w:rsidRDefault="00A924D6" w:rsidP="00A924D6">
      <w:pPr>
        <w:spacing w:after="120"/>
        <w:ind w:left="2268" w:right="1134" w:hanging="1134"/>
        <w:rPr>
          <w:iCs/>
        </w:rPr>
      </w:pPr>
      <w:r>
        <w:rPr>
          <w:iCs/>
          <w:noProof/>
          <w:lang w:val="de-DE" w:eastAsia="de-DE"/>
        </w:rPr>
        <w:drawing>
          <wp:inline distT="0" distB="0" distL="0" distR="0" wp14:anchorId="04D30295" wp14:editId="2E16B278">
            <wp:extent cx="4666434" cy="1390650"/>
            <wp:effectExtent l="0" t="0" r="127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8052" cy="1397092"/>
                    </a:xfrm>
                    <a:prstGeom prst="rect">
                      <a:avLst/>
                    </a:prstGeom>
                    <a:noFill/>
                  </pic:spPr>
                </pic:pic>
              </a:graphicData>
            </a:graphic>
          </wp:inline>
        </w:drawing>
      </w:r>
    </w:p>
    <w:p w14:paraId="1A0A61FE" w14:textId="77777777" w:rsidR="00A924D6" w:rsidRDefault="00A924D6" w:rsidP="00A924D6">
      <w:pPr>
        <w:spacing w:after="120"/>
        <w:ind w:left="2268" w:right="1134" w:hanging="1134"/>
        <w:rPr>
          <w:iCs/>
        </w:rPr>
      </w:pPr>
      <w:r>
        <w:rPr>
          <w:iCs/>
        </w:rPr>
        <w:t>”</w:t>
      </w:r>
    </w:p>
    <w:p w14:paraId="1B5E0B3E" w14:textId="77777777" w:rsidR="00A924D6" w:rsidRDefault="00A924D6" w:rsidP="00A924D6">
      <w:pPr>
        <w:spacing w:after="120"/>
        <w:ind w:left="2268" w:right="1134" w:hanging="1134"/>
        <w:jc w:val="both"/>
        <w:rPr>
          <w:rFonts w:eastAsia="Calibri"/>
          <w:i/>
        </w:rPr>
      </w:pPr>
      <w:r w:rsidRPr="007E5050">
        <w:rPr>
          <w:rFonts w:eastAsia="Calibri"/>
          <w:i/>
        </w:rPr>
        <w:t xml:space="preserve">Annex 1, </w:t>
      </w:r>
    </w:p>
    <w:p w14:paraId="01E20552" w14:textId="77777777" w:rsidR="00A924D6" w:rsidRPr="007E5050" w:rsidRDefault="00A924D6" w:rsidP="00A924D6">
      <w:pPr>
        <w:spacing w:after="120"/>
        <w:ind w:left="2268" w:right="1134" w:hanging="1134"/>
        <w:jc w:val="both"/>
        <w:rPr>
          <w:rFonts w:eastAsia="Calibri"/>
          <w:i/>
        </w:rPr>
      </w:pPr>
      <w:r>
        <w:rPr>
          <w:rFonts w:eastAsia="Calibri"/>
          <w:i/>
        </w:rPr>
        <w:t>Item</w:t>
      </w:r>
      <w:r w:rsidRPr="007E5050">
        <w:rPr>
          <w:rFonts w:eastAsia="Calibri"/>
          <w:i/>
        </w:rPr>
        <w:t xml:space="preserve"> 9.2.9</w:t>
      </w:r>
      <w:r w:rsidRPr="00950185">
        <w:rPr>
          <w:rFonts w:eastAsia="Calibri"/>
          <w:i/>
        </w:rPr>
        <w:t>., insert a new footnote 6</w:t>
      </w:r>
      <w:r>
        <w:rPr>
          <w:rFonts w:eastAsia="Calibri"/>
          <w:iCs/>
        </w:rPr>
        <w:t xml:space="preserve"> to read</w:t>
      </w:r>
      <w:r w:rsidRPr="00950185">
        <w:rPr>
          <w:rFonts w:eastAsia="Calibri"/>
          <w:iCs/>
        </w:rPr>
        <w:t>:</w:t>
      </w:r>
    </w:p>
    <w:p w14:paraId="56F2CC51" w14:textId="77777777" w:rsidR="00A924D6" w:rsidRPr="00826770" w:rsidRDefault="00A924D6" w:rsidP="00A924D6">
      <w:pPr>
        <w:spacing w:after="120"/>
        <w:ind w:left="1701" w:right="1134" w:hanging="567"/>
        <w:jc w:val="both"/>
        <w:rPr>
          <w:rFonts w:eastAsia="Calibri"/>
          <w:bCs/>
          <w:sz w:val="18"/>
          <w:szCs w:val="18"/>
        </w:rPr>
      </w:pPr>
      <w:r w:rsidRPr="00826770">
        <w:rPr>
          <w:rFonts w:eastAsia="Calibri"/>
          <w:bCs/>
          <w:sz w:val="18"/>
          <w:szCs w:val="18"/>
        </w:rPr>
        <w:t>“6</w:t>
      </w:r>
      <w:r w:rsidRPr="00826770">
        <w:rPr>
          <w:rFonts w:eastAsia="Calibri"/>
          <w:bCs/>
          <w:sz w:val="18"/>
          <w:szCs w:val="18"/>
        </w:rPr>
        <w:tab/>
        <w:t>for AFS for vehicle of category L</w:t>
      </w:r>
      <w:r w:rsidRPr="00826770">
        <w:rPr>
          <w:rFonts w:eastAsia="Calibri"/>
          <w:bCs/>
          <w:sz w:val="18"/>
          <w:szCs w:val="18"/>
          <w:vertAlign w:val="subscript"/>
        </w:rPr>
        <w:t>3</w:t>
      </w:r>
      <w:r w:rsidRPr="00826770">
        <w:rPr>
          <w:rFonts w:eastAsia="Calibri"/>
          <w:bCs/>
          <w:sz w:val="18"/>
          <w:szCs w:val="18"/>
        </w:rPr>
        <w:t xml:space="preserve"> the information through 9.2.9.2. to 9.2.10.5. are not necessary.”</w:t>
      </w:r>
    </w:p>
    <w:p w14:paraId="3B951BBE" w14:textId="77777777" w:rsidR="00A924D6" w:rsidRDefault="00A924D6" w:rsidP="00A924D6">
      <w:pPr>
        <w:spacing w:after="120"/>
        <w:ind w:left="1701" w:right="1134" w:hanging="567"/>
        <w:jc w:val="both"/>
        <w:rPr>
          <w:i/>
        </w:rPr>
      </w:pPr>
      <w:r w:rsidRPr="00621204">
        <w:rPr>
          <w:rFonts w:eastAsia="Calibri"/>
          <w:bCs/>
          <w:i/>
          <w:iCs/>
        </w:rPr>
        <w:t>Footnotes</w:t>
      </w:r>
      <w:r>
        <w:rPr>
          <w:rFonts w:eastAsia="Calibri"/>
          <w:bCs/>
          <w:i/>
          <w:iCs/>
        </w:rPr>
        <w:t xml:space="preserve"> 6 to 8, </w:t>
      </w:r>
      <w:r>
        <w:rPr>
          <w:rFonts w:eastAsia="Calibri"/>
          <w:bCs/>
        </w:rPr>
        <w:t xml:space="preserve">renumber as 7 to 9 accordingly. </w:t>
      </w:r>
      <w:r w:rsidRPr="00621204">
        <w:rPr>
          <w:rFonts w:eastAsia="Calibri"/>
          <w:bCs/>
          <w:i/>
          <w:iCs/>
        </w:rPr>
        <w:t xml:space="preserve"> </w:t>
      </w:r>
    </w:p>
    <w:p w14:paraId="62560A1C" w14:textId="77777777" w:rsidR="00A924D6" w:rsidRPr="00DB2AC8" w:rsidRDefault="00A924D6" w:rsidP="00A924D6">
      <w:pPr>
        <w:spacing w:after="120"/>
        <w:ind w:left="2268" w:right="1134" w:hanging="1134"/>
        <w:rPr>
          <w:iCs/>
        </w:rPr>
      </w:pPr>
      <w:r>
        <w:rPr>
          <w:i/>
        </w:rPr>
        <w:t xml:space="preserve">Item </w:t>
      </w:r>
      <w:r w:rsidRPr="00DB2AC8">
        <w:rPr>
          <w:i/>
        </w:rPr>
        <w:t>9.4.7</w:t>
      </w:r>
      <w:r w:rsidRPr="00DB2AC8">
        <w:rPr>
          <w:iCs/>
        </w:rPr>
        <w:t>., amend to read:</w:t>
      </w:r>
    </w:p>
    <w:p w14:paraId="19CEB5F5" w14:textId="77777777" w:rsidR="00A924D6" w:rsidRPr="00A03E55" w:rsidRDefault="00A924D6" w:rsidP="00A924D6">
      <w:pPr>
        <w:ind w:left="2268" w:right="1134" w:hanging="1134"/>
        <w:jc w:val="both"/>
        <w:rPr>
          <w:lang w:val="en-US"/>
        </w:rPr>
      </w:pPr>
      <w:r w:rsidRPr="00A03E55">
        <w:rPr>
          <w:lang w:val="en-US"/>
        </w:rPr>
        <w:t>“9.4.7.</w:t>
      </w:r>
      <w:r w:rsidRPr="00A03E55">
        <w:rPr>
          <w:lang w:val="en-US"/>
        </w:rPr>
        <w:tab/>
        <w:t>Luminous flux of the light source (see paragraph 4.5.</w:t>
      </w:r>
      <w:r w:rsidRPr="00560CE2">
        <w:rPr>
          <w:lang w:val="en-US"/>
        </w:rPr>
        <w:t>3.5.</w:t>
      </w:r>
      <w:r w:rsidRPr="003E1658">
        <w:rPr>
          <w:lang w:val="en-US"/>
        </w:rPr>
        <w:t xml:space="preserve"> of</w:t>
      </w:r>
      <w:r w:rsidRPr="00A03E55">
        <w:rPr>
          <w:lang w:val="en-US"/>
        </w:rPr>
        <w:t xml:space="preserve"> this Regulation)</w:t>
      </w:r>
    </w:p>
    <w:p w14:paraId="2A272D0E" w14:textId="77777777" w:rsidR="00A924D6" w:rsidRPr="00DA5307" w:rsidRDefault="00A924D6" w:rsidP="00A924D6">
      <w:pPr>
        <w:spacing w:after="120"/>
        <w:ind w:left="2268" w:right="1134" w:hanging="1134"/>
        <w:jc w:val="both"/>
        <w:rPr>
          <w:lang w:val="en-US"/>
        </w:rPr>
      </w:pPr>
      <w:r w:rsidRPr="00A03E55">
        <w:rPr>
          <w:lang w:val="en-US"/>
        </w:rPr>
        <w:tab/>
        <w:t>greater than 2.00∙10</w:t>
      </w:r>
      <w:r w:rsidRPr="00A03E55">
        <w:rPr>
          <w:vertAlign w:val="superscript"/>
          <w:lang w:val="en-US"/>
        </w:rPr>
        <w:t>3</w:t>
      </w:r>
      <w:r w:rsidRPr="00A03E55">
        <w:rPr>
          <w:lang w:val="en-US"/>
        </w:rPr>
        <w:t xml:space="preserve"> lumens:  yes/no</w:t>
      </w:r>
      <w:proofErr w:type="gramStart"/>
      <w:r w:rsidRPr="00A03E55">
        <w:rPr>
          <w:vertAlign w:val="superscript"/>
          <w:lang w:val="en-US"/>
        </w:rPr>
        <w:t>2</w:t>
      </w:r>
      <w:r w:rsidRPr="00A03E55">
        <w:rPr>
          <w:lang w:val="en-US"/>
        </w:rPr>
        <w:t xml:space="preserve"> </w:t>
      </w:r>
      <w:r>
        <w:rPr>
          <w:lang w:val="en-US"/>
        </w:rPr>
        <w:t>”</w:t>
      </w:r>
      <w:proofErr w:type="gramEnd"/>
    </w:p>
    <w:p w14:paraId="3BF83CA4" w14:textId="77777777" w:rsidR="00A924D6" w:rsidRPr="00802C00" w:rsidRDefault="00A924D6" w:rsidP="00A924D6">
      <w:pPr>
        <w:spacing w:after="120"/>
        <w:ind w:left="1134" w:right="1134"/>
        <w:jc w:val="both"/>
        <w:rPr>
          <w:rFonts w:eastAsia="Malgun Gothic"/>
          <w:lang w:eastAsia="ko-KR"/>
        </w:rPr>
      </w:pPr>
      <w:r w:rsidRPr="00802C00">
        <w:rPr>
          <w:rFonts w:eastAsia="Malgun Gothic"/>
          <w:i/>
          <w:iCs/>
          <w:lang w:eastAsia="ko-KR"/>
        </w:rPr>
        <w:t>Annex</w:t>
      </w:r>
      <w:r>
        <w:rPr>
          <w:rFonts w:eastAsia="Malgun Gothic"/>
          <w:i/>
          <w:iCs/>
          <w:lang w:eastAsia="ko-KR"/>
        </w:rPr>
        <w:t xml:space="preserve"> </w:t>
      </w:r>
      <w:r w:rsidRPr="00802C00">
        <w:rPr>
          <w:rFonts w:eastAsia="Malgun Gothic"/>
          <w:i/>
          <w:iCs/>
          <w:lang w:eastAsia="ko-KR"/>
        </w:rPr>
        <w:t>10,</w:t>
      </w:r>
      <w:r>
        <w:rPr>
          <w:rFonts w:eastAsia="Malgun Gothic"/>
          <w:i/>
          <w:iCs/>
          <w:lang w:eastAsia="ko-KR"/>
        </w:rPr>
        <w:t xml:space="preserve"> </w:t>
      </w:r>
      <w:r w:rsidRPr="00802C00">
        <w:rPr>
          <w:rFonts w:eastAsia="Malgun Gothic"/>
          <w:i/>
          <w:iCs/>
          <w:lang w:eastAsia="ko-KR"/>
        </w:rPr>
        <w:t>Table A10-1</w:t>
      </w:r>
      <w:r w:rsidRPr="00802C00">
        <w:rPr>
          <w:rFonts w:eastAsia="Malgun Gothic"/>
          <w:lang w:eastAsia="ko-KR"/>
        </w:rPr>
        <w:t xml:space="preserve">, amend to read: </w:t>
      </w:r>
    </w:p>
    <w:p w14:paraId="3D3B2F27" w14:textId="77777777" w:rsidR="00A924D6" w:rsidRPr="00802C00" w:rsidRDefault="00A924D6" w:rsidP="00A924D6">
      <w:pPr>
        <w:pStyle w:val="StyleSingleTxtGLeft2cmHanging206cm"/>
        <w:spacing w:before="240" w:after="0"/>
        <w:ind w:hanging="11"/>
      </w:pPr>
      <w:r w:rsidRPr="00802C00">
        <w:rPr>
          <w:rFonts w:eastAsia="ArialMT"/>
          <w:lang w:eastAsia="zh-CN"/>
        </w:rPr>
        <w:t>“</w:t>
      </w:r>
      <w:r w:rsidRPr="00802C00">
        <w:t xml:space="preserve">Table A10-1 </w:t>
      </w:r>
    </w:p>
    <w:p w14:paraId="228CC143" w14:textId="77777777" w:rsidR="00A924D6" w:rsidRPr="00490FE5" w:rsidRDefault="00A924D6" w:rsidP="00A924D6">
      <w:pPr>
        <w:spacing w:after="120"/>
        <w:ind w:left="2268" w:right="1134"/>
        <w:jc w:val="both"/>
        <w:rPr>
          <w:b/>
          <w:lang w:val="en-US"/>
        </w:rPr>
      </w:pPr>
      <w:r w:rsidRPr="00490FE5">
        <w:rPr>
          <w:b/>
        </w:rPr>
        <w:t>Points in time for additional testing</w:t>
      </w:r>
    </w:p>
    <w:tbl>
      <w:tblPr>
        <w:tblStyle w:val="TableGrid"/>
        <w:tblW w:w="0" w:type="auto"/>
        <w:tblInd w:w="2259" w:type="dxa"/>
        <w:tblLook w:val="04A0" w:firstRow="1" w:lastRow="0" w:firstColumn="1" w:lastColumn="0" w:noHBand="0" w:noVBand="1"/>
      </w:tblPr>
      <w:tblGrid>
        <w:gridCol w:w="1989"/>
        <w:gridCol w:w="2278"/>
        <w:gridCol w:w="1691"/>
      </w:tblGrid>
      <w:tr w:rsidR="00A924D6" w:rsidRPr="000A13F5" w14:paraId="7E5AE2E1" w14:textId="77777777" w:rsidTr="008A19B5">
        <w:tc>
          <w:tcPr>
            <w:tcW w:w="1989" w:type="dxa"/>
          </w:tcPr>
          <w:p w14:paraId="0CDEF5DE" w14:textId="77777777" w:rsidR="00A924D6" w:rsidRPr="000A13F5" w:rsidRDefault="00A924D6" w:rsidP="008A19B5">
            <w:pPr>
              <w:widowControl w:val="0"/>
              <w:tabs>
                <w:tab w:val="left" w:pos="738"/>
                <w:tab w:val="left" w:pos="1190"/>
                <w:tab w:val="left" w:pos="1851"/>
                <w:tab w:val="left" w:pos="2021"/>
                <w:tab w:val="left" w:pos="2475"/>
                <w:tab w:val="left" w:pos="3627"/>
                <w:tab w:val="left" w:pos="4779"/>
                <w:tab w:val="left" w:pos="5931"/>
                <w:tab w:val="left" w:pos="7083"/>
                <w:tab w:val="left" w:pos="8235"/>
              </w:tabs>
              <w:spacing w:before="40" w:after="40"/>
              <w:jc w:val="center"/>
              <w:rPr>
                <w:i/>
                <w:sz w:val="16"/>
                <w:szCs w:val="16"/>
              </w:rPr>
            </w:pPr>
            <w:r w:rsidRPr="000A13F5">
              <w:rPr>
                <w:i/>
                <w:sz w:val="16"/>
                <w:szCs w:val="16"/>
              </w:rPr>
              <w:t>Lamp (function)</w:t>
            </w:r>
          </w:p>
        </w:tc>
        <w:tc>
          <w:tcPr>
            <w:tcW w:w="2278" w:type="dxa"/>
          </w:tcPr>
          <w:p w14:paraId="608B06E9" w14:textId="77777777" w:rsidR="00A924D6" w:rsidRPr="000A13F5" w:rsidRDefault="00A924D6" w:rsidP="008A19B5">
            <w:pPr>
              <w:widowControl w:val="0"/>
              <w:tabs>
                <w:tab w:val="left" w:pos="738"/>
                <w:tab w:val="left" w:pos="1190"/>
                <w:tab w:val="left" w:pos="1851"/>
                <w:tab w:val="left" w:pos="2021"/>
                <w:tab w:val="left" w:pos="2475"/>
                <w:tab w:val="left" w:pos="3627"/>
                <w:tab w:val="left" w:pos="4779"/>
                <w:tab w:val="left" w:pos="5931"/>
                <w:tab w:val="left" w:pos="7083"/>
                <w:tab w:val="left" w:pos="8235"/>
              </w:tabs>
              <w:spacing w:before="40" w:after="40"/>
              <w:jc w:val="center"/>
              <w:rPr>
                <w:i/>
                <w:sz w:val="16"/>
                <w:szCs w:val="16"/>
              </w:rPr>
            </w:pPr>
            <w:r w:rsidRPr="000A13F5">
              <w:rPr>
                <w:i/>
                <w:sz w:val="16"/>
                <w:szCs w:val="16"/>
              </w:rPr>
              <w:t>Time after activation (seconds)</w:t>
            </w:r>
          </w:p>
        </w:tc>
        <w:tc>
          <w:tcPr>
            <w:tcW w:w="1691" w:type="dxa"/>
          </w:tcPr>
          <w:p w14:paraId="5094FA80" w14:textId="77777777" w:rsidR="00A924D6" w:rsidRPr="00455A2B" w:rsidRDefault="00A924D6" w:rsidP="008A19B5">
            <w:pPr>
              <w:widowControl w:val="0"/>
              <w:tabs>
                <w:tab w:val="left" w:pos="738"/>
                <w:tab w:val="left" w:pos="1190"/>
                <w:tab w:val="left" w:pos="1851"/>
                <w:tab w:val="left" w:pos="2021"/>
                <w:tab w:val="left" w:pos="2475"/>
                <w:tab w:val="left" w:pos="3627"/>
                <w:tab w:val="left" w:pos="4779"/>
                <w:tab w:val="left" w:pos="5931"/>
                <w:tab w:val="left" w:pos="7083"/>
                <w:tab w:val="left" w:pos="8235"/>
              </w:tabs>
              <w:spacing w:before="40" w:after="40"/>
              <w:ind w:right="11"/>
              <w:jc w:val="center"/>
              <w:rPr>
                <w:i/>
                <w:sz w:val="16"/>
                <w:szCs w:val="16"/>
              </w:rPr>
            </w:pPr>
            <w:r w:rsidRPr="00455A2B">
              <w:rPr>
                <w:i/>
                <w:sz w:val="16"/>
                <w:szCs w:val="16"/>
              </w:rPr>
              <w:t>Test point</w:t>
            </w:r>
          </w:p>
        </w:tc>
      </w:tr>
      <w:tr w:rsidR="00A924D6" w:rsidRPr="000A13F5" w14:paraId="685C58A9" w14:textId="77777777" w:rsidTr="008A19B5">
        <w:tc>
          <w:tcPr>
            <w:tcW w:w="1989" w:type="dxa"/>
          </w:tcPr>
          <w:p w14:paraId="7FBEBE88" w14:textId="77777777" w:rsidR="00A924D6" w:rsidRPr="000A13F5" w:rsidRDefault="00A924D6" w:rsidP="008A19B5">
            <w:pPr>
              <w:spacing w:before="40" w:after="40"/>
              <w:ind w:left="155"/>
              <w:rPr>
                <w:sz w:val="18"/>
                <w:szCs w:val="18"/>
                <w:lang w:val="en-US"/>
              </w:rPr>
            </w:pPr>
            <w:r w:rsidRPr="000A13F5">
              <w:rPr>
                <w:sz w:val="18"/>
                <w:szCs w:val="18"/>
                <w:lang w:val="en-US"/>
              </w:rPr>
              <w:t>Driving-beam</w:t>
            </w:r>
            <w:r w:rsidRPr="000A13F5">
              <w:rPr>
                <w:sz w:val="18"/>
                <w:szCs w:val="18"/>
                <w:lang w:val="en-US"/>
              </w:rPr>
              <w:br/>
            </w:r>
            <w:r w:rsidRPr="000A13F5">
              <w:rPr>
                <w:i/>
                <w:iCs/>
                <w:sz w:val="18"/>
                <w:szCs w:val="18"/>
                <w:lang w:val="en-US"/>
              </w:rPr>
              <w:t>(Headlamp producing only driving-beam)</w:t>
            </w:r>
          </w:p>
        </w:tc>
        <w:tc>
          <w:tcPr>
            <w:tcW w:w="2278" w:type="dxa"/>
          </w:tcPr>
          <w:p w14:paraId="53A05DB8" w14:textId="77777777" w:rsidR="00A924D6" w:rsidRPr="000A13F5" w:rsidRDefault="00A924D6" w:rsidP="008A19B5">
            <w:pPr>
              <w:spacing w:before="40" w:after="40"/>
              <w:ind w:left="155"/>
              <w:rPr>
                <w:sz w:val="18"/>
                <w:szCs w:val="18"/>
                <w:lang w:val="en-US"/>
              </w:rPr>
            </w:pPr>
            <w:r w:rsidRPr="000A13F5">
              <w:rPr>
                <w:sz w:val="18"/>
                <w:szCs w:val="18"/>
                <w:lang w:val="en-US"/>
              </w:rPr>
              <w:t xml:space="preserve">1 </w:t>
            </w:r>
          </w:p>
        </w:tc>
        <w:tc>
          <w:tcPr>
            <w:tcW w:w="1691" w:type="dxa"/>
          </w:tcPr>
          <w:p w14:paraId="4A382E7D" w14:textId="77777777" w:rsidR="00A924D6" w:rsidRPr="00455A2B" w:rsidRDefault="00A924D6" w:rsidP="008A19B5">
            <w:pPr>
              <w:spacing w:before="40" w:after="40"/>
              <w:ind w:left="155"/>
              <w:rPr>
                <w:sz w:val="18"/>
                <w:szCs w:val="18"/>
                <w:lang w:val="en-US"/>
              </w:rPr>
            </w:pPr>
            <w:r w:rsidRPr="00455A2B">
              <w:rPr>
                <w:sz w:val="18"/>
                <w:szCs w:val="18"/>
                <w:lang w:val="en-US"/>
              </w:rPr>
              <w:t>HV</w:t>
            </w:r>
          </w:p>
        </w:tc>
      </w:tr>
      <w:tr w:rsidR="00A924D6" w:rsidRPr="000A13F5" w14:paraId="206B1500" w14:textId="77777777" w:rsidTr="008A19B5">
        <w:tc>
          <w:tcPr>
            <w:tcW w:w="1989" w:type="dxa"/>
          </w:tcPr>
          <w:p w14:paraId="39C230C6" w14:textId="77777777" w:rsidR="00A924D6" w:rsidRPr="000A13F5" w:rsidRDefault="00A924D6" w:rsidP="008A19B5">
            <w:pPr>
              <w:spacing w:before="40" w:after="40"/>
              <w:ind w:left="155"/>
              <w:rPr>
                <w:sz w:val="18"/>
                <w:szCs w:val="18"/>
                <w:lang w:val="en-US"/>
              </w:rPr>
            </w:pPr>
            <w:r w:rsidRPr="000A13F5">
              <w:rPr>
                <w:sz w:val="18"/>
                <w:szCs w:val="18"/>
                <w:lang w:val="en-US"/>
              </w:rPr>
              <w:t xml:space="preserve">Passing-beam </w:t>
            </w:r>
            <w:r w:rsidRPr="000A13F5">
              <w:rPr>
                <w:sz w:val="18"/>
                <w:szCs w:val="18"/>
                <w:vertAlign w:val="superscript"/>
                <w:lang w:val="en-US"/>
              </w:rPr>
              <w:t>a</w:t>
            </w:r>
          </w:p>
        </w:tc>
        <w:tc>
          <w:tcPr>
            <w:tcW w:w="2278" w:type="dxa"/>
          </w:tcPr>
          <w:p w14:paraId="69D5EC8D" w14:textId="77777777" w:rsidR="00A924D6" w:rsidRPr="000A13F5" w:rsidRDefault="00A924D6" w:rsidP="008A19B5">
            <w:pPr>
              <w:spacing w:before="40" w:after="40"/>
              <w:ind w:left="155"/>
              <w:rPr>
                <w:sz w:val="18"/>
                <w:szCs w:val="18"/>
                <w:lang w:val="en-US"/>
              </w:rPr>
            </w:pPr>
            <w:r w:rsidRPr="000A13F5">
              <w:rPr>
                <w:sz w:val="18"/>
                <w:szCs w:val="18"/>
                <w:lang w:val="en-US"/>
              </w:rPr>
              <w:t xml:space="preserve">4 </w:t>
            </w:r>
          </w:p>
        </w:tc>
        <w:tc>
          <w:tcPr>
            <w:tcW w:w="1691" w:type="dxa"/>
          </w:tcPr>
          <w:p w14:paraId="4EE0C825" w14:textId="77777777" w:rsidR="00A924D6" w:rsidRPr="00455A2B" w:rsidRDefault="00A924D6" w:rsidP="008A19B5">
            <w:pPr>
              <w:spacing w:before="40" w:after="40"/>
              <w:ind w:left="155"/>
              <w:rPr>
                <w:sz w:val="18"/>
                <w:szCs w:val="18"/>
                <w:lang w:val="en-US"/>
              </w:rPr>
            </w:pPr>
            <w:r w:rsidRPr="00455A2B">
              <w:rPr>
                <w:sz w:val="18"/>
                <w:szCs w:val="18"/>
                <w:lang w:val="en-US"/>
              </w:rPr>
              <w:t>25</w:t>
            </w:r>
            <w:proofErr w:type="gramStart"/>
            <w:r w:rsidRPr="00455A2B">
              <w:rPr>
                <w:sz w:val="18"/>
                <w:szCs w:val="18"/>
                <w:lang w:val="en-US"/>
              </w:rPr>
              <w:t>V(</w:t>
            </w:r>
            <w:proofErr w:type="gramEnd"/>
            <w:r w:rsidRPr="00455A2B">
              <w:rPr>
                <w:sz w:val="18"/>
                <w:szCs w:val="18"/>
                <w:lang w:val="en-US"/>
              </w:rPr>
              <w:t>V, 1.72°D)</w:t>
            </w:r>
          </w:p>
        </w:tc>
      </w:tr>
      <w:tr w:rsidR="00A924D6" w:rsidRPr="000A13F5" w14:paraId="61C8C57C" w14:textId="77777777" w:rsidTr="008A19B5">
        <w:tc>
          <w:tcPr>
            <w:tcW w:w="1989" w:type="dxa"/>
          </w:tcPr>
          <w:p w14:paraId="47116782" w14:textId="77777777" w:rsidR="00A924D6" w:rsidRPr="000A13F5" w:rsidRDefault="00A924D6" w:rsidP="008A19B5">
            <w:pPr>
              <w:spacing w:before="40" w:after="40"/>
              <w:ind w:left="155"/>
              <w:rPr>
                <w:sz w:val="18"/>
                <w:szCs w:val="18"/>
                <w:lang w:val="en-US"/>
              </w:rPr>
            </w:pPr>
            <w:r w:rsidRPr="000A13F5">
              <w:rPr>
                <w:sz w:val="18"/>
                <w:szCs w:val="18"/>
                <w:lang w:val="en-US"/>
              </w:rPr>
              <w:t xml:space="preserve">AFS class C </w:t>
            </w:r>
            <w:r w:rsidRPr="000A13F5">
              <w:rPr>
                <w:sz w:val="18"/>
                <w:szCs w:val="18"/>
                <w:vertAlign w:val="superscript"/>
                <w:lang w:val="en-US"/>
              </w:rPr>
              <w:t>a</w:t>
            </w:r>
          </w:p>
        </w:tc>
        <w:tc>
          <w:tcPr>
            <w:tcW w:w="2278" w:type="dxa"/>
          </w:tcPr>
          <w:p w14:paraId="01BCBD26" w14:textId="77777777" w:rsidR="00A924D6" w:rsidRPr="000A13F5" w:rsidRDefault="00A924D6" w:rsidP="008A19B5">
            <w:pPr>
              <w:spacing w:before="40" w:after="40"/>
              <w:ind w:left="155"/>
              <w:rPr>
                <w:sz w:val="18"/>
                <w:szCs w:val="18"/>
                <w:lang w:val="en-US"/>
              </w:rPr>
            </w:pPr>
            <w:r w:rsidRPr="000A13F5">
              <w:rPr>
                <w:sz w:val="18"/>
                <w:szCs w:val="18"/>
                <w:lang w:val="en-US"/>
              </w:rPr>
              <w:t xml:space="preserve">4 </w:t>
            </w:r>
          </w:p>
        </w:tc>
        <w:tc>
          <w:tcPr>
            <w:tcW w:w="1691" w:type="dxa"/>
          </w:tcPr>
          <w:p w14:paraId="40B102E4" w14:textId="77777777" w:rsidR="00A924D6" w:rsidRPr="00455A2B" w:rsidRDefault="00A924D6" w:rsidP="008A19B5">
            <w:pPr>
              <w:spacing w:before="40" w:after="40"/>
              <w:ind w:left="155"/>
              <w:rPr>
                <w:sz w:val="18"/>
                <w:szCs w:val="18"/>
                <w:lang w:val="en-US"/>
              </w:rPr>
            </w:pPr>
            <w:r w:rsidRPr="00455A2B">
              <w:rPr>
                <w:sz w:val="18"/>
                <w:szCs w:val="18"/>
                <w:lang w:val="en-US"/>
              </w:rPr>
              <w:t>25</w:t>
            </w:r>
            <w:proofErr w:type="gramStart"/>
            <w:r w:rsidRPr="00455A2B">
              <w:rPr>
                <w:sz w:val="18"/>
                <w:szCs w:val="18"/>
                <w:lang w:val="en-US"/>
              </w:rPr>
              <w:t>V(</w:t>
            </w:r>
            <w:proofErr w:type="gramEnd"/>
            <w:r w:rsidRPr="00455A2B">
              <w:rPr>
                <w:sz w:val="18"/>
                <w:szCs w:val="18"/>
                <w:lang w:val="en-US"/>
              </w:rPr>
              <w:t>V, 1.72°D)</w:t>
            </w:r>
          </w:p>
        </w:tc>
      </w:tr>
      <w:tr w:rsidR="00A924D6" w:rsidRPr="000A13F5" w14:paraId="3C826201" w14:textId="77777777" w:rsidTr="008A19B5">
        <w:tc>
          <w:tcPr>
            <w:tcW w:w="1989" w:type="dxa"/>
          </w:tcPr>
          <w:p w14:paraId="6E4D2306" w14:textId="77777777" w:rsidR="00A924D6" w:rsidRPr="000A13F5" w:rsidRDefault="00A924D6" w:rsidP="008A19B5">
            <w:pPr>
              <w:spacing w:before="40" w:after="40"/>
              <w:ind w:left="155"/>
              <w:rPr>
                <w:sz w:val="18"/>
                <w:szCs w:val="18"/>
                <w:lang w:val="en-US"/>
              </w:rPr>
            </w:pPr>
          </w:p>
        </w:tc>
        <w:tc>
          <w:tcPr>
            <w:tcW w:w="2278" w:type="dxa"/>
          </w:tcPr>
          <w:p w14:paraId="20459C7C" w14:textId="77777777" w:rsidR="00A924D6" w:rsidRPr="000A13F5" w:rsidRDefault="00A924D6" w:rsidP="008A19B5">
            <w:pPr>
              <w:spacing w:before="40" w:after="40"/>
              <w:ind w:left="155"/>
              <w:rPr>
                <w:sz w:val="18"/>
                <w:szCs w:val="18"/>
                <w:lang w:val="en-US"/>
              </w:rPr>
            </w:pPr>
          </w:p>
        </w:tc>
        <w:tc>
          <w:tcPr>
            <w:tcW w:w="1691" w:type="dxa"/>
          </w:tcPr>
          <w:p w14:paraId="29910BE7" w14:textId="77777777" w:rsidR="00A924D6" w:rsidRPr="00455A2B" w:rsidRDefault="00A924D6" w:rsidP="008A19B5">
            <w:pPr>
              <w:spacing w:before="40" w:after="40"/>
              <w:ind w:left="155"/>
              <w:rPr>
                <w:sz w:val="18"/>
                <w:szCs w:val="18"/>
                <w:lang w:val="en-US"/>
              </w:rPr>
            </w:pPr>
          </w:p>
        </w:tc>
      </w:tr>
      <w:tr w:rsidR="00A924D6" w:rsidRPr="000A13F5" w14:paraId="41D647DE" w14:textId="77777777" w:rsidTr="008A19B5">
        <w:tc>
          <w:tcPr>
            <w:tcW w:w="1989" w:type="dxa"/>
          </w:tcPr>
          <w:p w14:paraId="70F685F8" w14:textId="77777777" w:rsidR="00A924D6" w:rsidRPr="000A13F5" w:rsidRDefault="00A924D6" w:rsidP="008A19B5">
            <w:pPr>
              <w:spacing w:before="40" w:after="40"/>
              <w:ind w:left="155"/>
              <w:rPr>
                <w:sz w:val="18"/>
                <w:szCs w:val="18"/>
                <w:lang w:val="en-US"/>
              </w:rPr>
            </w:pPr>
            <w:r w:rsidRPr="000A13F5">
              <w:rPr>
                <w:sz w:val="18"/>
                <w:szCs w:val="18"/>
                <w:lang w:val="en-US"/>
              </w:rPr>
              <w:t>Front fog</w:t>
            </w:r>
          </w:p>
        </w:tc>
        <w:tc>
          <w:tcPr>
            <w:tcW w:w="2278" w:type="dxa"/>
          </w:tcPr>
          <w:p w14:paraId="3C7E717B" w14:textId="77777777" w:rsidR="00A924D6" w:rsidRPr="000A13F5" w:rsidRDefault="00A924D6" w:rsidP="008A19B5">
            <w:pPr>
              <w:spacing w:before="40" w:after="40"/>
              <w:ind w:left="155"/>
              <w:rPr>
                <w:sz w:val="18"/>
                <w:szCs w:val="18"/>
                <w:lang w:val="en-US"/>
              </w:rPr>
            </w:pPr>
            <w:r w:rsidRPr="000A13F5">
              <w:rPr>
                <w:sz w:val="18"/>
                <w:szCs w:val="18"/>
                <w:lang w:val="en-US"/>
              </w:rPr>
              <w:t xml:space="preserve">4 </w:t>
            </w:r>
          </w:p>
        </w:tc>
        <w:tc>
          <w:tcPr>
            <w:tcW w:w="1691" w:type="dxa"/>
          </w:tcPr>
          <w:p w14:paraId="59D45539" w14:textId="77777777" w:rsidR="00A924D6" w:rsidRPr="00455A2B" w:rsidRDefault="00A924D6" w:rsidP="008A19B5">
            <w:pPr>
              <w:spacing w:before="40" w:after="40"/>
              <w:ind w:left="155"/>
              <w:rPr>
                <w:sz w:val="18"/>
                <w:szCs w:val="18"/>
                <w:lang w:val="en-US"/>
              </w:rPr>
            </w:pPr>
            <w:r w:rsidRPr="00455A2B">
              <w:rPr>
                <w:sz w:val="18"/>
                <w:szCs w:val="18"/>
                <w:lang w:val="en-US"/>
              </w:rPr>
              <w:t>V, 2.5°D</w:t>
            </w:r>
          </w:p>
        </w:tc>
      </w:tr>
      <w:tr w:rsidR="00A924D6" w:rsidRPr="000A13F5" w14:paraId="4B80D7C8" w14:textId="77777777" w:rsidTr="008A19B5">
        <w:tc>
          <w:tcPr>
            <w:tcW w:w="1989" w:type="dxa"/>
          </w:tcPr>
          <w:p w14:paraId="548FF985" w14:textId="77777777" w:rsidR="00A924D6" w:rsidRPr="000A13F5" w:rsidRDefault="00A924D6" w:rsidP="008A19B5">
            <w:pPr>
              <w:spacing w:before="40" w:after="40"/>
              <w:ind w:left="155"/>
              <w:rPr>
                <w:sz w:val="18"/>
                <w:szCs w:val="18"/>
                <w:lang w:val="en-US"/>
              </w:rPr>
            </w:pPr>
            <w:r w:rsidRPr="000A13F5">
              <w:rPr>
                <w:sz w:val="18"/>
                <w:szCs w:val="18"/>
                <w:lang w:val="en-US"/>
              </w:rPr>
              <w:lastRenderedPageBreak/>
              <w:t>Cornering lamp</w:t>
            </w:r>
          </w:p>
        </w:tc>
        <w:tc>
          <w:tcPr>
            <w:tcW w:w="2278" w:type="dxa"/>
          </w:tcPr>
          <w:p w14:paraId="32645668" w14:textId="77777777" w:rsidR="00A924D6" w:rsidRPr="000A13F5" w:rsidRDefault="00A924D6" w:rsidP="008A19B5">
            <w:pPr>
              <w:spacing w:before="40" w:after="40"/>
              <w:ind w:left="155"/>
              <w:rPr>
                <w:sz w:val="18"/>
                <w:szCs w:val="18"/>
                <w:lang w:val="en-US"/>
              </w:rPr>
            </w:pPr>
            <w:r w:rsidRPr="000A13F5">
              <w:rPr>
                <w:sz w:val="18"/>
                <w:szCs w:val="18"/>
                <w:lang w:val="en-US"/>
              </w:rPr>
              <w:t xml:space="preserve">1 </w:t>
            </w:r>
          </w:p>
        </w:tc>
        <w:tc>
          <w:tcPr>
            <w:tcW w:w="1691" w:type="dxa"/>
          </w:tcPr>
          <w:p w14:paraId="4E53AD9F" w14:textId="77777777" w:rsidR="00A924D6" w:rsidRPr="00455A2B" w:rsidRDefault="00A924D6" w:rsidP="008A19B5">
            <w:pPr>
              <w:spacing w:before="40" w:after="40"/>
              <w:ind w:left="155"/>
              <w:rPr>
                <w:sz w:val="18"/>
                <w:szCs w:val="18"/>
              </w:rPr>
            </w:pPr>
            <w:r w:rsidRPr="00455A2B">
              <w:rPr>
                <w:sz w:val="18"/>
                <w:szCs w:val="18"/>
              </w:rPr>
              <w:t>45°L 2.5°D</w:t>
            </w:r>
          </w:p>
          <w:p w14:paraId="7B387E6E" w14:textId="77777777" w:rsidR="00A924D6" w:rsidRPr="00455A2B" w:rsidRDefault="00A924D6" w:rsidP="008A19B5">
            <w:pPr>
              <w:spacing w:before="40" w:after="40"/>
              <w:ind w:left="155"/>
              <w:rPr>
                <w:sz w:val="18"/>
                <w:szCs w:val="18"/>
              </w:rPr>
            </w:pPr>
            <w:r w:rsidRPr="00455A2B">
              <w:rPr>
                <w:sz w:val="18"/>
                <w:szCs w:val="18"/>
              </w:rPr>
              <w:t>resp.</w:t>
            </w:r>
          </w:p>
          <w:p w14:paraId="415741B7" w14:textId="77777777" w:rsidR="00A924D6" w:rsidRPr="00455A2B" w:rsidRDefault="00A924D6" w:rsidP="008A19B5">
            <w:pPr>
              <w:spacing w:before="40" w:after="40"/>
              <w:ind w:left="155"/>
              <w:rPr>
                <w:sz w:val="18"/>
                <w:szCs w:val="18"/>
                <w:lang w:val="en-US"/>
              </w:rPr>
            </w:pPr>
            <w:r w:rsidRPr="00455A2B">
              <w:rPr>
                <w:sz w:val="18"/>
                <w:szCs w:val="18"/>
              </w:rPr>
              <w:t>45°R 2.5°D</w:t>
            </w:r>
          </w:p>
        </w:tc>
      </w:tr>
    </w:tbl>
    <w:p w14:paraId="28E2E661" w14:textId="77777777" w:rsidR="00A924D6" w:rsidRDefault="00A924D6" w:rsidP="00A924D6">
      <w:pPr>
        <w:spacing w:after="120"/>
        <w:ind w:left="2257" w:right="1134" w:firstLine="11"/>
        <w:jc w:val="both"/>
      </w:pPr>
      <w:r w:rsidRPr="000A13F5">
        <w:rPr>
          <w:sz w:val="18"/>
          <w:szCs w:val="18"/>
          <w:vertAlign w:val="superscript"/>
          <w:lang w:val="en-US"/>
        </w:rPr>
        <w:t>a</w:t>
      </w:r>
      <w:r w:rsidRPr="000A13F5">
        <w:rPr>
          <w:sz w:val="18"/>
          <w:szCs w:val="18"/>
          <w:lang w:val="en-US"/>
        </w:rPr>
        <w:t xml:space="preserve"> After 1 second it shall meet at least 25 % of the requirement at the test point</w:t>
      </w:r>
      <w:r>
        <w:rPr>
          <w:sz w:val="18"/>
          <w:szCs w:val="18"/>
          <w:lang w:val="en-US"/>
        </w:rPr>
        <w:t>.</w:t>
      </w:r>
      <w:r>
        <w:rPr>
          <w:rFonts w:eastAsia="ArialMT"/>
          <w:lang w:eastAsia="zh-CN"/>
        </w:rPr>
        <w:t>”</w:t>
      </w:r>
    </w:p>
    <w:p w14:paraId="23ACDF19" w14:textId="77777777" w:rsidR="00A924D6" w:rsidRDefault="00A924D6" w:rsidP="00A924D6">
      <w:pPr>
        <w:spacing w:after="120"/>
        <w:ind w:left="2268" w:right="1134" w:hanging="1134"/>
        <w:jc w:val="both"/>
        <w:rPr>
          <w:rFonts w:eastAsia="Calibri"/>
          <w:i/>
        </w:rPr>
      </w:pPr>
      <w:r w:rsidRPr="007E5050">
        <w:rPr>
          <w:rFonts w:eastAsia="Calibri"/>
          <w:i/>
        </w:rPr>
        <w:t xml:space="preserve">Annex 14, </w:t>
      </w:r>
    </w:p>
    <w:p w14:paraId="39F77CFA" w14:textId="77777777" w:rsidR="00A924D6" w:rsidRDefault="00A924D6" w:rsidP="00A924D6">
      <w:pPr>
        <w:spacing w:after="120"/>
        <w:ind w:left="2268" w:right="1134" w:hanging="1134"/>
        <w:jc w:val="both"/>
        <w:rPr>
          <w:rFonts w:eastAsia="Calibri"/>
          <w:i/>
        </w:rPr>
      </w:pPr>
      <w:r>
        <w:rPr>
          <w:rFonts w:eastAsia="Calibri"/>
          <w:i/>
        </w:rPr>
        <w:t>F</w:t>
      </w:r>
      <w:r w:rsidRPr="007E5050">
        <w:rPr>
          <w:rFonts w:eastAsia="Calibri"/>
          <w:i/>
        </w:rPr>
        <w:t xml:space="preserve">ootnote 2 (d), </w:t>
      </w:r>
      <w:r w:rsidRPr="002516E7">
        <w:rPr>
          <w:rFonts w:eastAsia="Calibri"/>
          <w:iCs/>
        </w:rPr>
        <w:t>amend to read:</w:t>
      </w:r>
    </w:p>
    <w:p w14:paraId="668253D1" w14:textId="77777777" w:rsidR="00A924D6" w:rsidRPr="004E219E" w:rsidRDefault="00A924D6" w:rsidP="00A924D6">
      <w:pPr>
        <w:spacing w:after="120"/>
        <w:ind w:left="1701" w:right="1134" w:hanging="567"/>
        <w:jc w:val="both"/>
        <w:rPr>
          <w:rFonts w:eastAsia="Calibri"/>
          <w:sz w:val="18"/>
          <w:szCs w:val="18"/>
        </w:rPr>
      </w:pPr>
      <w:r w:rsidRPr="004E219E">
        <w:rPr>
          <w:rFonts w:eastAsia="Calibri"/>
          <w:sz w:val="18"/>
          <w:szCs w:val="18"/>
        </w:rPr>
        <w:t>“(d)</w:t>
      </w:r>
      <w:r w:rsidRPr="004E219E">
        <w:rPr>
          <w:rFonts w:eastAsia="Calibri"/>
          <w:sz w:val="18"/>
          <w:szCs w:val="18"/>
        </w:rPr>
        <w:tab/>
        <w:t>Signal status when the respective conditions according to paragraph 6.22.7.4. of UN Regulation No. 48 or 6.18.6.3. of UN Regulation No. 53 are fulfilled.”</w:t>
      </w:r>
    </w:p>
    <w:p w14:paraId="30D66054" w14:textId="77777777" w:rsidR="00A924D6" w:rsidRPr="004E219E" w:rsidRDefault="00A924D6" w:rsidP="00A924D6">
      <w:pPr>
        <w:spacing w:after="120"/>
        <w:ind w:left="2268" w:right="1134" w:hanging="1134"/>
        <w:jc w:val="both"/>
        <w:rPr>
          <w:rFonts w:eastAsia="Calibri"/>
          <w:i/>
        </w:rPr>
      </w:pPr>
      <w:r w:rsidRPr="004E219E">
        <w:rPr>
          <w:rFonts w:eastAsia="Calibri"/>
          <w:i/>
        </w:rPr>
        <w:t xml:space="preserve">Footnote 5, </w:t>
      </w:r>
      <w:r w:rsidRPr="004E219E">
        <w:rPr>
          <w:rFonts w:eastAsia="Calibri"/>
          <w:iCs/>
        </w:rPr>
        <w:t>amend to read:</w:t>
      </w:r>
    </w:p>
    <w:p w14:paraId="2B3A4378" w14:textId="77777777" w:rsidR="00A924D6" w:rsidRDefault="00A924D6" w:rsidP="00A924D6">
      <w:pPr>
        <w:spacing w:after="120"/>
        <w:ind w:left="1701" w:right="1134" w:hanging="567"/>
        <w:jc w:val="both"/>
        <w:rPr>
          <w:u w:val="single"/>
        </w:rPr>
      </w:pPr>
      <w:r w:rsidRPr="004E219E">
        <w:rPr>
          <w:rFonts w:eastAsia="Calibri"/>
          <w:sz w:val="18"/>
          <w:szCs w:val="18"/>
        </w:rPr>
        <w:t>“5</w:t>
      </w:r>
      <w:r w:rsidRPr="004E219E">
        <w:rPr>
          <w:rFonts w:eastAsia="Calibri"/>
          <w:sz w:val="18"/>
          <w:szCs w:val="18"/>
        </w:rPr>
        <w:tab/>
        <w:t>Relevant to provisions of paragraph 6.22.6.1.2. of UN Regulation No. 48 or 6.18.5.1. of UN Regulation No. 53.”</w:t>
      </w:r>
    </w:p>
    <w:p w14:paraId="3C197802" w14:textId="65553F1A" w:rsidR="00A924D6" w:rsidRPr="00A924D6" w:rsidRDefault="00A924D6" w:rsidP="00A924D6">
      <w:pPr>
        <w:spacing w:before="240"/>
        <w:jc w:val="center"/>
        <w:rPr>
          <w:u w:val="single"/>
        </w:rPr>
      </w:pPr>
      <w:r>
        <w:rPr>
          <w:u w:val="single"/>
        </w:rPr>
        <w:tab/>
      </w:r>
      <w:r>
        <w:rPr>
          <w:u w:val="single"/>
        </w:rPr>
        <w:tab/>
      </w:r>
      <w:r>
        <w:rPr>
          <w:u w:val="single"/>
        </w:rPr>
        <w:tab/>
      </w:r>
    </w:p>
    <w:sectPr w:rsidR="00A924D6" w:rsidRPr="00A924D6" w:rsidSect="009953AC">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3A232" w14:textId="77777777" w:rsidR="00417EDA" w:rsidRDefault="00417EDA"/>
  </w:endnote>
  <w:endnote w:type="continuationSeparator" w:id="0">
    <w:p w14:paraId="1350F6CB" w14:textId="77777777" w:rsidR="00417EDA" w:rsidRDefault="00417EDA"/>
  </w:endnote>
  <w:endnote w:type="continuationNotice" w:id="1">
    <w:p w14:paraId="58F3779D" w14:textId="77777777" w:rsidR="00417EDA" w:rsidRDefault="00417E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HGSGothicM">
    <w:altName w:val="Yu Gothic"/>
    <w:charset w:val="80"/>
    <w:family w:val="modern"/>
    <w:pitch w:val="variable"/>
    <w:sig w:usb0="80000281" w:usb1="28C76CF8"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A196" w14:textId="50CF8BDC" w:rsidR="009953AC" w:rsidRPr="009953AC" w:rsidRDefault="009953AC" w:rsidP="009953AC">
    <w:pPr>
      <w:pStyle w:val="Footer"/>
      <w:tabs>
        <w:tab w:val="right" w:pos="9638"/>
      </w:tabs>
      <w:rPr>
        <w:sz w:val="18"/>
      </w:rPr>
    </w:pPr>
    <w:r w:rsidRPr="009953AC">
      <w:rPr>
        <w:b/>
        <w:sz w:val="18"/>
      </w:rPr>
      <w:fldChar w:fldCharType="begin"/>
    </w:r>
    <w:r w:rsidRPr="009953AC">
      <w:rPr>
        <w:b/>
        <w:sz w:val="18"/>
      </w:rPr>
      <w:instrText xml:space="preserve"> PAGE  \* MERGEFORMAT </w:instrText>
    </w:r>
    <w:r w:rsidRPr="009953AC">
      <w:rPr>
        <w:b/>
        <w:sz w:val="18"/>
      </w:rPr>
      <w:fldChar w:fldCharType="separate"/>
    </w:r>
    <w:r w:rsidRPr="009953AC">
      <w:rPr>
        <w:b/>
        <w:noProof/>
        <w:sz w:val="18"/>
      </w:rPr>
      <w:t>2</w:t>
    </w:r>
    <w:r w:rsidRPr="009953A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AF81" w14:textId="5E442E8E" w:rsidR="009953AC" w:rsidRPr="009953AC" w:rsidRDefault="009953AC" w:rsidP="009953AC">
    <w:pPr>
      <w:pStyle w:val="Footer"/>
      <w:tabs>
        <w:tab w:val="right" w:pos="9638"/>
      </w:tabs>
      <w:rPr>
        <w:b/>
        <w:sz w:val="18"/>
      </w:rPr>
    </w:pPr>
    <w:r>
      <w:tab/>
    </w:r>
    <w:r w:rsidRPr="009953AC">
      <w:rPr>
        <w:b/>
        <w:sz w:val="18"/>
      </w:rPr>
      <w:fldChar w:fldCharType="begin"/>
    </w:r>
    <w:r w:rsidRPr="009953AC">
      <w:rPr>
        <w:b/>
        <w:sz w:val="18"/>
      </w:rPr>
      <w:instrText xml:space="preserve"> PAGE  \* MERGEFORMAT </w:instrText>
    </w:r>
    <w:r w:rsidRPr="009953AC">
      <w:rPr>
        <w:b/>
        <w:sz w:val="18"/>
      </w:rPr>
      <w:fldChar w:fldCharType="separate"/>
    </w:r>
    <w:r w:rsidRPr="009953AC">
      <w:rPr>
        <w:b/>
        <w:noProof/>
        <w:sz w:val="18"/>
      </w:rPr>
      <w:t>3</w:t>
    </w:r>
    <w:r w:rsidRPr="009953A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666B" w14:textId="05E90D56" w:rsidR="00E006F7" w:rsidRDefault="00E006F7" w:rsidP="00E006F7">
    <w:pPr>
      <w:pStyle w:val="Footer"/>
    </w:pPr>
    <w:r w:rsidRPr="0027112F">
      <w:rPr>
        <w:noProof/>
        <w:lang w:val="en-US"/>
      </w:rPr>
      <w:drawing>
        <wp:anchor distT="0" distB="0" distL="114300" distR="114300" simplePos="0" relativeHeight="251659264" behindDoc="0" locked="1" layoutInCell="1" allowOverlap="1" wp14:anchorId="31D3B42B" wp14:editId="21B3B30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8B14946" w14:textId="5ED2198C" w:rsidR="00E006F7" w:rsidRPr="00E006F7" w:rsidRDefault="00E006F7" w:rsidP="00E006F7">
    <w:pPr>
      <w:pStyle w:val="Footer"/>
      <w:ind w:right="1134"/>
      <w:rPr>
        <w:sz w:val="20"/>
      </w:rPr>
    </w:pPr>
    <w:r>
      <w:rPr>
        <w:sz w:val="20"/>
      </w:rPr>
      <w:t>GE.23-25711(E)</w:t>
    </w:r>
    <w:r>
      <w:rPr>
        <w:noProof/>
        <w:sz w:val="20"/>
      </w:rPr>
      <w:drawing>
        <wp:anchor distT="0" distB="0" distL="114300" distR="114300" simplePos="0" relativeHeight="251660288" behindDoc="0" locked="0" layoutInCell="1" allowOverlap="1" wp14:anchorId="1788C3EF" wp14:editId="5CA5676F">
          <wp:simplePos x="0" y="0"/>
          <wp:positionH relativeFrom="margin">
            <wp:posOffset>5615940</wp:posOffset>
          </wp:positionH>
          <wp:positionV relativeFrom="margin">
            <wp:posOffset>8905875</wp:posOffset>
          </wp:positionV>
          <wp:extent cx="561975" cy="561975"/>
          <wp:effectExtent l="0" t="0" r="9525"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0DA11" w14:textId="77777777" w:rsidR="00417EDA" w:rsidRPr="000B175B" w:rsidRDefault="00417EDA" w:rsidP="000B175B">
      <w:pPr>
        <w:tabs>
          <w:tab w:val="right" w:pos="2155"/>
        </w:tabs>
        <w:spacing w:after="80"/>
        <w:ind w:left="680"/>
        <w:rPr>
          <w:u w:val="single"/>
        </w:rPr>
      </w:pPr>
      <w:r>
        <w:rPr>
          <w:u w:val="single"/>
        </w:rPr>
        <w:tab/>
      </w:r>
    </w:p>
  </w:footnote>
  <w:footnote w:type="continuationSeparator" w:id="0">
    <w:p w14:paraId="79223329" w14:textId="77777777" w:rsidR="00417EDA" w:rsidRPr="00FC68B7" w:rsidRDefault="00417EDA" w:rsidP="00FC68B7">
      <w:pPr>
        <w:tabs>
          <w:tab w:val="left" w:pos="2155"/>
        </w:tabs>
        <w:spacing w:after="80"/>
        <w:ind w:left="680"/>
        <w:rPr>
          <w:u w:val="single"/>
        </w:rPr>
      </w:pPr>
      <w:r>
        <w:rPr>
          <w:u w:val="single"/>
        </w:rPr>
        <w:tab/>
      </w:r>
    </w:p>
  </w:footnote>
  <w:footnote w:type="continuationNotice" w:id="1">
    <w:p w14:paraId="2D0A7A9D" w14:textId="77777777" w:rsidR="00417EDA" w:rsidRDefault="00417EDA"/>
  </w:footnote>
  <w:footnote w:id="2">
    <w:p w14:paraId="5B76903D" w14:textId="77777777" w:rsidR="00A924D6" w:rsidRPr="00EA370C" w:rsidRDefault="00A924D6" w:rsidP="00A924D6">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4</w:t>
      </w:r>
      <w:r w:rsidRPr="005936E3">
        <w:rPr>
          <w:szCs w:val="18"/>
          <w:lang w:val="en-US"/>
        </w:rPr>
        <w:t xml:space="preserve"> (</w:t>
      </w:r>
      <w:r w:rsidRPr="00CC0197">
        <w:rPr>
          <w:lang w:val="en-US"/>
        </w:rPr>
        <w:t>A/7</w:t>
      </w:r>
      <w:r>
        <w:rPr>
          <w:lang w:val="en-US"/>
        </w:rPr>
        <w:t>8</w:t>
      </w:r>
      <w:r w:rsidRPr="00CC0197">
        <w:rPr>
          <w:lang w:val="en-US"/>
        </w:rPr>
        <w:t>/6 (Sect. 20), table 20.</w:t>
      </w:r>
      <w:r>
        <w:rPr>
          <w:lang w:val="en-US"/>
        </w:rPr>
        <w:t>5</w:t>
      </w:r>
      <w:r w:rsidRPr="00CC0197">
        <w:rPr>
          <w:lang w:val="en-US"/>
        </w:rPr>
        <w:t>)</w:t>
      </w:r>
      <w:r w:rsidRPr="00CC0197">
        <w:rPr>
          <w:szCs w:val="18"/>
          <w:lang w:val="en-US"/>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 w:id="3">
    <w:p w14:paraId="5BAD6078" w14:textId="77777777" w:rsidR="00A924D6" w:rsidRPr="008B4779" w:rsidRDefault="00A924D6" w:rsidP="00A924D6">
      <w:pPr>
        <w:pStyle w:val="FootnoteText"/>
        <w:widowControl w:val="0"/>
      </w:pPr>
      <w:r>
        <w:tab/>
      </w:r>
      <w:r w:rsidRPr="00A86F73">
        <w:rPr>
          <w:vertAlign w:val="superscript"/>
        </w:rPr>
        <w:footnoteRef/>
      </w:r>
      <w:r w:rsidRPr="00A86F73">
        <w:tab/>
      </w:r>
      <w:r w:rsidRPr="008B4779">
        <w:t>In the case of a single installation unit the symbol "XC" or “MXC” is marked only once.</w:t>
      </w:r>
    </w:p>
  </w:footnote>
  <w:footnote w:id="4">
    <w:p w14:paraId="255AC77E" w14:textId="77777777" w:rsidR="00A924D6" w:rsidRPr="008B4779" w:rsidRDefault="00A924D6" w:rsidP="00A924D6">
      <w:pPr>
        <w:pStyle w:val="FootnoteText"/>
        <w:widowControl w:val="0"/>
      </w:pPr>
      <w:r w:rsidRPr="008B4779">
        <w:tab/>
      </w:r>
      <w:r w:rsidRPr="008B4779">
        <w:rPr>
          <w:vertAlign w:val="superscript"/>
        </w:rPr>
        <w:footnoteRef/>
      </w:r>
      <w:r w:rsidRPr="008B4779">
        <w:tab/>
        <w:t>In the case of more installation units each providing one or more AFS function(s) each unit is marked with the symbol "X" or “MX” followed by the identification symbol(s) of the specific AFS function(s)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B47B" w14:textId="5B0639E6" w:rsidR="009953AC" w:rsidRPr="009953AC" w:rsidRDefault="00821DA4">
    <w:pPr>
      <w:pStyle w:val="Header"/>
    </w:pPr>
    <w:r>
      <w:fldChar w:fldCharType="begin"/>
    </w:r>
    <w:r>
      <w:instrText xml:space="preserve"> TITLE  \* MERGEFORMAT </w:instrText>
    </w:r>
    <w:r>
      <w:fldChar w:fldCharType="separate"/>
    </w:r>
    <w:r w:rsidR="009953AC">
      <w:t>ECE/TRANS/WP.29/2024/25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A29E" w14:textId="78FE7A41" w:rsidR="009953AC" w:rsidRPr="009953AC" w:rsidRDefault="00821DA4" w:rsidP="009953AC">
    <w:pPr>
      <w:pStyle w:val="Header"/>
      <w:jc w:val="right"/>
    </w:pPr>
    <w:r>
      <w:fldChar w:fldCharType="begin"/>
    </w:r>
    <w:r>
      <w:instrText xml:space="preserve"> TITLE  \* MERGEFORMAT </w:instrText>
    </w:r>
    <w:r>
      <w:fldChar w:fldCharType="separate"/>
    </w:r>
    <w:r w:rsidR="009953AC">
      <w:t>ECE/TRANS/WP.29/2024/25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0066461"/>
    <w:multiLevelType w:val="hybridMultilevel"/>
    <w:tmpl w:val="636451A4"/>
    <w:lvl w:ilvl="0" w:tplc="04100001">
      <w:start w:val="1"/>
      <w:numFmt w:val="bullet"/>
      <w:lvlText w:val=""/>
      <w:lvlJc w:val="left"/>
      <w:pPr>
        <w:ind w:left="2988" w:hanging="360"/>
      </w:pPr>
      <w:rPr>
        <w:rFonts w:ascii="Symbol" w:hAnsi="Symbol" w:hint="default"/>
      </w:rPr>
    </w:lvl>
    <w:lvl w:ilvl="1" w:tplc="04100003" w:tentative="1">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29111647">
    <w:abstractNumId w:val="1"/>
  </w:num>
  <w:num w:numId="2" w16cid:durableId="521364030">
    <w:abstractNumId w:val="0"/>
  </w:num>
  <w:num w:numId="3" w16cid:durableId="1743990585">
    <w:abstractNumId w:val="2"/>
  </w:num>
  <w:num w:numId="4" w16cid:durableId="299262564">
    <w:abstractNumId w:val="3"/>
  </w:num>
  <w:num w:numId="5" w16cid:durableId="1614048359">
    <w:abstractNumId w:val="8"/>
  </w:num>
  <w:num w:numId="6" w16cid:durableId="990140732">
    <w:abstractNumId w:val="9"/>
  </w:num>
  <w:num w:numId="7" w16cid:durableId="400107619">
    <w:abstractNumId w:val="7"/>
  </w:num>
  <w:num w:numId="8" w16cid:durableId="2062484452">
    <w:abstractNumId w:val="6"/>
  </w:num>
  <w:num w:numId="9" w16cid:durableId="43797522">
    <w:abstractNumId w:val="5"/>
  </w:num>
  <w:num w:numId="10" w16cid:durableId="973413351">
    <w:abstractNumId w:val="4"/>
  </w:num>
  <w:num w:numId="11" w16cid:durableId="49889489">
    <w:abstractNumId w:val="15"/>
  </w:num>
  <w:num w:numId="12" w16cid:durableId="1810171820">
    <w:abstractNumId w:val="14"/>
  </w:num>
  <w:num w:numId="13" w16cid:durableId="886139350">
    <w:abstractNumId w:val="10"/>
  </w:num>
  <w:num w:numId="14" w16cid:durableId="939878298">
    <w:abstractNumId w:val="12"/>
  </w:num>
  <w:num w:numId="15" w16cid:durableId="1780299904">
    <w:abstractNumId w:val="16"/>
  </w:num>
  <w:num w:numId="16" w16cid:durableId="1307588526">
    <w:abstractNumId w:val="13"/>
  </w:num>
  <w:num w:numId="17" w16cid:durableId="880751381">
    <w:abstractNumId w:val="18"/>
  </w:num>
  <w:num w:numId="18" w16cid:durableId="1113982557">
    <w:abstractNumId w:val="19"/>
  </w:num>
  <w:num w:numId="19" w16cid:durableId="690182529">
    <w:abstractNumId w:val="11"/>
  </w:num>
  <w:num w:numId="20" w16cid:durableId="206525529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3AC"/>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17EDA"/>
    <w:rsid w:val="004325CB"/>
    <w:rsid w:val="00440A07"/>
    <w:rsid w:val="00462880"/>
    <w:rsid w:val="00476F24"/>
    <w:rsid w:val="004A5D33"/>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07D6"/>
    <w:rsid w:val="006115CC"/>
    <w:rsid w:val="00611FC4"/>
    <w:rsid w:val="006176FB"/>
    <w:rsid w:val="00630FCB"/>
    <w:rsid w:val="00640B26"/>
    <w:rsid w:val="00645C01"/>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4C29"/>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556A"/>
    <w:rsid w:val="00926E47"/>
    <w:rsid w:val="00947162"/>
    <w:rsid w:val="009610D0"/>
    <w:rsid w:val="0096375C"/>
    <w:rsid w:val="009662E6"/>
    <w:rsid w:val="0097095E"/>
    <w:rsid w:val="0098592B"/>
    <w:rsid w:val="00985FC4"/>
    <w:rsid w:val="00990766"/>
    <w:rsid w:val="00991261"/>
    <w:rsid w:val="009953AC"/>
    <w:rsid w:val="009964C4"/>
    <w:rsid w:val="009A7B81"/>
    <w:rsid w:val="009B011B"/>
    <w:rsid w:val="009B7EB7"/>
    <w:rsid w:val="009D01C0"/>
    <w:rsid w:val="009D6A08"/>
    <w:rsid w:val="009E0A16"/>
    <w:rsid w:val="009E6CB7"/>
    <w:rsid w:val="009E7970"/>
    <w:rsid w:val="009F2EAC"/>
    <w:rsid w:val="009F57E3"/>
    <w:rsid w:val="00A077A2"/>
    <w:rsid w:val="00A10F4F"/>
    <w:rsid w:val="00A11067"/>
    <w:rsid w:val="00A1704A"/>
    <w:rsid w:val="00A36AC2"/>
    <w:rsid w:val="00A425EB"/>
    <w:rsid w:val="00A72F22"/>
    <w:rsid w:val="00A733BC"/>
    <w:rsid w:val="00A748A6"/>
    <w:rsid w:val="00A76A69"/>
    <w:rsid w:val="00A879A4"/>
    <w:rsid w:val="00A924D6"/>
    <w:rsid w:val="00AA0FF8"/>
    <w:rsid w:val="00AA3751"/>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29DD"/>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1AE9"/>
    <w:rsid w:val="00D43252"/>
    <w:rsid w:val="00D44D86"/>
    <w:rsid w:val="00D50B7D"/>
    <w:rsid w:val="00D52012"/>
    <w:rsid w:val="00D704E5"/>
    <w:rsid w:val="00D72727"/>
    <w:rsid w:val="00D978C6"/>
    <w:rsid w:val="00DA0956"/>
    <w:rsid w:val="00DA357F"/>
    <w:rsid w:val="00DA3E12"/>
    <w:rsid w:val="00DC18AD"/>
    <w:rsid w:val="00DF7CAE"/>
    <w:rsid w:val="00E006F7"/>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4FE8"/>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5C6AD"/>
  <w15:docId w15:val="{152681E3-70DF-4B79-97D2-AA7129AB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7D6"/>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lang w:val="en-GB"/>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6107D6"/>
    <w:rPr>
      <w:rFonts w:ascii="Times New Roman" w:hAnsi="Times New Roman"/>
      <w:sz w:val="18"/>
      <w:vertAlign w:val="superscript"/>
      <w:lang w:val="en-GB"/>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6107D6"/>
    <w:pPr>
      <w:tabs>
        <w:tab w:val="right" w:pos="1021"/>
      </w:tabs>
      <w:spacing w:line="220" w:lineRule="exact"/>
      <w:ind w:left="1134" w:right="1134" w:hanging="1134"/>
    </w:pPr>
    <w:rPr>
      <w:rFonts w:eastAsiaTheme="minorHAnsi"/>
      <w:sz w:val="18"/>
      <w:lang w:eastAsia="en-US"/>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Normal"/>
    <w:qFormat/>
    <w:rsid w:val="00D41AE9"/>
    <w:pPr>
      <w:numPr>
        <w:numId w:val="19"/>
      </w:numPr>
      <w:tabs>
        <w:tab w:val="left" w:pos="1701"/>
        <w:tab w:val="left" w:pos="2268"/>
        <w:tab w:val="left" w:pos="2835"/>
      </w:tabs>
      <w:spacing w:after="120"/>
      <w:ind w:right="1134"/>
      <w:jc w:val="both"/>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basedOn w:val="DefaultParagraphFont"/>
    <w:link w:val="FootnoteText"/>
    <w:qFormat/>
    <w:rsid w:val="006107D6"/>
    <w:rPr>
      <w:rFonts w:eastAsiaTheme="minorHAnsi"/>
      <w:sz w:val="18"/>
      <w:lang w:val="en-GB" w:eastAsia="en-US"/>
    </w:rPr>
  </w:style>
  <w:style w:type="character" w:customStyle="1" w:styleId="SingleTxtGChar">
    <w:name w:val="_ Single Txt_G Char"/>
    <w:link w:val="SingleTxtG"/>
    <w:qFormat/>
    <w:rsid w:val="00A924D6"/>
    <w:rPr>
      <w:lang w:val="en-GB"/>
    </w:rPr>
  </w:style>
  <w:style w:type="character" w:customStyle="1" w:styleId="HChGChar">
    <w:name w:val="_ H _Ch_G Char"/>
    <w:link w:val="HChG"/>
    <w:qFormat/>
    <w:locked/>
    <w:rsid w:val="00A924D6"/>
    <w:rPr>
      <w:b/>
      <w:sz w:val="28"/>
      <w:lang w:val="en-GB"/>
    </w:rPr>
  </w:style>
  <w:style w:type="character" w:customStyle="1" w:styleId="H1GChar">
    <w:name w:val="_ H_1_G Char"/>
    <w:link w:val="H1G"/>
    <w:locked/>
    <w:rsid w:val="00A924D6"/>
    <w:rPr>
      <w:b/>
      <w:sz w:val="24"/>
      <w:lang w:val="en-GB"/>
    </w:rPr>
  </w:style>
  <w:style w:type="paragraph" w:customStyle="1" w:styleId="para">
    <w:name w:val="para"/>
    <w:basedOn w:val="Normal"/>
    <w:link w:val="paraChar"/>
    <w:qFormat/>
    <w:rsid w:val="00A924D6"/>
    <w:pPr>
      <w:spacing w:after="120"/>
      <w:ind w:left="2268" w:right="1134" w:hanging="1134"/>
      <w:jc w:val="both"/>
    </w:pPr>
    <w:rPr>
      <w:rFonts w:eastAsia="Yu Mincho"/>
      <w:snapToGrid w:val="0"/>
      <w:lang w:val="fr-FR" w:eastAsia="en-US"/>
    </w:rPr>
  </w:style>
  <w:style w:type="character" w:customStyle="1" w:styleId="paraChar">
    <w:name w:val="para Char"/>
    <w:link w:val="para"/>
    <w:rsid w:val="00A924D6"/>
    <w:rPr>
      <w:rFonts w:eastAsia="Yu Mincho"/>
      <w:snapToGrid w:val="0"/>
      <w:lang w:eastAsia="en-US"/>
    </w:rPr>
  </w:style>
  <w:style w:type="character" w:styleId="CommentReference">
    <w:name w:val="annotation reference"/>
    <w:uiPriority w:val="99"/>
    <w:rsid w:val="00A924D6"/>
    <w:rPr>
      <w:sz w:val="16"/>
      <w:szCs w:val="16"/>
    </w:rPr>
  </w:style>
  <w:style w:type="paragraph" w:styleId="CommentText">
    <w:name w:val="annotation text"/>
    <w:basedOn w:val="Normal"/>
    <w:link w:val="CommentTextChar"/>
    <w:uiPriority w:val="99"/>
    <w:rsid w:val="00A924D6"/>
    <w:pPr>
      <w:suppressAutoHyphens/>
    </w:pPr>
    <w:rPr>
      <w:lang w:val="fr-CH" w:eastAsia="en-US"/>
    </w:rPr>
  </w:style>
  <w:style w:type="character" w:customStyle="1" w:styleId="CommentTextChar">
    <w:name w:val="Comment Text Char"/>
    <w:basedOn w:val="DefaultParagraphFont"/>
    <w:link w:val="CommentText"/>
    <w:uiPriority w:val="99"/>
    <w:rsid w:val="00A924D6"/>
    <w:rPr>
      <w:lang w:val="fr-CH" w:eastAsia="en-US"/>
    </w:rPr>
  </w:style>
  <w:style w:type="paragraph" w:customStyle="1" w:styleId="4Para4thlevel">
    <w:name w:val="4.Para 4th level"/>
    <w:basedOn w:val="Normal"/>
    <w:link w:val="4Para4thlevelCar"/>
    <w:qFormat/>
    <w:rsid w:val="00A924D6"/>
    <w:pPr>
      <w:suppressAutoHyphens/>
      <w:spacing w:after="120"/>
      <w:ind w:left="2268" w:right="1134" w:hanging="1134"/>
      <w:jc w:val="both"/>
      <w:outlineLvl w:val="3"/>
    </w:pPr>
    <w:rPr>
      <w:rFonts w:eastAsiaTheme="minorEastAsia"/>
      <w:lang w:eastAsia="en-US"/>
    </w:rPr>
  </w:style>
  <w:style w:type="character" w:customStyle="1" w:styleId="4Para4thlevelCar">
    <w:name w:val="4.Para 4th level Car"/>
    <w:basedOn w:val="DefaultParagraphFont"/>
    <w:link w:val="4Para4thlevel"/>
    <w:rsid w:val="00A924D6"/>
    <w:rPr>
      <w:rFonts w:eastAsiaTheme="minorEastAsia"/>
      <w:lang w:val="en-GB" w:eastAsia="en-US"/>
    </w:rPr>
  </w:style>
  <w:style w:type="paragraph" w:customStyle="1" w:styleId="2para2ndlevel">
    <w:name w:val="2.para 2nd level"/>
    <w:basedOn w:val="Normal"/>
    <w:link w:val="2para2ndlevelCar"/>
    <w:qFormat/>
    <w:rsid w:val="00A924D6"/>
    <w:pPr>
      <w:suppressAutoHyphens/>
      <w:spacing w:after="120"/>
      <w:ind w:left="2268" w:right="1134" w:hanging="1134"/>
      <w:jc w:val="both"/>
      <w:outlineLvl w:val="1"/>
    </w:pPr>
    <w:rPr>
      <w:rFonts w:eastAsia="SimSun"/>
      <w:lang w:eastAsia="en-US"/>
    </w:rPr>
  </w:style>
  <w:style w:type="character" w:customStyle="1" w:styleId="2para2ndlevelCar">
    <w:name w:val="2.para 2nd level Car"/>
    <w:basedOn w:val="DefaultParagraphFont"/>
    <w:link w:val="2para2ndlevel"/>
    <w:rsid w:val="00A924D6"/>
    <w:rPr>
      <w:rFonts w:eastAsia="SimSun"/>
      <w:lang w:val="en-GB" w:eastAsia="en-US"/>
    </w:rPr>
  </w:style>
  <w:style w:type="paragraph" w:customStyle="1" w:styleId="3para3rdlevel">
    <w:name w:val="3.para 3rd level"/>
    <w:basedOn w:val="SingleTxtG"/>
    <w:link w:val="3para3rdlevelCar"/>
    <w:qFormat/>
    <w:rsid w:val="00A924D6"/>
    <w:pPr>
      <w:tabs>
        <w:tab w:val="clear" w:pos="1701"/>
        <w:tab w:val="clear" w:pos="2268"/>
        <w:tab w:val="clear" w:pos="2835"/>
      </w:tabs>
      <w:suppressAutoHyphens/>
      <w:ind w:left="2268" w:hanging="1134"/>
      <w:outlineLvl w:val="2"/>
    </w:pPr>
    <w:rPr>
      <w:rFonts w:eastAsiaTheme="minorEastAsia"/>
      <w:lang w:eastAsia="en-US"/>
    </w:rPr>
  </w:style>
  <w:style w:type="character" w:customStyle="1" w:styleId="3para3rdlevelCar">
    <w:name w:val="3.para 3rd level Car"/>
    <w:link w:val="3para3rdlevel"/>
    <w:rsid w:val="00A924D6"/>
    <w:rPr>
      <w:rFonts w:eastAsiaTheme="minorEastAsia"/>
      <w:lang w:val="en-GB" w:eastAsia="en-US"/>
    </w:rPr>
  </w:style>
  <w:style w:type="paragraph" w:customStyle="1" w:styleId="StyleSingleTxtGLeft2cmHanging206cm">
    <w:name w:val="Style _ Single Txt_G + Left:  2 cm Hanging:  2.06 cm"/>
    <w:basedOn w:val="SingleTxtG"/>
    <w:link w:val="StyleSingleTxtGLeft2cmHanging206cmChar"/>
    <w:rsid w:val="00A924D6"/>
    <w:pPr>
      <w:tabs>
        <w:tab w:val="clear" w:pos="1701"/>
        <w:tab w:val="clear" w:pos="2268"/>
        <w:tab w:val="clear" w:pos="2835"/>
      </w:tabs>
      <w:suppressAutoHyphens/>
      <w:ind w:left="2268" w:hanging="1134"/>
    </w:pPr>
    <w:rPr>
      <w:lang w:eastAsia="en-US"/>
    </w:rPr>
  </w:style>
  <w:style w:type="character" w:customStyle="1" w:styleId="StyleSingleTxtGLeft2cmHanging206cmChar">
    <w:name w:val="Style _ Single Txt_G + Left:  2 cm Hanging:  2.06 cm Char"/>
    <w:link w:val="StyleSingleTxtGLeft2cmHanging206cm"/>
    <w:rsid w:val="00A924D6"/>
    <w:rPr>
      <w:lang w:val="en-GB" w:eastAsia="en-US"/>
    </w:rPr>
  </w:style>
  <w:style w:type="character" w:customStyle="1" w:styleId="Carpredefinitoparagrafo1">
    <w:name w:val="Car. predefinito paragrafo1"/>
    <w:rsid w:val="00A924D6"/>
  </w:style>
  <w:style w:type="paragraph" w:styleId="NoSpacing">
    <w:name w:val="No Spacing"/>
    <w:uiPriority w:val="1"/>
    <w:qFormat/>
    <w:rsid w:val="00A924D6"/>
    <w:pPr>
      <w:suppressAutoHyphens/>
      <w:spacing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62F2B8-758D-4BBA-97C8-6C05A58C44EC}">
  <ds:schemaRefs>
    <ds:schemaRef ds:uri="http://schemas.microsoft.com/sharepoint/v3/contenttype/forms"/>
  </ds:schemaRefs>
</ds:datastoreItem>
</file>

<file path=customXml/itemProps2.xml><?xml version="1.0" encoding="utf-8"?>
<ds:datastoreItem xmlns:ds="http://schemas.openxmlformats.org/officeDocument/2006/customXml" ds:itemID="{0ABE2F0B-9CC1-4723-AD2D-D714799CD4B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D314A3A7-86ED-4945-925B-7409A5FB0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TRANS_WP29_E.dotm</Template>
  <TotalTime>0</TotalTime>
  <Pages>6</Pages>
  <Words>1596</Words>
  <Characters>8348</Characters>
  <Application>Microsoft Office Word</Application>
  <DocSecurity>0</DocSecurity>
  <Lines>315</Lines>
  <Paragraphs>217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ECE/TRANS/WP.29/2024/25</vt:lpstr>
      <vt:lpstr/>
    </vt:vector>
  </TitlesOfParts>
  <Company>CSD</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ECE/TRANS/WP.29/2024/25</dc:title>
  <dc:subject>2325711</dc:subject>
  <dc:creator>Secretariat</dc:creator>
  <cp:keywords/>
  <dc:description/>
  <cp:lastModifiedBy>Maria Rosario Corazon Gatmaytan</cp:lastModifiedBy>
  <cp:revision>2</cp:revision>
  <cp:lastPrinted>2009-02-18T09:36:00Z</cp:lastPrinted>
  <dcterms:created xsi:type="dcterms:W3CDTF">2023-12-20T15:59:00Z</dcterms:created>
  <dcterms:modified xsi:type="dcterms:W3CDTF">2023-12-20T15:59:00Z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