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331385C8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C58F853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C3B346F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6576D94" w14:textId="3BE7031C" w:rsidR="009E6CB7" w:rsidRPr="00D47EEA" w:rsidRDefault="008933F9" w:rsidP="008933F9">
            <w:pPr>
              <w:jc w:val="right"/>
            </w:pPr>
            <w:r w:rsidRPr="008933F9">
              <w:rPr>
                <w:sz w:val="40"/>
              </w:rPr>
              <w:t>ECE</w:t>
            </w:r>
            <w:r>
              <w:t>/TRANS/WP.29/2024/21</w:t>
            </w:r>
          </w:p>
        </w:tc>
      </w:tr>
      <w:tr w:rsidR="009E6CB7" w14:paraId="5CEB9C24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F001A48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0BDF016" wp14:editId="41B05CA6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1FD00B8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88D0505" w14:textId="77777777" w:rsidR="009E6CB7" w:rsidRDefault="008933F9" w:rsidP="008933F9">
            <w:pPr>
              <w:spacing w:before="240" w:line="240" w:lineRule="exact"/>
            </w:pPr>
            <w:r>
              <w:t>Distr.: General</w:t>
            </w:r>
          </w:p>
          <w:p w14:paraId="570AB495" w14:textId="77777777" w:rsidR="008933F9" w:rsidRDefault="008933F9" w:rsidP="008933F9">
            <w:pPr>
              <w:spacing w:line="240" w:lineRule="exact"/>
            </w:pPr>
            <w:r>
              <w:t>19 December 2023</w:t>
            </w:r>
          </w:p>
          <w:p w14:paraId="3C374EA4" w14:textId="77777777" w:rsidR="008933F9" w:rsidRDefault="008933F9" w:rsidP="008933F9">
            <w:pPr>
              <w:spacing w:line="240" w:lineRule="exact"/>
            </w:pPr>
          </w:p>
          <w:p w14:paraId="32114E0A" w14:textId="30D0CE82" w:rsidR="008933F9" w:rsidRDefault="008933F9" w:rsidP="008933F9">
            <w:pPr>
              <w:spacing w:line="240" w:lineRule="exact"/>
            </w:pPr>
            <w:r>
              <w:t>Original: English</w:t>
            </w:r>
          </w:p>
        </w:tc>
      </w:tr>
    </w:tbl>
    <w:p w14:paraId="777165E2" w14:textId="77777777" w:rsidR="008933F9" w:rsidRPr="001D703D" w:rsidRDefault="008933F9" w:rsidP="00A36AC2">
      <w:pPr>
        <w:spacing w:before="120"/>
        <w:rPr>
          <w:b/>
          <w:sz w:val="28"/>
          <w:szCs w:val="28"/>
        </w:rPr>
      </w:pPr>
      <w:r w:rsidRPr="001D703D">
        <w:rPr>
          <w:b/>
          <w:sz w:val="28"/>
          <w:szCs w:val="28"/>
        </w:rPr>
        <w:t>Economic Commission for Europe</w:t>
      </w:r>
    </w:p>
    <w:p w14:paraId="545E8EB4" w14:textId="77777777" w:rsidR="008933F9" w:rsidRPr="001D703D" w:rsidRDefault="008933F9" w:rsidP="00A36AC2">
      <w:pPr>
        <w:spacing w:before="120"/>
        <w:rPr>
          <w:sz w:val="28"/>
          <w:szCs w:val="28"/>
        </w:rPr>
      </w:pPr>
      <w:r w:rsidRPr="001D703D">
        <w:rPr>
          <w:sz w:val="28"/>
          <w:szCs w:val="28"/>
        </w:rPr>
        <w:t>Inland Transport Committee</w:t>
      </w:r>
    </w:p>
    <w:p w14:paraId="4A95761E" w14:textId="77777777" w:rsidR="008933F9" w:rsidRPr="001D703D" w:rsidRDefault="008933F9" w:rsidP="00A36AC2">
      <w:pPr>
        <w:spacing w:before="120"/>
        <w:rPr>
          <w:b/>
          <w:sz w:val="24"/>
          <w:szCs w:val="24"/>
        </w:rPr>
      </w:pPr>
      <w:r w:rsidRPr="001D703D">
        <w:rPr>
          <w:b/>
          <w:sz w:val="24"/>
          <w:szCs w:val="24"/>
        </w:rPr>
        <w:t>World Forum for Harmonization of Vehicle Regulations</w:t>
      </w:r>
    </w:p>
    <w:p w14:paraId="122F38BD" w14:textId="77777777" w:rsidR="009F70D3" w:rsidRPr="006D33D9" w:rsidRDefault="009F70D3" w:rsidP="009F70D3">
      <w:pPr>
        <w:spacing w:before="120"/>
        <w:rPr>
          <w:b/>
          <w:lang w:val="en-US"/>
        </w:rPr>
      </w:pPr>
      <w:r>
        <w:rPr>
          <w:b/>
          <w:lang w:val="en-US"/>
        </w:rPr>
        <w:t xml:space="preserve">192nd </w:t>
      </w:r>
      <w:r w:rsidRPr="006D33D9">
        <w:rPr>
          <w:b/>
          <w:lang w:val="en-US"/>
        </w:rPr>
        <w:t>session</w:t>
      </w:r>
    </w:p>
    <w:p w14:paraId="38A0604F" w14:textId="77777777" w:rsidR="009F70D3" w:rsidRPr="00C64574" w:rsidRDefault="009F70D3" w:rsidP="009F70D3">
      <w:r w:rsidRPr="00C64574">
        <w:t xml:space="preserve">Geneva, </w:t>
      </w:r>
      <w:r>
        <w:t>5</w:t>
      </w:r>
      <w:r w:rsidRPr="002A5241">
        <w:t>–</w:t>
      </w:r>
      <w:r>
        <w:t xml:space="preserve">8 March </w:t>
      </w:r>
      <w:r w:rsidRPr="00C64574">
        <w:t>20</w:t>
      </w:r>
      <w:r>
        <w:t>24</w:t>
      </w:r>
    </w:p>
    <w:p w14:paraId="7B9B92A2" w14:textId="77777777" w:rsidR="009F70D3" w:rsidRDefault="009F70D3" w:rsidP="009F70D3">
      <w:r>
        <w:t>Item 4.9.6 of the provisional agenda</w:t>
      </w:r>
    </w:p>
    <w:p w14:paraId="1A554C30" w14:textId="77777777" w:rsidR="009F70D3" w:rsidRDefault="009F70D3" w:rsidP="009F70D3">
      <w:pPr>
        <w:rPr>
          <w:b/>
        </w:rPr>
      </w:pPr>
      <w:r>
        <w:rPr>
          <w:b/>
        </w:rPr>
        <w:t>1958 Agreement:</w:t>
      </w:r>
    </w:p>
    <w:p w14:paraId="55588050" w14:textId="77777777" w:rsidR="009F70D3" w:rsidRDefault="009F70D3" w:rsidP="009F70D3">
      <w:pPr>
        <w:rPr>
          <w:b/>
        </w:rPr>
      </w:pPr>
      <w:r>
        <w:rPr>
          <w:b/>
        </w:rPr>
        <w:t>Consideration of draft amendments to existing</w:t>
      </w:r>
    </w:p>
    <w:p w14:paraId="3F3F63B7" w14:textId="77777777" w:rsidR="009F70D3" w:rsidRDefault="009F70D3" w:rsidP="009F70D3">
      <w:pPr>
        <w:rPr>
          <w:b/>
          <w:bCs/>
        </w:rPr>
      </w:pPr>
      <w:r>
        <w:rPr>
          <w:b/>
        </w:rPr>
        <w:t xml:space="preserve">UN Regulations submitted by </w:t>
      </w:r>
      <w:proofErr w:type="gramStart"/>
      <w:r>
        <w:rPr>
          <w:b/>
        </w:rPr>
        <w:t>GRE</w:t>
      </w:r>
      <w:proofErr w:type="gramEnd"/>
    </w:p>
    <w:p w14:paraId="56B7D875" w14:textId="77777777" w:rsidR="00303F7E" w:rsidRDefault="00303F7E" w:rsidP="00303F7E">
      <w:pPr>
        <w:pStyle w:val="HChG"/>
        <w:ind w:left="1124" w:right="1138" w:firstLine="0"/>
      </w:pPr>
      <w:r w:rsidRPr="00722A2B">
        <w:t xml:space="preserve">Proposal for Supplement </w:t>
      </w:r>
      <w:r>
        <w:t>5</w:t>
      </w:r>
      <w:r w:rsidRPr="00722A2B">
        <w:t xml:space="preserve"> to the 0</w:t>
      </w:r>
      <w:r>
        <w:t>8</w:t>
      </w:r>
      <w:r w:rsidRPr="00722A2B">
        <w:t xml:space="preserve"> series of amendments to UN Regulation No. 48 (Installation of lighting and light-signalling devices)</w:t>
      </w:r>
    </w:p>
    <w:p w14:paraId="65F7E7FA" w14:textId="77777777" w:rsidR="00303F7E" w:rsidRDefault="00303F7E" w:rsidP="00303F7E">
      <w:pPr>
        <w:pStyle w:val="H1G"/>
        <w:rPr>
          <w:szCs w:val="24"/>
        </w:rPr>
      </w:pPr>
      <w:r>
        <w:tab/>
      </w:r>
      <w:r>
        <w:tab/>
      </w:r>
      <w:r>
        <w:rPr>
          <w:szCs w:val="24"/>
        </w:rPr>
        <w:t>Submitted by the Working Party on Lighting and Light-Signalling</w:t>
      </w:r>
      <w:r w:rsidRPr="00CB6F40">
        <w:footnoteReference w:customMarkFollows="1" w:id="2"/>
        <w:t>*</w:t>
      </w:r>
    </w:p>
    <w:p w14:paraId="728B5C1A" w14:textId="77777777" w:rsidR="00303F7E" w:rsidRDefault="00303F7E" w:rsidP="00303F7E">
      <w:pPr>
        <w:pStyle w:val="SingleTxtG"/>
        <w:ind w:firstLine="567"/>
        <w:rPr>
          <w:sz w:val="24"/>
          <w:szCs w:val="24"/>
          <w:lang w:eastAsia="zh-CN"/>
        </w:rPr>
      </w:pPr>
      <w:r>
        <w:rPr>
          <w:lang w:val="en-US"/>
        </w:rPr>
        <w:t>The text reproduced below was adopted by the Working Party on Lighting and Light-</w:t>
      </w:r>
      <w:proofErr w:type="spellStart"/>
      <w:r>
        <w:rPr>
          <w:lang w:val="en-US"/>
        </w:rPr>
        <w:t>Signalling</w:t>
      </w:r>
      <w:proofErr w:type="spellEnd"/>
      <w:r>
        <w:rPr>
          <w:lang w:val="en-US"/>
        </w:rPr>
        <w:t xml:space="preserve"> (GRE) at its eighty-ninth session (EC</w:t>
      </w:r>
      <w:r w:rsidRPr="00D6385D">
        <w:rPr>
          <w:lang w:val="en-US"/>
        </w:rPr>
        <w:t>E/TRANS/WP.29/GR</w:t>
      </w:r>
      <w:r>
        <w:rPr>
          <w:lang w:val="en-US"/>
        </w:rPr>
        <w:t>E</w:t>
      </w:r>
      <w:r w:rsidRPr="00D6385D">
        <w:rPr>
          <w:lang w:val="en-US"/>
        </w:rPr>
        <w:t>/</w:t>
      </w:r>
      <w:r>
        <w:rPr>
          <w:lang w:val="en-US"/>
        </w:rPr>
        <w:t>89</w:t>
      </w:r>
      <w:r w:rsidRPr="00D6385D">
        <w:rPr>
          <w:lang w:val="en-US"/>
        </w:rPr>
        <w:t>, para</w:t>
      </w:r>
      <w:r>
        <w:rPr>
          <w:lang w:val="en-US"/>
        </w:rPr>
        <w:t>s</w:t>
      </w:r>
      <w:r w:rsidRPr="00D6385D">
        <w:rPr>
          <w:lang w:val="en-US"/>
        </w:rPr>
        <w:t>.</w:t>
      </w:r>
      <w:r w:rsidRPr="009C1B21">
        <w:rPr>
          <w:lang w:val="en-US"/>
        </w:rPr>
        <w:t xml:space="preserve"> </w:t>
      </w:r>
      <w:r>
        <w:rPr>
          <w:lang w:val="en-US"/>
        </w:rPr>
        <w:t xml:space="preserve">8, 15 and 16). It is based on </w:t>
      </w:r>
      <w:r w:rsidRPr="00567099">
        <w:rPr>
          <w:lang w:val="en-US"/>
        </w:rPr>
        <w:t>ECE/TRANS/WP.29/GRE/2023/</w:t>
      </w:r>
      <w:r>
        <w:rPr>
          <w:lang w:val="en-US"/>
        </w:rPr>
        <w:t xml:space="preserve">13, </w:t>
      </w:r>
      <w:r w:rsidRPr="001C37CC">
        <w:rPr>
          <w:lang w:val="en-US"/>
        </w:rPr>
        <w:t>ECE/TRANS/WP.29/GRE/2023/19</w:t>
      </w:r>
      <w:r>
        <w:rPr>
          <w:lang w:val="en-US"/>
        </w:rPr>
        <w:t xml:space="preserve"> and </w:t>
      </w:r>
      <w:r w:rsidRPr="00366777">
        <w:rPr>
          <w:lang w:val="en-US"/>
        </w:rPr>
        <w:t>ECE/TRANS/WP.29/GRE/2023/20</w:t>
      </w:r>
      <w:r>
        <w:rPr>
          <w:lang w:val="en-US"/>
        </w:rPr>
        <w:t xml:space="preserve">. </w:t>
      </w:r>
      <w:r w:rsidRPr="00496D41">
        <w:rPr>
          <w:lang w:val="en-US"/>
        </w:rPr>
        <w:t xml:space="preserve">It is submitted to the World Forum for Harmonization of Vehicle Regulations (WP.29) and to the Administrative Committee (AC.1) for consideration at their </w:t>
      </w:r>
      <w:r>
        <w:rPr>
          <w:lang w:val="en-US"/>
        </w:rPr>
        <w:t xml:space="preserve">March </w:t>
      </w:r>
      <w:r w:rsidRPr="00496D41">
        <w:rPr>
          <w:lang w:val="en-US"/>
        </w:rPr>
        <w:t>202</w:t>
      </w:r>
      <w:r>
        <w:rPr>
          <w:lang w:val="en-US"/>
        </w:rPr>
        <w:t>4</w:t>
      </w:r>
      <w:r w:rsidRPr="00496D41">
        <w:rPr>
          <w:lang w:val="en-US"/>
        </w:rPr>
        <w:t xml:space="preserve"> sessions</w:t>
      </w:r>
      <w:r>
        <w:rPr>
          <w:lang w:val="en-US"/>
        </w:rPr>
        <w:t xml:space="preserve">. </w:t>
      </w:r>
      <w:r>
        <w:rPr>
          <w:sz w:val="24"/>
          <w:szCs w:val="24"/>
          <w:lang w:eastAsia="zh-CN"/>
        </w:rPr>
        <w:t xml:space="preserve"> </w:t>
      </w:r>
    </w:p>
    <w:p w14:paraId="0A24AE91" w14:textId="21D41350" w:rsidR="00303F7E" w:rsidRDefault="00303F7E" w:rsidP="009F70D3">
      <w:pPr>
        <w:tabs>
          <w:tab w:val="center" w:pos="4819"/>
        </w:tabs>
        <w:spacing w:before="120"/>
      </w:pPr>
      <w:r>
        <w:br w:type="page"/>
      </w:r>
    </w:p>
    <w:p w14:paraId="6D17063E" w14:textId="77777777" w:rsidR="00DC42E4" w:rsidRDefault="00DC42E4" w:rsidP="00DC42E4">
      <w:pPr>
        <w:pStyle w:val="SingleTxtG"/>
      </w:pPr>
      <w:r>
        <w:rPr>
          <w:i/>
          <w:iCs/>
        </w:rPr>
        <w:lastRenderedPageBreak/>
        <w:t>P</w:t>
      </w:r>
      <w:r w:rsidRPr="009B56E1">
        <w:rPr>
          <w:i/>
          <w:iCs/>
        </w:rPr>
        <w:t xml:space="preserve">aragraph </w:t>
      </w:r>
      <w:r>
        <w:rPr>
          <w:i/>
          <w:iCs/>
        </w:rPr>
        <w:t>2.10.8</w:t>
      </w:r>
      <w:r w:rsidRPr="009B56E1">
        <w:rPr>
          <w:i/>
          <w:iCs/>
        </w:rPr>
        <w:t>.,</w:t>
      </w:r>
      <w:r w:rsidRPr="00456A54">
        <w:t xml:space="preserve"> </w:t>
      </w:r>
      <w:r>
        <w:t>amend to read:</w:t>
      </w:r>
    </w:p>
    <w:p w14:paraId="27577B6D" w14:textId="77777777" w:rsidR="00DC42E4" w:rsidRPr="00A14F1D" w:rsidRDefault="00DC42E4" w:rsidP="00DC42E4">
      <w:pPr>
        <w:pStyle w:val="4Para4thlevel"/>
        <w:rPr>
          <w:i/>
          <w:iCs/>
        </w:rPr>
      </w:pPr>
      <w:r>
        <w:t>“</w:t>
      </w:r>
      <w:r w:rsidRPr="00D37AF9">
        <w:t>2.10.8.</w:t>
      </w:r>
      <w:r>
        <w:tab/>
      </w:r>
      <w:r w:rsidRPr="00D37AF9">
        <w:t>"</w:t>
      </w:r>
      <w:r w:rsidRPr="00D37AF9">
        <w:rPr>
          <w:i/>
          <w:iCs/>
        </w:rPr>
        <w:t>Photometric stability has occurred</w:t>
      </w:r>
      <w:r w:rsidRPr="00D37AF9">
        <w:t>" means the variation of the luminous intensity for the specified test point is less than 3 per cent within any 15</w:t>
      </w:r>
      <w:r>
        <w:t>-</w:t>
      </w:r>
      <w:r w:rsidRPr="00D37AF9">
        <w:t xml:space="preserve">minute period </w:t>
      </w:r>
      <w:r w:rsidRPr="003803DE">
        <w:t>or, alternatively less than 1 per cent within any 5-minute period.</w:t>
      </w:r>
      <w:r w:rsidRPr="003803DE">
        <w:rPr>
          <w:color w:val="000000"/>
        </w:rPr>
        <w:t>”</w:t>
      </w:r>
    </w:p>
    <w:p w14:paraId="6226C4A9" w14:textId="77777777" w:rsidR="00DC42E4" w:rsidRPr="00FD0280" w:rsidRDefault="00DC42E4" w:rsidP="00DC42E4">
      <w:pPr>
        <w:pStyle w:val="para"/>
        <w:ind w:right="709"/>
        <w:rPr>
          <w:lang w:val="en-US"/>
        </w:rPr>
      </w:pPr>
      <w:r w:rsidRPr="00FD0280">
        <w:rPr>
          <w:i/>
          <w:iCs/>
          <w:lang w:val="en-US"/>
        </w:rPr>
        <w:t>Paragraph 6.5.8.</w:t>
      </w:r>
      <w:r w:rsidRPr="00FD0280">
        <w:rPr>
          <w:lang w:val="en-US"/>
        </w:rPr>
        <w:t>, amend to read:</w:t>
      </w:r>
    </w:p>
    <w:p w14:paraId="04536CDA" w14:textId="77777777" w:rsidR="00DC42E4" w:rsidRPr="00FD0280" w:rsidRDefault="00DC42E4" w:rsidP="00DC42E4">
      <w:pPr>
        <w:pStyle w:val="para"/>
        <w:rPr>
          <w:lang w:val="en-US"/>
        </w:rPr>
      </w:pPr>
      <w:r w:rsidRPr="00FD0280">
        <w:rPr>
          <w:lang w:val="en-US"/>
        </w:rPr>
        <w:t>“6.5.8.</w:t>
      </w:r>
      <w:r w:rsidRPr="00FD0280">
        <w:rPr>
          <w:lang w:val="en-US"/>
        </w:rPr>
        <w:tab/>
        <w:t>Tell-tale</w:t>
      </w:r>
    </w:p>
    <w:p w14:paraId="0F83986D" w14:textId="77777777" w:rsidR="00DC42E4" w:rsidRPr="00FD0280" w:rsidRDefault="00DC42E4" w:rsidP="00DC42E4">
      <w:pPr>
        <w:pStyle w:val="para"/>
        <w:ind w:firstLine="0"/>
        <w:rPr>
          <w:lang w:val="en-US"/>
        </w:rPr>
      </w:pPr>
      <w:r w:rsidRPr="00FD0280">
        <w:rPr>
          <w:lang w:val="en-US"/>
        </w:rPr>
        <w:t xml:space="preserve">Operating tell-tale mandatory for direction-indicator lamps of categories 1, 1a, 1b, 2a and 2b. It may be visual or auditory or both. If it is </w:t>
      </w:r>
      <w:proofErr w:type="gramStart"/>
      <w:r w:rsidRPr="00FD0280">
        <w:rPr>
          <w:lang w:val="en-US"/>
        </w:rPr>
        <w:t>visual</w:t>
      </w:r>
      <w:proofErr w:type="gramEnd"/>
      <w:r w:rsidRPr="00FD0280">
        <w:rPr>
          <w:lang w:val="en-US"/>
        </w:rPr>
        <w:t xml:space="preserve"> it shall be a flashing light which, at least in the event of the malfunction of any of these direction-indicator lamps, is either extinguished, or remains alight without flashing, or shows a marked change of frequency. If it is entirely auditory it shall be clearly audible and shall show a marked change of frequency, at least in the event of the malfunction of any of these direction-indicator lamps.</w:t>
      </w:r>
    </w:p>
    <w:p w14:paraId="467B4E09" w14:textId="77777777" w:rsidR="00DC42E4" w:rsidRPr="001103C2" w:rsidRDefault="00DC42E4" w:rsidP="00DC42E4">
      <w:pPr>
        <w:pStyle w:val="para"/>
        <w:ind w:firstLine="0"/>
        <w:rPr>
          <w:lang w:val="en-US"/>
        </w:rPr>
      </w:pPr>
      <w:r w:rsidRPr="001103C2">
        <w:rPr>
          <w:lang w:val="en-US"/>
        </w:rPr>
        <w:t>It shall be activated by the signal produced according to:</w:t>
      </w:r>
    </w:p>
    <w:p w14:paraId="036D9134" w14:textId="77777777" w:rsidR="00DC42E4" w:rsidRPr="00257F3A" w:rsidRDefault="00DC42E4" w:rsidP="00DC42E4">
      <w:pPr>
        <w:pStyle w:val="para"/>
        <w:ind w:left="2835" w:hanging="567"/>
        <w:rPr>
          <w:lang w:val="en-US"/>
        </w:rPr>
      </w:pPr>
      <w:r w:rsidRPr="001103C2">
        <w:rPr>
          <w:lang w:val="en-US"/>
        </w:rPr>
        <w:t xml:space="preserve">- </w:t>
      </w:r>
      <w:r>
        <w:rPr>
          <w:lang w:val="en-US"/>
        </w:rPr>
        <w:tab/>
      </w:r>
      <w:r w:rsidRPr="00257F3A">
        <w:rPr>
          <w:lang w:val="en-US"/>
        </w:rPr>
        <w:t>paragraph 6.2.2. of UN Regulation No. 6, or</w:t>
      </w:r>
    </w:p>
    <w:p w14:paraId="1D683AE1" w14:textId="77777777" w:rsidR="00DC42E4" w:rsidRPr="00257F3A" w:rsidRDefault="00DC42E4" w:rsidP="00DC42E4">
      <w:pPr>
        <w:pStyle w:val="para"/>
        <w:ind w:left="2835" w:hanging="567"/>
        <w:rPr>
          <w:lang w:val="en-US"/>
        </w:rPr>
      </w:pPr>
      <w:r w:rsidRPr="00257F3A">
        <w:rPr>
          <w:lang w:val="en-US"/>
        </w:rPr>
        <w:t xml:space="preserve">- </w:t>
      </w:r>
      <w:r w:rsidRPr="00257F3A">
        <w:rPr>
          <w:lang w:val="en-US"/>
        </w:rPr>
        <w:tab/>
        <w:t>paragraph 5.6.3. of the 00 series of amendments to UN Regulation No. 148, or</w:t>
      </w:r>
    </w:p>
    <w:p w14:paraId="42A78C0D" w14:textId="77777777" w:rsidR="00DC42E4" w:rsidRPr="00257F3A" w:rsidRDefault="00DC42E4" w:rsidP="00DC42E4">
      <w:pPr>
        <w:pStyle w:val="para"/>
        <w:ind w:left="2835" w:hanging="567"/>
        <w:rPr>
          <w:lang w:val="en-US"/>
        </w:rPr>
      </w:pPr>
      <w:r w:rsidRPr="00257F3A">
        <w:rPr>
          <w:lang w:val="en-US"/>
        </w:rPr>
        <w:t xml:space="preserve">- </w:t>
      </w:r>
      <w:r w:rsidRPr="00257F3A">
        <w:rPr>
          <w:lang w:val="en-US"/>
        </w:rPr>
        <w:tab/>
        <w:t xml:space="preserve">paragraph 4.6.1.4. of the 01 series of amendments to UN Regulation No. 148, or </w:t>
      </w:r>
    </w:p>
    <w:p w14:paraId="30B49F0C" w14:textId="77777777" w:rsidR="00DC42E4" w:rsidRPr="00257F3A" w:rsidRDefault="00DC42E4" w:rsidP="00DC42E4">
      <w:pPr>
        <w:pStyle w:val="para"/>
        <w:ind w:left="2835" w:hanging="567"/>
        <w:rPr>
          <w:lang w:val="en-US"/>
        </w:rPr>
      </w:pPr>
      <w:r w:rsidRPr="00257F3A">
        <w:rPr>
          <w:lang w:val="en-US"/>
        </w:rPr>
        <w:t xml:space="preserve">- </w:t>
      </w:r>
      <w:r w:rsidRPr="00257F3A">
        <w:rPr>
          <w:lang w:val="en-US"/>
        </w:rPr>
        <w:tab/>
        <w:t>another suitable way.</w:t>
      </w:r>
    </w:p>
    <w:p w14:paraId="1C465E69" w14:textId="77777777" w:rsidR="00DC42E4" w:rsidRPr="00FD0280" w:rsidRDefault="00DC42E4" w:rsidP="00DC42E4">
      <w:pPr>
        <w:pStyle w:val="para"/>
        <w:ind w:firstLine="0"/>
        <w:rPr>
          <w:lang w:val="en-US"/>
        </w:rPr>
      </w:pPr>
      <w:r w:rsidRPr="00FD0280">
        <w:rPr>
          <w:lang w:val="en-US"/>
        </w:rPr>
        <w:t>If a motor vehicle is equipped to draw a trailer, it shall be fitted with a special visual operational tell</w:t>
      </w:r>
      <w:r w:rsidRPr="00FD0280">
        <w:rPr>
          <w:lang w:val="en-US"/>
        </w:rPr>
        <w:noBreakHyphen/>
        <w:t>tale for the direction-indicator lamps on the trailer unless the tell</w:t>
      </w:r>
      <w:r w:rsidRPr="00FD0280">
        <w:rPr>
          <w:lang w:val="en-US"/>
        </w:rPr>
        <w:noBreakHyphen/>
        <w:t xml:space="preserve">tale of the drawing vehicle allows the failure of any one of the direction-indicator lamps on the vehicle combination thus formed to be detected. </w:t>
      </w:r>
    </w:p>
    <w:p w14:paraId="52A0ADD2" w14:textId="77777777" w:rsidR="00DC42E4" w:rsidRPr="00FD0280" w:rsidRDefault="00DC42E4" w:rsidP="00DC42E4">
      <w:pPr>
        <w:pStyle w:val="para"/>
        <w:ind w:firstLine="0"/>
        <w:rPr>
          <w:lang w:val="en-US"/>
        </w:rPr>
      </w:pPr>
      <w:r w:rsidRPr="00FD0280">
        <w:rPr>
          <w:lang w:val="en-US"/>
        </w:rPr>
        <w:t>For the optional direction-indicator lamps on motor vehicles and trailers, operating tell</w:t>
      </w:r>
      <w:r w:rsidRPr="00FD0280">
        <w:rPr>
          <w:lang w:val="en-US"/>
        </w:rPr>
        <w:noBreakHyphen/>
        <w:t>tale shall not be mandatory.”</w:t>
      </w:r>
    </w:p>
    <w:p w14:paraId="79393CA8" w14:textId="77777777" w:rsidR="00DC42E4" w:rsidRPr="00267EA4" w:rsidRDefault="00DC42E4" w:rsidP="00DC42E4">
      <w:pPr>
        <w:pStyle w:val="SingleTxtG"/>
      </w:pPr>
      <w:r w:rsidRPr="00267EA4">
        <w:rPr>
          <w:i/>
          <w:iCs/>
        </w:rPr>
        <w:t>Paragraph 6.19.7.5.,</w:t>
      </w:r>
      <w:r w:rsidRPr="00267EA4">
        <w:t xml:space="preserve"> amend to read:</w:t>
      </w:r>
    </w:p>
    <w:p w14:paraId="23D90466" w14:textId="77777777" w:rsidR="00DC42E4" w:rsidRPr="003803DE" w:rsidRDefault="00DC42E4" w:rsidP="00DC42E4">
      <w:pPr>
        <w:pStyle w:val="4Para4thlevel"/>
        <w:rPr>
          <w:bCs/>
          <w:color w:val="000000"/>
        </w:rPr>
      </w:pPr>
      <w:r w:rsidRPr="00267EA4">
        <w:t>“6.19.7.5.</w:t>
      </w:r>
      <w:r w:rsidRPr="00267EA4">
        <w:tab/>
      </w:r>
      <w:r w:rsidRPr="00267EA4">
        <w:rPr>
          <w:bCs/>
        </w:rPr>
        <w:t xml:space="preserve">When daytime running lamps </w:t>
      </w:r>
      <w:r w:rsidRPr="00267EA4">
        <w:t xml:space="preserve">are switched ON, the rear position lamps shall be switched ON. </w:t>
      </w:r>
      <w:r w:rsidRPr="003803DE">
        <w:rPr>
          <w:bCs/>
        </w:rPr>
        <w:t>In addition, a</w:t>
      </w:r>
      <w:r w:rsidRPr="003803DE">
        <w:rPr>
          <w:bCs/>
          <w:color w:val="000000"/>
        </w:rPr>
        <w:t>ny other lamp(s) mentioned in paragraph 5.11. may also be switched ON.</w:t>
      </w:r>
    </w:p>
    <w:p w14:paraId="578A9133" w14:textId="42F0538A" w:rsidR="00DC42E4" w:rsidRPr="00BD1F50" w:rsidRDefault="00DC42E4" w:rsidP="00DC42E4">
      <w:pPr>
        <w:pStyle w:val="PlainText"/>
        <w:spacing w:after="120"/>
        <w:ind w:left="2268" w:right="1134"/>
        <w:jc w:val="both"/>
        <w:rPr>
          <w:lang w:val="en-US"/>
        </w:rPr>
      </w:pPr>
      <w:r w:rsidRPr="00267EA4">
        <w:t xml:space="preserve">However, the rear </w:t>
      </w:r>
      <w:r w:rsidRPr="000638EE">
        <w:t xml:space="preserve">position lamps and the other lamp(s) mentioned in paragraph 5.11. may be switched OFF when the daytime running lamps are switched ON and may remain switched OFF </w:t>
      </w:r>
      <w:proofErr w:type="gramStart"/>
      <w:r w:rsidRPr="000638EE">
        <w:t>as long as</w:t>
      </w:r>
      <w:proofErr w:type="gramEnd"/>
      <w:r w:rsidRPr="000638EE">
        <w:t xml:space="preserve"> the ambient light conditions outside vehicle are above 7,000 lux (measured according to the requirements of Annex</w:t>
      </w:r>
      <w:r w:rsidR="00BD5FC7">
        <w:t> </w:t>
      </w:r>
      <w:r w:rsidRPr="000638EE">
        <w:t>13).”</w:t>
      </w:r>
    </w:p>
    <w:p w14:paraId="5FF599A2" w14:textId="33C6B16D" w:rsidR="001C6663" w:rsidRPr="00DC42E4" w:rsidRDefault="00DC42E4" w:rsidP="00DC42E4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C6663" w:rsidRPr="00DC42E4" w:rsidSect="008933F9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C0569" w14:textId="77777777" w:rsidR="00B32C34" w:rsidRDefault="00B32C34"/>
  </w:endnote>
  <w:endnote w:type="continuationSeparator" w:id="0">
    <w:p w14:paraId="283A97C9" w14:textId="77777777" w:rsidR="00B32C34" w:rsidRDefault="00B32C34"/>
  </w:endnote>
  <w:endnote w:type="continuationNotice" w:id="1">
    <w:p w14:paraId="55BD2E27" w14:textId="77777777" w:rsidR="00B32C34" w:rsidRDefault="00B32C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4E7A5" w14:textId="2705F1D9" w:rsidR="008933F9" w:rsidRPr="008933F9" w:rsidRDefault="008933F9" w:rsidP="008933F9">
    <w:pPr>
      <w:pStyle w:val="Footer"/>
      <w:tabs>
        <w:tab w:val="right" w:pos="9638"/>
      </w:tabs>
      <w:rPr>
        <w:sz w:val="18"/>
      </w:rPr>
    </w:pPr>
    <w:r w:rsidRPr="008933F9">
      <w:rPr>
        <w:b/>
        <w:sz w:val="18"/>
      </w:rPr>
      <w:fldChar w:fldCharType="begin"/>
    </w:r>
    <w:r w:rsidRPr="008933F9">
      <w:rPr>
        <w:b/>
        <w:sz w:val="18"/>
      </w:rPr>
      <w:instrText xml:space="preserve"> PAGE  \* MERGEFORMAT </w:instrText>
    </w:r>
    <w:r w:rsidRPr="008933F9">
      <w:rPr>
        <w:b/>
        <w:sz w:val="18"/>
      </w:rPr>
      <w:fldChar w:fldCharType="separate"/>
    </w:r>
    <w:r w:rsidRPr="008933F9">
      <w:rPr>
        <w:b/>
        <w:noProof/>
        <w:sz w:val="18"/>
      </w:rPr>
      <w:t>2</w:t>
    </w:r>
    <w:r w:rsidRPr="008933F9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D3E38" w14:textId="51CCEC0D" w:rsidR="008933F9" w:rsidRPr="008933F9" w:rsidRDefault="008933F9" w:rsidP="008933F9">
    <w:pPr>
      <w:pStyle w:val="Footer"/>
      <w:tabs>
        <w:tab w:val="right" w:pos="9638"/>
      </w:tabs>
      <w:rPr>
        <w:b/>
        <w:sz w:val="18"/>
      </w:rPr>
    </w:pPr>
    <w:r>
      <w:tab/>
    </w:r>
    <w:r w:rsidRPr="008933F9">
      <w:rPr>
        <w:b/>
        <w:sz w:val="18"/>
      </w:rPr>
      <w:fldChar w:fldCharType="begin"/>
    </w:r>
    <w:r w:rsidRPr="008933F9">
      <w:rPr>
        <w:b/>
        <w:sz w:val="18"/>
      </w:rPr>
      <w:instrText xml:space="preserve"> PAGE  \* MERGEFORMAT </w:instrText>
    </w:r>
    <w:r w:rsidRPr="008933F9">
      <w:rPr>
        <w:b/>
        <w:sz w:val="18"/>
      </w:rPr>
      <w:fldChar w:fldCharType="separate"/>
    </w:r>
    <w:r w:rsidRPr="008933F9">
      <w:rPr>
        <w:b/>
        <w:noProof/>
        <w:sz w:val="18"/>
      </w:rPr>
      <w:t>3</w:t>
    </w:r>
    <w:r w:rsidRPr="008933F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DA08A" w14:textId="3CC8B27D" w:rsidR="00DB221D" w:rsidRDefault="00DB221D" w:rsidP="00DB221D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20126018" wp14:editId="7BFD3AE1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743CD9" w14:textId="630FA676" w:rsidR="00DB221D" w:rsidRPr="00DB221D" w:rsidRDefault="00DB221D" w:rsidP="00DB221D">
    <w:pPr>
      <w:pStyle w:val="Footer"/>
      <w:ind w:right="1134"/>
      <w:rPr>
        <w:sz w:val="20"/>
      </w:rPr>
    </w:pPr>
    <w:r>
      <w:rPr>
        <w:sz w:val="20"/>
      </w:rPr>
      <w:t>GE.23-25631(E)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807B338" wp14:editId="2EAD5A14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63BA4" w14:textId="77777777" w:rsidR="00B32C34" w:rsidRPr="000B175B" w:rsidRDefault="00B32C3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4D8B9F5" w14:textId="77777777" w:rsidR="00B32C34" w:rsidRPr="00FC68B7" w:rsidRDefault="00B32C3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EE20EE9" w14:textId="77777777" w:rsidR="00B32C34" w:rsidRDefault="00B32C34"/>
  </w:footnote>
  <w:footnote w:id="2">
    <w:p w14:paraId="67593C11" w14:textId="77777777" w:rsidR="00303F7E" w:rsidRPr="00EA370C" w:rsidRDefault="00303F7E" w:rsidP="00303F7E">
      <w:pPr>
        <w:pStyle w:val="FootnoteText"/>
        <w:jc w:val="both"/>
        <w:rPr>
          <w:lang w:val="en-US"/>
        </w:rPr>
      </w:pPr>
      <w:r>
        <w:tab/>
      </w:r>
      <w:r w:rsidRPr="00EA370C">
        <w:rPr>
          <w:rStyle w:val="FootnoteReference"/>
          <w:sz w:val="20"/>
          <w:lang w:val="en-US"/>
        </w:rPr>
        <w:t>*</w:t>
      </w:r>
      <w:r w:rsidRPr="00EA370C">
        <w:rPr>
          <w:sz w:val="20"/>
          <w:lang w:val="en-US"/>
        </w:rPr>
        <w:tab/>
      </w:r>
      <w:r w:rsidRPr="00CC0197">
        <w:rPr>
          <w:szCs w:val="18"/>
          <w:lang w:val="en-US"/>
        </w:rPr>
        <w:t xml:space="preserve">In accordance with the </w:t>
      </w:r>
      <w:proofErr w:type="spellStart"/>
      <w:r w:rsidRPr="00CC0197">
        <w:rPr>
          <w:szCs w:val="18"/>
          <w:lang w:val="en-US"/>
        </w:rPr>
        <w:t>programme</w:t>
      </w:r>
      <w:proofErr w:type="spellEnd"/>
      <w:r w:rsidRPr="00CC0197">
        <w:rPr>
          <w:szCs w:val="18"/>
          <w:lang w:val="en-US"/>
        </w:rPr>
        <w:t xml:space="preserve"> of work of the Inland Transport Committee for </w:t>
      </w:r>
      <w:r w:rsidRPr="00CC0197">
        <w:rPr>
          <w:lang w:val="en-US"/>
        </w:rPr>
        <w:t>202</w:t>
      </w:r>
      <w:r>
        <w:rPr>
          <w:lang w:val="en-US"/>
        </w:rPr>
        <w:t>4</w:t>
      </w:r>
      <w:r w:rsidRPr="00CC0197">
        <w:rPr>
          <w:lang w:val="en-US"/>
        </w:rPr>
        <w:t xml:space="preserve"> as outlined in proposed </w:t>
      </w:r>
      <w:proofErr w:type="spellStart"/>
      <w:r w:rsidRPr="00CC0197">
        <w:rPr>
          <w:lang w:val="en-US"/>
        </w:rPr>
        <w:t>programme</w:t>
      </w:r>
      <w:proofErr w:type="spellEnd"/>
      <w:r w:rsidRPr="00CC0197">
        <w:rPr>
          <w:lang w:val="en-US"/>
        </w:rPr>
        <w:t xml:space="preserve"> budget for </w:t>
      </w:r>
      <w:r w:rsidRPr="005936E3">
        <w:rPr>
          <w:szCs w:val="18"/>
          <w:lang w:val="en-US"/>
        </w:rPr>
        <w:t>202</w:t>
      </w:r>
      <w:r>
        <w:rPr>
          <w:szCs w:val="18"/>
          <w:lang w:val="en-US"/>
        </w:rPr>
        <w:t>4</w:t>
      </w:r>
      <w:r w:rsidRPr="005936E3">
        <w:rPr>
          <w:szCs w:val="18"/>
          <w:lang w:val="en-US"/>
        </w:rPr>
        <w:t xml:space="preserve"> (</w:t>
      </w:r>
      <w:r w:rsidRPr="00CC0197">
        <w:rPr>
          <w:lang w:val="en-US"/>
        </w:rPr>
        <w:t>A/7</w:t>
      </w:r>
      <w:r>
        <w:rPr>
          <w:lang w:val="en-US"/>
        </w:rPr>
        <w:t>8</w:t>
      </w:r>
      <w:r w:rsidRPr="00CC0197">
        <w:rPr>
          <w:lang w:val="en-US"/>
        </w:rPr>
        <w:t>/6 (Sect. 20), table 20.</w:t>
      </w:r>
      <w:r>
        <w:rPr>
          <w:lang w:val="en-US"/>
        </w:rPr>
        <w:t>5</w:t>
      </w:r>
      <w:r w:rsidRPr="00CC0197">
        <w:rPr>
          <w:lang w:val="en-US"/>
        </w:rPr>
        <w:t>)</w:t>
      </w:r>
      <w:r w:rsidRPr="00CC0197">
        <w:rPr>
          <w:szCs w:val="18"/>
          <w:lang w:val="en-US"/>
        </w:rPr>
        <w:t xml:space="preserve">, </w:t>
      </w:r>
      <w:r>
        <w:rPr>
          <w:szCs w:val="18"/>
          <w:lang w:val="en-US"/>
        </w:rPr>
        <w:t xml:space="preserve">the World Forum will develop, </w:t>
      </w:r>
      <w:proofErr w:type="gramStart"/>
      <w:r>
        <w:rPr>
          <w:szCs w:val="18"/>
          <w:lang w:val="en-US"/>
        </w:rPr>
        <w:t>harmonize</w:t>
      </w:r>
      <w:proofErr w:type="gramEnd"/>
      <w:r>
        <w:rPr>
          <w:szCs w:val="18"/>
          <w:lang w:val="en-US"/>
        </w:rPr>
        <w:t xml:space="preserve">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68D49" w14:textId="313C6D4E" w:rsidR="008933F9" w:rsidRPr="008933F9" w:rsidRDefault="00197D2F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8933F9">
      <w:t>ECE/TRANS/WP.29/2024/21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68142" w14:textId="37CBE302" w:rsidR="008933F9" w:rsidRPr="008933F9" w:rsidRDefault="00197D2F" w:rsidP="008933F9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8933F9">
      <w:t>ECE/TRANS/WP.29/2024/21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29527253">
    <w:abstractNumId w:val="1"/>
  </w:num>
  <w:num w:numId="2" w16cid:durableId="1613128672">
    <w:abstractNumId w:val="0"/>
  </w:num>
  <w:num w:numId="3" w16cid:durableId="1545484908">
    <w:abstractNumId w:val="2"/>
  </w:num>
  <w:num w:numId="4" w16cid:durableId="1280647892">
    <w:abstractNumId w:val="3"/>
  </w:num>
  <w:num w:numId="5" w16cid:durableId="1610504498">
    <w:abstractNumId w:val="8"/>
  </w:num>
  <w:num w:numId="6" w16cid:durableId="928998931">
    <w:abstractNumId w:val="9"/>
  </w:num>
  <w:num w:numId="7" w16cid:durableId="2002460927">
    <w:abstractNumId w:val="7"/>
  </w:num>
  <w:num w:numId="8" w16cid:durableId="129592456">
    <w:abstractNumId w:val="6"/>
  </w:num>
  <w:num w:numId="9" w16cid:durableId="671950071">
    <w:abstractNumId w:val="5"/>
  </w:num>
  <w:num w:numId="10" w16cid:durableId="206458971">
    <w:abstractNumId w:val="4"/>
  </w:num>
  <w:num w:numId="11" w16cid:durableId="529563583">
    <w:abstractNumId w:val="15"/>
  </w:num>
  <w:num w:numId="12" w16cid:durableId="828987015">
    <w:abstractNumId w:val="14"/>
  </w:num>
  <w:num w:numId="13" w16cid:durableId="2103069227">
    <w:abstractNumId w:val="10"/>
  </w:num>
  <w:num w:numId="14" w16cid:durableId="1328707697">
    <w:abstractNumId w:val="12"/>
  </w:num>
  <w:num w:numId="15" w16cid:durableId="989596417">
    <w:abstractNumId w:val="16"/>
  </w:num>
  <w:num w:numId="16" w16cid:durableId="1106273376">
    <w:abstractNumId w:val="13"/>
  </w:num>
  <w:num w:numId="17" w16cid:durableId="2000381594">
    <w:abstractNumId w:val="17"/>
  </w:num>
  <w:num w:numId="18" w16cid:durableId="1640185299">
    <w:abstractNumId w:val="18"/>
  </w:num>
  <w:num w:numId="19" w16cid:durableId="130096833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3F9"/>
    <w:rsid w:val="00002A7D"/>
    <w:rsid w:val="000038A8"/>
    <w:rsid w:val="00005DF3"/>
    <w:rsid w:val="00006790"/>
    <w:rsid w:val="00027624"/>
    <w:rsid w:val="00050F6B"/>
    <w:rsid w:val="000678CD"/>
    <w:rsid w:val="00072C8C"/>
    <w:rsid w:val="00081CE0"/>
    <w:rsid w:val="00084D30"/>
    <w:rsid w:val="00090320"/>
    <w:rsid w:val="000931C0"/>
    <w:rsid w:val="00097003"/>
    <w:rsid w:val="000A2E09"/>
    <w:rsid w:val="000B175B"/>
    <w:rsid w:val="000B3A0F"/>
    <w:rsid w:val="000E0415"/>
    <w:rsid w:val="000F7715"/>
    <w:rsid w:val="00156B99"/>
    <w:rsid w:val="00166124"/>
    <w:rsid w:val="00184DDA"/>
    <w:rsid w:val="001900CD"/>
    <w:rsid w:val="001A0452"/>
    <w:rsid w:val="001B4B04"/>
    <w:rsid w:val="001B5875"/>
    <w:rsid w:val="001C4B9C"/>
    <w:rsid w:val="001C6663"/>
    <w:rsid w:val="001C7895"/>
    <w:rsid w:val="001D26DF"/>
    <w:rsid w:val="001F1599"/>
    <w:rsid w:val="001F19C4"/>
    <w:rsid w:val="002043F0"/>
    <w:rsid w:val="00211E0B"/>
    <w:rsid w:val="00232575"/>
    <w:rsid w:val="00247258"/>
    <w:rsid w:val="00257CAC"/>
    <w:rsid w:val="0027237A"/>
    <w:rsid w:val="002974E9"/>
    <w:rsid w:val="002A306B"/>
    <w:rsid w:val="002A7F94"/>
    <w:rsid w:val="002B109A"/>
    <w:rsid w:val="002C6D45"/>
    <w:rsid w:val="002D6E53"/>
    <w:rsid w:val="002F046D"/>
    <w:rsid w:val="002F3023"/>
    <w:rsid w:val="00301764"/>
    <w:rsid w:val="00303F7E"/>
    <w:rsid w:val="003229D8"/>
    <w:rsid w:val="00336C97"/>
    <w:rsid w:val="00337F88"/>
    <w:rsid w:val="00342432"/>
    <w:rsid w:val="0035223F"/>
    <w:rsid w:val="00352D4B"/>
    <w:rsid w:val="0035638C"/>
    <w:rsid w:val="003A46BB"/>
    <w:rsid w:val="003A4EC7"/>
    <w:rsid w:val="003A7295"/>
    <w:rsid w:val="003B1F60"/>
    <w:rsid w:val="003C2CC4"/>
    <w:rsid w:val="003D4B23"/>
    <w:rsid w:val="003E278A"/>
    <w:rsid w:val="00413520"/>
    <w:rsid w:val="004325CB"/>
    <w:rsid w:val="00440A07"/>
    <w:rsid w:val="00462880"/>
    <w:rsid w:val="00476F24"/>
    <w:rsid w:val="004A5D33"/>
    <w:rsid w:val="004C55B0"/>
    <w:rsid w:val="004F6BA0"/>
    <w:rsid w:val="00503BEA"/>
    <w:rsid w:val="00533616"/>
    <w:rsid w:val="00535ABA"/>
    <w:rsid w:val="0053768B"/>
    <w:rsid w:val="005420F2"/>
    <w:rsid w:val="0054285C"/>
    <w:rsid w:val="00584173"/>
    <w:rsid w:val="00595520"/>
    <w:rsid w:val="005A44B9"/>
    <w:rsid w:val="005B1BA0"/>
    <w:rsid w:val="005B3DB3"/>
    <w:rsid w:val="005C0268"/>
    <w:rsid w:val="005D15CA"/>
    <w:rsid w:val="005F08DF"/>
    <w:rsid w:val="005F3066"/>
    <w:rsid w:val="005F3E61"/>
    <w:rsid w:val="00604DDD"/>
    <w:rsid w:val="006107D6"/>
    <w:rsid w:val="006115CC"/>
    <w:rsid w:val="00611FC4"/>
    <w:rsid w:val="006176FB"/>
    <w:rsid w:val="00630FCB"/>
    <w:rsid w:val="00640B26"/>
    <w:rsid w:val="0065766B"/>
    <w:rsid w:val="006770B2"/>
    <w:rsid w:val="00686A48"/>
    <w:rsid w:val="0068763C"/>
    <w:rsid w:val="006940E1"/>
    <w:rsid w:val="006A3C72"/>
    <w:rsid w:val="006A7392"/>
    <w:rsid w:val="006B03A1"/>
    <w:rsid w:val="006B67D9"/>
    <w:rsid w:val="006C5535"/>
    <w:rsid w:val="006D0589"/>
    <w:rsid w:val="006E564B"/>
    <w:rsid w:val="006E7154"/>
    <w:rsid w:val="007003CD"/>
    <w:rsid w:val="0070701E"/>
    <w:rsid w:val="0072632A"/>
    <w:rsid w:val="007358E8"/>
    <w:rsid w:val="00736ECE"/>
    <w:rsid w:val="0074533B"/>
    <w:rsid w:val="007643BC"/>
    <w:rsid w:val="00780C68"/>
    <w:rsid w:val="007959FE"/>
    <w:rsid w:val="007A0CF1"/>
    <w:rsid w:val="007B6BA5"/>
    <w:rsid w:val="007C3390"/>
    <w:rsid w:val="007C42D8"/>
    <w:rsid w:val="007C4F4B"/>
    <w:rsid w:val="007D6F65"/>
    <w:rsid w:val="007D7362"/>
    <w:rsid w:val="007F5CE2"/>
    <w:rsid w:val="007F6611"/>
    <w:rsid w:val="00810BAC"/>
    <w:rsid w:val="00814C29"/>
    <w:rsid w:val="008175E9"/>
    <w:rsid w:val="008242D7"/>
    <w:rsid w:val="0082577B"/>
    <w:rsid w:val="00825CB5"/>
    <w:rsid w:val="00866893"/>
    <w:rsid w:val="00866F02"/>
    <w:rsid w:val="00867D18"/>
    <w:rsid w:val="00871F9A"/>
    <w:rsid w:val="00871FD5"/>
    <w:rsid w:val="0088172E"/>
    <w:rsid w:val="00881EFA"/>
    <w:rsid w:val="008879CB"/>
    <w:rsid w:val="008933F9"/>
    <w:rsid w:val="008979B1"/>
    <w:rsid w:val="008A6B25"/>
    <w:rsid w:val="008A6C4F"/>
    <w:rsid w:val="008B389E"/>
    <w:rsid w:val="008D045E"/>
    <w:rsid w:val="008D3F25"/>
    <w:rsid w:val="008D4D82"/>
    <w:rsid w:val="008E0E46"/>
    <w:rsid w:val="008E7116"/>
    <w:rsid w:val="008F143B"/>
    <w:rsid w:val="008F3882"/>
    <w:rsid w:val="008F4B7C"/>
    <w:rsid w:val="0092556A"/>
    <w:rsid w:val="00926E47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B011B"/>
    <w:rsid w:val="009B7EB7"/>
    <w:rsid w:val="009D01C0"/>
    <w:rsid w:val="009D6A08"/>
    <w:rsid w:val="009E0A16"/>
    <w:rsid w:val="009E6CB7"/>
    <w:rsid w:val="009E7970"/>
    <w:rsid w:val="009F2EAC"/>
    <w:rsid w:val="009F57E3"/>
    <w:rsid w:val="009F70D3"/>
    <w:rsid w:val="00A077A2"/>
    <w:rsid w:val="00A10F4F"/>
    <w:rsid w:val="00A11067"/>
    <w:rsid w:val="00A1704A"/>
    <w:rsid w:val="00A36AC2"/>
    <w:rsid w:val="00A425EB"/>
    <w:rsid w:val="00A72F22"/>
    <w:rsid w:val="00A733BC"/>
    <w:rsid w:val="00A748A6"/>
    <w:rsid w:val="00A76A69"/>
    <w:rsid w:val="00A879A4"/>
    <w:rsid w:val="00AA0FF8"/>
    <w:rsid w:val="00AC0F2C"/>
    <w:rsid w:val="00AC502A"/>
    <w:rsid w:val="00AE1E26"/>
    <w:rsid w:val="00AF58C1"/>
    <w:rsid w:val="00B04A3F"/>
    <w:rsid w:val="00B06643"/>
    <w:rsid w:val="00B15055"/>
    <w:rsid w:val="00B20551"/>
    <w:rsid w:val="00B30179"/>
    <w:rsid w:val="00B31E0B"/>
    <w:rsid w:val="00B32C34"/>
    <w:rsid w:val="00B33FC7"/>
    <w:rsid w:val="00B37B15"/>
    <w:rsid w:val="00B4162A"/>
    <w:rsid w:val="00B45C02"/>
    <w:rsid w:val="00B70B63"/>
    <w:rsid w:val="00B72A1E"/>
    <w:rsid w:val="00B81E12"/>
    <w:rsid w:val="00BA339B"/>
    <w:rsid w:val="00BB23CC"/>
    <w:rsid w:val="00BC1E7E"/>
    <w:rsid w:val="00BC74E9"/>
    <w:rsid w:val="00BD5FC7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C044E2"/>
    <w:rsid w:val="00C048CB"/>
    <w:rsid w:val="00C066F3"/>
    <w:rsid w:val="00C463DD"/>
    <w:rsid w:val="00C745C3"/>
    <w:rsid w:val="00C978F5"/>
    <w:rsid w:val="00CA24A4"/>
    <w:rsid w:val="00CB348D"/>
    <w:rsid w:val="00CD46F5"/>
    <w:rsid w:val="00CE4A8F"/>
    <w:rsid w:val="00CF071D"/>
    <w:rsid w:val="00CF32E5"/>
    <w:rsid w:val="00D0123D"/>
    <w:rsid w:val="00D15B04"/>
    <w:rsid w:val="00D2031B"/>
    <w:rsid w:val="00D25FE2"/>
    <w:rsid w:val="00D37DA9"/>
    <w:rsid w:val="00D406A7"/>
    <w:rsid w:val="00D41AE9"/>
    <w:rsid w:val="00D43252"/>
    <w:rsid w:val="00D44D86"/>
    <w:rsid w:val="00D50B7D"/>
    <w:rsid w:val="00D52012"/>
    <w:rsid w:val="00D704E5"/>
    <w:rsid w:val="00D72727"/>
    <w:rsid w:val="00D978C6"/>
    <w:rsid w:val="00DA0956"/>
    <w:rsid w:val="00DA357F"/>
    <w:rsid w:val="00DA3E12"/>
    <w:rsid w:val="00DB221D"/>
    <w:rsid w:val="00DC18AD"/>
    <w:rsid w:val="00DC42E4"/>
    <w:rsid w:val="00DF7CAE"/>
    <w:rsid w:val="00E423C0"/>
    <w:rsid w:val="00E6414C"/>
    <w:rsid w:val="00E7260F"/>
    <w:rsid w:val="00E8702D"/>
    <w:rsid w:val="00E905F4"/>
    <w:rsid w:val="00E916A9"/>
    <w:rsid w:val="00E916DE"/>
    <w:rsid w:val="00E925AD"/>
    <w:rsid w:val="00E96630"/>
    <w:rsid w:val="00ED18DC"/>
    <w:rsid w:val="00ED6201"/>
    <w:rsid w:val="00ED7A2A"/>
    <w:rsid w:val="00EF1D7F"/>
    <w:rsid w:val="00F0137E"/>
    <w:rsid w:val="00F04E44"/>
    <w:rsid w:val="00F21786"/>
    <w:rsid w:val="00F25D06"/>
    <w:rsid w:val="00F31CFF"/>
    <w:rsid w:val="00F3742B"/>
    <w:rsid w:val="00F41FDB"/>
    <w:rsid w:val="00F50597"/>
    <w:rsid w:val="00F56D63"/>
    <w:rsid w:val="00F609A9"/>
    <w:rsid w:val="00F80C99"/>
    <w:rsid w:val="00F867EC"/>
    <w:rsid w:val="00F91B2B"/>
    <w:rsid w:val="00FC03CD"/>
    <w:rsid w:val="00FC064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0E6EF3"/>
  <w15:docId w15:val="{52AEE510-094E-4ECD-A607-A3337298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07D6"/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  <w:lang w:val="en-GB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,Fußnotenzeichen"/>
    <w:basedOn w:val="DefaultParagraphFont"/>
    <w:qFormat/>
    <w:rsid w:val="006107D6"/>
    <w:rPr>
      <w:rFonts w:ascii="Times New Roman" w:hAnsi="Times New Roman"/>
      <w:sz w:val="18"/>
      <w:vertAlign w:val="superscript"/>
      <w:lang w:val="en-GB"/>
    </w:rPr>
  </w:style>
  <w:style w:type="paragraph" w:styleId="FootnoteText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,Fußnotentext"/>
    <w:basedOn w:val="Normal"/>
    <w:link w:val="FootnoteTextChar"/>
    <w:qFormat/>
    <w:rsid w:val="006107D6"/>
    <w:pPr>
      <w:tabs>
        <w:tab w:val="right" w:pos="1021"/>
      </w:tabs>
      <w:spacing w:line="220" w:lineRule="exact"/>
      <w:ind w:left="1134" w:right="1134" w:hanging="1134"/>
    </w:pPr>
    <w:rPr>
      <w:rFonts w:eastAsiaTheme="minorHAnsi"/>
      <w:sz w:val="18"/>
      <w:lang w:eastAsia="en-US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Normal"/>
    <w:qFormat/>
    <w:rsid w:val="00D41AE9"/>
    <w:pPr>
      <w:numPr>
        <w:numId w:val="19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customStyle="1" w:styleId="FootnoteTextChar">
    <w:name w:val="Footnote Text Char"/>
    <w:aliases w:val="5_G Char,PP Char,5_G_6 Char,5_GR Char,-E Fußnotentext Char,footnote text Char,Fußnotentext Ursprung Char,Footnote Text Char Char Char Char Char,Footnote Text1 Char,Footnote Text Char Char Char Char1,Fußnotentext Char1 Char,Fußn Char"/>
    <w:basedOn w:val="DefaultParagraphFont"/>
    <w:link w:val="FootnoteText"/>
    <w:qFormat/>
    <w:rsid w:val="006107D6"/>
    <w:rPr>
      <w:rFonts w:eastAsiaTheme="minorHAnsi"/>
      <w:sz w:val="18"/>
      <w:lang w:val="en-GB" w:eastAsia="en-US"/>
    </w:rPr>
  </w:style>
  <w:style w:type="character" w:customStyle="1" w:styleId="SingleTxtGChar">
    <w:name w:val="_ Single Txt_G Char"/>
    <w:link w:val="SingleTxtG"/>
    <w:qFormat/>
    <w:rsid w:val="00303F7E"/>
    <w:rPr>
      <w:lang w:val="en-GB"/>
    </w:rPr>
  </w:style>
  <w:style w:type="character" w:customStyle="1" w:styleId="HChGChar">
    <w:name w:val="_ H _Ch_G Char"/>
    <w:link w:val="HChG"/>
    <w:locked/>
    <w:rsid w:val="00303F7E"/>
    <w:rPr>
      <w:b/>
      <w:sz w:val="28"/>
      <w:lang w:val="en-GB"/>
    </w:rPr>
  </w:style>
  <w:style w:type="character" w:customStyle="1" w:styleId="H1GChar">
    <w:name w:val="_ H_1_G Char"/>
    <w:link w:val="H1G"/>
    <w:locked/>
    <w:rsid w:val="00303F7E"/>
    <w:rPr>
      <w:b/>
      <w:sz w:val="24"/>
      <w:lang w:val="en-GB"/>
    </w:rPr>
  </w:style>
  <w:style w:type="paragraph" w:customStyle="1" w:styleId="para">
    <w:name w:val="para"/>
    <w:basedOn w:val="Normal"/>
    <w:link w:val="paraChar"/>
    <w:qFormat/>
    <w:rsid w:val="00DC42E4"/>
    <w:pPr>
      <w:spacing w:after="120"/>
      <w:ind w:left="2268" w:right="1134" w:hanging="1134"/>
      <w:jc w:val="both"/>
    </w:pPr>
    <w:rPr>
      <w:rFonts w:eastAsia="Yu Mincho"/>
      <w:snapToGrid w:val="0"/>
      <w:lang w:val="fr-FR" w:eastAsia="en-US"/>
    </w:rPr>
  </w:style>
  <w:style w:type="character" w:customStyle="1" w:styleId="paraChar">
    <w:name w:val="para Char"/>
    <w:link w:val="para"/>
    <w:rsid w:val="00DC42E4"/>
    <w:rPr>
      <w:rFonts w:eastAsia="Yu Mincho"/>
      <w:snapToGrid w:val="0"/>
      <w:lang w:eastAsia="en-US"/>
    </w:rPr>
  </w:style>
  <w:style w:type="character" w:styleId="CommentReference">
    <w:name w:val="annotation reference"/>
    <w:uiPriority w:val="99"/>
    <w:rsid w:val="00DC42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C42E4"/>
    <w:pPr>
      <w:suppressAutoHyphens/>
    </w:pPr>
    <w:rPr>
      <w:lang w:val="fr-CH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42E4"/>
    <w:rPr>
      <w:lang w:val="fr-CH" w:eastAsia="en-US"/>
    </w:rPr>
  </w:style>
  <w:style w:type="paragraph" w:styleId="PlainText">
    <w:name w:val="Plain Text"/>
    <w:basedOn w:val="Normal"/>
    <w:link w:val="PlainTextChar"/>
    <w:uiPriority w:val="99"/>
    <w:rsid w:val="00DC42E4"/>
    <w:pPr>
      <w:suppressAutoHyphens/>
    </w:pPr>
    <w:rPr>
      <w:rFonts w:cs="Courier New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C42E4"/>
    <w:rPr>
      <w:rFonts w:cs="Courier New"/>
      <w:lang w:val="en-GB" w:eastAsia="en-US"/>
    </w:rPr>
  </w:style>
  <w:style w:type="paragraph" w:customStyle="1" w:styleId="4Para4thlevel">
    <w:name w:val="4.Para 4th level"/>
    <w:basedOn w:val="Normal"/>
    <w:link w:val="4Para4thlevelCar"/>
    <w:qFormat/>
    <w:rsid w:val="00DC42E4"/>
    <w:pPr>
      <w:suppressAutoHyphens/>
      <w:spacing w:after="120"/>
      <w:ind w:left="2268" w:right="1134" w:hanging="1134"/>
      <w:jc w:val="both"/>
      <w:outlineLvl w:val="3"/>
    </w:pPr>
    <w:rPr>
      <w:rFonts w:eastAsiaTheme="minorEastAsia"/>
      <w:lang w:eastAsia="en-US"/>
    </w:rPr>
  </w:style>
  <w:style w:type="character" w:customStyle="1" w:styleId="4Para4thlevelCar">
    <w:name w:val="4.Para 4th level Car"/>
    <w:basedOn w:val="DefaultParagraphFont"/>
    <w:link w:val="4Para4thlevel"/>
    <w:rsid w:val="00DC42E4"/>
    <w:rPr>
      <w:rFonts w:eastAsiaTheme="minorEastAsia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zyubynska\United%20Nations\UNOG_DCM-Macros%20-%20UNECE\Templates\TRANS\TRANS_WP29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D4FCC3D9-27C0-4B6C-98AC-93573A3567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8CF9E8-9AC3-496C-8C62-73035D9AEA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62F2B8-758D-4BBA-97C8-6C05A58C44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BE2F0B-9CC1-4723-AD2D-D714799CD4BD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TRANS_WP29_E.dotm</Template>
  <TotalTime>0</TotalTime>
  <Pages>2</Pages>
  <Words>495</Words>
  <Characters>2702</Characters>
  <Application>Microsoft Office Word</Application>
  <DocSecurity>0</DocSecurity>
  <Lines>67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ECE/TRANS/WP.29/2024/21</vt:lpstr>
      <vt:lpstr/>
    </vt:vector>
  </TitlesOfParts>
  <Company>CSD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ECE/TRANS/WP.29/2024/21</dc:title>
  <dc:subject>2325631</dc:subject>
  <dc:creator>Secretariat</dc:creator>
  <cp:keywords/>
  <dc:description/>
  <cp:lastModifiedBy>Pauline Anne Escalante</cp:lastModifiedBy>
  <cp:revision>2</cp:revision>
  <cp:lastPrinted>2009-02-18T09:36:00Z</cp:lastPrinted>
  <dcterms:created xsi:type="dcterms:W3CDTF">2023-12-20T10:03:00Z</dcterms:created>
  <dcterms:modified xsi:type="dcterms:W3CDTF">2023-12-20T10:03:00Z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ffice_x0020_of_x0020_Origin">
    <vt:lpwstr/>
  </property>
  <property fmtid="{D5CDD505-2E9C-101B-9397-08002B2CF9AE}" pid="4" name="MediaServiceImageTags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