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3448565" w14:textId="77777777" w:rsidTr="00C97039">
        <w:trPr>
          <w:trHeight w:hRule="exact" w:val="851"/>
        </w:trPr>
        <w:tc>
          <w:tcPr>
            <w:tcW w:w="1276" w:type="dxa"/>
            <w:tcBorders>
              <w:bottom w:val="single" w:sz="4" w:space="0" w:color="auto"/>
            </w:tcBorders>
          </w:tcPr>
          <w:p w14:paraId="0AE0693F" w14:textId="77777777" w:rsidR="00F35BAF" w:rsidRPr="00DB58B5" w:rsidRDefault="00F35BAF" w:rsidP="0074082A"/>
        </w:tc>
        <w:tc>
          <w:tcPr>
            <w:tcW w:w="2268" w:type="dxa"/>
            <w:tcBorders>
              <w:bottom w:val="single" w:sz="4" w:space="0" w:color="auto"/>
            </w:tcBorders>
            <w:vAlign w:val="bottom"/>
          </w:tcPr>
          <w:p w14:paraId="5E32508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493A0B" w14:textId="78DB8D2C" w:rsidR="00F35BAF" w:rsidRPr="00DB58B5" w:rsidRDefault="0074082A" w:rsidP="0074082A">
            <w:pPr>
              <w:jc w:val="right"/>
            </w:pPr>
            <w:r w:rsidRPr="0074082A">
              <w:rPr>
                <w:sz w:val="40"/>
              </w:rPr>
              <w:t>ECE</w:t>
            </w:r>
            <w:r>
              <w:t>/TRANS/WP.15/AC.2/2023/45</w:t>
            </w:r>
          </w:p>
        </w:tc>
      </w:tr>
      <w:tr w:rsidR="00F35BAF" w:rsidRPr="00DB58B5" w14:paraId="1B70D128" w14:textId="77777777" w:rsidTr="00C97039">
        <w:trPr>
          <w:trHeight w:hRule="exact" w:val="2835"/>
        </w:trPr>
        <w:tc>
          <w:tcPr>
            <w:tcW w:w="1276" w:type="dxa"/>
            <w:tcBorders>
              <w:top w:val="single" w:sz="4" w:space="0" w:color="auto"/>
              <w:bottom w:val="single" w:sz="12" w:space="0" w:color="auto"/>
            </w:tcBorders>
          </w:tcPr>
          <w:p w14:paraId="06BE65E3" w14:textId="77777777" w:rsidR="00F35BAF" w:rsidRPr="00DB58B5" w:rsidRDefault="00F35BAF" w:rsidP="00C97039">
            <w:pPr>
              <w:spacing w:before="120"/>
              <w:jc w:val="center"/>
            </w:pPr>
            <w:r>
              <w:rPr>
                <w:noProof/>
                <w:lang w:eastAsia="fr-CH"/>
              </w:rPr>
              <w:drawing>
                <wp:inline distT="0" distB="0" distL="0" distR="0" wp14:anchorId="78600992" wp14:editId="175C0E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7620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AC0E46" w14:textId="77777777" w:rsidR="00F35BAF" w:rsidRDefault="0074082A" w:rsidP="00C97039">
            <w:pPr>
              <w:spacing w:before="240"/>
            </w:pPr>
            <w:r>
              <w:t>Distr. générale</w:t>
            </w:r>
          </w:p>
          <w:p w14:paraId="0B262743" w14:textId="77777777" w:rsidR="0074082A" w:rsidRDefault="0074082A" w:rsidP="0074082A">
            <w:pPr>
              <w:spacing w:line="240" w:lineRule="exact"/>
            </w:pPr>
            <w:r>
              <w:t>8 juin 2023</w:t>
            </w:r>
          </w:p>
          <w:p w14:paraId="496F17F3" w14:textId="77777777" w:rsidR="0074082A" w:rsidRDefault="0074082A" w:rsidP="0074082A">
            <w:pPr>
              <w:spacing w:line="240" w:lineRule="exact"/>
            </w:pPr>
            <w:r>
              <w:t>Français</w:t>
            </w:r>
          </w:p>
          <w:p w14:paraId="2059431F" w14:textId="2162B226" w:rsidR="0074082A" w:rsidRPr="00DB58B5" w:rsidRDefault="0074082A" w:rsidP="0074082A">
            <w:pPr>
              <w:spacing w:line="240" w:lineRule="exact"/>
            </w:pPr>
            <w:r>
              <w:t>Original : anglais</w:t>
            </w:r>
          </w:p>
        </w:tc>
      </w:tr>
    </w:tbl>
    <w:p w14:paraId="5214BDA7" w14:textId="77777777" w:rsidR="007F20FA" w:rsidRPr="000312C0" w:rsidRDefault="007F20FA" w:rsidP="007F20FA">
      <w:pPr>
        <w:spacing w:before="120"/>
        <w:rPr>
          <w:b/>
          <w:sz w:val="28"/>
          <w:szCs w:val="28"/>
        </w:rPr>
      </w:pPr>
      <w:r w:rsidRPr="000312C0">
        <w:rPr>
          <w:b/>
          <w:sz w:val="28"/>
          <w:szCs w:val="28"/>
        </w:rPr>
        <w:t>Commission économique pour l’Europe</w:t>
      </w:r>
    </w:p>
    <w:p w14:paraId="00BC8C82" w14:textId="77777777" w:rsidR="007F20FA" w:rsidRDefault="007F20FA" w:rsidP="007F20FA">
      <w:pPr>
        <w:spacing w:before="120"/>
        <w:rPr>
          <w:sz w:val="28"/>
          <w:szCs w:val="28"/>
        </w:rPr>
      </w:pPr>
      <w:r w:rsidRPr="00685843">
        <w:rPr>
          <w:sz w:val="28"/>
          <w:szCs w:val="28"/>
        </w:rPr>
        <w:t>Comité des transports intérieurs</w:t>
      </w:r>
    </w:p>
    <w:p w14:paraId="1B4EE7A7" w14:textId="77777777" w:rsidR="0074082A" w:rsidRPr="00F91033" w:rsidRDefault="0074082A" w:rsidP="0074082A">
      <w:pPr>
        <w:spacing w:before="120"/>
        <w:rPr>
          <w:b/>
          <w:sz w:val="32"/>
          <w:szCs w:val="32"/>
          <w:lang w:val="fr-FR"/>
        </w:rPr>
      </w:pPr>
      <w:r w:rsidRPr="00F91033">
        <w:rPr>
          <w:b/>
          <w:bCs/>
          <w:sz w:val="24"/>
          <w:szCs w:val="24"/>
          <w:lang w:val="fr-FR"/>
        </w:rPr>
        <w:t>Groupe de travail des transports de marchandises dangereuses</w:t>
      </w:r>
    </w:p>
    <w:p w14:paraId="3D19A2D2" w14:textId="1C4BA554" w:rsidR="0074082A" w:rsidRPr="00DA5025" w:rsidRDefault="0074082A" w:rsidP="0074082A">
      <w:pPr>
        <w:spacing w:before="120"/>
        <w:rPr>
          <w:b/>
          <w:lang w:val="fr-FR"/>
        </w:rPr>
      </w:pPr>
      <w:r>
        <w:rPr>
          <w:b/>
          <w:bCs/>
          <w:lang w:val="fr-FR"/>
        </w:rPr>
        <w:t xml:space="preserve">Réunion commune d’experts du Règlement annexé à l’Accord européen </w:t>
      </w:r>
      <w:r w:rsidR="00F91033">
        <w:rPr>
          <w:b/>
          <w:bCs/>
          <w:lang w:val="fr-FR"/>
        </w:rPr>
        <w:br/>
      </w:r>
      <w:r>
        <w:rPr>
          <w:b/>
          <w:bCs/>
          <w:lang w:val="fr-FR"/>
        </w:rPr>
        <w:t xml:space="preserve">relatif au transport international des marchandises dangereuses </w:t>
      </w:r>
      <w:r w:rsidR="00F91033">
        <w:rPr>
          <w:b/>
          <w:bCs/>
          <w:lang w:val="fr-FR"/>
        </w:rPr>
        <w:br/>
      </w:r>
      <w:r>
        <w:rPr>
          <w:b/>
          <w:bCs/>
          <w:lang w:val="fr-FR"/>
        </w:rPr>
        <w:t xml:space="preserve">par voies de navigation intérieures (ADN) </w:t>
      </w:r>
      <w:r w:rsidR="00F91033">
        <w:rPr>
          <w:b/>
          <w:bCs/>
          <w:lang w:val="fr-FR"/>
        </w:rPr>
        <w:br/>
      </w:r>
      <w:r>
        <w:rPr>
          <w:b/>
          <w:bCs/>
          <w:lang w:val="fr-FR"/>
        </w:rPr>
        <w:t>(Comité de sécurité de l’ADN)</w:t>
      </w:r>
    </w:p>
    <w:p w14:paraId="1B883220" w14:textId="77777777" w:rsidR="0074082A" w:rsidRPr="00DA5025" w:rsidRDefault="0074082A" w:rsidP="0074082A">
      <w:pPr>
        <w:spacing w:before="120"/>
        <w:rPr>
          <w:b/>
          <w:lang w:val="fr-FR"/>
        </w:rPr>
      </w:pPr>
      <w:r>
        <w:rPr>
          <w:b/>
          <w:bCs/>
          <w:lang w:val="fr-FR"/>
        </w:rPr>
        <w:t>Quarante-deuxième session</w:t>
      </w:r>
    </w:p>
    <w:p w14:paraId="52F7B550" w14:textId="77777777" w:rsidR="0074082A" w:rsidRPr="00DA5025" w:rsidRDefault="0074082A" w:rsidP="0074082A">
      <w:pPr>
        <w:rPr>
          <w:lang w:val="fr-FR"/>
        </w:rPr>
      </w:pPr>
      <w:r>
        <w:rPr>
          <w:lang w:val="fr-FR"/>
        </w:rPr>
        <w:t>Genève, 21-25 août 2023</w:t>
      </w:r>
    </w:p>
    <w:p w14:paraId="03F3A70B" w14:textId="77777777" w:rsidR="0074082A" w:rsidRPr="00DA5025" w:rsidRDefault="0074082A" w:rsidP="0074082A">
      <w:pPr>
        <w:rPr>
          <w:lang w:val="fr-FR"/>
        </w:rPr>
      </w:pPr>
      <w:r>
        <w:rPr>
          <w:lang w:val="fr-FR"/>
        </w:rPr>
        <w:t>Point 4 b) de l’ordre du jour provisoire</w:t>
      </w:r>
    </w:p>
    <w:p w14:paraId="355BF078" w14:textId="77777777" w:rsidR="0074082A" w:rsidRDefault="0074082A" w:rsidP="0074082A">
      <w:pPr>
        <w:rPr>
          <w:b/>
          <w:bCs/>
          <w:lang w:val="fr-FR"/>
        </w:rPr>
      </w:pPr>
      <w:r>
        <w:rPr>
          <w:b/>
          <w:bCs/>
          <w:lang w:val="fr-FR"/>
        </w:rPr>
        <w:t>Propositions d’amendements au Règlement annexé à l’ADN :</w:t>
      </w:r>
    </w:p>
    <w:p w14:paraId="2324EA29" w14:textId="77777777" w:rsidR="0074082A" w:rsidRPr="00DA5025" w:rsidRDefault="0074082A" w:rsidP="0074082A">
      <w:pPr>
        <w:rPr>
          <w:b/>
          <w:bCs/>
          <w:lang w:val="fr-FR"/>
        </w:rPr>
      </w:pPr>
      <w:r w:rsidRPr="00BF4EDB">
        <w:rPr>
          <w:b/>
          <w:bCs/>
          <w:lang w:val="fr-FR"/>
        </w:rPr>
        <w:t>Autres propositions</w:t>
      </w:r>
    </w:p>
    <w:p w14:paraId="5A37F412" w14:textId="5FA5A818" w:rsidR="0074082A" w:rsidRPr="000C6F6E" w:rsidRDefault="0074082A" w:rsidP="00F91033">
      <w:pPr>
        <w:pStyle w:val="HChG"/>
      </w:pPr>
      <w:r>
        <w:rPr>
          <w:lang w:val="fr-FR"/>
        </w:rPr>
        <w:tab/>
      </w:r>
      <w:r>
        <w:rPr>
          <w:lang w:val="fr-FR"/>
        </w:rPr>
        <w:tab/>
        <w:t xml:space="preserve">Reclassement du </w:t>
      </w:r>
      <w:r w:rsidRPr="000141BE">
        <w:rPr>
          <w:lang w:val="fr-FR"/>
        </w:rPr>
        <w:t>N</w:t>
      </w:r>
      <w:r w:rsidRPr="000141BE">
        <w:rPr>
          <w:vertAlign w:val="superscript"/>
          <w:lang w:val="fr-FR"/>
        </w:rPr>
        <w:t>o</w:t>
      </w:r>
      <w:r>
        <w:rPr>
          <w:lang w:val="fr-FR"/>
        </w:rPr>
        <w:t xml:space="preserve"> ONU 1918 ISOPROPYLBENZÈNE (cumène) et des matières contenant au moins 0,1</w:t>
      </w:r>
      <w:r w:rsidR="00F91033">
        <w:rPr>
          <w:lang w:val="fr-FR"/>
        </w:rPr>
        <w:t> </w:t>
      </w:r>
      <w:r>
        <w:rPr>
          <w:lang w:val="fr-FR"/>
        </w:rPr>
        <w:t>% de</w:t>
      </w:r>
      <w:r w:rsidR="00F91033">
        <w:rPr>
          <w:lang w:val="fr-FR"/>
        </w:rPr>
        <w:t> </w:t>
      </w:r>
      <w:r>
        <w:rPr>
          <w:lang w:val="fr-FR"/>
        </w:rPr>
        <w:t>cumène</w:t>
      </w:r>
    </w:p>
    <w:p w14:paraId="2F9B33D3" w14:textId="77777777" w:rsidR="0074082A" w:rsidRDefault="0074082A" w:rsidP="00F91033">
      <w:pPr>
        <w:pStyle w:val="H1G"/>
        <w:rPr>
          <w:lang w:val="fr-FR"/>
        </w:rPr>
      </w:pPr>
      <w:r>
        <w:rPr>
          <w:lang w:val="fr-FR"/>
        </w:rPr>
        <w:tab/>
      </w:r>
      <w:r>
        <w:rPr>
          <w:lang w:val="fr-FR"/>
        </w:rPr>
        <w:tab/>
        <w:t>Communication de FuelsEurope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F91033" w14:paraId="613AF58D" w14:textId="77777777">
        <w:trPr>
          <w:jc w:val="center"/>
        </w:trPr>
        <w:tc>
          <w:tcPr>
            <w:tcW w:w="9637" w:type="dxa"/>
            <w:shd w:val="clear" w:color="auto" w:fill="auto"/>
          </w:tcPr>
          <w:p w14:paraId="7DAFED99" w14:textId="77777777" w:rsidR="00F91033" w:rsidRDefault="00F91033">
            <w:pPr>
              <w:spacing w:before="240" w:after="120"/>
              <w:ind w:left="255"/>
              <w:rPr>
                <w:i/>
                <w:sz w:val="24"/>
              </w:rPr>
            </w:pPr>
            <w:r>
              <w:rPr>
                <w:i/>
                <w:sz w:val="24"/>
              </w:rPr>
              <w:t>Résumé</w:t>
            </w:r>
          </w:p>
        </w:tc>
      </w:tr>
      <w:tr w:rsidR="00F91033" w14:paraId="2AE602B6" w14:textId="77777777">
        <w:trPr>
          <w:jc w:val="center"/>
        </w:trPr>
        <w:tc>
          <w:tcPr>
            <w:tcW w:w="9637" w:type="dxa"/>
            <w:shd w:val="clear" w:color="auto" w:fill="auto"/>
          </w:tcPr>
          <w:p w14:paraId="525B4F0B" w14:textId="77777777" w:rsidR="00F91033" w:rsidRDefault="00F91033" w:rsidP="00F91033">
            <w:pPr>
              <w:pStyle w:val="SingleTxtG"/>
              <w:jc w:val="left"/>
              <w:rPr>
                <w:lang w:val="fr-FR"/>
              </w:rPr>
            </w:pPr>
            <w:r>
              <w:rPr>
                <w:b/>
                <w:bCs/>
                <w:lang w:val="fr-FR"/>
              </w:rPr>
              <w:t>Documents connexes</w:t>
            </w:r>
            <w:r>
              <w:rPr>
                <w:b/>
                <w:bCs/>
                <w:lang w:val="fr-FR"/>
              </w:rPr>
              <w:t> :</w:t>
            </w:r>
            <w:r>
              <w:rPr>
                <w:b/>
                <w:bCs/>
                <w:lang w:val="fr-FR"/>
              </w:rPr>
              <w:tab/>
            </w:r>
            <w:r>
              <w:rPr>
                <w:lang w:val="fr-FR"/>
              </w:rPr>
              <w:t>Document informel INF.17 de la quarante et unième session</w:t>
            </w:r>
          </w:p>
          <w:p w14:paraId="2DEAFC83" w14:textId="6FD8A17A" w:rsidR="00F91033" w:rsidRDefault="00F91033" w:rsidP="00F91033">
            <w:pPr>
              <w:pStyle w:val="SingleTxtG"/>
              <w:ind w:left="3402" w:hanging="2268"/>
              <w:jc w:val="left"/>
            </w:pPr>
            <w:r>
              <w:rPr>
                <w:b/>
                <w:bCs/>
                <w:lang w:val="fr-FR"/>
              </w:rPr>
              <w:tab/>
            </w:r>
            <w:r>
              <w:rPr>
                <w:b/>
                <w:bCs/>
                <w:lang w:val="fr-FR"/>
              </w:rPr>
              <w:tab/>
            </w:r>
            <w:r>
              <w:rPr>
                <w:lang w:val="fr-FR"/>
              </w:rPr>
              <w:t>ECE/TRANS/WP.15/AC.2/84, par.</w:t>
            </w:r>
            <w:r>
              <w:rPr>
                <w:lang w:val="fr-FR"/>
              </w:rPr>
              <w:t> </w:t>
            </w:r>
            <w:r>
              <w:rPr>
                <w:lang w:val="fr-FR"/>
              </w:rPr>
              <w:t>45 et 46 (rapport de la quarante et unième session</w:t>
            </w:r>
            <w:r>
              <w:rPr>
                <w:lang w:val="fr-FR"/>
              </w:rPr>
              <w:t>)</w:t>
            </w:r>
          </w:p>
        </w:tc>
      </w:tr>
      <w:tr w:rsidR="00F91033" w14:paraId="65AA8921" w14:textId="77777777">
        <w:trPr>
          <w:jc w:val="center"/>
        </w:trPr>
        <w:tc>
          <w:tcPr>
            <w:tcW w:w="9637" w:type="dxa"/>
            <w:shd w:val="clear" w:color="auto" w:fill="auto"/>
          </w:tcPr>
          <w:p w14:paraId="5502C0C8" w14:textId="77777777" w:rsidR="00F91033" w:rsidRDefault="00F91033"/>
        </w:tc>
      </w:tr>
    </w:tbl>
    <w:p w14:paraId="778D00EC" w14:textId="77777777" w:rsidR="0074082A" w:rsidRPr="00DA5025" w:rsidRDefault="0074082A" w:rsidP="00F91033">
      <w:pPr>
        <w:pStyle w:val="HChG"/>
        <w:rPr>
          <w:lang w:val="fr-FR"/>
        </w:rPr>
      </w:pPr>
      <w:r>
        <w:rPr>
          <w:lang w:val="fr-FR"/>
        </w:rPr>
        <w:tab/>
        <w:t>I.</w:t>
      </w:r>
      <w:r>
        <w:rPr>
          <w:lang w:val="fr-FR"/>
        </w:rPr>
        <w:tab/>
        <w:t>Résumé analytique</w:t>
      </w:r>
    </w:p>
    <w:p w14:paraId="77695A43" w14:textId="6FFC8AE8" w:rsidR="0074082A" w:rsidRPr="00DA5025" w:rsidRDefault="0074082A" w:rsidP="0074082A">
      <w:pPr>
        <w:pStyle w:val="SingleTxtG"/>
        <w:rPr>
          <w:lang w:val="fr-FR"/>
        </w:rPr>
      </w:pPr>
      <w:r>
        <w:rPr>
          <w:lang w:val="fr-FR"/>
        </w:rPr>
        <w:t>1.</w:t>
      </w:r>
      <w:r>
        <w:rPr>
          <w:lang w:val="fr-FR"/>
        </w:rPr>
        <w:tab/>
        <w:t>Le présent document contient deux séries de propositions, regroupées dans les sections A et B. La section A porte sur la période intérimaire comprise entre le 23</w:t>
      </w:r>
      <w:r w:rsidR="00F91033">
        <w:rPr>
          <w:lang w:val="fr-FR"/>
        </w:rPr>
        <w:t> </w:t>
      </w:r>
      <w:r>
        <w:rPr>
          <w:lang w:val="fr-FR"/>
        </w:rPr>
        <w:t>novembre 2023 et le 1</w:t>
      </w:r>
      <w:r w:rsidRPr="000141BE">
        <w:rPr>
          <w:vertAlign w:val="superscript"/>
          <w:lang w:val="fr-FR"/>
        </w:rPr>
        <w:t>er</w:t>
      </w:r>
      <w:r w:rsidR="00F91033">
        <w:rPr>
          <w:lang w:val="fr-FR"/>
        </w:rPr>
        <w:t> </w:t>
      </w:r>
      <w:r>
        <w:rPr>
          <w:lang w:val="fr-FR"/>
        </w:rPr>
        <w:t>janvier 2025 (ADN 2025), tandis que la section B contient des propositions détaillées relatives à l’ajout et la modification de rubriques pour certaines matières figurant dans le tableau C, pour entrée en vigueur le 1</w:t>
      </w:r>
      <w:r w:rsidRPr="000141BE">
        <w:rPr>
          <w:vertAlign w:val="superscript"/>
          <w:lang w:val="fr-FR"/>
        </w:rPr>
        <w:t>er</w:t>
      </w:r>
      <w:r w:rsidR="00F91033">
        <w:rPr>
          <w:lang w:val="fr-FR"/>
        </w:rPr>
        <w:t> </w:t>
      </w:r>
      <w:r>
        <w:rPr>
          <w:lang w:val="fr-FR"/>
        </w:rPr>
        <w:t>janvier 2025 (ADN 2025).</w:t>
      </w:r>
    </w:p>
    <w:p w14:paraId="1FB8B859" w14:textId="77777777" w:rsidR="0074082A" w:rsidRPr="00DA5025" w:rsidRDefault="0074082A" w:rsidP="0074082A">
      <w:pPr>
        <w:pStyle w:val="SingleTxtG"/>
        <w:rPr>
          <w:lang w:val="fr-FR"/>
        </w:rPr>
      </w:pPr>
      <w:r>
        <w:rPr>
          <w:lang w:val="fr-FR"/>
        </w:rPr>
        <w:t>2.</w:t>
      </w:r>
      <w:r>
        <w:rPr>
          <w:lang w:val="fr-FR"/>
        </w:rPr>
        <w:tab/>
        <w:t xml:space="preserve">En ce qui concerne la période intérimaire susmentionnée, en raison des nouvelles caractéristiques CMR des matières concernées, FuelsEurope invite le Comité de sécurité à envisager de recourir à un accord multilatéral en tenant compte des propositions formulées à la section A, qui </w:t>
      </w:r>
      <w:r w:rsidRPr="00146888">
        <w:rPr>
          <w:lang w:val="fr-FR"/>
        </w:rPr>
        <w:t>précisent comment gérer</w:t>
      </w:r>
      <w:r>
        <w:rPr>
          <w:b/>
          <w:bCs/>
          <w:lang w:val="fr-FR"/>
        </w:rPr>
        <w:t xml:space="preserve"> </w:t>
      </w:r>
      <w:r>
        <w:rPr>
          <w:lang w:val="fr-FR"/>
        </w:rPr>
        <w:t xml:space="preserve">les nouvelles prescriptions en matière de transport et les questions liées à l’équipement de protection individuelle (EPI). </w:t>
      </w:r>
    </w:p>
    <w:p w14:paraId="0C84F97D" w14:textId="1EEDACCB" w:rsidR="0074082A" w:rsidRPr="00DA5025" w:rsidRDefault="0074082A" w:rsidP="00F91033">
      <w:pPr>
        <w:pStyle w:val="SingleTxtG"/>
        <w:keepLines/>
        <w:rPr>
          <w:lang w:val="fr-FR"/>
        </w:rPr>
      </w:pPr>
      <w:r>
        <w:rPr>
          <w:lang w:val="fr-FR"/>
        </w:rPr>
        <w:t>3.</w:t>
      </w:r>
      <w:r>
        <w:rPr>
          <w:lang w:val="fr-FR"/>
        </w:rPr>
        <w:tab/>
        <w:t>S’agissant de l’édition 2025 de l’ADN, FuelsEurope invite le Comité de sécurité à examiner les propositions présentées à la section B, concernant l’ajout et la modification de rubriques dans le tableau C pour entrée en vigueur le 1</w:t>
      </w:r>
      <w:r w:rsidRPr="00146888">
        <w:rPr>
          <w:vertAlign w:val="superscript"/>
          <w:lang w:val="fr-FR"/>
        </w:rPr>
        <w:t>er</w:t>
      </w:r>
      <w:r w:rsidR="00F91033">
        <w:rPr>
          <w:lang w:val="fr-FR"/>
        </w:rPr>
        <w:t> </w:t>
      </w:r>
      <w:r>
        <w:rPr>
          <w:lang w:val="fr-FR"/>
        </w:rPr>
        <w:t xml:space="preserve">janvier 2025 (ADN 2025), et à confirmer à nouveau le mandat du groupe de travail informel des matières. </w:t>
      </w:r>
    </w:p>
    <w:p w14:paraId="6463EB01" w14:textId="77777777" w:rsidR="0074082A" w:rsidRPr="00DA5025" w:rsidRDefault="0074082A" w:rsidP="00F91033">
      <w:pPr>
        <w:pStyle w:val="HChG"/>
        <w:rPr>
          <w:lang w:val="fr-FR"/>
        </w:rPr>
      </w:pPr>
      <w:bookmarkStart w:id="0" w:name="_Hlk87882230"/>
      <w:r>
        <w:rPr>
          <w:lang w:val="fr-FR"/>
        </w:rPr>
        <w:tab/>
        <w:t>II.</w:t>
      </w:r>
      <w:r>
        <w:rPr>
          <w:lang w:val="fr-FR"/>
        </w:rPr>
        <w:tab/>
        <w:t>Situation actuelle</w:t>
      </w:r>
    </w:p>
    <w:p w14:paraId="683B60D9" w14:textId="14F7A91B" w:rsidR="0074082A" w:rsidRPr="00DA5025" w:rsidRDefault="0074082A" w:rsidP="0074082A">
      <w:pPr>
        <w:pStyle w:val="SingleTxtG"/>
        <w:rPr>
          <w:lang w:val="fr-FR"/>
        </w:rPr>
      </w:pPr>
      <w:r>
        <w:rPr>
          <w:lang w:val="fr-FR"/>
        </w:rPr>
        <w:t>4.</w:t>
      </w:r>
      <w:r>
        <w:rPr>
          <w:lang w:val="fr-FR"/>
        </w:rPr>
        <w:tab/>
        <w:t>Dans le document informel INF.17 de la quarante et unième session, FuelsEurope a informé le Comité de sécurité des modifications prévues concernant le reclassement du cumène</w:t>
      </w:r>
      <w:r>
        <w:rPr>
          <w:b/>
          <w:bCs/>
          <w:lang w:val="fr-FR"/>
        </w:rPr>
        <w:t xml:space="preserve"> </w:t>
      </w:r>
      <w:r>
        <w:rPr>
          <w:lang w:val="fr-FR"/>
        </w:rPr>
        <w:t>dans la catégorie des</w:t>
      </w:r>
      <w:r>
        <w:rPr>
          <w:b/>
          <w:bCs/>
          <w:lang w:val="fr-FR"/>
        </w:rPr>
        <w:t xml:space="preserve"> </w:t>
      </w:r>
      <w:r>
        <w:rPr>
          <w:lang w:val="fr-FR"/>
        </w:rPr>
        <w:t>cancérigènes 1B avec effet au 23</w:t>
      </w:r>
      <w:r w:rsidR="00F91033">
        <w:rPr>
          <w:lang w:val="fr-FR"/>
        </w:rPr>
        <w:t> </w:t>
      </w:r>
      <w:r>
        <w:rPr>
          <w:lang w:val="fr-FR"/>
        </w:rPr>
        <w:t>novembre 2023.</w:t>
      </w:r>
    </w:p>
    <w:p w14:paraId="48FF5CB8" w14:textId="541E5AE7" w:rsidR="0074082A" w:rsidRPr="00DA5025" w:rsidRDefault="0074082A" w:rsidP="0074082A">
      <w:pPr>
        <w:pStyle w:val="SingleTxtG"/>
        <w:rPr>
          <w:lang w:val="fr-FR"/>
        </w:rPr>
      </w:pPr>
      <w:r>
        <w:rPr>
          <w:lang w:val="fr-FR"/>
        </w:rPr>
        <w:t>5.</w:t>
      </w:r>
      <w:r>
        <w:rPr>
          <w:lang w:val="fr-FR"/>
        </w:rPr>
        <w:tab/>
        <w:t>Par conséquent, le cumène et les matières contenant au moins 0,1</w:t>
      </w:r>
      <w:r w:rsidR="00F91033">
        <w:rPr>
          <w:lang w:val="fr-FR"/>
        </w:rPr>
        <w:t> </w:t>
      </w:r>
      <w:r>
        <w:rPr>
          <w:lang w:val="fr-FR"/>
        </w:rPr>
        <w:t xml:space="preserve">% de cumène doivent être reclassés dans la catégorie 1B </w:t>
      </w:r>
      <w:r w:rsidRPr="00041265">
        <w:rPr>
          <w:lang w:val="fr-FR"/>
        </w:rPr>
        <w:t xml:space="preserve">pour la cancérogénicité </w:t>
      </w:r>
      <w:r>
        <w:rPr>
          <w:lang w:val="fr-FR"/>
        </w:rPr>
        <w:t>du r</w:t>
      </w:r>
      <w:r w:rsidRPr="00041265">
        <w:rPr>
          <w:lang w:val="fr-FR"/>
        </w:rPr>
        <w:t>èglement de l</w:t>
      </w:r>
      <w:r>
        <w:rPr>
          <w:lang w:val="fr-FR"/>
        </w:rPr>
        <w:t>’</w:t>
      </w:r>
      <w:r w:rsidRPr="00041265">
        <w:rPr>
          <w:lang w:val="fr-FR"/>
        </w:rPr>
        <w:t>Union européenne relatif à la classification, à l</w:t>
      </w:r>
      <w:r>
        <w:rPr>
          <w:lang w:val="fr-FR"/>
        </w:rPr>
        <w:t>’</w:t>
      </w:r>
      <w:r w:rsidRPr="00041265">
        <w:rPr>
          <w:lang w:val="fr-FR"/>
        </w:rPr>
        <w:t>étiquetage et à l</w:t>
      </w:r>
      <w:r>
        <w:rPr>
          <w:lang w:val="fr-FR"/>
        </w:rPr>
        <w:t>’</w:t>
      </w:r>
      <w:r w:rsidRPr="00041265">
        <w:rPr>
          <w:lang w:val="fr-FR"/>
        </w:rPr>
        <w:t>emballage des substances et des mélanges (</w:t>
      </w:r>
      <w:r>
        <w:rPr>
          <w:lang w:val="fr-FR"/>
        </w:rPr>
        <w:t>r</w:t>
      </w:r>
      <w:r w:rsidRPr="00041265">
        <w:rPr>
          <w:lang w:val="fr-FR"/>
        </w:rPr>
        <w:t>èglement CLP)</w:t>
      </w:r>
      <w:r>
        <w:rPr>
          <w:lang w:val="fr-FR"/>
        </w:rPr>
        <w:t>, à moins qu’ils ne soient déjà classés dans cette catégorie, ou dans la catégorie 1A.</w:t>
      </w:r>
    </w:p>
    <w:p w14:paraId="0794CA4D" w14:textId="2335F3AF" w:rsidR="0074082A" w:rsidRPr="00DA5025" w:rsidRDefault="0074082A" w:rsidP="0074082A">
      <w:pPr>
        <w:pStyle w:val="SingleTxtG"/>
        <w:rPr>
          <w:lang w:val="fr-FR"/>
        </w:rPr>
      </w:pPr>
      <w:r>
        <w:rPr>
          <w:lang w:val="fr-FR"/>
        </w:rPr>
        <w:t>6.</w:t>
      </w:r>
      <w:r>
        <w:rPr>
          <w:lang w:val="fr-FR"/>
        </w:rPr>
        <w:tab/>
        <w:t>Les matières pouvant contenir du cumène à des concentrations égales ou supérieures à 0,1</w:t>
      </w:r>
      <w:r w:rsidR="00F91033">
        <w:rPr>
          <w:lang w:val="fr-FR"/>
        </w:rPr>
        <w:t> </w:t>
      </w:r>
      <w:r>
        <w:rPr>
          <w:lang w:val="fr-FR"/>
        </w:rPr>
        <w:t>% sont les suivantes :</w:t>
      </w:r>
    </w:p>
    <w:p w14:paraId="72219C13" w14:textId="0D294C94" w:rsidR="0074082A" w:rsidRPr="00F91033" w:rsidRDefault="0074082A" w:rsidP="00F91033">
      <w:pPr>
        <w:pStyle w:val="SingleTxtG"/>
        <w:ind w:firstLine="567"/>
      </w:pPr>
      <w:r>
        <w:rPr>
          <w:lang w:val="fr-FR"/>
        </w:rPr>
        <w:tab/>
      </w:r>
      <w:r w:rsidRPr="00F91033">
        <w:t>N</w:t>
      </w:r>
      <w:r w:rsidRPr="00F91033">
        <w:rPr>
          <w:vertAlign w:val="superscript"/>
        </w:rPr>
        <w:t>o</w:t>
      </w:r>
      <w:r w:rsidR="00F91033">
        <w:t> </w:t>
      </w:r>
      <w:r w:rsidRPr="00F91033">
        <w:t>ONU 1223 KÉROSÈNE</w:t>
      </w:r>
    </w:p>
    <w:p w14:paraId="0E6D7646" w14:textId="2954B4D8" w:rsidR="0074082A" w:rsidRPr="00F91033" w:rsidRDefault="0074082A" w:rsidP="00F91033">
      <w:pPr>
        <w:pStyle w:val="SingleTxtG"/>
        <w:ind w:firstLine="567"/>
      </w:pPr>
      <w:r w:rsidRPr="00F91033">
        <w:tab/>
        <w:t>N</w:t>
      </w:r>
      <w:r w:rsidRPr="00F91033">
        <w:rPr>
          <w:vertAlign w:val="superscript"/>
        </w:rPr>
        <w:t>o</w:t>
      </w:r>
      <w:r w:rsidR="00F91033">
        <w:t> </w:t>
      </w:r>
      <w:r w:rsidRPr="00F91033">
        <w:t>ONU 1307 XYLÈNES (trois rubriques)</w:t>
      </w:r>
    </w:p>
    <w:p w14:paraId="185F082A" w14:textId="79273546" w:rsidR="0074082A" w:rsidRPr="00F91033" w:rsidRDefault="0074082A" w:rsidP="00F91033">
      <w:pPr>
        <w:pStyle w:val="SingleTxtG"/>
        <w:ind w:firstLine="567"/>
      </w:pPr>
      <w:r w:rsidRPr="00F91033">
        <w:tab/>
        <w:t>N</w:t>
      </w:r>
      <w:r w:rsidRPr="00F91033">
        <w:rPr>
          <w:vertAlign w:val="superscript"/>
        </w:rPr>
        <w:t>o</w:t>
      </w:r>
      <w:r w:rsidR="00F91033">
        <w:t> </w:t>
      </w:r>
      <w:r w:rsidRPr="00F91033">
        <w:t>ONU 1863 CARBURÉACTEUR</w:t>
      </w:r>
    </w:p>
    <w:p w14:paraId="10C8F798" w14:textId="64CBA55D" w:rsidR="0074082A" w:rsidRPr="00DA5025" w:rsidRDefault="0074082A" w:rsidP="00F91033">
      <w:pPr>
        <w:pStyle w:val="SingleTxtG"/>
        <w:ind w:firstLine="567"/>
        <w:rPr>
          <w:lang w:val="fr-FR"/>
        </w:rPr>
      </w:pPr>
      <w:r w:rsidRPr="00F91033">
        <w:tab/>
        <w:t>Et le cumène</w:t>
      </w:r>
      <w:r>
        <w:rPr>
          <w:lang w:val="fr-FR"/>
        </w:rPr>
        <w:t xml:space="preserve"> lui-même</w:t>
      </w:r>
      <w:r w:rsidR="00F91033">
        <w:rPr>
          <w:lang w:val="fr-FR"/>
        </w:rPr>
        <w:t> </w:t>
      </w:r>
      <w:r>
        <w:rPr>
          <w:lang w:val="fr-FR"/>
        </w:rPr>
        <w:t>: N</w:t>
      </w:r>
      <w:r w:rsidRPr="00F91033">
        <w:rPr>
          <w:vertAlign w:val="superscript"/>
          <w:lang w:val="fr-FR"/>
        </w:rPr>
        <w:t>o</w:t>
      </w:r>
      <w:r w:rsidR="00F91033">
        <w:rPr>
          <w:lang w:val="fr-FR"/>
        </w:rPr>
        <w:t> </w:t>
      </w:r>
      <w:r>
        <w:rPr>
          <w:lang w:val="fr-FR"/>
        </w:rPr>
        <w:t>ONU 1918 ISOPROPYLBENZÈNE (cumène)</w:t>
      </w:r>
      <w:r w:rsidR="00F91033">
        <w:rPr>
          <w:lang w:val="fr-FR"/>
        </w:rPr>
        <w:t>.</w:t>
      </w:r>
    </w:p>
    <w:p w14:paraId="08CF4EE0" w14:textId="1E92D33E" w:rsidR="0074082A" w:rsidRPr="00DA5025" w:rsidRDefault="0074082A" w:rsidP="0074082A">
      <w:pPr>
        <w:pStyle w:val="SingleTxtG"/>
        <w:rPr>
          <w:lang w:val="fr-FR"/>
        </w:rPr>
      </w:pPr>
      <w:r>
        <w:rPr>
          <w:lang w:val="fr-FR"/>
        </w:rPr>
        <w:t>7.</w:t>
      </w:r>
      <w:r>
        <w:rPr>
          <w:lang w:val="fr-FR"/>
        </w:rPr>
        <w:tab/>
        <w:t>Dans le rapport de la quarante et unième session (ECE/TRANS/WP.15/AC.2/84, par.</w:t>
      </w:r>
      <w:r w:rsidR="00F91033">
        <w:rPr>
          <w:lang w:val="fr-FR"/>
        </w:rPr>
        <w:t> </w:t>
      </w:r>
      <w:r>
        <w:rPr>
          <w:lang w:val="fr-FR"/>
        </w:rPr>
        <w:t>45 et 46), le groupe de travail informel des matières a été chargé d’examiner les propositions figurant dans le document informel INF.17 et de donner un avis sur la solution temporaire à adopter en attentant l’entrée en vigueur des nouvelles dispositions de l’ADN</w:t>
      </w:r>
      <w:r w:rsidR="00F91033">
        <w:rPr>
          <w:lang w:val="fr-FR"/>
        </w:rPr>
        <w:t> </w:t>
      </w:r>
      <w:r>
        <w:rPr>
          <w:lang w:val="fr-FR"/>
        </w:rPr>
        <w:t>2025.</w:t>
      </w:r>
    </w:p>
    <w:p w14:paraId="141193E3" w14:textId="77777777" w:rsidR="0074082A" w:rsidRPr="00DA5025" w:rsidRDefault="0074082A" w:rsidP="0074082A">
      <w:pPr>
        <w:pStyle w:val="SingleTxtG"/>
        <w:rPr>
          <w:lang w:val="fr-FR"/>
        </w:rPr>
      </w:pPr>
      <w:r>
        <w:rPr>
          <w:lang w:val="fr-FR"/>
        </w:rPr>
        <w:t>8.</w:t>
      </w:r>
      <w:r>
        <w:rPr>
          <w:lang w:val="fr-FR"/>
        </w:rPr>
        <w:tab/>
        <w:t>Au moment de la soumission du présent document de travail, la date de la réunion suivante du groupe de travail informel des matières n’avait pas encore été fixée, mais cette réunion n’aura pas lieu avant la quarante-deuxième session, de sorte que le groupe ne peut pas encore émettre un avis aux fins de la présente session.</w:t>
      </w:r>
    </w:p>
    <w:p w14:paraId="01631AE6" w14:textId="00B056C3" w:rsidR="0074082A" w:rsidRPr="00DA5025" w:rsidRDefault="0074082A" w:rsidP="00F91033">
      <w:pPr>
        <w:pStyle w:val="H1G"/>
        <w:rPr>
          <w:lang w:val="fr-FR"/>
        </w:rPr>
      </w:pPr>
      <w:r>
        <w:rPr>
          <w:lang w:val="fr-FR"/>
        </w:rPr>
        <w:tab/>
        <w:t>A.</w:t>
      </w:r>
      <w:r>
        <w:rPr>
          <w:lang w:val="fr-FR"/>
        </w:rPr>
        <w:tab/>
        <w:t xml:space="preserve">Proposition relative à la manière de gérer la situation </w:t>
      </w:r>
      <w:r w:rsidR="00F91033">
        <w:rPr>
          <w:lang w:val="fr-FR"/>
        </w:rPr>
        <w:br/>
      </w:r>
      <w:r>
        <w:rPr>
          <w:lang w:val="fr-FR"/>
        </w:rPr>
        <w:t xml:space="preserve">pendant la période intérimaire jusqu’à l’entrée en vigueur </w:t>
      </w:r>
      <w:r w:rsidR="00F91033">
        <w:rPr>
          <w:lang w:val="fr-FR"/>
        </w:rPr>
        <w:br/>
      </w:r>
      <w:r>
        <w:rPr>
          <w:lang w:val="fr-FR"/>
        </w:rPr>
        <w:t>des nouvelles dispositions de l’ADN 2025</w:t>
      </w:r>
    </w:p>
    <w:p w14:paraId="520B9C35" w14:textId="18B17B8E" w:rsidR="0074082A" w:rsidRPr="00DA5025" w:rsidRDefault="0074082A" w:rsidP="0074082A">
      <w:pPr>
        <w:pStyle w:val="SingleTxtG"/>
        <w:rPr>
          <w:lang w:val="fr-FR"/>
        </w:rPr>
      </w:pPr>
      <w:r>
        <w:rPr>
          <w:lang w:val="fr-FR"/>
        </w:rPr>
        <w:t>9.</w:t>
      </w:r>
      <w:r>
        <w:rPr>
          <w:lang w:val="fr-FR"/>
        </w:rPr>
        <w:tab/>
        <w:t>FuelsEurope invite donc le Comité de sécurité à examiner les questions suivantes</w:t>
      </w:r>
      <w:r w:rsidR="00F91033">
        <w:rPr>
          <w:lang w:val="fr-FR"/>
        </w:rPr>
        <w:t> </w:t>
      </w:r>
      <w:r>
        <w:rPr>
          <w:lang w:val="fr-FR"/>
        </w:rPr>
        <w:t>:</w:t>
      </w:r>
    </w:p>
    <w:p w14:paraId="22746F01" w14:textId="7939AFFE" w:rsidR="0074082A" w:rsidRPr="00DA5025" w:rsidRDefault="0074082A" w:rsidP="0074082A">
      <w:pPr>
        <w:pStyle w:val="SingleTxtG"/>
        <w:ind w:firstLine="567"/>
        <w:rPr>
          <w:lang w:val="fr-FR"/>
        </w:rPr>
      </w:pPr>
      <w:r>
        <w:rPr>
          <w:lang w:val="fr-FR"/>
        </w:rPr>
        <w:t>a)</w:t>
      </w:r>
      <w:r>
        <w:rPr>
          <w:lang w:val="fr-FR"/>
        </w:rPr>
        <w:tab/>
        <w:t>Comment faire en sorte que ces matières puissent continuer à être transportées en tenant compte de leurs caractéristiques cancérigènes récemment établies au cas où elles contiendraient du cumène à une concentration égale ou supérieure à 0,1</w:t>
      </w:r>
      <w:r w:rsidR="00F91033">
        <w:rPr>
          <w:lang w:val="fr-FR"/>
        </w:rPr>
        <w:t> </w:t>
      </w:r>
      <w:r>
        <w:rPr>
          <w:lang w:val="fr-FR"/>
        </w:rPr>
        <w:t>%, à compter du 23</w:t>
      </w:r>
      <w:r w:rsidR="00F91033">
        <w:rPr>
          <w:lang w:val="fr-FR"/>
        </w:rPr>
        <w:t> </w:t>
      </w:r>
      <w:r>
        <w:rPr>
          <w:lang w:val="fr-FR"/>
        </w:rPr>
        <w:t>novembre 2023 ;</w:t>
      </w:r>
    </w:p>
    <w:p w14:paraId="67D33ED2" w14:textId="77777777" w:rsidR="0074082A" w:rsidRPr="00DA5025" w:rsidRDefault="0074082A" w:rsidP="0074082A">
      <w:pPr>
        <w:pStyle w:val="SingleTxtG"/>
        <w:ind w:firstLine="567"/>
        <w:rPr>
          <w:lang w:val="fr-FR"/>
        </w:rPr>
      </w:pPr>
      <w:r>
        <w:rPr>
          <w:lang w:val="fr-FR"/>
        </w:rPr>
        <w:t>b)</w:t>
      </w:r>
      <w:r>
        <w:rPr>
          <w:lang w:val="fr-FR"/>
        </w:rPr>
        <w:tab/>
        <w:t>Comment s’assurer que les équipements de protection individuelle seront prescrits en tenant compte des caractéristiques cancérigènes récemment établies de la matière ;</w:t>
      </w:r>
    </w:p>
    <w:p w14:paraId="2E1DE6BE" w14:textId="6FBE356F" w:rsidR="0074082A" w:rsidRPr="00DA5025" w:rsidRDefault="0074082A" w:rsidP="0074082A">
      <w:pPr>
        <w:pStyle w:val="SingleTxtG"/>
        <w:ind w:firstLine="567"/>
        <w:rPr>
          <w:lang w:val="fr-FR"/>
        </w:rPr>
      </w:pPr>
      <w:r>
        <w:rPr>
          <w:lang w:val="fr-FR"/>
        </w:rPr>
        <w:t>c)</w:t>
      </w:r>
      <w:r>
        <w:rPr>
          <w:lang w:val="fr-FR"/>
        </w:rPr>
        <w:tab/>
        <w:t>Dans le cas où ces matières contiennent du cumène dans les concentrations visées, quelle serait la désignation officielle de transport appropriée conformément au 5.4.1.1.2</w:t>
      </w:r>
      <w:r w:rsidR="00F91033">
        <w:rPr>
          <w:lang w:val="fr-FR"/>
        </w:rPr>
        <w:t> </w:t>
      </w:r>
      <w:r>
        <w:rPr>
          <w:lang w:val="fr-FR"/>
        </w:rPr>
        <w:t>g) devant être indiquée dans le document de transport, sachant que le tableau C ne contient pas encore de rubriques pour les N</w:t>
      </w:r>
      <w:r w:rsidRPr="00F91033">
        <w:rPr>
          <w:vertAlign w:val="superscript"/>
          <w:lang w:val="fr-FR"/>
        </w:rPr>
        <w:t>os</w:t>
      </w:r>
      <w:r w:rsidR="00F91033">
        <w:rPr>
          <w:lang w:val="fr-FR"/>
        </w:rPr>
        <w:t> </w:t>
      </w:r>
      <w:r>
        <w:rPr>
          <w:lang w:val="fr-FR"/>
        </w:rPr>
        <w:t>ONU 1223, 1307 et 1918 permettant de les classer comme ayant des caractéristiques CMR.</w:t>
      </w:r>
    </w:p>
    <w:p w14:paraId="4C29C271" w14:textId="416D7605" w:rsidR="0074082A" w:rsidRPr="00DA5025" w:rsidRDefault="0074082A" w:rsidP="00F91033">
      <w:pPr>
        <w:pStyle w:val="SingleTxtG"/>
        <w:keepNext/>
        <w:keepLines/>
        <w:rPr>
          <w:lang w:val="fr-FR"/>
        </w:rPr>
      </w:pPr>
      <w:r>
        <w:rPr>
          <w:lang w:val="fr-FR"/>
        </w:rPr>
        <w:t>10.</w:t>
      </w:r>
      <w:r>
        <w:rPr>
          <w:lang w:val="fr-FR"/>
        </w:rPr>
        <w:tab/>
        <w:t>Les propositions de FuelsEurope en réponse aux questions posées aux alinéas</w:t>
      </w:r>
      <w:r w:rsidR="00F91033">
        <w:rPr>
          <w:lang w:val="fr-FR"/>
        </w:rPr>
        <w:t> </w:t>
      </w:r>
      <w:r>
        <w:rPr>
          <w:lang w:val="fr-FR"/>
        </w:rPr>
        <w:t>a), b) et c) du paragraphe</w:t>
      </w:r>
      <w:r w:rsidR="00F91033">
        <w:rPr>
          <w:lang w:val="fr-FR"/>
        </w:rPr>
        <w:t> </w:t>
      </w:r>
      <w:r>
        <w:rPr>
          <w:lang w:val="fr-FR"/>
        </w:rPr>
        <w:t>9 ci-dessus sont les suivantes</w:t>
      </w:r>
      <w:r w:rsidR="00F91033">
        <w:rPr>
          <w:lang w:val="fr-FR"/>
        </w:rPr>
        <w:t> </w:t>
      </w:r>
      <w:r>
        <w:rPr>
          <w:lang w:val="fr-FR"/>
        </w:rPr>
        <w:t>:</w:t>
      </w:r>
    </w:p>
    <w:p w14:paraId="79154476" w14:textId="2DED4D6B" w:rsidR="0074082A" w:rsidRPr="00DA5025" w:rsidRDefault="0074082A" w:rsidP="0074082A">
      <w:pPr>
        <w:pStyle w:val="SingleTxtG"/>
        <w:ind w:firstLine="567"/>
        <w:rPr>
          <w:lang w:val="fr-FR"/>
        </w:rPr>
      </w:pPr>
      <w:r>
        <w:rPr>
          <w:lang w:val="fr-FR"/>
        </w:rPr>
        <w:t>a)</w:t>
      </w:r>
      <w:r>
        <w:rPr>
          <w:lang w:val="fr-FR"/>
        </w:rPr>
        <w:tab/>
        <w:t xml:space="preserve">Conformément aux propositions de FuelsEurope figurant dans la section B du présent document, il faudrait prévoir </w:t>
      </w:r>
      <w:r w:rsidRPr="00E572EB">
        <w:rPr>
          <w:lang w:val="fr-FR"/>
        </w:rPr>
        <w:t xml:space="preserve">pour les barges </w:t>
      </w:r>
      <w:r>
        <w:rPr>
          <w:lang w:val="fr-FR"/>
        </w:rPr>
        <w:t>des prescriptions minimales correspondant aux caractéristiques CMR, conformément au diagramme du 3.2.3.3, à savoir</w:t>
      </w:r>
      <w:r w:rsidR="00F91033">
        <w:rPr>
          <w:lang w:val="fr-FR"/>
        </w:rPr>
        <w:t> </w:t>
      </w:r>
      <w:r>
        <w:rPr>
          <w:lang w:val="fr-FR"/>
        </w:rPr>
        <w:t>:</w:t>
      </w:r>
    </w:p>
    <w:p w14:paraId="3FF053C9" w14:textId="77777777" w:rsidR="0074082A" w:rsidRPr="0074082A" w:rsidRDefault="0074082A" w:rsidP="0074082A">
      <w:pPr>
        <w:pStyle w:val="SingleTxtG"/>
        <w:ind w:firstLine="567"/>
        <w:rPr>
          <w:b/>
          <w:bCs/>
          <w:lang w:val="en-US"/>
        </w:rPr>
      </w:pPr>
      <w:r w:rsidRPr="00DA5025">
        <w:rPr>
          <w:b/>
          <w:bCs/>
          <w:lang w:val="en-US"/>
        </w:rPr>
        <w:t>i)</w:t>
      </w:r>
      <w:r w:rsidRPr="00DA5025">
        <w:rPr>
          <w:lang w:val="en-US"/>
        </w:rPr>
        <w:tab/>
      </w:r>
      <w:r w:rsidRPr="00DA5025">
        <w:rPr>
          <w:b/>
          <w:bCs/>
          <w:lang w:val="en-US"/>
        </w:rPr>
        <w:t>ONU 1918 : N-2-3</w:t>
      </w:r>
    </w:p>
    <w:p w14:paraId="01CB15AC" w14:textId="77777777" w:rsidR="0074082A" w:rsidRPr="0074082A" w:rsidRDefault="0074082A" w:rsidP="0074082A">
      <w:pPr>
        <w:pStyle w:val="SingleTxtG"/>
        <w:ind w:firstLine="567"/>
        <w:rPr>
          <w:b/>
          <w:bCs/>
          <w:lang w:val="en-US"/>
        </w:rPr>
      </w:pPr>
      <w:r w:rsidRPr="00DA5025">
        <w:rPr>
          <w:b/>
          <w:bCs/>
          <w:lang w:val="en-US"/>
        </w:rPr>
        <w:t>ii)</w:t>
      </w:r>
      <w:r w:rsidRPr="00DA5025">
        <w:rPr>
          <w:lang w:val="en-US"/>
        </w:rPr>
        <w:tab/>
      </w:r>
      <w:r w:rsidRPr="00DA5025">
        <w:rPr>
          <w:b/>
          <w:bCs/>
          <w:lang w:val="en-US"/>
        </w:rPr>
        <w:t>ONU 1223 : N-2-3</w:t>
      </w:r>
    </w:p>
    <w:p w14:paraId="670B1E2E" w14:textId="77777777" w:rsidR="0074082A" w:rsidRPr="00DA5025" w:rsidRDefault="0074082A" w:rsidP="0074082A">
      <w:pPr>
        <w:pStyle w:val="SingleTxtG"/>
        <w:ind w:firstLine="567"/>
        <w:rPr>
          <w:b/>
          <w:bCs/>
          <w:lang w:val="fr-FR"/>
        </w:rPr>
      </w:pPr>
      <w:r>
        <w:rPr>
          <w:b/>
          <w:bCs/>
          <w:lang w:val="fr-FR"/>
        </w:rPr>
        <w:t>iii)</w:t>
      </w:r>
      <w:r>
        <w:rPr>
          <w:lang w:val="fr-FR"/>
        </w:rPr>
        <w:tab/>
      </w:r>
      <w:r>
        <w:rPr>
          <w:b/>
          <w:bCs/>
          <w:lang w:val="fr-FR"/>
        </w:rPr>
        <w:t>ONU 1307 (première et deuxième rubriques) : N-2-3</w:t>
      </w:r>
      <w:r>
        <w:rPr>
          <w:lang w:val="fr-FR"/>
        </w:rPr>
        <w:t xml:space="preserve"> </w:t>
      </w:r>
    </w:p>
    <w:p w14:paraId="3091BB7B" w14:textId="77777777" w:rsidR="0074082A" w:rsidRPr="00DA5025" w:rsidRDefault="0074082A" w:rsidP="0074082A">
      <w:pPr>
        <w:pStyle w:val="SingleTxtG"/>
        <w:ind w:firstLine="567"/>
        <w:rPr>
          <w:b/>
          <w:bCs/>
          <w:lang w:val="fr-FR"/>
        </w:rPr>
      </w:pPr>
      <w:r>
        <w:rPr>
          <w:b/>
          <w:bCs/>
          <w:lang w:val="fr-FR"/>
        </w:rPr>
        <w:t>iv)</w:t>
      </w:r>
      <w:r>
        <w:rPr>
          <w:lang w:val="fr-FR"/>
        </w:rPr>
        <w:tab/>
      </w:r>
      <w:r>
        <w:rPr>
          <w:b/>
          <w:bCs/>
          <w:lang w:val="fr-FR"/>
        </w:rPr>
        <w:t>ONU 1307 (troisième rubrique) : N-2-3-2 ;</w:t>
      </w:r>
      <w:r>
        <w:rPr>
          <w:lang w:val="fr-FR"/>
        </w:rPr>
        <w:t xml:space="preserve"> </w:t>
      </w:r>
    </w:p>
    <w:p w14:paraId="61D23652" w14:textId="711D9524" w:rsidR="0074082A" w:rsidRPr="00DA5025" w:rsidRDefault="0074082A" w:rsidP="0074082A">
      <w:pPr>
        <w:pStyle w:val="SingleTxtG"/>
        <w:ind w:firstLine="567"/>
        <w:rPr>
          <w:lang w:val="fr-FR"/>
        </w:rPr>
      </w:pPr>
      <w:r>
        <w:rPr>
          <w:lang w:val="fr-FR"/>
        </w:rPr>
        <w:t>b)</w:t>
      </w:r>
      <w:r>
        <w:rPr>
          <w:lang w:val="fr-FR"/>
        </w:rPr>
        <w:tab/>
        <w:t>Prescrire les équipement de protection individuelle ci-après pour le transport des matières susmentionnées ayant des caractéristiques CMR, conformément au diagramme du 3.2.3.3</w:t>
      </w:r>
      <w:r w:rsidR="00F91033">
        <w:rPr>
          <w:lang w:val="fr-FR"/>
        </w:rPr>
        <w:t> </w:t>
      </w:r>
      <w:r>
        <w:rPr>
          <w:lang w:val="fr-FR"/>
        </w:rPr>
        <w:t xml:space="preserve">: </w:t>
      </w:r>
    </w:p>
    <w:p w14:paraId="587AE36B" w14:textId="77777777" w:rsidR="0074082A" w:rsidRPr="00DA5025" w:rsidRDefault="0074082A" w:rsidP="0074082A">
      <w:pPr>
        <w:pStyle w:val="SingleTxtG"/>
        <w:ind w:left="1701" w:firstLine="567"/>
        <w:rPr>
          <w:b/>
          <w:bCs/>
          <w:lang w:val="fr-FR"/>
        </w:rPr>
      </w:pPr>
      <w:r>
        <w:rPr>
          <w:b/>
          <w:bCs/>
          <w:lang w:val="fr-FR"/>
        </w:rPr>
        <w:t>PP ;</w:t>
      </w:r>
      <w:r>
        <w:rPr>
          <w:lang w:val="fr-FR"/>
        </w:rPr>
        <w:t xml:space="preserve"> </w:t>
      </w:r>
      <w:r>
        <w:rPr>
          <w:b/>
          <w:bCs/>
          <w:lang w:val="fr-FR"/>
        </w:rPr>
        <w:t>EP ;</w:t>
      </w:r>
      <w:r>
        <w:rPr>
          <w:lang w:val="fr-FR"/>
        </w:rPr>
        <w:t xml:space="preserve"> </w:t>
      </w:r>
      <w:r>
        <w:rPr>
          <w:b/>
          <w:bCs/>
          <w:lang w:val="fr-FR"/>
        </w:rPr>
        <w:t>EX ;</w:t>
      </w:r>
      <w:r>
        <w:rPr>
          <w:lang w:val="fr-FR"/>
        </w:rPr>
        <w:t xml:space="preserve"> </w:t>
      </w:r>
      <w:r>
        <w:rPr>
          <w:b/>
          <w:bCs/>
          <w:lang w:val="fr-FR"/>
        </w:rPr>
        <w:t>TOX ;</w:t>
      </w:r>
      <w:r>
        <w:rPr>
          <w:lang w:val="fr-FR"/>
        </w:rPr>
        <w:t xml:space="preserve"> </w:t>
      </w:r>
      <w:r>
        <w:rPr>
          <w:b/>
          <w:bCs/>
          <w:lang w:val="fr-FR"/>
        </w:rPr>
        <w:t>A ;</w:t>
      </w:r>
    </w:p>
    <w:p w14:paraId="7D7374D5" w14:textId="77777777" w:rsidR="0074082A" w:rsidRPr="00DA5025" w:rsidRDefault="0074082A" w:rsidP="0074082A">
      <w:pPr>
        <w:pStyle w:val="SingleTxtG"/>
        <w:ind w:firstLine="567"/>
        <w:rPr>
          <w:lang w:val="fr-FR"/>
        </w:rPr>
      </w:pPr>
      <w:r>
        <w:rPr>
          <w:lang w:val="fr-FR"/>
        </w:rPr>
        <w:t>c)</w:t>
      </w:r>
      <w:r>
        <w:rPr>
          <w:lang w:val="fr-FR"/>
        </w:rPr>
        <w:tab/>
        <w:t>Sauf pour le numéro ONU 1918 (le cumène sous sa forme pure), ajouter la précision suivante à la désignation officielle de transport de la matière devant être indiquée sur le document de transport conformément au 5.4.1.1.2 :</w:t>
      </w:r>
    </w:p>
    <w:p w14:paraId="5155FDF9" w14:textId="7D7DEFCB" w:rsidR="0074082A" w:rsidRPr="00DA5025" w:rsidRDefault="0074082A" w:rsidP="0074082A">
      <w:pPr>
        <w:pStyle w:val="SingleTxtG"/>
        <w:ind w:left="1701" w:firstLine="567"/>
        <w:rPr>
          <w:b/>
          <w:bCs/>
          <w:lang w:val="fr-FR"/>
        </w:rPr>
      </w:pPr>
      <w:r>
        <w:rPr>
          <w:b/>
          <w:bCs/>
          <w:lang w:val="fr-FR"/>
        </w:rPr>
        <w:t>« (contenant du cumène) »</w:t>
      </w:r>
      <w:r w:rsidR="00F91033">
        <w:rPr>
          <w:b/>
          <w:bCs/>
          <w:lang w:val="fr-FR"/>
        </w:rPr>
        <w:t> </w:t>
      </w:r>
      <w:r>
        <w:rPr>
          <w:b/>
          <w:bCs/>
          <w:lang w:val="fr-FR"/>
        </w:rPr>
        <w:t>;</w:t>
      </w:r>
    </w:p>
    <w:p w14:paraId="6AFD1731" w14:textId="3C7CE564" w:rsidR="0074082A" w:rsidRPr="00DA5025" w:rsidRDefault="0074082A" w:rsidP="0074082A">
      <w:pPr>
        <w:pStyle w:val="SingleTxtG"/>
        <w:ind w:firstLine="567"/>
        <w:rPr>
          <w:lang w:val="fr-FR"/>
        </w:rPr>
      </w:pPr>
      <w:r>
        <w:rPr>
          <w:lang w:val="fr-FR"/>
        </w:rPr>
        <w:t>d)</w:t>
      </w:r>
      <w:r>
        <w:rPr>
          <w:lang w:val="fr-FR"/>
        </w:rPr>
        <w:tab/>
        <w:t>Examiner les différentes options concernant l’établissement d’une dérogation temporaire aux prescriptions de l’ADN dans le cadre d’un accord multilatéral tenant compte du 1.5.1 de l’ADN, pour la période allant du 23</w:t>
      </w:r>
      <w:r w:rsidR="00F91033">
        <w:rPr>
          <w:lang w:val="fr-FR"/>
        </w:rPr>
        <w:t> </w:t>
      </w:r>
      <w:r>
        <w:rPr>
          <w:lang w:val="fr-FR"/>
        </w:rPr>
        <w:t>novembre 2023 au 1</w:t>
      </w:r>
      <w:r w:rsidRPr="009641C1">
        <w:rPr>
          <w:vertAlign w:val="superscript"/>
          <w:lang w:val="fr-FR"/>
        </w:rPr>
        <w:t>er</w:t>
      </w:r>
      <w:r w:rsidR="00F91033">
        <w:rPr>
          <w:lang w:val="fr-FR"/>
        </w:rPr>
        <w:t> </w:t>
      </w:r>
      <w:r>
        <w:rPr>
          <w:lang w:val="fr-FR"/>
        </w:rPr>
        <w:t xml:space="preserve">juillet 2025 ; </w:t>
      </w:r>
    </w:p>
    <w:p w14:paraId="0A6F958F" w14:textId="23B032D2" w:rsidR="0074082A" w:rsidRPr="00DA5025" w:rsidRDefault="0074082A" w:rsidP="0074082A">
      <w:pPr>
        <w:pStyle w:val="SingleTxtG"/>
        <w:ind w:firstLine="567"/>
        <w:rPr>
          <w:lang w:val="fr-FR"/>
        </w:rPr>
      </w:pPr>
      <w:r>
        <w:rPr>
          <w:lang w:val="fr-FR"/>
        </w:rPr>
        <w:t>e)</w:t>
      </w:r>
      <w:r>
        <w:rPr>
          <w:lang w:val="fr-FR"/>
        </w:rPr>
        <w:tab/>
        <w:t xml:space="preserve">Décrire dans l’accord </w:t>
      </w:r>
      <w:r w:rsidRPr="00103B25">
        <w:rPr>
          <w:lang w:val="fr-FR"/>
        </w:rPr>
        <w:t xml:space="preserve">multilatéral </w:t>
      </w:r>
      <w:r>
        <w:rPr>
          <w:lang w:val="fr-FR"/>
        </w:rPr>
        <w:t>les moyens de permettre le transport des matières affectées aux N</w:t>
      </w:r>
      <w:r w:rsidRPr="00F91033">
        <w:rPr>
          <w:vertAlign w:val="superscript"/>
          <w:lang w:val="fr-FR"/>
        </w:rPr>
        <w:t>os</w:t>
      </w:r>
      <w:r w:rsidR="00F91033">
        <w:rPr>
          <w:lang w:val="fr-FR"/>
        </w:rPr>
        <w:t> </w:t>
      </w:r>
      <w:r>
        <w:rPr>
          <w:lang w:val="fr-FR"/>
        </w:rPr>
        <w:t xml:space="preserve">ONU 1918, 1223 et 1307 dans les conditions plus strictes mentionnées en ce qui concerne le type de bateau et l’équipement de protection individuelle, jusqu’à l’entrée en vigueur de l’ADN 2025. </w:t>
      </w:r>
    </w:p>
    <w:bookmarkEnd w:id="0"/>
    <w:p w14:paraId="75C95202" w14:textId="3551F384" w:rsidR="0074082A" w:rsidRPr="00DA5025" w:rsidRDefault="0074082A" w:rsidP="00F91033">
      <w:pPr>
        <w:pStyle w:val="H1G"/>
        <w:rPr>
          <w:lang w:val="fr-FR"/>
        </w:rPr>
      </w:pPr>
      <w:r>
        <w:rPr>
          <w:lang w:val="fr-FR"/>
        </w:rPr>
        <w:tab/>
        <w:t>B.</w:t>
      </w:r>
      <w:r>
        <w:rPr>
          <w:lang w:val="fr-FR"/>
        </w:rPr>
        <w:tab/>
        <w:t xml:space="preserve">Propositions relatives à l’ajout et aux modifications </w:t>
      </w:r>
      <w:r w:rsidR="00F91033">
        <w:rPr>
          <w:lang w:val="fr-FR"/>
        </w:rPr>
        <w:br/>
      </w:r>
      <w:r>
        <w:rPr>
          <w:lang w:val="fr-FR"/>
        </w:rPr>
        <w:t>de rubriques dans le tableau C pour 2025</w:t>
      </w:r>
    </w:p>
    <w:p w14:paraId="475C065F" w14:textId="7618AB3D" w:rsidR="0074082A" w:rsidRDefault="0074082A" w:rsidP="0074082A">
      <w:pPr>
        <w:pStyle w:val="SingleTxtG"/>
        <w:rPr>
          <w:lang w:val="fr-FR"/>
        </w:rPr>
      </w:pPr>
      <w:r>
        <w:rPr>
          <w:lang w:val="fr-FR"/>
        </w:rPr>
        <w:t>11.</w:t>
      </w:r>
      <w:r>
        <w:rPr>
          <w:lang w:val="fr-FR"/>
        </w:rPr>
        <w:tab/>
        <w:t>FuelsEurope propose d’apporter les modifications suivantes au tableau C et d’y</w:t>
      </w:r>
      <w:r w:rsidR="00F91033">
        <w:rPr>
          <w:lang w:val="fr-FR"/>
        </w:rPr>
        <w:t> </w:t>
      </w:r>
      <w:r>
        <w:rPr>
          <w:lang w:val="fr-FR"/>
        </w:rPr>
        <w:t>ajouter de nouvelles rubriques comme suit (les ajouts figurent en caractères gras soulignés et les suppressions en caractères biffés)</w:t>
      </w:r>
      <w:r w:rsidR="00F91033">
        <w:rPr>
          <w:lang w:val="fr-FR"/>
        </w:rPr>
        <w:t>.</w:t>
      </w:r>
    </w:p>
    <w:p w14:paraId="401B1888" w14:textId="77777777" w:rsidR="00F91033" w:rsidRDefault="00F91033" w:rsidP="0074082A">
      <w:pPr>
        <w:pStyle w:val="SingleTxtG"/>
        <w:rPr>
          <w:lang w:val="fr-FR"/>
        </w:rPr>
      </w:pPr>
    </w:p>
    <w:p w14:paraId="0EBB391A" w14:textId="77777777" w:rsidR="0015480E" w:rsidRDefault="0015480E" w:rsidP="00AF0CB5">
      <w:pPr>
        <w:rPr>
          <w:lang w:val="fr-FR"/>
        </w:rPr>
        <w:sectPr w:rsidR="0015480E" w:rsidSect="007408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EB72BEF" w14:textId="3DEE63A4" w:rsidR="00ED6C9E" w:rsidRPr="00DA5025" w:rsidRDefault="00ED6C9E" w:rsidP="00240557">
      <w:pPr>
        <w:pStyle w:val="SingleTxtG"/>
        <w:numPr>
          <w:ilvl w:val="0"/>
          <w:numId w:val="17"/>
        </w:numPr>
        <w:tabs>
          <w:tab w:val="left" w:pos="1701"/>
          <w:tab w:val="left" w:pos="2268"/>
          <w:tab w:val="left" w:pos="2835"/>
        </w:tabs>
        <w:spacing w:before="120" w:line="276" w:lineRule="auto"/>
        <w:ind w:left="1134" w:firstLine="0"/>
        <w:rPr>
          <w:lang w:val="fr-FR"/>
        </w:rPr>
      </w:pPr>
      <w:r>
        <w:rPr>
          <w:b/>
          <w:bCs/>
          <w:lang w:val="fr-FR"/>
        </w:rPr>
        <w:t xml:space="preserve">Modification </w:t>
      </w:r>
      <w:r>
        <w:rPr>
          <w:lang w:val="fr-FR"/>
        </w:rPr>
        <w:t>de la rubrique du N</w:t>
      </w:r>
      <w:r w:rsidRPr="00F70029">
        <w:rPr>
          <w:vertAlign w:val="superscript"/>
          <w:lang w:val="fr-FR"/>
        </w:rPr>
        <w:t>o</w:t>
      </w:r>
      <w:r w:rsidR="00F70029">
        <w:rPr>
          <w:lang w:val="fr-FR"/>
        </w:rPr>
        <w:t> </w:t>
      </w:r>
      <w:r>
        <w:rPr>
          <w:lang w:val="fr-FR"/>
        </w:rPr>
        <w:t>ONU 1918 ISOPROPYLBENZÈNE (cumène) dans le tableau C du 3.2.3.2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571"/>
        <w:gridCol w:w="705"/>
        <w:gridCol w:w="567"/>
        <w:gridCol w:w="567"/>
        <w:gridCol w:w="567"/>
        <w:gridCol w:w="567"/>
        <w:gridCol w:w="709"/>
        <w:gridCol w:w="567"/>
        <w:gridCol w:w="567"/>
        <w:gridCol w:w="567"/>
        <w:gridCol w:w="567"/>
        <w:gridCol w:w="704"/>
        <w:gridCol w:w="572"/>
        <w:gridCol w:w="704"/>
        <w:gridCol w:w="427"/>
        <w:gridCol w:w="850"/>
      </w:tblGrid>
      <w:tr w:rsidR="00ED6C9E" w:rsidRPr="00EB2FE9" w14:paraId="227E73C1" w14:textId="77777777" w:rsidTr="00EB2FE9">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41D6AC9" w14:textId="77777777" w:rsidR="00ED6C9E" w:rsidRPr="00EB2FE9" w:rsidRDefault="00ED6C9E" w:rsidP="00EB2FE9">
            <w:pPr>
              <w:spacing w:before="80" w:after="80" w:line="200" w:lineRule="exact"/>
              <w:jc w:val="center"/>
              <w:rPr>
                <w:color w:val="000000"/>
                <w:sz w:val="16"/>
                <w:szCs w:val="16"/>
                <w:lang w:val="fr-FR"/>
              </w:rPr>
            </w:pPr>
            <w:bookmarkStart w:id="1" w:name="_Hlk123734677"/>
            <w:r w:rsidRPr="00EB2FE9">
              <w:rPr>
                <w:sz w:val="16"/>
                <w:szCs w:val="16"/>
                <w:lang w:val="fr-FR"/>
              </w:rPr>
              <w:t>N° ONU ou N° d</w:t>
            </w:r>
            <w:r w:rsidRPr="00EB2FE9">
              <w:rPr>
                <w:spacing w:val="-80"/>
                <w:sz w:val="16"/>
                <w:szCs w:val="16"/>
                <w:lang w:val="fr-FR"/>
              </w:rPr>
              <w:t>’</w:t>
            </w:r>
            <w:r w:rsidRPr="00EB2FE9">
              <w:rPr>
                <w:sz w:val="16"/>
                <w:szCs w:val="16"/>
                <w:lang w:val="fr-FR"/>
              </w:rPr>
              <w:t>identification de la matière</w:t>
            </w:r>
          </w:p>
        </w:tc>
        <w:tc>
          <w:tcPr>
            <w:tcW w:w="2500" w:type="dxa"/>
            <w:tcBorders>
              <w:top w:val="single" w:sz="6" w:space="0" w:color="auto"/>
              <w:left w:val="single" w:sz="6" w:space="0" w:color="auto"/>
              <w:bottom w:val="single" w:sz="6" w:space="0" w:color="auto"/>
              <w:right w:val="single" w:sz="6" w:space="0" w:color="auto"/>
            </w:tcBorders>
            <w:vAlign w:val="center"/>
          </w:tcPr>
          <w:p w14:paraId="77965757"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Nom et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5DA198E5"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Classe</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1B735F70"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Code de classification</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342101C9"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Groupe d’emballage</w:t>
            </w:r>
          </w:p>
        </w:tc>
        <w:tc>
          <w:tcPr>
            <w:tcW w:w="571" w:type="dxa"/>
            <w:tcBorders>
              <w:top w:val="single" w:sz="6" w:space="0" w:color="auto"/>
              <w:left w:val="single" w:sz="6" w:space="0" w:color="auto"/>
              <w:bottom w:val="single" w:sz="6" w:space="0" w:color="auto"/>
              <w:right w:val="single" w:sz="6" w:space="0" w:color="auto"/>
            </w:tcBorders>
            <w:noWrap/>
            <w:textDirection w:val="tbRl"/>
            <w:vAlign w:val="center"/>
          </w:tcPr>
          <w:p w14:paraId="714E5B67"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Dangers</w:t>
            </w:r>
          </w:p>
        </w:tc>
        <w:tc>
          <w:tcPr>
            <w:tcW w:w="705" w:type="dxa"/>
            <w:tcBorders>
              <w:top w:val="single" w:sz="6" w:space="0" w:color="auto"/>
              <w:left w:val="single" w:sz="6" w:space="0" w:color="auto"/>
              <w:bottom w:val="single" w:sz="6" w:space="0" w:color="auto"/>
              <w:right w:val="single" w:sz="6" w:space="0" w:color="auto"/>
            </w:tcBorders>
            <w:textDirection w:val="tbRl"/>
            <w:vAlign w:val="center"/>
          </w:tcPr>
          <w:p w14:paraId="66156106"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Type de bateau-citerne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D37FE84" w14:textId="70DFE14C"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Conception de la citerne </w:t>
            </w:r>
            <w:r w:rsidR="00EB2FE9">
              <w:rPr>
                <w:sz w:val="16"/>
                <w:szCs w:val="16"/>
                <w:lang w:val="fr-FR"/>
              </w:rPr>
              <w:br/>
            </w:r>
            <w:r w:rsidRPr="00EB2FE9">
              <w:rPr>
                <w:sz w:val="16"/>
                <w:szCs w:val="16"/>
                <w:lang w:val="fr-FR"/>
              </w:rPr>
              <w:t>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82BF7E7" w14:textId="77777777"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Type de citerne 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9D22C9D" w14:textId="57D30D67"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Équipement de la citerne </w:t>
            </w:r>
            <w:r w:rsidR="00EB2FE9">
              <w:rPr>
                <w:sz w:val="16"/>
                <w:szCs w:val="16"/>
                <w:lang w:val="fr-FR"/>
              </w:rPr>
              <w:br/>
            </w:r>
            <w:r w:rsidRPr="00EB2FE9">
              <w:rPr>
                <w:sz w:val="16"/>
                <w:szCs w:val="16"/>
                <w:lang w:val="fr-FR"/>
              </w:rPr>
              <w:t>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F0658C0" w14:textId="56B61EBB"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Pression d’ouverture </w:t>
            </w:r>
            <w:r w:rsidR="00EB2FE9">
              <w:rPr>
                <w:sz w:val="16"/>
                <w:szCs w:val="16"/>
                <w:lang w:val="fr-FR"/>
              </w:rPr>
              <w:br/>
            </w:r>
            <w:r w:rsidRPr="00EB2FE9">
              <w:rPr>
                <w:sz w:val="16"/>
                <w:szCs w:val="16"/>
                <w:lang w:val="fr-FR"/>
              </w:rPr>
              <w:t>de la soupape de surpression/soupape de dégagement 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6187B628" w14:textId="23C5BE82"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Degré maximal </w:t>
            </w:r>
            <w:r w:rsidR="00EB2FE9">
              <w:rPr>
                <w:sz w:val="16"/>
                <w:szCs w:val="16"/>
                <w:lang w:val="fr-FR"/>
              </w:rPr>
              <w:br/>
            </w:r>
            <w:r w:rsidRPr="00EB2FE9">
              <w:rPr>
                <w:sz w:val="16"/>
                <w:szCs w:val="16"/>
                <w:lang w:val="fr-FR"/>
              </w:rPr>
              <w:t>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E6418D7"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119B0B1"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Type de prise d</w:t>
            </w:r>
            <w:r w:rsidRPr="00EB2FE9">
              <w:rPr>
                <w:spacing w:val="-80"/>
                <w:sz w:val="16"/>
                <w:szCs w:val="16"/>
                <w:lang w:val="fr-FR"/>
              </w:rPr>
              <w:t>’</w:t>
            </w:r>
            <w:r w:rsidRPr="00EB2FE9">
              <w:rPr>
                <w:sz w:val="16"/>
                <w:szCs w:val="16"/>
                <w:lang w:val="fr-FR"/>
              </w:rPr>
              <w:t>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19C662B" w14:textId="742A3B25"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Chambre de pompes </w:t>
            </w:r>
            <w:r w:rsidR="00EB2FE9">
              <w:rPr>
                <w:sz w:val="16"/>
                <w:szCs w:val="16"/>
                <w:lang w:val="fr-FR"/>
              </w:rPr>
              <w:br/>
            </w:r>
            <w:r w:rsidRPr="00EB2FE9">
              <w:rPr>
                <w:sz w:val="16"/>
                <w:szCs w:val="16"/>
                <w:lang w:val="fr-FR"/>
              </w:rPr>
              <w:t>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80860BA"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473A900"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642707EA" w14:textId="132BE3F2" w:rsidR="00ED6C9E" w:rsidRPr="00EB2FE9" w:rsidRDefault="00ED6C9E" w:rsidP="00EB2FE9">
            <w:pPr>
              <w:spacing w:before="80" w:after="80" w:line="200" w:lineRule="exact"/>
              <w:jc w:val="center"/>
              <w:rPr>
                <w:color w:val="000000"/>
                <w:sz w:val="16"/>
                <w:szCs w:val="16"/>
                <w:lang w:val="fr-FR"/>
              </w:rPr>
            </w:pPr>
            <w:r w:rsidRPr="00EB2FE9">
              <w:rPr>
                <w:sz w:val="16"/>
                <w:szCs w:val="16"/>
                <w:lang w:val="fr-FR"/>
              </w:rPr>
              <w:t xml:space="preserve">Protection contre </w:t>
            </w:r>
            <w:r w:rsidR="00EB2FE9">
              <w:rPr>
                <w:sz w:val="16"/>
                <w:szCs w:val="16"/>
                <w:lang w:val="fr-FR"/>
              </w:rPr>
              <w:br/>
            </w:r>
            <w:r w:rsidRPr="00EB2FE9">
              <w:rPr>
                <w:sz w:val="16"/>
                <w:szCs w:val="16"/>
                <w:lang w:val="fr-FR"/>
              </w:rPr>
              <w:t>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48678E93"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47D56CD4"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Nombre de cônes/feux</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61BCC92B" w14:textId="77777777" w:rsidR="00ED6C9E" w:rsidRPr="00EB2FE9" w:rsidRDefault="00ED6C9E" w:rsidP="00EB2FE9">
            <w:pPr>
              <w:spacing w:before="80" w:after="80" w:line="200" w:lineRule="exact"/>
              <w:jc w:val="center"/>
              <w:rPr>
                <w:color w:val="000000"/>
                <w:sz w:val="16"/>
                <w:szCs w:val="16"/>
              </w:rPr>
            </w:pPr>
            <w:r w:rsidRPr="00EB2FE9">
              <w:rPr>
                <w:sz w:val="16"/>
                <w:szCs w:val="16"/>
                <w:lang w:val="fr-FR"/>
              </w:rPr>
              <w:t>Exigences supplémentaires /Observations</w:t>
            </w:r>
          </w:p>
        </w:tc>
      </w:tr>
      <w:tr w:rsidR="00ED6C9E" w:rsidRPr="00EB2FE9" w14:paraId="69021C31" w14:textId="77777777" w:rsidTr="00EB2FE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82B73A0" w14:textId="77777777" w:rsidR="00ED6C9E" w:rsidRPr="00EB2FE9" w:rsidRDefault="00ED6C9E" w:rsidP="00EB2FE9">
            <w:pPr>
              <w:spacing w:before="40" w:after="40" w:line="200" w:lineRule="atLeast"/>
              <w:jc w:val="center"/>
              <w:rPr>
                <w:sz w:val="16"/>
                <w:szCs w:val="16"/>
              </w:rPr>
            </w:pPr>
            <w:r w:rsidRPr="00EB2FE9">
              <w:rPr>
                <w:sz w:val="16"/>
                <w:szCs w:val="16"/>
                <w:lang w:val="fr-FR"/>
              </w:rPr>
              <w:t>(1)</w:t>
            </w:r>
          </w:p>
        </w:tc>
        <w:tc>
          <w:tcPr>
            <w:tcW w:w="2500" w:type="dxa"/>
            <w:tcBorders>
              <w:top w:val="single" w:sz="6" w:space="0" w:color="auto"/>
              <w:left w:val="single" w:sz="6" w:space="0" w:color="auto"/>
              <w:bottom w:val="single" w:sz="6" w:space="0" w:color="auto"/>
              <w:right w:val="single" w:sz="6" w:space="0" w:color="auto"/>
            </w:tcBorders>
          </w:tcPr>
          <w:p w14:paraId="65FFAA06" w14:textId="77777777" w:rsidR="00ED6C9E" w:rsidRPr="00EB2FE9" w:rsidRDefault="00ED6C9E" w:rsidP="00EB2FE9">
            <w:pPr>
              <w:spacing w:before="40" w:after="40" w:line="200" w:lineRule="atLeast"/>
              <w:jc w:val="center"/>
              <w:rPr>
                <w:sz w:val="16"/>
                <w:szCs w:val="16"/>
              </w:rPr>
            </w:pPr>
            <w:r w:rsidRPr="00EB2FE9">
              <w:rPr>
                <w:sz w:val="16"/>
                <w:szCs w:val="16"/>
                <w:lang w:val="fr-FR"/>
              </w:rPr>
              <w:t>(2)</w:t>
            </w:r>
          </w:p>
        </w:tc>
        <w:tc>
          <w:tcPr>
            <w:tcW w:w="346" w:type="dxa"/>
            <w:tcBorders>
              <w:top w:val="single" w:sz="6" w:space="0" w:color="auto"/>
              <w:left w:val="single" w:sz="6" w:space="0" w:color="auto"/>
              <w:bottom w:val="single" w:sz="6" w:space="0" w:color="auto"/>
              <w:right w:val="single" w:sz="4" w:space="0" w:color="auto"/>
            </w:tcBorders>
          </w:tcPr>
          <w:p w14:paraId="1C2A8D69" w14:textId="77777777" w:rsidR="00ED6C9E" w:rsidRPr="00EB2FE9" w:rsidRDefault="00ED6C9E" w:rsidP="00EB2FE9">
            <w:pPr>
              <w:spacing w:before="40" w:after="40" w:line="200" w:lineRule="atLeast"/>
              <w:jc w:val="center"/>
              <w:rPr>
                <w:sz w:val="16"/>
                <w:szCs w:val="16"/>
              </w:rPr>
            </w:pPr>
            <w:r w:rsidRPr="00EB2FE9">
              <w:rPr>
                <w:sz w:val="16"/>
                <w:szCs w:val="16"/>
                <w:lang w:val="fr-FR"/>
              </w:rPr>
              <w:t>(3a)</w:t>
            </w:r>
          </w:p>
        </w:tc>
        <w:tc>
          <w:tcPr>
            <w:tcW w:w="471" w:type="dxa"/>
            <w:tcBorders>
              <w:top w:val="single" w:sz="6" w:space="0" w:color="auto"/>
              <w:left w:val="single" w:sz="4" w:space="0" w:color="auto"/>
              <w:bottom w:val="single" w:sz="6" w:space="0" w:color="auto"/>
              <w:right w:val="single" w:sz="6" w:space="0" w:color="auto"/>
            </w:tcBorders>
          </w:tcPr>
          <w:p w14:paraId="277FB7D5" w14:textId="77777777" w:rsidR="00ED6C9E" w:rsidRPr="00EB2FE9" w:rsidRDefault="00ED6C9E" w:rsidP="00EB2FE9">
            <w:pPr>
              <w:spacing w:before="40" w:after="40" w:line="200" w:lineRule="atLeast"/>
              <w:jc w:val="center"/>
              <w:rPr>
                <w:sz w:val="16"/>
                <w:szCs w:val="16"/>
              </w:rPr>
            </w:pPr>
            <w:r w:rsidRPr="00EB2FE9">
              <w:rPr>
                <w:sz w:val="16"/>
                <w:szCs w:val="16"/>
                <w:lang w:val="fr-FR"/>
              </w:rPr>
              <w:t>(3b)</w:t>
            </w:r>
          </w:p>
        </w:tc>
        <w:tc>
          <w:tcPr>
            <w:tcW w:w="535" w:type="dxa"/>
            <w:tcBorders>
              <w:top w:val="single" w:sz="6" w:space="0" w:color="auto"/>
              <w:left w:val="single" w:sz="6" w:space="0" w:color="auto"/>
              <w:bottom w:val="single" w:sz="6" w:space="0" w:color="auto"/>
              <w:right w:val="single" w:sz="6" w:space="0" w:color="auto"/>
            </w:tcBorders>
          </w:tcPr>
          <w:p w14:paraId="69BC332E" w14:textId="77777777" w:rsidR="00ED6C9E" w:rsidRPr="00EB2FE9" w:rsidRDefault="00ED6C9E" w:rsidP="00EB2FE9">
            <w:pPr>
              <w:spacing w:before="40" w:after="40" w:line="200" w:lineRule="atLeast"/>
              <w:jc w:val="center"/>
              <w:rPr>
                <w:sz w:val="16"/>
                <w:szCs w:val="16"/>
              </w:rPr>
            </w:pPr>
            <w:r w:rsidRPr="00EB2FE9">
              <w:rPr>
                <w:sz w:val="16"/>
                <w:szCs w:val="16"/>
                <w:lang w:val="fr-FR"/>
              </w:rPr>
              <w:t>(4)</w:t>
            </w:r>
          </w:p>
        </w:tc>
        <w:tc>
          <w:tcPr>
            <w:tcW w:w="571" w:type="dxa"/>
            <w:tcBorders>
              <w:top w:val="single" w:sz="6" w:space="0" w:color="auto"/>
              <w:left w:val="single" w:sz="6" w:space="0" w:color="auto"/>
              <w:bottom w:val="single" w:sz="6" w:space="0" w:color="auto"/>
              <w:right w:val="single" w:sz="6" w:space="0" w:color="auto"/>
            </w:tcBorders>
            <w:noWrap/>
          </w:tcPr>
          <w:p w14:paraId="74044C84" w14:textId="77777777" w:rsidR="00ED6C9E" w:rsidRPr="00EB2FE9" w:rsidRDefault="00ED6C9E" w:rsidP="00EB2FE9">
            <w:pPr>
              <w:spacing w:before="40" w:after="40" w:line="200" w:lineRule="atLeast"/>
              <w:jc w:val="center"/>
              <w:rPr>
                <w:sz w:val="16"/>
                <w:szCs w:val="16"/>
              </w:rPr>
            </w:pPr>
            <w:r w:rsidRPr="00EB2FE9">
              <w:rPr>
                <w:sz w:val="16"/>
                <w:szCs w:val="16"/>
                <w:lang w:val="fr-FR"/>
              </w:rPr>
              <w:t>(5)</w:t>
            </w:r>
          </w:p>
        </w:tc>
        <w:tc>
          <w:tcPr>
            <w:tcW w:w="705" w:type="dxa"/>
            <w:tcBorders>
              <w:top w:val="single" w:sz="6" w:space="0" w:color="auto"/>
              <w:left w:val="single" w:sz="6" w:space="0" w:color="auto"/>
              <w:bottom w:val="single" w:sz="6" w:space="0" w:color="auto"/>
              <w:right w:val="single" w:sz="6" w:space="0" w:color="auto"/>
            </w:tcBorders>
          </w:tcPr>
          <w:p w14:paraId="63F857DE" w14:textId="77777777" w:rsidR="00ED6C9E" w:rsidRPr="00EB2FE9" w:rsidRDefault="00ED6C9E" w:rsidP="00EB2FE9">
            <w:pPr>
              <w:spacing w:before="40" w:after="40" w:line="200" w:lineRule="atLeast"/>
              <w:jc w:val="center"/>
              <w:rPr>
                <w:sz w:val="16"/>
                <w:szCs w:val="16"/>
              </w:rPr>
            </w:pPr>
            <w:r w:rsidRPr="00EB2FE9">
              <w:rPr>
                <w:sz w:val="16"/>
                <w:szCs w:val="16"/>
                <w:lang w:val="fr-FR"/>
              </w:rPr>
              <w:t>(6)</w:t>
            </w:r>
          </w:p>
        </w:tc>
        <w:tc>
          <w:tcPr>
            <w:tcW w:w="567" w:type="dxa"/>
            <w:tcBorders>
              <w:top w:val="single" w:sz="6" w:space="0" w:color="auto"/>
              <w:left w:val="single" w:sz="6" w:space="0" w:color="auto"/>
              <w:bottom w:val="single" w:sz="6" w:space="0" w:color="auto"/>
              <w:right w:val="single" w:sz="6" w:space="0" w:color="auto"/>
            </w:tcBorders>
          </w:tcPr>
          <w:p w14:paraId="494FB97D" w14:textId="77777777" w:rsidR="00ED6C9E" w:rsidRPr="00EB2FE9" w:rsidRDefault="00ED6C9E" w:rsidP="00EB2FE9">
            <w:pPr>
              <w:spacing w:before="40" w:after="40" w:line="200" w:lineRule="atLeast"/>
              <w:jc w:val="center"/>
              <w:rPr>
                <w:sz w:val="16"/>
                <w:szCs w:val="16"/>
              </w:rPr>
            </w:pPr>
            <w:r w:rsidRPr="00EB2FE9">
              <w:rPr>
                <w:sz w:val="16"/>
                <w:szCs w:val="16"/>
                <w:lang w:val="fr-FR"/>
              </w:rPr>
              <w:t>(7)</w:t>
            </w:r>
          </w:p>
        </w:tc>
        <w:tc>
          <w:tcPr>
            <w:tcW w:w="567" w:type="dxa"/>
            <w:tcBorders>
              <w:top w:val="single" w:sz="6" w:space="0" w:color="auto"/>
              <w:left w:val="single" w:sz="6" w:space="0" w:color="auto"/>
              <w:bottom w:val="single" w:sz="6" w:space="0" w:color="auto"/>
              <w:right w:val="single" w:sz="6" w:space="0" w:color="auto"/>
            </w:tcBorders>
          </w:tcPr>
          <w:p w14:paraId="128BC216" w14:textId="77777777" w:rsidR="00ED6C9E" w:rsidRPr="00EB2FE9" w:rsidRDefault="00ED6C9E" w:rsidP="00EB2FE9">
            <w:pPr>
              <w:spacing w:before="40" w:after="40" w:line="200" w:lineRule="atLeast"/>
              <w:jc w:val="center"/>
              <w:rPr>
                <w:sz w:val="16"/>
                <w:szCs w:val="16"/>
              </w:rPr>
            </w:pPr>
            <w:r w:rsidRPr="00EB2FE9">
              <w:rPr>
                <w:sz w:val="16"/>
                <w:szCs w:val="16"/>
                <w:lang w:val="fr-FR"/>
              </w:rPr>
              <w:t>(8)</w:t>
            </w:r>
          </w:p>
        </w:tc>
        <w:tc>
          <w:tcPr>
            <w:tcW w:w="567" w:type="dxa"/>
            <w:tcBorders>
              <w:top w:val="single" w:sz="6" w:space="0" w:color="auto"/>
              <w:left w:val="single" w:sz="6" w:space="0" w:color="auto"/>
              <w:bottom w:val="single" w:sz="6" w:space="0" w:color="auto"/>
              <w:right w:val="single" w:sz="6" w:space="0" w:color="auto"/>
            </w:tcBorders>
          </w:tcPr>
          <w:p w14:paraId="16A17905" w14:textId="77777777" w:rsidR="00ED6C9E" w:rsidRPr="00EB2FE9" w:rsidRDefault="00ED6C9E" w:rsidP="00EB2FE9">
            <w:pPr>
              <w:spacing w:before="40" w:after="40" w:line="200" w:lineRule="atLeast"/>
              <w:jc w:val="center"/>
              <w:rPr>
                <w:sz w:val="16"/>
                <w:szCs w:val="16"/>
              </w:rPr>
            </w:pPr>
            <w:r w:rsidRPr="00EB2FE9">
              <w:rPr>
                <w:sz w:val="16"/>
                <w:szCs w:val="16"/>
                <w:lang w:val="fr-FR"/>
              </w:rPr>
              <w:t>(9)</w:t>
            </w:r>
          </w:p>
        </w:tc>
        <w:tc>
          <w:tcPr>
            <w:tcW w:w="567" w:type="dxa"/>
            <w:tcBorders>
              <w:top w:val="single" w:sz="6" w:space="0" w:color="auto"/>
              <w:left w:val="single" w:sz="6" w:space="0" w:color="auto"/>
              <w:bottom w:val="single" w:sz="6" w:space="0" w:color="auto"/>
              <w:right w:val="single" w:sz="6" w:space="0" w:color="auto"/>
            </w:tcBorders>
          </w:tcPr>
          <w:p w14:paraId="4BAC830B" w14:textId="77777777" w:rsidR="00ED6C9E" w:rsidRPr="00EB2FE9" w:rsidRDefault="00ED6C9E" w:rsidP="00EB2FE9">
            <w:pPr>
              <w:spacing w:before="40" w:after="40" w:line="200" w:lineRule="atLeast"/>
              <w:jc w:val="center"/>
              <w:rPr>
                <w:sz w:val="16"/>
                <w:szCs w:val="16"/>
              </w:rPr>
            </w:pPr>
            <w:r w:rsidRPr="00EB2FE9">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342C08C0" w14:textId="77777777" w:rsidR="00ED6C9E" w:rsidRPr="00EB2FE9" w:rsidRDefault="00ED6C9E" w:rsidP="00EB2FE9">
            <w:pPr>
              <w:spacing w:before="40" w:after="40" w:line="200" w:lineRule="atLeast"/>
              <w:jc w:val="center"/>
              <w:rPr>
                <w:sz w:val="16"/>
                <w:szCs w:val="16"/>
              </w:rPr>
            </w:pPr>
            <w:r w:rsidRPr="00EB2FE9">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185879BB" w14:textId="77777777" w:rsidR="00ED6C9E" w:rsidRPr="00EB2FE9" w:rsidRDefault="00ED6C9E" w:rsidP="00EB2FE9">
            <w:pPr>
              <w:spacing w:before="40" w:after="40" w:line="200" w:lineRule="atLeast"/>
              <w:jc w:val="center"/>
              <w:rPr>
                <w:sz w:val="16"/>
                <w:szCs w:val="16"/>
              </w:rPr>
            </w:pPr>
            <w:r w:rsidRPr="00EB2FE9">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1542B575" w14:textId="77777777" w:rsidR="00ED6C9E" w:rsidRPr="00EB2FE9" w:rsidRDefault="00ED6C9E" w:rsidP="00EB2FE9">
            <w:pPr>
              <w:spacing w:before="40" w:after="40" w:line="200" w:lineRule="atLeast"/>
              <w:jc w:val="center"/>
              <w:rPr>
                <w:sz w:val="16"/>
                <w:szCs w:val="16"/>
              </w:rPr>
            </w:pPr>
            <w:r w:rsidRPr="00EB2FE9">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3B37F7A9" w14:textId="77777777" w:rsidR="00ED6C9E" w:rsidRPr="00EB2FE9" w:rsidRDefault="00ED6C9E" w:rsidP="00EB2FE9">
            <w:pPr>
              <w:spacing w:before="40" w:after="40" w:line="200" w:lineRule="atLeast"/>
              <w:jc w:val="center"/>
              <w:rPr>
                <w:sz w:val="16"/>
                <w:szCs w:val="16"/>
              </w:rPr>
            </w:pPr>
            <w:r w:rsidRPr="00EB2FE9">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6D24E409" w14:textId="77777777" w:rsidR="00ED6C9E" w:rsidRPr="00EB2FE9" w:rsidRDefault="00ED6C9E" w:rsidP="00EB2FE9">
            <w:pPr>
              <w:spacing w:before="40" w:after="40" w:line="200" w:lineRule="atLeast"/>
              <w:jc w:val="center"/>
              <w:rPr>
                <w:sz w:val="16"/>
                <w:szCs w:val="16"/>
              </w:rPr>
            </w:pPr>
            <w:r w:rsidRPr="00EB2FE9">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3B4D1EB6" w14:textId="77777777" w:rsidR="00ED6C9E" w:rsidRPr="00EB2FE9" w:rsidRDefault="00ED6C9E" w:rsidP="00EB2FE9">
            <w:pPr>
              <w:spacing w:before="40" w:after="40" w:line="200" w:lineRule="atLeast"/>
              <w:jc w:val="center"/>
              <w:rPr>
                <w:sz w:val="16"/>
                <w:szCs w:val="16"/>
              </w:rPr>
            </w:pPr>
            <w:r w:rsidRPr="00EB2FE9">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18A00642" w14:textId="77777777" w:rsidR="00ED6C9E" w:rsidRPr="00EB2FE9" w:rsidRDefault="00ED6C9E" w:rsidP="00EB2FE9">
            <w:pPr>
              <w:spacing w:before="40" w:after="40" w:line="200" w:lineRule="atLeast"/>
              <w:jc w:val="center"/>
              <w:rPr>
                <w:sz w:val="16"/>
                <w:szCs w:val="16"/>
              </w:rPr>
            </w:pPr>
            <w:r w:rsidRPr="00EB2FE9">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4E1CD928" w14:textId="77777777" w:rsidR="00ED6C9E" w:rsidRPr="00EB2FE9" w:rsidRDefault="00ED6C9E" w:rsidP="00EB2FE9">
            <w:pPr>
              <w:spacing w:before="40" w:after="40" w:line="200" w:lineRule="atLeast"/>
              <w:jc w:val="center"/>
              <w:rPr>
                <w:sz w:val="16"/>
                <w:szCs w:val="16"/>
              </w:rPr>
            </w:pPr>
            <w:r w:rsidRPr="00EB2FE9">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43C3C2CD" w14:textId="77777777" w:rsidR="00ED6C9E" w:rsidRPr="00EB2FE9" w:rsidRDefault="00ED6C9E" w:rsidP="00EB2FE9">
            <w:pPr>
              <w:spacing w:before="40" w:after="40" w:line="200" w:lineRule="atLeast"/>
              <w:jc w:val="center"/>
              <w:rPr>
                <w:sz w:val="16"/>
                <w:szCs w:val="16"/>
              </w:rPr>
            </w:pPr>
            <w:r w:rsidRPr="00EB2FE9">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48150232" w14:textId="77777777" w:rsidR="00ED6C9E" w:rsidRPr="00EB2FE9" w:rsidRDefault="00ED6C9E" w:rsidP="00EB2FE9">
            <w:pPr>
              <w:spacing w:before="40" w:after="40" w:line="200" w:lineRule="atLeast"/>
              <w:jc w:val="center"/>
              <w:rPr>
                <w:sz w:val="16"/>
                <w:szCs w:val="16"/>
              </w:rPr>
            </w:pPr>
            <w:r w:rsidRPr="00EB2FE9">
              <w:rPr>
                <w:sz w:val="16"/>
                <w:szCs w:val="16"/>
                <w:lang w:val="fr-FR"/>
              </w:rPr>
              <w:t>(20)</w:t>
            </w:r>
          </w:p>
        </w:tc>
      </w:tr>
      <w:tr w:rsidR="00ED6C9E" w:rsidRPr="00EB2FE9" w14:paraId="4517747A" w14:textId="77777777" w:rsidTr="00EB2FE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1007073" w14:textId="77777777" w:rsidR="00ED6C9E" w:rsidRPr="00EB2FE9" w:rsidRDefault="00ED6C9E" w:rsidP="00EB2FE9">
            <w:pPr>
              <w:spacing w:before="40" w:after="40" w:line="200" w:lineRule="atLeast"/>
              <w:jc w:val="cente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tcPr>
          <w:p w14:paraId="58E6ADCA"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3.1.2</w:t>
            </w:r>
          </w:p>
        </w:tc>
        <w:tc>
          <w:tcPr>
            <w:tcW w:w="346" w:type="dxa"/>
            <w:tcBorders>
              <w:top w:val="single" w:sz="6" w:space="0" w:color="auto"/>
              <w:left w:val="single" w:sz="6" w:space="0" w:color="auto"/>
              <w:bottom w:val="single" w:sz="6" w:space="0" w:color="auto"/>
              <w:right w:val="single" w:sz="4" w:space="0" w:color="auto"/>
            </w:tcBorders>
          </w:tcPr>
          <w:p w14:paraId="24A5F933"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2.2</w:t>
            </w:r>
          </w:p>
        </w:tc>
        <w:tc>
          <w:tcPr>
            <w:tcW w:w="471" w:type="dxa"/>
            <w:tcBorders>
              <w:top w:val="single" w:sz="6" w:space="0" w:color="auto"/>
              <w:left w:val="single" w:sz="4" w:space="0" w:color="auto"/>
              <w:bottom w:val="single" w:sz="6" w:space="0" w:color="auto"/>
              <w:right w:val="single" w:sz="6" w:space="0" w:color="auto"/>
            </w:tcBorders>
          </w:tcPr>
          <w:p w14:paraId="0E55D2B3"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2.2</w:t>
            </w:r>
          </w:p>
        </w:tc>
        <w:tc>
          <w:tcPr>
            <w:tcW w:w="535" w:type="dxa"/>
            <w:tcBorders>
              <w:top w:val="single" w:sz="6" w:space="0" w:color="auto"/>
              <w:left w:val="single" w:sz="6" w:space="0" w:color="auto"/>
              <w:bottom w:val="single" w:sz="6" w:space="0" w:color="auto"/>
              <w:right w:val="single" w:sz="6" w:space="0" w:color="auto"/>
            </w:tcBorders>
          </w:tcPr>
          <w:p w14:paraId="0D80E736"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2.1.1.3</w:t>
            </w:r>
          </w:p>
        </w:tc>
        <w:tc>
          <w:tcPr>
            <w:tcW w:w="571" w:type="dxa"/>
            <w:tcBorders>
              <w:top w:val="single" w:sz="6" w:space="0" w:color="auto"/>
              <w:left w:val="single" w:sz="6" w:space="0" w:color="auto"/>
              <w:bottom w:val="single" w:sz="6" w:space="0" w:color="auto"/>
              <w:right w:val="single" w:sz="6" w:space="0" w:color="auto"/>
            </w:tcBorders>
            <w:noWrap/>
          </w:tcPr>
          <w:p w14:paraId="2532AF5A" w14:textId="375906BA" w:rsidR="00ED6C9E" w:rsidRPr="00EB2FE9" w:rsidRDefault="00ED6C9E" w:rsidP="00EB2FE9">
            <w:pPr>
              <w:spacing w:before="40" w:after="40" w:line="200" w:lineRule="atLeast"/>
              <w:jc w:val="center"/>
              <w:rPr>
                <w:sz w:val="16"/>
                <w:szCs w:val="16"/>
              </w:rPr>
            </w:pPr>
            <w:r w:rsidRPr="00EB2FE9">
              <w:rPr>
                <w:b/>
                <w:bCs/>
                <w:sz w:val="16"/>
                <w:szCs w:val="16"/>
                <w:lang w:val="fr-FR"/>
              </w:rPr>
              <w:t>5.2.2/ 3.2.3.1</w:t>
            </w:r>
          </w:p>
        </w:tc>
        <w:tc>
          <w:tcPr>
            <w:tcW w:w="705" w:type="dxa"/>
            <w:tcBorders>
              <w:top w:val="single" w:sz="6" w:space="0" w:color="auto"/>
              <w:left w:val="single" w:sz="6" w:space="0" w:color="auto"/>
              <w:bottom w:val="single" w:sz="6" w:space="0" w:color="auto"/>
              <w:right w:val="single" w:sz="6" w:space="0" w:color="auto"/>
            </w:tcBorders>
          </w:tcPr>
          <w:p w14:paraId="247DD408" w14:textId="6D63EEAD" w:rsidR="00ED6C9E" w:rsidRPr="00EB2FE9" w:rsidRDefault="00ED6C9E" w:rsidP="00EB2FE9">
            <w:pPr>
              <w:spacing w:before="40" w:after="40" w:line="200" w:lineRule="atLeast"/>
              <w:jc w:val="center"/>
              <w:rPr>
                <w:sz w:val="16"/>
                <w:szCs w:val="16"/>
              </w:rPr>
            </w:pPr>
            <w:r w:rsidRPr="00EB2FE9">
              <w:rPr>
                <w:b/>
                <w:bCs/>
                <w:sz w:val="16"/>
                <w:szCs w:val="16"/>
                <w:lang w:val="fr-FR"/>
              </w:rPr>
              <w:t>1.2.1/ 7.2.2.0.1</w:t>
            </w:r>
          </w:p>
        </w:tc>
        <w:tc>
          <w:tcPr>
            <w:tcW w:w="567" w:type="dxa"/>
            <w:tcBorders>
              <w:top w:val="single" w:sz="6" w:space="0" w:color="auto"/>
              <w:left w:val="single" w:sz="6" w:space="0" w:color="auto"/>
              <w:bottom w:val="single" w:sz="6" w:space="0" w:color="auto"/>
              <w:right w:val="single" w:sz="6" w:space="0" w:color="auto"/>
            </w:tcBorders>
          </w:tcPr>
          <w:p w14:paraId="0A3C0390" w14:textId="2DC84C46" w:rsidR="00ED6C9E" w:rsidRPr="00EB2FE9" w:rsidRDefault="00ED6C9E" w:rsidP="00EB2FE9">
            <w:pPr>
              <w:spacing w:before="40" w:after="40" w:line="200" w:lineRule="atLeast"/>
              <w:jc w:val="center"/>
              <w:rPr>
                <w:sz w:val="16"/>
                <w:szCs w:val="16"/>
              </w:rPr>
            </w:pPr>
            <w:r w:rsidRPr="00EB2FE9">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3B6157D2" w14:textId="7822E2C8" w:rsidR="00ED6C9E" w:rsidRPr="00EB2FE9" w:rsidRDefault="00ED6C9E" w:rsidP="00EB2FE9">
            <w:pPr>
              <w:spacing w:before="40" w:after="40" w:line="200" w:lineRule="atLeast"/>
              <w:jc w:val="center"/>
              <w:rPr>
                <w:sz w:val="16"/>
                <w:szCs w:val="16"/>
              </w:rPr>
            </w:pPr>
            <w:r w:rsidRPr="00EB2FE9">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2072E916" w14:textId="6D630C30" w:rsidR="00ED6C9E" w:rsidRPr="00EB2FE9" w:rsidRDefault="00ED6C9E" w:rsidP="00EB2FE9">
            <w:pPr>
              <w:spacing w:before="40" w:after="40" w:line="200" w:lineRule="atLeast"/>
              <w:jc w:val="center"/>
              <w:rPr>
                <w:sz w:val="16"/>
                <w:szCs w:val="16"/>
              </w:rPr>
            </w:pPr>
            <w:r w:rsidRPr="00EB2FE9">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7364A3A4" w14:textId="0BD77F42" w:rsidR="00ED6C9E" w:rsidRPr="00EB2FE9" w:rsidRDefault="00ED6C9E" w:rsidP="00EB2FE9">
            <w:pPr>
              <w:spacing w:before="40" w:after="40" w:line="200" w:lineRule="atLeast"/>
              <w:jc w:val="center"/>
              <w:rPr>
                <w:sz w:val="16"/>
                <w:szCs w:val="16"/>
              </w:rPr>
            </w:pPr>
            <w:r w:rsidRPr="00EB2FE9">
              <w:rPr>
                <w:b/>
                <w:bCs/>
                <w:sz w:val="16"/>
                <w:szCs w:val="16"/>
                <w:lang w:val="fr-FR"/>
              </w:rPr>
              <w:t>3.2.3.1/ 1.2.1</w:t>
            </w:r>
          </w:p>
        </w:tc>
        <w:tc>
          <w:tcPr>
            <w:tcW w:w="709" w:type="dxa"/>
            <w:tcBorders>
              <w:top w:val="single" w:sz="6" w:space="0" w:color="auto"/>
              <w:left w:val="single" w:sz="6" w:space="0" w:color="auto"/>
              <w:bottom w:val="single" w:sz="6" w:space="0" w:color="auto"/>
              <w:right w:val="single" w:sz="6" w:space="0" w:color="auto"/>
            </w:tcBorders>
          </w:tcPr>
          <w:p w14:paraId="76E6C2AF"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7.2.4.21</w:t>
            </w:r>
          </w:p>
        </w:tc>
        <w:tc>
          <w:tcPr>
            <w:tcW w:w="567" w:type="dxa"/>
            <w:tcBorders>
              <w:top w:val="single" w:sz="6" w:space="0" w:color="auto"/>
              <w:left w:val="single" w:sz="6" w:space="0" w:color="auto"/>
              <w:bottom w:val="single" w:sz="6" w:space="0" w:color="auto"/>
              <w:right w:val="single" w:sz="6" w:space="0" w:color="auto"/>
            </w:tcBorders>
          </w:tcPr>
          <w:p w14:paraId="0DC7BA60"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3.2.3.1</w:t>
            </w:r>
          </w:p>
        </w:tc>
        <w:tc>
          <w:tcPr>
            <w:tcW w:w="567" w:type="dxa"/>
            <w:tcBorders>
              <w:top w:val="single" w:sz="6" w:space="0" w:color="auto"/>
              <w:left w:val="single" w:sz="6" w:space="0" w:color="auto"/>
              <w:bottom w:val="single" w:sz="6" w:space="0" w:color="auto"/>
              <w:right w:val="single" w:sz="6" w:space="0" w:color="auto"/>
            </w:tcBorders>
          </w:tcPr>
          <w:p w14:paraId="42459FA9" w14:textId="6539B727" w:rsidR="00ED6C9E" w:rsidRPr="00EB2FE9" w:rsidRDefault="00ED6C9E" w:rsidP="00EB2FE9">
            <w:pPr>
              <w:spacing w:before="40" w:after="40" w:line="200" w:lineRule="atLeast"/>
              <w:jc w:val="center"/>
              <w:rPr>
                <w:sz w:val="16"/>
                <w:szCs w:val="16"/>
              </w:rPr>
            </w:pPr>
            <w:r w:rsidRPr="00EB2FE9">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040AE55F" w14:textId="72344B80" w:rsidR="00ED6C9E" w:rsidRPr="00EB2FE9" w:rsidRDefault="00ED6C9E" w:rsidP="00EB2FE9">
            <w:pPr>
              <w:spacing w:before="40" w:after="40" w:line="200" w:lineRule="atLeast"/>
              <w:jc w:val="center"/>
              <w:rPr>
                <w:sz w:val="16"/>
                <w:szCs w:val="16"/>
              </w:rPr>
            </w:pPr>
            <w:r w:rsidRPr="00EB2FE9">
              <w:rPr>
                <w:b/>
                <w:bCs/>
                <w:sz w:val="16"/>
                <w:szCs w:val="16"/>
                <w:lang w:val="fr-FR"/>
              </w:rPr>
              <w:t>3.2.3.1/ 1.2.1</w:t>
            </w:r>
            <w:r w:rsidRPr="00EB2FE9">
              <w:rPr>
                <w:sz w:val="16"/>
                <w:szCs w:val="16"/>
                <w:lang w:val="fr-FR"/>
              </w:rPr>
              <w:t xml:space="preserve"> </w:t>
            </w:r>
          </w:p>
        </w:tc>
        <w:tc>
          <w:tcPr>
            <w:tcW w:w="567" w:type="dxa"/>
            <w:tcBorders>
              <w:top w:val="single" w:sz="6" w:space="0" w:color="auto"/>
              <w:left w:val="single" w:sz="6" w:space="0" w:color="auto"/>
              <w:bottom w:val="single" w:sz="6" w:space="0" w:color="auto"/>
              <w:right w:val="single" w:sz="6" w:space="0" w:color="auto"/>
            </w:tcBorders>
          </w:tcPr>
          <w:p w14:paraId="310E3239"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1.2.1</w:t>
            </w:r>
          </w:p>
        </w:tc>
        <w:tc>
          <w:tcPr>
            <w:tcW w:w="704" w:type="dxa"/>
            <w:tcBorders>
              <w:top w:val="single" w:sz="6" w:space="0" w:color="auto"/>
              <w:left w:val="single" w:sz="6" w:space="0" w:color="auto"/>
              <w:bottom w:val="single" w:sz="6" w:space="0" w:color="auto"/>
              <w:right w:val="single" w:sz="6" w:space="0" w:color="auto"/>
            </w:tcBorders>
          </w:tcPr>
          <w:p w14:paraId="08A97DD7" w14:textId="5B4162C3" w:rsidR="00ED6C9E" w:rsidRPr="00EB2FE9" w:rsidRDefault="00ED6C9E" w:rsidP="00EB2FE9">
            <w:pPr>
              <w:spacing w:before="40" w:after="40" w:line="200" w:lineRule="atLeast"/>
              <w:jc w:val="center"/>
              <w:rPr>
                <w:sz w:val="16"/>
                <w:szCs w:val="16"/>
              </w:rPr>
            </w:pPr>
            <w:r w:rsidRPr="00EB2FE9">
              <w:rPr>
                <w:b/>
                <w:bCs/>
                <w:sz w:val="16"/>
                <w:szCs w:val="16"/>
                <w:lang w:val="fr-FR"/>
              </w:rPr>
              <w:t>1.2.1/ 3.2.3.3</w:t>
            </w:r>
            <w:r w:rsidRPr="00EB2FE9">
              <w:rPr>
                <w:sz w:val="16"/>
                <w:szCs w:val="16"/>
                <w:lang w:val="fr-FR"/>
              </w:rPr>
              <w:t xml:space="preserve"> </w:t>
            </w:r>
          </w:p>
        </w:tc>
        <w:tc>
          <w:tcPr>
            <w:tcW w:w="572" w:type="dxa"/>
            <w:tcBorders>
              <w:top w:val="single" w:sz="6" w:space="0" w:color="auto"/>
              <w:left w:val="single" w:sz="6" w:space="0" w:color="auto"/>
              <w:bottom w:val="single" w:sz="6" w:space="0" w:color="auto"/>
              <w:right w:val="single" w:sz="6" w:space="0" w:color="auto"/>
            </w:tcBorders>
          </w:tcPr>
          <w:p w14:paraId="694D5F5E" w14:textId="7676B704" w:rsidR="00ED6C9E" w:rsidRPr="00EB2FE9" w:rsidRDefault="00ED6C9E" w:rsidP="00EB2FE9">
            <w:pPr>
              <w:spacing w:before="40" w:after="40" w:line="200" w:lineRule="atLeast"/>
              <w:jc w:val="center"/>
              <w:rPr>
                <w:sz w:val="16"/>
                <w:szCs w:val="16"/>
              </w:rPr>
            </w:pPr>
            <w:r w:rsidRPr="00EB2FE9">
              <w:rPr>
                <w:b/>
                <w:bCs/>
                <w:sz w:val="16"/>
                <w:szCs w:val="16"/>
                <w:lang w:val="fr-FR"/>
              </w:rPr>
              <w:t>1.2.1/ 3.2.3.3</w:t>
            </w:r>
          </w:p>
        </w:tc>
        <w:tc>
          <w:tcPr>
            <w:tcW w:w="704" w:type="dxa"/>
            <w:tcBorders>
              <w:top w:val="single" w:sz="6" w:space="0" w:color="auto"/>
              <w:left w:val="single" w:sz="6" w:space="0" w:color="auto"/>
              <w:bottom w:val="single" w:sz="6" w:space="0" w:color="auto"/>
              <w:right w:val="single" w:sz="6" w:space="0" w:color="auto"/>
            </w:tcBorders>
          </w:tcPr>
          <w:p w14:paraId="5850972D"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8.1.5</w:t>
            </w:r>
          </w:p>
        </w:tc>
        <w:tc>
          <w:tcPr>
            <w:tcW w:w="427" w:type="dxa"/>
            <w:tcBorders>
              <w:top w:val="single" w:sz="6" w:space="0" w:color="auto"/>
              <w:left w:val="single" w:sz="6" w:space="0" w:color="auto"/>
              <w:bottom w:val="single" w:sz="6" w:space="0" w:color="auto"/>
              <w:right w:val="single" w:sz="6" w:space="0" w:color="auto"/>
            </w:tcBorders>
          </w:tcPr>
          <w:p w14:paraId="26C4871F"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7.2.5</w:t>
            </w:r>
          </w:p>
        </w:tc>
        <w:tc>
          <w:tcPr>
            <w:tcW w:w="850" w:type="dxa"/>
            <w:tcBorders>
              <w:top w:val="single" w:sz="6" w:space="0" w:color="auto"/>
              <w:left w:val="single" w:sz="6" w:space="0" w:color="auto"/>
              <w:bottom w:val="single" w:sz="6" w:space="0" w:color="auto"/>
              <w:right w:val="single" w:sz="6" w:space="0" w:color="auto"/>
            </w:tcBorders>
          </w:tcPr>
          <w:p w14:paraId="5C8067B5" w14:textId="77777777" w:rsidR="00ED6C9E" w:rsidRPr="00EB2FE9" w:rsidRDefault="00ED6C9E" w:rsidP="00EB2FE9">
            <w:pPr>
              <w:spacing w:before="40" w:after="40" w:line="200" w:lineRule="atLeast"/>
              <w:jc w:val="center"/>
              <w:rPr>
                <w:sz w:val="16"/>
                <w:szCs w:val="16"/>
              </w:rPr>
            </w:pPr>
            <w:r w:rsidRPr="00EB2FE9">
              <w:rPr>
                <w:b/>
                <w:bCs/>
                <w:sz w:val="16"/>
                <w:szCs w:val="16"/>
                <w:lang w:val="fr-FR"/>
              </w:rPr>
              <w:t>3.2.3.1</w:t>
            </w:r>
          </w:p>
        </w:tc>
      </w:tr>
      <w:tr w:rsidR="00ED6C9E" w:rsidRPr="00EB2FE9" w14:paraId="55605A03" w14:textId="77777777" w:rsidTr="00EB2FE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FDC517A" w14:textId="77777777" w:rsidR="00ED6C9E" w:rsidRPr="00EB2FE9" w:rsidRDefault="00ED6C9E" w:rsidP="00EB2FE9">
            <w:pPr>
              <w:spacing w:before="40" w:after="40" w:line="200" w:lineRule="atLeast"/>
              <w:jc w:val="center"/>
              <w:rPr>
                <w:sz w:val="16"/>
                <w:szCs w:val="16"/>
              </w:rPr>
            </w:pPr>
            <w:r w:rsidRPr="00EB2FE9">
              <w:rPr>
                <w:sz w:val="16"/>
                <w:szCs w:val="16"/>
                <w:lang w:val="fr-FR"/>
              </w:rPr>
              <w:t>1918</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22E710A" w14:textId="77777777" w:rsidR="00ED6C9E" w:rsidRPr="00EB2FE9" w:rsidRDefault="00ED6C9E" w:rsidP="00EB2FE9">
            <w:pPr>
              <w:spacing w:before="40" w:after="40" w:line="200" w:lineRule="atLeast"/>
              <w:jc w:val="center"/>
              <w:rPr>
                <w:sz w:val="16"/>
                <w:szCs w:val="16"/>
              </w:rPr>
            </w:pPr>
            <w:r w:rsidRPr="00EB2FE9">
              <w:rPr>
                <w:sz w:val="16"/>
                <w:szCs w:val="16"/>
                <w:lang w:val="fr-FR"/>
              </w:rPr>
              <w:t>ISOPROPYLBENZÈNE (cumène)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AB35D8E" w14:textId="77777777" w:rsidR="00ED6C9E" w:rsidRPr="00EB2FE9" w:rsidRDefault="00ED6C9E" w:rsidP="00EB2FE9">
            <w:pPr>
              <w:spacing w:before="40" w:after="40" w:line="200" w:lineRule="atLeast"/>
              <w:jc w:val="center"/>
              <w:rPr>
                <w:sz w:val="16"/>
                <w:szCs w:val="16"/>
              </w:rPr>
            </w:pPr>
            <w:r w:rsidRPr="00EB2FE9">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E18F106" w14:textId="77777777" w:rsidR="00ED6C9E" w:rsidRPr="00EB2FE9" w:rsidRDefault="00ED6C9E" w:rsidP="00EB2FE9">
            <w:pPr>
              <w:spacing w:before="40" w:after="40" w:line="200" w:lineRule="atLeast"/>
              <w:jc w:val="center"/>
              <w:rPr>
                <w:sz w:val="16"/>
                <w:szCs w:val="16"/>
              </w:rPr>
            </w:pPr>
            <w:r w:rsidRPr="00EB2FE9">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DE31DE3" w14:textId="77777777" w:rsidR="00ED6C9E" w:rsidRPr="00EB2FE9" w:rsidRDefault="00ED6C9E" w:rsidP="00EB2FE9">
            <w:pPr>
              <w:spacing w:before="40" w:after="40" w:line="200" w:lineRule="atLeast"/>
              <w:jc w:val="center"/>
              <w:rPr>
                <w:sz w:val="16"/>
                <w:szCs w:val="16"/>
              </w:rPr>
            </w:pPr>
            <w:r w:rsidRPr="00EB2FE9">
              <w:rPr>
                <w:sz w:val="16"/>
                <w:szCs w:val="16"/>
                <w:lang w:val="fr-FR"/>
              </w:rPr>
              <w:t>III</w:t>
            </w:r>
          </w:p>
        </w:tc>
        <w:tc>
          <w:tcPr>
            <w:tcW w:w="571" w:type="dxa"/>
            <w:tcBorders>
              <w:top w:val="single" w:sz="6" w:space="0" w:color="auto"/>
              <w:left w:val="single" w:sz="6" w:space="0" w:color="auto"/>
              <w:bottom w:val="single" w:sz="6" w:space="0" w:color="auto"/>
              <w:right w:val="single" w:sz="6" w:space="0" w:color="auto"/>
            </w:tcBorders>
            <w:shd w:val="clear" w:color="auto" w:fill="auto"/>
            <w:noWrap/>
          </w:tcPr>
          <w:p w14:paraId="3CFE7BD6" w14:textId="77777777" w:rsidR="00ED6C9E" w:rsidRPr="00EB2FE9" w:rsidRDefault="00ED6C9E" w:rsidP="00EB2FE9">
            <w:pPr>
              <w:spacing w:before="40" w:after="40" w:line="200" w:lineRule="atLeast"/>
              <w:jc w:val="center"/>
              <w:rPr>
                <w:b/>
                <w:bCs/>
                <w:sz w:val="16"/>
                <w:szCs w:val="16"/>
                <w:u w:val="single"/>
              </w:rPr>
            </w:pPr>
            <w:r w:rsidRPr="00EB2FE9">
              <w:rPr>
                <w:sz w:val="16"/>
                <w:szCs w:val="16"/>
                <w:lang w:val="fr-FR"/>
              </w:rPr>
              <w:t>3+N2</w:t>
            </w:r>
            <w:r w:rsidRPr="00EB2FE9">
              <w:rPr>
                <w:sz w:val="16"/>
                <w:szCs w:val="16"/>
                <w:u w:val="single"/>
                <w:lang w:val="fr-FR"/>
              </w:rPr>
              <w:t>+</w:t>
            </w:r>
          </w:p>
          <w:p w14:paraId="09E189A7" w14:textId="77777777" w:rsidR="00ED6C9E" w:rsidRPr="00EB2FE9" w:rsidRDefault="00ED6C9E" w:rsidP="00EB2FE9">
            <w:pPr>
              <w:spacing w:before="40" w:after="40" w:line="200" w:lineRule="atLeast"/>
              <w:jc w:val="center"/>
              <w:rPr>
                <w:b/>
                <w:bCs/>
                <w:sz w:val="16"/>
                <w:szCs w:val="16"/>
                <w:u w:val="single"/>
              </w:rPr>
            </w:pPr>
            <w:r w:rsidRPr="00EB2FE9">
              <w:rPr>
                <w:b/>
                <w:bCs/>
                <w:sz w:val="16"/>
                <w:szCs w:val="16"/>
                <w:u w:val="single"/>
                <w:lang w:val="fr-FR"/>
              </w:rPr>
              <w:t>CMR</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C6A7508" w14:textId="77777777" w:rsidR="00ED6C9E" w:rsidRPr="00EB2FE9" w:rsidRDefault="00ED6C9E" w:rsidP="00EB2FE9">
            <w:pPr>
              <w:spacing w:before="40" w:after="40" w:line="200" w:lineRule="atLeast"/>
              <w:jc w:val="center"/>
              <w:rPr>
                <w:sz w:val="16"/>
                <w:szCs w:val="16"/>
              </w:rPr>
            </w:pPr>
            <w:r w:rsidRPr="00EB2FE9">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187193" w14:textId="77777777" w:rsidR="00ED6C9E" w:rsidRPr="00EB2FE9" w:rsidRDefault="00ED6C9E" w:rsidP="00EB2FE9">
            <w:pPr>
              <w:spacing w:before="40" w:after="40" w:line="200" w:lineRule="atLeast"/>
              <w:jc w:val="center"/>
              <w:rPr>
                <w:sz w:val="16"/>
                <w:szCs w:val="16"/>
              </w:rPr>
            </w:pPr>
            <w:r w:rsidRPr="00EB2FE9">
              <w:rPr>
                <w:strike/>
                <w:sz w:val="16"/>
                <w:szCs w:val="16"/>
                <w:lang w:val="fr-FR"/>
              </w:rPr>
              <w:t>3</w:t>
            </w:r>
            <w:r w:rsidRPr="00EB2FE9">
              <w:rPr>
                <w:sz w:val="16"/>
                <w:szCs w:val="16"/>
                <w:lang w:val="fr-FR"/>
              </w:rPr>
              <w:t xml:space="preserve"> </w:t>
            </w:r>
            <w:r w:rsidRPr="00EB2FE9">
              <w:rPr>
                <w:b/>
                <w:bCs/>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C9DAAF" w14:textId="77777777" w:rsidR="00ED6C9E" w:rsidRPr="00EB2FE9" w:rsidRDefault="00ED6C9E" w:rsidP="00EB2FE9">
            <w:pPr>
              <w:spacing w:before="40" w:after="40" w:line="200" w:lineRule="atLeast"/>
              <w:jc w:val="center"/>
              <w:rPr>
                <w:sz w:val="16"/>
                <w:szCs w:val="16"/>
              </w:rPr>
            </w:pPr>
            <w:r w:rsidRPr="00EB2FE9">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1D753F3" w14:textId="77777777" w:rsidR="00ED6C9E" w:rsidRPr="00EB2FE9" w:rsidRDefault="00ED6C9E" w:rsidP="00EB2FE9">
            <w:pPr>
              <w:spacing w:before="40" w:after="40" w:line="200" w:lineRule="atLeast"/>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BC6C18" w14:textId="77777777" w:rsidR="00ED6C9E" w:rsidRPr="00EB2FE9" w:rsidRDefault="00ED6C9E" w:rsidP="00EB2FE9">
            <w:pPr>
              <w:spacing w:before="40" w:after="40" w:line="200" w:lineRule="atLeast"/>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38B8DE3" w14:textId="77777777" w:rsidR="00ED6C9E" w:rsidRPr="00EB2FE9" w:rsidRDefault="00ED6C9E" w:rsidP="00EB2FE9">
            <w:pPr>
              <w:spacing w:before="40" w:after="40" w:line="200" w:lineRule="atLeast"/>
              <w:jc w:val="center"/>
              <w:rPr>
                <w:sz w:val="16"/>
                <w:szCs w:val="16"/>
              </w:rPr>
            </w:pPr>
            <w:r w:rsidRPr="00EB2FE9">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CF2E02" w14:textId="77777777" w:rsidR="00ED6C9E" w:rsidRPr="00EB2FE9" w:rsidRDefault="00ED6C9E" w:rsidP="00EB2FE9">
            <w:pPr>
              <w:spacing w:before="40" w:after="40" w:line="200" w:lineRule="atLeast"/>
              <w:jc w:val="center"/>
              <w:rPr>
                <w:sz w:val="16"/>
                <w:szCs w:val="16"/>
              </w:rPr>
            </w:pPr>
            <w:r w:rsidRPr="00EB2FE9">
              <w:rPr>
                <w:sz w:val="16"/>
                <w:szCs w:val="16"/>
                <w:lang w:val="fr-FR"/>
              </w:rPr>
              <w:t>0,86</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24D5D2" w14:textId="77777777" w:rsidR="00ED6C9E" w:rsidRPr="00EB2FE9" w:rsidRDefault="00ED6C9E" w:rsidP="00EB2FE9">
            <w:pPr>
              <w:spacing w:before="40" w:after="40" w:line="200" w:lineRule="atLeast"/>
              <w:jc w:val="center"/>
              <w:rPr>
                <w:sz w:val="16"/>
                <w:szCs w:val="16"/>
              </w:rPr>
            </w:pPr>
            <w:r w:rsidRPr="00EB2FE9">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2BC3FE" w14:textId="77777777" w:rsidR="00ED6C9E" w:rsidRPr="00EB2FE9" w:rsidRDefault="00ED6C9E" w:rsidP="00EB2FE9">
            <w:pPr>
              <w:spacing w:before="40" w:after="40" w:line="200" w:lineRule="atLeast"/>
              <w:jc w:val="center"/>
              <w:rPr>
                <w:sz w:val="16"/>
                <w:szCs w:val="16"/>
              </w:rPr>
            </w:pPr>
            <w:r w:rsidRPr="00EB2FE9">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0A8D90" w14:textId="77777777" w:rsidR="00ED6C9E" w:rsidRPr="00EB2FE9" w:rsidRDefault="00ED6C9E" w:rsidP="00EB2FE9">
            <w:pPr>
              <w:spacing w:before="40" w:after="40" w:line="200" w:lineRule="atLeast"/>
              <w:jc w:val="center"/>
              <w:rPr>
                <w:sz w:val="16"/>
                <w:szCs w:val="16"/>
              </w:rPr>
            </w:pPr>
            <w:r w:rsidRPr="00EB2FE9">
              <w:rPr>
                <w:sz w:val="16"/>
                <w:szCs w:val="16"/>
                <w:lang w:val="fr-FR"/>
              </w:rPr>
              <w:t xml:space="preserve">T2 </w:t>
            </w:r>
            <w:r w:rsidRPr="00EB2FE9">
              <w:rPr>
                <w:sz w:val="16"/>
                <w:szCs w:val="16"/>
                <w:vertAlign w:val="superscript"/>
                <w:lang w:val="fr-FR"/>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FE5A02E" w14:textId="77777777" w:rsidR="00ED6C9E" w:rsidRPr="00EB2FE9" w:rsidRDefault="00ED6C9E" w:rsidP="00EB2FE9">
            <w:pPr>
              <w:spacing w:before="40" w:after="40" w:line="200" w:lineRule="atLeast"/>
              <w:jc w:val="center"/>
              <w:rPr>
                <w:sz w:val="16"/>
                <w:szCs w:val="16"/>
              </w:rPr>
            </w:pPr>
            <w:r w:rsidRPr="00EB2FE9">
              <w:rPr>
                <w:sz w:val="16"/>
                <w:szCs w:val="16"/>
                <w:lang w:val="fr-FR"/>
              </w:rPr>
              <w:t xml:space="preserve">IIA </w:t>
            </w:r>
            <w:r w:rsidRPr="00EB2FE9">
              <w:rPr>
                <w:sz w:val="16"/>
                <w:szCs w:val="16"/>
                <w:vertAlign w:val="superscript"/>
                <w:lang w:val="fr-FR"/>
              </w:rPr>
              <w:t>8</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73F00DE" w14:textId="77777777" w:rsidR="00ED6C9E" w:rsidRPr="00EB2FE9" w:rsidRDefault="00ED6C9E" w:rsidP="00EB2FE9">
            <w:pPr>
              <w:spacing w:before="40" w:after="40" w:line="200" w:lineRule="atLeast"/>
              <w:jc w:val="center"/>
              <w:rPr>
                <w:sz w:val="16"/>
                <w:szCs w:val="16"/>
              </w:rPr>
            </w:pPr>
            <w:r w:rsidRPr="00EB2FE9">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7111DBD" w14:textId="77777777" w:rsidR="00ED6C9E" w:rsidRPr="00EB2FE9" w:rsidRDefault="00ED6C9E" w:rsidP="00EB2FE9">
            <w:pPr>
              <w:spacing w:before="40" w:after="40" w:line="200" w:lineRule="atLeast"/>
              <w:jc w:val="center"/>
              <w:rPr>
                <w:sz w:val="16"/>
                <w:szCs w:val="16"/>
              </w:rPr>
            </w:pPr>
            <w:r w:rsidRPr="00EB2FE9">
              <w:rPr>
                <w:sz w:val="16"/>
                <w:szCs w:val="16"/>
                <w:lang w:val="fr-FR"/>
              </w:rPr>
              <w:t xml:space="preserve">PP, </w:t>
            </w:r>
            <w:r w:rsidRPr="00EB2FE9">
              <w:rPr>
                <w:b/>
                <w:bCs/>
                <w:sz w:val="16"/>
                <w:szCs w:val="16"/>
                <w:u w:val="single"/>
                <w:lang w:val="fr-FR"/>
              </w:rPr>
              <w:t>EP</w:t>
            </w:r>
            <w:r w:rsidRPr="00EB2FE9">
              <w:rPr>
                <w:sz w:val="16"/>
                <w:szCs w:val="16"/>
                <w:lang w:val="fr-FR"/>
              </w:rPr>
              <w:t xml:space="preserve">, EX, </w:t>
            </w:r>
            <w:r w:rsidRPr="00EB2FE9">
              <w:rPr>
                <w:b/>
                <w:bCs/>
                <w:sz w:val="16"/>
                <w:szCs w:val="16"/>
                <w:u w:val="single"/>
                <w:lang w:val="fr-FR"/>
              </w:rPr>
              <w:t>TOX</w:t>
            </w:r>
            <w:r w:rsidRPr="00EB2FE9">
              <w:rPr>
                <w:sz w:val="16"/>
                <w:szCs w:val="16"/>
                <w:lang w:val="fr-FR"/>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6AEB460" w14:textId="77777777" w:rsidR="00ED6C9E" w:rsidRPr="00EB2FE9" w:rsidRDefault="00ED6C9E" w:rsidP="00EB2FE9">
            <w:pPr>
              <w:spacing w:before="40" w:after="40" w:line="200" w:lineRule="atLeast"/>
              <w:jc w:val="center"/>
              <w:rPr>
                <w:sz w:val="16"/>
                <w:szCs w:val="16"/>
              </w:rPr>
            </w:pPr>
            <w:r w:rsidRPr="00EB2FE9">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4AA31E" w14:textId="77777777" w:rsidR="00ED6C9E" w:rsidRPr="00EB2FE9" w:rsidRDefault="00ED6C9E" w:rsidP="00EB2FE9">
            <w:pPr>
              <w:spacing w:before="40" w:after="40" w:line="200" w:lineRule="atLeast"/>
              <w:jc w:val="center"/>
              <w:rPr>
                <w:sz w:val="16"/>
                <w:szCs w:val="16"/>
                <w:lang w:bidi="th-TH"/>
              </w:rPr>
            </w:pPr>
          </w:p>
        </w:tc>
      </w:tr>
    </w:tbl>
    <w:bookmarkEnd w:id="1"/>
    <w:p w14:paraId="3C905DAA" w14:textId="2035FD0C" w:rsidR="00ED6C9E" w:rsidRPr="00DA5025" w:rsidRDefault="00ED6C9E" w:rsidP="00240557">
      <w:pPr>
        <w:pStyle w:val="SingleTxtG"/>
        <w:numPr>
          <w:ilvl w:val="0"/>
          <w:numId w:val="17"/>
        </w:numPr>
        <w:tabs>
          <w:tab w:val="left" w:pos="1701"/>
          <w:tab w:val="left" w:pos="2268"/>
          <w:tab w:val="left" w:pos="2835"/>
        </w:tabs>
        <w:spacing w:before="240" w:line="276" w:lineRule="auto"/>
        <w:ind w:left="1134" w:firstLine="0"/>
        <w:rPr>
          <w:lang w:val="fr-FR"/>
        </w:rPr>
      </w:pPr>
      <w:r>
        <w:rPr>
          <w:b/>
          <w:bCs/>
          <w:lang w:val="fr-FR"/>
        </w:rPr>
        <w:t>Nouvelle</w:t>
      </w:r>
      <w:r>
        <w:rPr>
          <w:lang w:val="fr-FR"/>
        </w:rPr>
        <w:t xml:space="preserve"> rubrique pour le </w:t>
      </w:r>
      <w:r w:rsidRPr="006747D0">
        <w:rPr>
          <w:lang w:val="fr-FR"/>
        </w:rPr>
        <w:t>N</w:t>
      </w:r>
      <w:r w:rsidRPr="0039721A">
        <w:rPr>
          <w:vertAlign w:val="superscript"/>
          <w:lang w:val="fr-FR"/>
        </w:rPr>
        <w:t>o</w:t>
      </w:r>
      <w:r w:rsidR="0039721A">
        <w:rPr>
          <w:lang w:val="fr-FR"/>
        </w:rPr>
        <w:t> </w:t>
      </w:r>
      <w:r>
        <w:rPr>
          <w:lang w:val="fr-FR"/>
        </w:rPr>
        <w:t>ONU 1223 KÉROSÈNE dans le tableau C du 3.2.3.2</w:t>
      </w:r>
      <w:r w:rsidR="0039721A">
        <w:rPr>
          <w:lang w:val="fr-FR"/>
        </w:rPr>
        <w:t> </w:t>
      </w:r>
      <w:r>
        <w:rPr>
          <w:lang w:val="fr-FR"/>
        </w:rPr>
        <w:t>:</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27"/>
        <w:gridCol w:w="649"/>
        <w:gridCol w:w="567"/>
        <w:gridCol w:w="567"/>
        <w:gridCol w:w="567"/>
        <w:gridCol w:w="567"/>
        <w:gridCol w:w="709"/>
        <w:gridCol w:w="567"/>
        <w:gridCol w:w="567"/>
        <w:gridCol w:w="567"/>
        <w:gridCol w:w="567"/>
        <w:gridCol w:w="704"/>
        <w:gridCol w:w="572"/>
        <w:gridCol w:w="704"/>
        <w:gridCol w:w="427"/>
        <w:gridCol w:w="850"/>
      </w:tblGrid>
      <w:tr w:rsidR="00ED6C9E" w:rsidRPr="0039721A" w14:paraId="6208F513" w14:textId="77777777" w:rsidTr="003B10C8">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96610E9" w14:textId="77777777" w:rsidR="00ED6C9E" w:rsidRPr="0039721A" w:rsidRDefault="00ED6C9E" w:rsidP="0039721A">
            <w:pPr>
              <w:spacing w:before="80" w:after="80" w:line="200" w:lineRule="exact"/>
              <w:jc w:val="center"/>
              <w:rPr>
                <w:sz w:val="16"/>
                <w:szCs w:val="16"/>
              </w:rPr>
            </w:pPr>
            <w:bookmarkStart w:id="2" w:name="_Hlk123734817"/>
            <w:r w:rsidRPr="0039721A">
              <w:rPr>
                <w:sz w:val="16"/>
                <w:szCs w:val="16"/>
                <w:lang w:val="fr-FR"/>
              </w:rPr>
              <w:t>(1)</w:t>
            </w:r>
          </w:p>
        </w:tc>
        <w:tc>
          <w:tcPr>
            <w:tcW w:w="2500" w:type="dxa"/>
            <w:tcBorders>
              <w:top w:val="single" w:sz="6" w:space="0" w:color="auto"/>
              <w:left w:val="single" w:sz="6" w:space="0" w:color="auto"/>
              <w:bottom w:val="single" w:sz="6" w:space="0" w:color="auto"/>
              <w:right w:val="single" w:sz="6" w:space="0" w:color="auto"/>
            </w:tcBorders>
          </w:tcPr>
          <w:p w14:paraId="2BA37F6E" w14:textId="77777777" w:rsidR="00ED6C9E" w:rsidRPr="0039721A" w:rsidRDefault="00ED6C9E" w:rsidP="0039721A">
            <w:pPr>
              <w:spacing w:before="80" w:after="80" w:line="200" w:lineRule="exact"/>
              <w:jc w:val="center"/>
              <w:rPr>
                <w:sz w:val="16"/>
                <w:szCs w:val="16"/>
              </w:rPr>
            </w:pPr>
            <w:r w:rsidRPr="0039721A">
              <w:rPr>
                <w:sz w:val="16"/>
                <w:szCs w:val="16"/>
                <w:lang w:val="fr-FR"/>
              </w:rPr>
              <w:t>(2)</w:t>
            </w:r>
          </w:p>
        </w:tc>
        <w:tc>
          <w:tcPr>
            <w:tcW w:w="346" w:type="dxa"/>
            <w:tcBorders>
              <w:top w:val="single" w:sz="6" w:space="0" w:color="auto"/>
              <w:left w:val="single" w:sz="6" w:space="0" w:color="auto"/>
              <w:bottom w:val="single" w:sz="6" w:space="0" w:color="auto"/>
              <w:right w:val="single" w:sz="4" w:space="0" w:color="auto"/>
            </w:tcBorders>
          </w:tcPr>
          <w:p w14:paraId="3A5C6F0F" w14:textId="77777777" w:rsidR="00ED6C9E" w:rsidRPr="0039721A" w:rsidRDefault="00ED6C9E" w:rsidP="0039721A">
            <w:pPr>
              <w:spacing w:before="80" w:after="80" w:line="200" w:lineRule="exact"/>
              <w:jc w:val="center"/>
              <w:rPr>
                <w:sz w:val="16"/>
                <w:szCs w:val="16"/>
              </w:rPr>
            </w:pPr>
            <w:r w:rsidRPr="0039721A">
              <w:rPr>
                <w:sz w:val="16"/>
                <w:szCs w:val="16"/>
                <w:lang w:val="fr-FR"/>
              </w:rPr>
              <w:t>(3a)</w:t>
            </w:r>
          </w:p>
        </w:tc>
        <w:tc>
          <w:tcPr>
            <w:tcW w:w="471" w:type="dxa"/>
            <w:tcBorders>
              <w:top w:val="single" w:sz="6" w:space="0" w:color="auto"/>
              <w:left w:val="single" w:sz="4" w:space="0" w:color="auto"/>
              <w:bottom w:val="single" w:sz="6" w:space="0" w:color="auto"/>
              <w:right w:val="single" w:sz="6" w:space="0" w:color="auto"/>
            </w:tcBorders>
          </w:tcPr>
          <w:p w14:paraId="071D72F6" w14:textId="77777777" w:rsidR="00ED6C9E" w:rsidRPr="0039721A" w:rsidRDefault="00ED6C9E" w:rsidP="0039721A">
            <w:pPr>
              <w:spacing w:before="80" w:after="80" w:line="200" w:lineRule="exact"/>
              <w:jc w:val="center"/>
              <w:rPr>
                <w:sz w:val="16"/>
                <w:szCs w:val="16"/>
              </w:rPr>
            </w:pPr>
            <w:r w:rsidRPr="0039721A">
              <w:rPr>
                <w:sz w:val="16"/>
                <w:szCs w:val="16"/>
                <w:lang w:val="fr-FR"/>
              </w:rPr>
              <w:t>(3b)</w:t>
            </w:r>
          </w:p>
        </w:tc>
        <w:tc>
          <w:tcPr>
            <w:tcW w:w="535" w:type="dxa"/>
            <w:tcBorders>
              <w:top w:val="single" w:sz="6" w:space="0" w:color="auto"/>
              <w:left w:val="single" w:sz="6" w:space="0" w:color="auto"/>
              <w:bottom w:val="single" w:sz="6" w:space="0" w:color="auto"/>
              <w:right w:val="single" w:sz="6" w:space="0" w:color="auto"/>
            </w:tcBorders>
          </w:tcPr>
          <w:p w14:paraId="0FCFF90C" w14:textId="77777777" w:rsidR="00ED6C9E" w:rsidRPr="0039721A" w:rsidRDefault="00ED6C9E" w:rsidP="0039721A">
            <w:pPr>
              <w:spacing w:before="80" w:after="80" w:line="200" w:lineRule="exact"/>
              <w:jc w:val="center"/>
              <w:rPr>
                <w:sz w:val="16"/>
                <w:szCs w:val="16"/>
              </w:rPr>
            </w:pPr>
            <w:r w:rsidRPr="0039721A">
              <w:rPr>
                <w:sz w:val="16"/>
                <w:szCs w:val="16"/>
                <w:lang w:val="fr-FR"/>
              </w:rPr>
              <w:t>(4)</w:t>
            </w:r>
          </w:p>
        </w:tc>
        <w:tc>
          <w:tcPr>
            <w:tcW w:w="627" w:type="dxa"/>
            <w:tcBorders>
              <w:top w:val="single" w:sz="6" w:space="0" w:color="auto"/>
              <w:left w:val="single" w:sz="6" w:space="0" w:color="auto"/>
              <w:bottom w:val="single" w:sz="6" w:space="0" w:color="auto"/>
              <w:right w:val="single" w:sz="6" w:space="0" w:color="auto"/>
            </w:tcBorders>
            <w:noWrap/>
          </w:tcPr>
          <w:p w14:paraId="3892053F" w14:textId="77777777" w:rsidR="00ED6C9E" w:rsidRPr="0039721A" w:rsidRDefault="00ED6C9E" w:rsidP="0039721A">
            <w:pPr>
              <w:spacing w:before="80" w:after="80" w:line="200" w:lineRule="exact"/>
              <w:jc w:val="center"/>
              <w:rPr>
                <w:sz w:val="16"/>
                <w:szCs w:val="16"/>
              </w:rPr>
            </w:pPr>
            <w:r w:rsidRPr="0039721A">
              <w:rPr>
                <w:sz w:val="16"/>
                <w:szCs w:val="16"/>
                <w:lang w:val="fr-FR"/>
              </w:rPr>
              <w:t>(5)</w:t>
            </w:r>
          </w:p>
        </w:tc>
        <w:tc>
          <w:tcPr>
            <w:tcW w:w="649" w:type="dxa"/>
            <w:tcBorders>
              <w:top w:val="single" w:sz="6" w:space="0" w:color="auto"/>
              <w:left w:val="single" w:sz="6" w:space="0" w:color="auto"/>
              <w:bottom w:val="single" w:sz="6" w:space="0" w:color="auto"/>
              <w:right w:val="single" w:sz="6" w:space="0" w:color="auto"/>
            </w:tcBorders>
          </w:tcPr>
          <w:p w14:paraId="54E00B17" w14:textId="77777777" w:rsidR="00ED6C9E" w:rsidRPr="0039721A" w:rsidRDefault="00ED6C9E" w:rsidP="0039721A">
            <w:pPr>
              <w:spacing w:before="80" w:after="80" w:line="200" w:lineRule="exact"/>
              <w:jc w:val="center"/>
              <w:rPr>
                <w:sz w:val="16"/>
                <w:szCs w:val="16"/>
              </w:rPr>
            </w:pPr>
            <w:r w:rsidRPr="0039721A">
              <w:rPr>
                <w:sz w:val="16"/>
                <w:szCs w:val="16"/>
                <w:lang w:val="fr-FR"/>
              </w:rPr>
              <w:t>(6)</w:t>
            </w:r>
          </w:p>
        </w:tc>
        <w:tc>
          <w:tcPr>
            <w:tcW w:w="567" w:type="dxa"/>
            <w:tcBorders>
              <w:top w:val="single" w:sz="6" w:space="0" w:color="auto"/>
              <w:left w:val="single" w:sz="6" w:space="0" w:color="auto"/>
              <w:bottom w:val="single" w:sz="6" w:space="0" w:color="auto"/>
              <w:right w:val="single" w:sz="6" w:space="0" w:color="auto"/>
            </w:tcBorders>
          </w:tcPr>
          <w:p w14:paraId="32165CF4" w14:textId="77777777" w:rsidR="00ED6C9E" w:rsidRPr="0039721A" w:rsidRDefault="00ED6C9E" w:rsidP="0039721A">
            <w:pPr>
              <w:spacing w:before="80" w:after="80" w:line="200" w:lineRule="exact"/>
              <w:jc w:val="center"/>
              <w:rPr>
                <w:sz w:val="16"/>
                <w:szCs w:val="16"/>
              </w:rPr>
            </w:pPr>
            <w:r w:rsidRPr="0039721A">
              <w:rPr>
                <w:sz w:val="16"/>
                <w:szCs w:val="16"/>
                <w:lang w:val="fr-FR"/>
              </w:rPr>
              <w:t>(7)</w:t>
            </w:r>
          </w:p>
        </w:tc>
        <w:tc>
          <w:tcPr>
            <w:tcW w:w="567" w:type="dxa"/>
            <w:tcBorders>
              <w:top w:val="single" w:sz="6" w:space="0" w:color="auto"/>
              <w:left w:val="single" w:sz="6" w:space="0" w:color="auto"/>
              <w:bottom w:val="single" w:sz="6" w:space="0" w:color="auto"/>
              <w:right w:val="single" w:sz="6" w:space="0" w:color="auto"/>
            </w:tcBorders>
          </w:tcPr>
          <w:p w14:paraId="1EF8D030" w14:textId="77777777" w:rsidR="00ED6C9E" w:rsidRPr="0039721A" w:rsidRDefault="00ED6C9E" w:rsidP="0039721A">
            <w:pPr>
              <w:spacing w:before="80" w:after="80" w:line="200" w:lineRule="exact"/>
              <w:jc w:val="center"/>
              <w:rPr>
                <w:sz w:val="16"/>
                <w:szCs w:val="16"/>
              </w:rPr>
            </w:pPr>
            <w:r w:rsidRPr="0039721A">
              <w:rPr>
                <w:sz w:val="16"/>
                <w:szCs w:val="16"/>
                <w:lang w:val="fr-FR"/>
              </w:rPr>
              <w:t>(8)</w:t>
            </w:r>
          </w:p>
        </w:tc>
        <w:tc>
          <w:tcPr>
            <w:tcW w:w="567" w:type="dxa"/>
            <w:tcBorders>
              <w:top w:val="single" w:sz="6" w:space="0" w:color="auto"/>
              <w:left w:val="single" w:sz="6" w:space="0" w:color="auto"/>
              <w:bottom w:val="single" w:sz="6" w:space="0" w:color="auto"/>
              <w:right w:val="single" w:sz="6" w:space="0" w:color="auto"/>
            </w:tcBorders>
          </w:tcPr>
          <w:p w14:paraId="4A578938" w14:textId="77777777" w:rsidR="00ED6C9E" w:rsidRPr="0039721A" w:rsidRDefault="00ED6C9E" w:rsidP="0039721A">
            <w:pPr>
              <w:spacing w:before="80" w:after="80" w:line="200" w:lineRule="exact"/>
              <w:jc w:val="center"/>
              <w:rPr>
                <w:sz w:val="16"/>
                <w:szCs w:val="16"/>
              </w:rPr>
            </w:pPr>
            <w:r w:rsidRPr="0039721A">
              <w:rPr>
                <w:sz w:val="16"/>
                <w:szCs w:val="16"/>
                <w:lang w:val="fr-FR"/>
              </w:rPr>
              <w:t>(9)</w:t>
            </w:r>
          </w:p>
        </w:tc>
        <w:tc>
          <w:tcPr>
            <w:tcW w:w="567" w:type="dxa"/>
            <w:tcBorders>
              <w:top w:val="single" w:sz="6" w:space="0" w:color="auto"/>
              <w:left w:val="single" w:sz="6" w:space="0" w:color="auto"/>
              <w:bottom w:val="single" w:sz="6" w:space="0" w:color="auto"/>
              <w:right w:val="single" w:sz="6" w:space="0" w:color="auto"/>
            </w:tcBorders>
          </w:tcPr>
          <w:p w14:paraId="1B3803A3" w14:textId="77777777" w:rsidR="00ED6C9E" w:rsidRPr="0039721A" w:rsidRDefault="00ED6C9E" w:rsidP="0039721A">
            <w:pPr>
              <w:spacing w:before="80" w:after="80" w:line="200" w:lineRule="exact"/>
              <w:jc w:val="center"/>
              <w:rPr>
                <w:sz w:val="16"/>
                <w:szCs w:val="16"/>
              </w:rPr>
            </w:pPr>
            <w:r w:rsidRPr="0039721A">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4EF032F8" w14:textId="77777777" w:rsidR="00ED6C9E" w:rsidRPr="0039721A" w:rsidRDefault="00ED6C9E" w:rsidP="0039721A">
            <w:pPr>
              <w:spacing w:before="80" w:after="80" w:line="200" w:lineRule="exact"/>
              <w:jc w:val="center"/>
              <w:rPr>
                <w:sz w:val="16"/>
                <w:szCs w:val="16"/>
              </w:rPr>
            </w:pPr>
            <w:r w:rsidRPr="0039721A">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6FE03B1E" w14:textId="77777777" w:rsidR="00ED6C9E" w:rsidRPr="0039721A" w:rsidRDefault="00ED6C9E" w:rsidP="0039721A">
            <w:pPr>
              <w:spacing w:before="80" w:after="80" w:line="200" w:lineRule="exact"/>
              <w:jc w:val="center"/>
              <w:rPr>
                <w:sz w:val="16"/>
                <w:szCs w:val="16"/>
              </w:rPr>
            </w:pPr>
            <w:r w:rsidRPr="0039721A">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0848E4BD" w14:textId="77777777" w:rsidR="00ED6C9E" w:rsidRPr="0039721A" w:rsidRDefault="00ED6C9E" w:rsidP="0039721A">
            <w:pPr>
              <w:spacing w:before="80" w:after="80" w:line="200" w:lineRule="exact"/>
              <w:jc w:val="center"/>
              <w:rPr>
                <w:sz w:val="16"/>
                <w:szCs w:val="16"/>
              </w:rPr>
            </w:pPr>
            <w:r w:rsidRPr="0039721A">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6F7BDD6E" w14:textId="77777777" w:rsidR="00ED6C9E" w:rsidRPr="0039721A" w:rsidRDefault="00ED6C9E" w:rsidP="0039721A">
            <w:pPr>
              <w:spacing w:before="80" w:after="80" w:line="200" w:lineRule="exact"/>
              <w:jc w:val="center"/>
              <w:rPr>
                <w:sz w:val="16"/>
                <w:szCs w:val="16"/>
              </w:rPr>
            </w:pPr>
            <w:r w:rsidRPr="0039721A">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7DEABCB1" w14:textId="77777777" w:rsidR="00ED6C9E" w:rsidRPr="0039721A" w:rsidRDefault="00ED6C9E" w:rsidP="0039721A">
            <w:pPr>
              <w:spacing w:before="80" w:after="80" w:line="200" w:lineRule="exact"/>
              <w:jc w:val="center"/>
              <w:rPr>
                <w:sz w:val="16"/>
                <w:szCs w:val="16"/>
              </w:rPr>
            </w:pPr>
            <w:r w:rsidRPr="0039721A">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3155DCB2" w14:textId="77777777" w:rsidR="00ED6C9E" w:rsidRPr="0039721A" w:rsidRDefault="00ED6C9E" w:rsidP="0039721A">
            <w:pPr>
              <w:spacing w:before="80" w:after="80" w:line="200" w:lineRule="exact"/>
              <w:jc w:val="center"/>
              <w:rPr>
                <w:sz w:val="16"/>
                <w:szCs w:val="16"/>
              </w:rPr>
            </w:pPr>
            <w:r w:rsidRPr="0039721A">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46005F06" w14:textId="77777777" w:rsidR="00ED6C9E" w:rsidRPr="0039721A" w:rsidRDefault="00ED6C9E" w:rsidP="0039721A">
            <w:pPr>
              <w:spacing w:before="80" w:after="80" w:line="200" w:lineRule="exact"/>
              <w:jc w:val="center"/>
              <w:rPr>
                <w:sz w:val="16"/>
                <w:szCs w:val="16"/>
              </w:rPr>
            </w:pPr>
            <w:r w:rsidRPr="0039721A">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174A322A" w14:textId="77777777" w:rsidR="00ED6C9E" w:rsidRPr="0039721A" w:rsidRDefault="00ED6C9E" w:rsidP="0039721A">
            <w:pPr>
              <w:spacing w:before="80" w:after="80" w:line="200" w:lineRule="exact"/>
              <w:jc w:val="center"/>
              <w:rPr>
                <w:sz w:val="16"/>
                <w:szCs w:val="16"/>
              </w:rPr>
            </w:pPr>
            <w:r w:rsidRPr="0039721A">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14732597" w14:textId="77777777" w:rsidR="00ED6C9E" w:rsidRPr="0039721A" w:rsidRDefault="00ED6C9E" w:rsidP="0039721A">
            <w:pPr>
              <w:spacing w:before="80" w:after="80" w:line="200" w:lineRule="exact"/>
              <w:jc w:val="center"/>
              <w:rPr>
                <w:sz w:val="16"/>
                <w:szCs w:val="16"/>
              </w:rPr>
            </w:pPr>
            <w:r w:rsidRPr="0039721A">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2075CB67" w14:textId="77777777" w:rsidR="00ED6C9E" w:rsidRPr="0039721A" w:rsidRDefault="00ED6C9E" w:rsidP="0039721A">
            <w:pPr>
              <w:spacing w:before="80" w:after="80" w:line="200" w:lineRule="exact"/>
              <w:jc w:val="center"/>
              <w:rPr>
                <w:sz w:val="16"/>
                <w:szCs w:val="16"/>
              </w:rPr>
            </w:pPr>
            <w:r w:rsidRPr="0039721A">
              <w:rPr>
                <w:sz w:val="16"/>
                <w:szCs w:val="16"/>
                <w:lang w:val="fr-FR"/>
              </w:rPr>
              <w:t>(20)</w:t>
            </w:r>
          </w:p>
        </w:tc>
      </w:tr>
      <w:tr w:rsidR="00ED6C9E" w:rsidRPr="0039721A" w14:paraId="1E30C913" w14:textId="77777777" w:rsidTr="003B10C8">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CAEBEC2" w14:textId="77777777" w:rsidR="00ED6C9E" w:rsidRPr="0039721A" w:rsidRDefault="00ED6C9E" w:rsidP="0039721A">
            <w:pPr>
              <w:spacing w:before="40" w:after="40" w:line="200" w:lineRule="atLeast"/>
              <w:jc w:val="cente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tcPr>
          <w:p w14:paraId="26D8DEB0"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3.1.2</w:t>
            </w:r>
          </w:p>
        </w:tc>
        <w:tc>
          <w:tcPr>
            <w:tcW w:w="346" w:type="dxa"/>
            <w:tcBorders>
              <w:top w:val="single" w:sz="6" w:space="0" w:color="auto"/>
              <w:left w:val="single" w:sz="6" w:space="0" w:color="auto"/>
              <w:bottom w:val="single" w:sz="6" w:space="0" w:color="auto"/>
              <w:right w:val="single" w:sz="4" w:space="0" w:color="auto"/>
            </w:tcBorders>
          </w:tcPr>
          <w:p w14:paraId="68E3C0FB"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2,2</w:t>
            </w:r>
          </w:p>
        </w:tc>
        <w:tc>
          <w:tcPr>
            <w:tcW w:w="471" w:type="dxa"/>
            <w:tcBorders>
              <w:top w:val="single" w:sz="6" w:space="0" w:color="auto"/>
              <w:left w:val="single" w:sz="4" w:space="0" w:color="auto"/>
              <w:bottom w:val="single" w:sz="6" w:space="0" w:color="auto"/>
              <w:right w:val="single" w:sz="6" w:space="0" w:color="auto"/>
            </w:tcBorders>
          </w:tcPr>
          <w:p w14:paraId="046F3C1F"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2,2</w:t>
            </w:r>
          </w:p>
        </w:tc>
        <w:tc>
          <w:tcPr>
            <w:tcW w:w="535" w:type="dxa"/>
            <w:tcBorders>
              <w:top w:val="single" w:sz="6" w:space="0" w:color="auto"/>
              <w:left w:val="single" w:sz="6" w:space="0" w:color="auto"/>
              <w:bottom w:val="single" w:sz="6" w:space="0" w:color="auto"/>
              <w:right w:val="single" w:sz="6" w:space="0" w:color="auto"/>
            </w:tcBorders>
          </w:tcPr>
          <w:p w14:paraId="3A622A0F"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2.1.1.3</w:t>
            </w:r>
          </w:p>
        </w:tc>
        <w:tc>
          <w:tcPr>
            <w:tcW w:w="627" w:type="dxa"/>
            <w:tcBorders>
              <w:top w:val="single" w:sz="6" w:space="0" w:color="auto"/>
              <w:left w:val="single" w:sz="6" w:space="0" w:color="auto"/>
              <w:bottom w:val="single" w:sz="6" w:space="0" w:color="auto"/>
              <w:right w:val="single" w:sz="6" w:space="0" w:color="auto"/>
            </w:tcBorders>
            <w:noWrap/>
          </w:tcPr>
          <w:p w14:paraId="62F44F26" w14:textId="1AEB8851" w:rsidR="00ED6C9E" w:rsidRPr="0039721A" w:rsidRDefault="00ED6C9E" w:rsidP="0039721A">
            <w:pPr>
              <w:spacing w:before="40" w:after="40" w:line="200" w:lineRule="atLeast"/>
              <w:jc w:val="center"/>
              <w:rPr>
                <w:sz w:val="16"/>
                <w:szCs w:val="16"/>
              </w:rPr>
            </w:pPr>
            <w:r w:rsidRPr="0039721A">
              <w:rPr>
                <w:b/>
                <w:bCs/>
                <w:sz w:val="16"/>
                <w:szCs w:val="16"/>
                <w:lang w:val="fr-FR"/>
              </w:rPr>
              <w:t>5.2.2/ 3.2.3.1</w:t>
            </w:r>
          </w:p>
        </w:tc>
        <w:tc>
          <w:tcPr>
            <w:tcW w:w="649" w:type="dxa"/>
            <w:tcBorders>
              <w:top w:val="single" w:sz="6" w:space="0" w:color="auto"/>
              <w:left w:val="single" w:sz="6" w:space="0" w:color="auto"/>
              <w:bottom w:val="single" w:sz="6" w:space="0" w:color="auto"/>
              <w:right w:val="single" w:sz="6" w:space="0" w:color="auto"/>
            </w:tcBorders>
          </w:tcPr>
          <w:p w14:paraId="518D4C81" w14:textId="58D946B1" w:rsidR="00ED6C9E" w:rsidRPr="0039721A" w:rsidRDefault="00ED6C9E" w:rsidP="0039721A">
            <w:pPr>
              <w:spacing w:before="40" w:after="40" w:line="200" w:lineRule="atLeast"/>
              <w:jc w:val="center"/>
              <w:rPr>
                <w:sz w:val="16"/>
                <w:szCs w:val="16"/>
              </w:rPr>
            </w:pPr>
            <w:r w:rsidRPr="0039721A">
              <w:rPr>
                <w:b/>
                <w:bCs/>
                <w:sz w:val="16"/>
                <w:szCs w:val="16"/>
                <w:lang w:val="fr-FR"/>
              </w:rPr>
              <w:t>1.2.1/ 7.2.2.0.1</w:t>
            </w:r>
          </w:p>
        </w:tc>
        <w:tc>
          <w:tcPr>
            <w:tcW w:w="567" w:type="dxa"/>
            <w:tcBorders>
              <w:top w:val="single" w:sz="6" w:space="0" w:color="auto"/>
              <w:left w:val="single" w:sz="6" w:space="0" w:color="auto"/>
              <w:bottom w:val="single" w:sz="6" w:space="0" w:color="auto"/>
              <w:right w:val="single" w:sz="6" w:space="0" w:color="auto"/>
            </w:tcBorders>
          </w:tcPr>
          <w:p w14:paraId="34BCD9B0" w14:textId="2279E824" w:rsidR="00ED6C9E" w:rsidRPr="0039721A" w:rsidRDefault="00ED6C9E" w:rsidP="0039721A">
            <w:pPr>
              <w:spacing w:before="40" w:after="40" w:line="200" w:lineRule="atLeast"/>
              <w:jc w:val="center"/>
              <w:rPr>
                <w:sz w:val="16"/>
                <w:szCs w:val="16"/>
              </w:rPr>
            </w:pPr>
            <w:r w:rsidRPr="0039721A">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4BF81332" w14:textId="39CB7FE0" w:rsidR="00ED6C9E" w:rsidRPr="0039721A" w:rsidRDefault="00ED6C9E" w:rsidP="0039721A">
            <w:pPr>
              <w:spacing w:before="40" w:after="40" w:line="200" w:lineRule="atLeast"/>
              <w:jc w:val="center"/>
              <w:rPr>
                <w:sz w:val="16"/>
                <w:szCs w:val="16"/>
              </w:rPr>
            </w:pPr>
            <w:r w:rsidRPr="0039721A">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07055257" w14:textId="4EF58333" w:rsidR="00ED6C9E" w:rsidRPr="0039721A" w:rsidRDefault="00ED6C9E" w:rsidP="0039721A">
            <w:pPr>
              <w:spacing w:before="40" w:after="40" w:line="200" w:lineRule="atLeast"/>
              <w:jc w:val="center"/>
              <w:rPr>
                <w:sz w:val="16"/>
                <w:szCs w:val="16"/>
              </w:rPr>
            </w:pPr>
            <w:r w:rsidRPr="0039721A">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723479AB" w14:textId="3BB718AA" w:rsidR="00ED6C9E" w:rsidRPr="0039721A" w:rsidRDefault="00ED6C9E" w:rsidP="0039721A">
            <w:pPr>
              <w:spacing w:before="40" w:after="40" w:line="200" w:lineRule="atLeast"/>
              <w:jc w:val="center"/>
              <w:rPr>
                <w:sz w:val="16"/>
                <w:szCs w:val="16"/>
              </w:rPr>
            </w:pPr>
            <w:r w:rsidRPr="0039721A">
              <w:rPr>
                <w:b/>
                <w:bCs/>
                <w:sz w:val="16"/>
                <w:szCs w:val="16"/>
                <w:lang w:val="fr-FR"/>
              </w:rPr>
              <w:t>3.2.3.1/ 1.2.1</w:t>
            </w:r>
          </w:p>
        </w:tc>
        <w:tc>
          <w:tcPr>
            <w:tcW w:w="709" w:type="dxa"/>
            <w:tcBorders>
              <w:top w:val="single" w:sz="6" w:space="0" w:color="auto"/>
              <w:left w:val="single" w:sz="6" w:space="0" w:color="auto"/>
              <w:bottom w:val="single" w:sz="6" w:space="0" w:color="auto"/>
              <w:right w:val="single" w:sz="6" w:space="0" w:color="auto"/>
            </w:tcBorders>
          </w:tcPr>
          <w:p w14:paraId="622C7973"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7.2.4.21</w:t>
            </w:r>
          </w:p>
        </w:tc>
        <w:tc>
          <w:tcPr>
            <w:tcW w:w="567" w:type="dxa"/>
            <w:tcBorders>
              <w:top w:val="single" w:sz="6" w:space="0" w:color="auto"/>
              <w:left w:val="single" w:sz="6" w:space="0" w:color="auto"/>
              <w:bottom w:val="single" w:sz="6" w:space="0" w:color="auto"/>
              <w:right w:val="single" w:sz="6" w:space="0" w:color="auto"/>
            </w:tcBorders>
          </w:tcPr>
          <w:p w14:paraId="5F3C1302"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3.2.3.1</w:t>
            </w:r>
          </w:p>
        </w:tc>
        <w:tc>
          <w:tcPr>
            <w:tcW w:w="567" w:type="dxa"/>
            <w:tcBorders>
              <w:top w:val="single" w:sz="6" w:space="0" w:color="auto"/>
              <w:left w:val="single" w:sz="6" w:space="0" w:color="auto"/>
              <w:bottom w:val="single" w:sz="6" w:space="0" w:color="auto"/>
              <w:right w:val="single" w:sz="6" w:space="0" w:color="auto"/>
            </w:tcBorders>
          </w:tcPr>
          <w:p w14:paraId="1EB21297" w14:textId="7A3A0320" w:rsidR="00ED6C9E" w:rsidRPr="0039721A" w:rsidRDefault="00ED6C9E" w:rsidP="0039721A">
            <w:pPr>
              <w:spacing w:before="40" w:after="40" w:line="200" w:lineRule="atLeast"/>
              <w:jc w:val="center"/>
              <w:rPr>
                <w:sz w:val="16"/>
                <w:szCs w:val="16"/>
              </w:rPr>
            </w:pPr>
            <w:r w:rsidRPr="0039721A">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307FDCAF" w14:textId="1E96ECDF" w:rsidR="00ED6C9E" w:rsidRPr="0039721A" w:rsidRDefault="00ED6C9E" w:rsidP="0039721A">
            <w:pPr>
              <w:spacing w:before="40" w:after="40" w:line="200" w:lineRule="atLeast"/>
              <w:jc w:val="center"/>
              <w:rPr>
                <w:sz w:val="16"/>
                <w:szCs w:val="16"/>
              </w:rPr>
            </w:pPr>
            <w:r w:rsidRPr="0039721A">
              <w:rPr>
                <w:b/>
                <w:bCs/>
                <w:sz w:val="16"/>
                <w:szCs w:val="16"/>
                <w:lang w:val="fr-FR"/>
              </w:rPr>
              <w:t>3.2.3.1/ 1.2.1</w:t>
            </w:r>
            <w:r w:rsidRPr="0039721A">
              <w:rPr>
                <w:sz w:val="16"/>
                <w:szCs w:val="16"/>
                <w:lang w:val="fr-FR"/>
              </w:rPr>
              <w:t xml:space="preserve"> </w:t>
            </w:r>
          </w:p>
        </w:tc>
        <w:tc>
          <w:tcPr>
            <w:tcW w:w="567" w:type="dxa"/>
            <w:tcBorders>
              <w:top w:val="single" w:sz="6" w:space="0" w:color="auto"/>
              <w:left w:val="single" w:sz="6" w:space="0" w:color="auto"/>
              <w:bottom w:val="single" w:sz="6" w:space="0" w:color="auto"/>
              <w:right w:val="single" w:sz="6" w:space="0" w:color="auto"/>
            </w:tcBorders>
          </w:tcPr>
          <w:p w14:paraId="3441F766"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1.2.1</w:t>
            </w:r>
          </w:p>
        </w:tc>
        <w:tc>
          <w:tcPr>
            <w:tcW w:w="704" w:type="dxa"/>
            <w:tcBorders>
              <w:top w:val="single" w:sz="6" w:space="0" w:color="auto"/>
              <w:left w:val="single" w:sz="6" w:space="0" w:color="auto"/>
              <w:bottom w:val="single" w:sz="6" w:space="0" w:color="auto"/>
              <w:right w:val="single" w:sz="6" w:space="0" w:color="auto"/>
            </w:tcBorders>
          </w:tcPr>
          <w:p w14:paraId="61BCC504" w14:textId="1F09DF6F" w:rsidR="00ED6C9E" w:rsidRPr="0039721A" w:rsidRDefault="00ED6C9E" w:rsidP="0039721A">
            <w:pPr>
              <w:spacing w:before="40" w:after="40" w:line="200" w:lineRule="atLeast"/>
              <w:jc w:val="center"/>
              <w:rPr>
                <w:sz w:val="16"/>
                <w:szCs w:val="16"/>
              </w:rPr>
            </w:pPr>
            <w:r w:rsidRPr="0039721A">
              <w:rPr>
                <w:b/>
                <w:bCs/>
                <w:sz w:val="16"/>
                <w:szCs w:val="16"/>
                <w:lang w:val="fr-FR"/>
              </w:rPr>
              <w:t>1.2.1/ 3.2.3.3</w:t>
            </w:r>
            <w:r w:rsidRPr="0039721A">
              <w:rPr>
                <w:sz w:val="16"/>
                <w:szCs w:val="16"/>
                <w:lang w:val="fr-FR"/>
              </w:rPr>
              <w:t xml:space="preserve"> </w:t>
            </w:r>
          </w:p>
        </w:tc>
        <w:tc>
          <w:tcPr>
            <w:tcW w:w="572" w:type="dxa"/>
            <w:tcBorders>
              <w:top w:val="single" w:sz="6" w:space="0" w:color="auto"/>
              <w:left w:val="single" w:sz="6" w:space="0" w:color="auto"/>
              <w:bottom w:val="single" w:sz="6" w:space="0" w:color="auto"/>
              <w:right w:val="single" w:sz="6" w:space="0" w:color="auto"/>
            </w:tcBorders>
          </w:tcPr>
          <w:p w14:paraId="21DF16CD" w14:textId="58CD768C" w:rsidR="00ED6C9E" w:rsidRPr="0039721A" w:rsidRDefault="00ED6C9E" w:rsidP="0039721A">
            <w:pPr>
              <w:spacing w:before="40" w:after="40" w:line="200" w:lineRule="atLeast"/>
              <w:jc w:val="center"/>
              <w:rPr>
                <w:sz w:val="16"/>
                <w:szCs w:val="16"/>
              </w:rPr>
            </w:pPr>
            <w:r w:rsidRPr="0039721A">
              <w:rPr>
                <w:b/>
                <w:bCs/>
                <w:sz w:val="16"/>
                <w:szCs w:val="16"/>
                <w:lang w:val="fr-FR"/>
              </w:rPr>
              <w:t>1.2.1/ 3.2.3.3</w:t>
            </w:r>
          </w:p>
        </w:tc>
        <w:tc>
          <w:tcPr>
            <w:tcW w:w="704" w:type="dxa"/>
            <w:tcBorders>
              <w:top w:val="single" w:sz="6" w:space="0" w:color="auto"/>
              <w:left w:val="single" w:sz="6" w:space="0" w:color="auto"/>
              <w:bottom w:val="single" w:sz="6" w:space="0" w:color="auto"/>
              <w:right w:val="single" w:sz="6" w:space="0" w:color="auto"/>
            </w:tcBorders>
          </w:tcPr>
          <w:p w14:paraId="067A82FA"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8.1.5</w:t>
            </w:r>
          </w:p>
        </w:tc>
        <w:tc>
          <w:tcPr>
            <w:tcW w:w="427" w:type="dxa"/>
            <w:tcBorders>
              <w:top w:val="single" w:sz="6" w:space="0" w:color="auto"/>
              <w:left w:val="single" w:sz="6" w:space="0" w:color="auto"/>
              <w:bottom w:val="single" w:sz="6" w:space="0" w:color="auto"/>
              <w:right w:val="single" w:sz="6" w:space="0" w:color="auto"/>
            </w:tcBorders>
          </w:tcPr>
          <w:p w14:paraId="24FF75C2"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7.2.5</w:t>
            </w:r>
          </w:p>
        </w:tc>
        <w:tc>
          <w:tcPr>
            <w:tcW w:w="850" w:type="dxa"/>
            <w:tcBorders>
              <w:top w:val="single" w:sz="6" w:space="0" w:color="auto"/>
              <w:left w:val="single" w:sz="6" w:space="0" w:color="auto"/>
              <w:bottom w:val="single" w:sz="6" w:space="0" w:color="auto"/>
              <w:right w:val="single" w:sz="6" w:space="0" w:color="auto"/>
            </w:tcBorders>
          </w:tcPr>
          <w:p w14:paraId="77554B25" w14:textId="77777777" w:rsidR="00ED6C9E" w:rsidRPr="0039721A" w:rsidRDefault="00ED6C9E" w:rsidP="0039721A">
            <w:pPr>
              <w:spacing w:before="40" w:after="40" w:line="200" w:lineRule="atLeast"/>
              <w:jc w:val="center"/>
              <w:rPr>
                <w:sz w:val="16"/>
                <w:szCs w:val="16"/>
              </w:rPr>
            </w:pPr>
            <w:r w:rsidRPr="0039721A">
              <w:rPr>
                <w:b/>
                <w:bCs/>
                <w:sz w:val="16"/>
                <w:szCs w:val="16"/>
                <w:lang w:val="fr-FR"/>
              </w:rPr>
              <w:t>3.2.3.1</w:t>
            </w:r>
          </w:p>
        </w:tc>
      </w:tr>
      <w:tr w:rsidR="00ED6C9E" w:rsidRPr="0039721A" w14:paraId="2C80337E" w14:textId="77777777" w:rsidTr="003B10C8">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02391824" w14:textId="72A28D9C" w:rsidR="00ED6C9E" w:rsidRPr="0039721A" w:rsidRDefault="00ED6C9E" w:rsidP="0039721A">
            <w:pPr>
              <w:spacing w:before="40" w:after="40" w:line="200" w:lineRule="atLeast"/>
              <w:jc w:val="center"/>
              <w:rPr>
                <w:sz w:val="16"/>
                <w:szCs w:val="16"/>
                <w:lang w:bidi="th-TH"/>
              </w:rPr>
            </w:pPr>
            <w:r w:rsidRPr="0039721A">
              <w:rPr>
                <w:sz w:val="16"/>
                <w:szCs w:val="16"/>
                <w:lang w:val="fr-FR"/>
              </w:rPr>
              <w:t>1223</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35FCD55" w14:textId="77777777" w:rsidR="00ED6C9E" w:rsidRPr="0039721A" w:rsidRDefault="00ED6C9E" w:rsidP="0039721A">
            <w:pPr>
              <w:spacing w:before="40" w:after="40" w:line="200" w:lineRule="atLeast"/>
              <w:jc w:val="center"/>
              <w:rPr>
                <w:sz w:val="16"/>
                <w:szCs w:val="16"/>
              </w:rPr>
            </w:pPr>
            <w:r w:rsidRPr="0039721A">
              <w:rPr>
                <w:sz w:val="16"/>
                <w:szCs w:val="16"/>
                <w:lang w:val="fr-FR"/>
              </w:rPr>
              <w:t xml:space="preserve">KÉROSÈNE </w:t>
            </w:r>
            <w:r w:rsidRPr="0039721A">
              <w:rPr>
                <w:b/>
                <w:bCs/>
                <w:sz w:val="16"/>
                <w:szCs w:val="16"/>
                <w:lang w:val="fr-FR"/>
              </w:rPr>
              <w:t>(contenant du cumène)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D550ED2" w14:textId="77777777" w:rsidR="00ED6C9E" w:rsidRPr="0039721A" w:rsidRDefault="00ED6C9E" w:rsidP="0039721A">
            <w:pPr>
              <w:spacing w:before="40" w:after="40" w:line="200" w:lineRule="atLeast"/>
              <w:jc w:val="center"/>
              <w:rPr>
                <w:sz w:val="16"/>
                <w:szCs w:val="16"/>
              </w:rPr>
            </w:pPr>
            <w:r w:rsidRPr="0039721A">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3267011" w14:textId="77777777" w:rsidR="00ED6C9E" w:rsidRPr="0039721A" w:rsidRDefault="00ED6C9E" w:rsidP="0039721A">
            <w:pPr>
              <w:spacing w:before="40" w:after="40" w:line="200" w:lineRule="atLeast"/>
              <w:jc w:val="center"/>
              <w:rPr>
                <w:sz w:val="16"/>
                <w:szCs w:val="16"/>
              </w:rPr>
            </w:pPr>
            <w:r w:rsidRPr="0039721A">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4A63E07" w14:textId="77777777" w:rsidR="00ED6C9E" w:rsidRPr="0039721A" w:rsidRDefault="00ED6C9E" w:rsidP="0039721A">
            <w:pPr>
              <w:spacing w:before="40" w:after="40" w:line="200" w:lineRule="atLeast"/>
              <w:jc w:val="center"/>
              <w:rPr>
                <w:sz w:val="16"/>
                <w:szCs w:val="16"/>
              </w:rPr>
            </w:pPr>
            <w:r w:rsidRPr="0039721A">
              <w:rPr>
                <w:sz w:val="16"/>
                <w:szCs w:val="16"/>
                <w:lang w:val="fr-FR"/>
              </w:rPr>
              <w:t>III</w:t>
            </w:r>
          </w:p>
        </w:tc>
        <w:tc>
          <w:tcPr>
            <w:tcW w:w="627" w:type="dxa"/>
            <w:tcBorders>
              <w:top w:val="single" w:sz="6" w:space="0" w:color="auto"/>
              <w:left w:val="single" w:sz="6" w:space="0" w:color="auto"/>
              <w:bottom w:val="single" w:sz="6" w:space="0" w:color="auto"/>
              <w:right w:val="single" w:sz="6" w:space="0" w:color="auto"/>
            </w:tcBorders>
            <w:shd w:val="clear" w:color="auto" w:fill="auto"/>
            <w:noWrap/>
          </w:tcPr>
          <w:p w14:paraId="18A66425" w14:textId="77777777" w:rsidR="00ED6C9E" w:rsidRPr="0039721A" w:rsidRDefault="00ED6C9E" w:rsidP="0039721A">
            <w:pPr>
              <w:spacing w:before="40" w:after="40" w:line="200" w:lineRule="atLeast"/>
              <w:jc w:val="center"/>
              <w:rPr>
                <w:b/>
                <w:bCs/>
                <w:sz w:val="16"/>
                <w:szCs w:val="16"/>
                <w:u w:val="single"/>
              </w:rPr>
            </w:pPr>
            <w:r w:rsidRPr="0039721A">
              <w:rPr>
                <w:sz w:val="16"/>
                <w:szCs w:val="16"/>
                <w:lang w:val="fr-FR"/>
              </w:rPr>
              <w:t>3+N2</w:t>
            </w:r>
            <w:r w:rsidRPr="0039721A">
              <w:rPr>
                <w:sz w:val="16"/>
                <w:szCs w:val="16"/>
                <w:u w:val="single"/>
                <w:lang w:val="fr-FR"/>
              </w:rPr>
              <w:t>+</w:t>
            </w:r>
          </w:p>
          <w:p w14:paraId="425C8B80" w14:textId="77777777" w:rsidR="00ED6C9E" w:rsidRPr="0039721A" w:rsidRDefault="00ED6C9E" w:rsidP="0039721A">
            <w:pPr>
              <w:spacing w:before="40" w:after="40" w:line="200" w:lineRule="atLeast"/>
              <w:jc w:val="center"/>
              <w:rPr>
                <w:b/>
                <w:bCs/>
                <w:sz w:val="16"/>
                <w:szCs w:val="16"/>
                <w:u w:val="single"/>
              </w:rPr>
            </w:pPr>
            <w:r w:rsidRPr="0039721A">
              <w:rPr>
                <w:b/>
                <w:bCs/>
                <w:sz w:val="16"/>
                <w:szCs w:val="16"/>
                <w:u w:val="single"/>
                <w:lang w:val="fr-FR"/>
              </w:rPr>
              <w:t>CMR</w:t>
            </w:r>
          </w:p>
        </w:tc>
        <w:tc>
          <w:tcPr>
            <w:tcW w:w="649" w:type="dxa"/>
            <w:tcBorders>
              <w:top w:val="single" w:sz="6" w:space="0" w:color="auto"/>
              <w:left w:val="single" w:sz="6" w:space="0" w:color="auto"/>
              <w:bottom w:val="single" w:sz="6" w:space="0" w:color="auto"/>
              <w:right w:val="single" w:sz="6" w:space="0" w:color="auto"/>
            </w:tcBorders>
            <w:shd w:val="clear" w:color="auto" w:fill="auto"/>
          </w:tcPr>
          <w:p w14:paraId="73607FD8" w14:textId="77777777" w:rsidR="00ED6C9E" w:rsidRPr="0039721A" w:rsidRDefault="00ED6C9E" w:rsidP="0039721A">
            <w:pPr>
              <w:spacing w:before="40" w:after="40" w:line="200" w:lineRule="atLeast"/>
              <w:jc w:val="center"/>
              <w:rPr>
                <w:sz w:val="16"/>
                <w:szCs w:val="16"/>
              </w:rPr>
            </w:pPr>
            <w:r w:rsidRPr="0039721A">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157335" w14:textId="77777777" w:rsidR="00ED6C9E" w:rsidRPr="0039721A" w:rsidRDefault="00ED6C9E" w:rsidP="0039721A">
            <w:pPr>
              <w:spacing w:before="40" w:after="40" w:line="200" w:lineRule="atLeast"/>
              <w:jc w:val="center"/>
              <w:rPr>
                <w:sz w:val="16"/>
                <w:szCs w:val="16"/>
              </w:rPr>
            </w:pPr>
            <w:r w:rsidRPr="0039721A">
              <w:rPr>
                <w:strike/>
                <w:sz w:val="16"/>
                <w:szCs w:val="16"/>
                <w:lang w:val="fr-FR"/>
              </w:rPr>
              <w:t>3</w:t>
            </w:r>
            <w:r w:rsidRPr="0039721A">
              <w:rPr>
                <w:sz w:val="16"/>
                <w:szCs w:val="16"/>
                <w:lang w:val="fr-FR"/>
              </w:rPr>
              <w:t xml:space="preserve"> </w:t>
            </w:r>
            <w:r w:rsidRPr="0039721A">
              <w:rPr>
                <w:b/>
                <w:bCs/>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9F1AE44" w14:textId="77777777" w:rsidR="00ED6C9E" w:rsidRPr="0039721A" w:rsidRDefault="00ED6C9E" w:rsidP="0039721A">
            <w:pPr>
              <w:spacing w:before="40" w:after="40" w:line="200" w:lineRule="atLeast"/>
              <w:jc w:val="center"/>
              <w:rPr>
                <w:sz w:val="16"/>
                <w:szCs w:val="16"/>
              </w:rPr>
            </w:pPr>
            <w:r w:rsidRPr="0039721A">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B743C3" w14:textId="77777777" w:rsidR="00ED6C9E" w:rsidRPr="0039721A" w:rsidRDefault="00ED6C9E" w:rsidP="0039721A">
            <w:pPr>
              <w:spacing w:before="40" w:after="40" w:line="200" w:lineRule="atLeast"/>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AF809C" w14:textId="77777777" w:rsidR="00ED6C9E" w:rsidRPr="0039721A" w:rsidRDefault="00ED6C9E" w:rsidP="0039721A">
            <w:pPr>
              <w:spacing w:before="40" w:after="40" w:line="200" w:lineRule="atLeast"/>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3E5A24F" w14:textId="77777777" w:rsidR="00ED6C9E" w:rsidRPr="0039721A" w:rsidRDefault="00ED6C9E" w:rsidP="0039721A">
            <w:pPr>
              <w:spacing w:before="40" w:after="40" w:line="200" w:lineRule="atLeast"/>
              <w:jc w:val="center"/>
              <w:rPr>
                <w:sz w:val="16"/>
                <w:szCs w:val="16"/>
              </w:rPr>
            </w:pPr>
            <w:r w:rsidRPr="0039721A">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B908F08" w14:textId="77777777" w:rsidR="00ED6C9E" w:rsidRPr="0039721A" w:rsidRDefault="00ED6C9E" w:rsidP="0039721A">
            <w:pPr>
              <w:spacing w:before="40" w:after="40" w:line="200" w:lineRule="atLeast"/>
              <w:jc w:val="center"/>
              <w:rPr>
                <w:sz w:val="16"/>
                <w:szCs w:val="16"/>
              </w:rPr>
            </w:pPr>
            <w:r w:rsidRPr="0039721A">
              <w:rPr>
                <w:sz w:val="16"/>
                <w:szCs w:val="16"/>
                <w:lang w:val="fr-FR"/>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CC1A0B" w14:textId="77777777" w:rsidR="00ED6C9E" w:rsidRPr="0039721A" w:rsidRDefault="00ED6C9E" w:rsidP="0039721A">
            <w:pPr>
              <w:spacing w:before="40" w:after="40" w:line="200" w:lineRule="atLeast"/>
              <w:jc w:val="center"/>
              <w:rPr>
                <w:sz w:val="16"/>
                <w:szCs w:val="16"/>
              </w:rPr>
            </w:pPr>
            <w:r w:rsidRPr="0039721A">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1006D0" w14:textId="77777777" w:rsidR="00ED6C9E" w:rsidRPr="0039721A" w:rsidRDefault="00ED6C9E" w:rsidP="0039721A">
            <w:pPr>
              <w:spacing w:before="40" w:after="40" w:line="200" w:lineRule="atLeast"/>
              <w:jc w:val="center"/>
              <w:rPr>
                <w:sz w:val="16"/>
                <w:szCs w:val="16"/>
              </w:rPr>
            </w:pPr>
            <w:r w:rsidRPr="0039721A">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E24C48" w14:textId="77777777" w:rsidR="00ED6C9E" w:rsidRPr="0039721A" w:rsidRDefault="00ED6C9E" w:rsidP="0039721A">
            <w:pPr>
              <w:spacing w:before="40" w:after="40" w:line="200" w:lineRule="atLeast"/>
              <w:jc w:val="center"/>
              <w:rPr>
                <w:sz w:val="16"/>
                <w:szCs w:val="16"/>
              </w:rPr>
            </w:pPr>
            <w:r w:rsidRPr="0039721A">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9951D3B" w14:textId="77777777" w:rsidR="00ED6C9E" w:rsidRPr="0039721A" w:rsidRDefault="00ED6C9E" w:rsidP="0039721A">
            <w:pPr>
              <w:spacing w:before="40" w:after="40" w:line="200" w:lineRule="atLeast"/>
              <w:jc w:val="center"/>
              <w:rPr>
                <w:sz w:val="16"/>
                <w:szCs w:val="16"/>
              </w:rPr>
            </w:pPr>
            <w:r w:rsidRPr="0039721A">
              <w:rPr>
                <w:sz w:val="16"/>
                <w:szCs w:val="16"/>
                <w:lang w:val="fr-FR"/>
              </w:rPr>
              <w:t xml:space="preserve">IIA </w:t>
            </w:r>
            <w:r w:rsidRPr="0039721A">
              <w:rPr>
                <w:sz w:val="16"/>
                <w:szCs w:val="16"/>
                <w:vertAlign w:val="superscript"/>
                <w:lang w:val="fr-FR"/>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88F2752" w14:textId="77777777" w:rsidR="00ED6C9E" w:rsidRPr="0039721A" w:rsidRDefault="00ED6C9E" w:rsidP="0039721A">
            <w:pPr>
              <w:spacing w:before="40" w:after="40" w:line="200" w:lineRule="atLeast"/>
              <w:jc w:val="center"/>
              <w:rPr>
                <w:sz w:val="16"/>
                <w:szCs w:val="16"/>
              </w:rPr>
            </w:pPr>
            <w:r w:rsidRPr="0039721A">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6E421D1" w14:textId="77777777" w:rsidR="00ED6C9E" w:rsidRPr="0039721A" w:rsidRDefault="00ED6C9E" w:rsidP="0039721A">
            <w:pPr>
              <w:spacing w:before="40" w:after="40" w:line="200" w:lineRule="atLeast"/>
              <w:jc w:val="center"/>
              <w:rPr>
                <w:sz w:val="16"/>
                <w:szCs w:val="16"/>
              </w:rPr>
            </w:pPr>
            <w:r w:rsidRPr="0039721A">
              <w:rPr>
                <w:sz w:val="16"/>
                <w:szCs w:val="16"/>
                <w:lang w:val="fr-FR"/>
              </w:rPr>
              <w:t xml:space="preserve">PP, </w:t>
            </w:r>
            <w:r w:rsidRPr="0039721A">
              <w:rPr>
                <w:b/>
                <w:bCs/>
                <w:sz w:val="16"/>
                <w:szCs w:val="16"/>
                <w:u w:val="single"/>
                <w:lang w:val="fr-FR"/>
              </w:rPr>
              <w:t>EP</w:t>
            </w:r>
            <w:r w:rsidRPr="0039721A">
              <w:rPr>
                <w:sz w:val="16"/>
                <w:szCs w:val="16"/>
                <w:lang w:val="fr-FR"/>
              </w:rPr>
              <w:t xml:space="preserve">, EX, </w:t>
            </w:r>
            <w:r w:rsidRPr="0039721A">
              <w:rPr>
                <w:b/>
                <w:bCs/>
                <w:sz w:val="16"/>
                <w:szCs w:val="16"/>
                <w:u w:val="single"/>
                <w:lang w:val="fr-FR"/>
              </w:rPr>
              <w:t>TOX</w:t>
            </w:r>
            <w:r w:rsidRPr="0039721A">
              <w:rPr>
                <w:sz w:val="16"/>
                <w:szCs w:val="16"/>
                <w:lang w:val="fr-FR"/>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8F25580" w14:textId="77777777" w:rsidR="00ED6C9E" w:rsidRPr="0039721A" w:rsidRDefault="00ED6C9E" w:rsidP="0039721A">
            <w:pPr>
              <w:spacing w:before="40" w:after="40" w:line="200" w:lineRule="atLeast"/>
              <w:jc w:val="center"/>
              <w:rPr>
                <w:sz w:val="16"/>
                <w:szCs w:val="16"/>
              </w:rPr>
            </w:pPr>
            <w:r w:rsidRPr="0039721A">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3C6CBAA" w14:textId="77777777" w:rsidR="00ED6C9E" w:rsidRPr="0039721A" w:rsidRDefault="00ED6C9E" w:rsidP="0039721A">
            <w:pPr>
              <w:spacing w:before="40" w:after="40" w:line="200" w:lineRule="atLeast"/>
              <w:jc w:val="center"/>
              <w:rPr>
                <w:sz w:val="16"/>
                <w:szCs w:val="16"/>
              </w:rPr>
            </w:pPr>
            <w:r w:rsidRPr="0039721A">
              <w:rPr>
                <w:sz w:val="16"/>
                <w:szCs w:val="16"/>
                <w:lang w:val="fr-FR"/>
              </w:rPr>
              <w:t>14</w:t>
            </w:r>
          </w:p>
        </w:tc>
      </w:tr>
    </w:tbl>
    <w:bookmarkEnd w:id="2"/>
    <w:p w14:paraId="47BA7D62" w14:textId="15B4C1D1" w:rsidR="00ED6C9E" w:rsidRPr="00DA5025" w:rsidRDefault="00ED6C9E" w:rsidP="00240557">
      <w:pPr>
        <w:pStyle w:val="SingleTxtG"/>
        <w:keepNext/>
        <w:numPr>
          <w:ilvl w:val="0"/>
          <w:numId w:val="17"/>
        </w:numPr>
        <w:tabs>
          <w:tab w:val="left" w:pos="1701"/>
          <w:tab w:val="left" w:pos="2268"/>
          <w:tab w:val="left" w:pos="2835"/>
        </w:tabs>
        <w:spacing w:before="240" w:line="276" w:lineRule="auto"/>
        <w:ind w:left="1134" w:firstLine="0"/>
        <w:rPr>
          <w:lang w:val="fr-FR"/>
        </w:rPr>
      </w:pPr>
      <w:r>
        <w:rPr>
          <w:b/>
          <w:bCs/>
          <w:lang w:val="fr-FR"/>
        </w:rPr>
        <w:t xml:space="preserve">Ajout de trois nouvelles </w:t>
      </w:r>
      <w:r>
        <w:rPr>
          <w:lang w:val="fr-FR"/>
        </w:rPr>
        <w:t>rubriques pour le N</w:t>
      </w:r>
      <w:r w:rsidRPr="00240557">
        <w:rPr>
          <w:vertAlign w:val="superscript"/>
          <w:lang w:val="fr-FR"/>
        </w:rPr>
        <w:t>o</w:t>
      </w:r>
      <w:r w:rsidR="00240557">
        <w:rPr>
          <w:lang w:val="fr-FR"/>
        </w:rPr>
        <w:t> </w:t>
      </w:r>
      <w:r>
        <w:rPr>
          <w:lang w:val="fr-FR"/>
        </w:rPr>
        <w:t>ONU 1307 XYLÈNES dans le tableau C du 3.2.3.2</w:t>
      </w:r>
      <w:r w:rsidR="00240557">
        <w:rPr>
          <w:lang w:val="fr-FR"/>
        </w:rPr>
        <w:t> </w:t>
      </w:r>
      <w:r>
        <w:rPr>
          <w:lang w:val="fr-FR"/>
        </w:rPr>
        <w:t>:</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41"/>
        <w:gridCol w:w="635"/>
        <w:gridCol w:w="567"/>
        <w:gridCol w:w="567"/>
        <w:gridCol w:w="567"/>
        <w:gridCol w:w="567"/>
        <w:gridCol w:w="709"/>
        <w:gridCol w:w="567"/>
        <w:gridCol w:w="567"/>
        <w:gridCol w:w="567"/>
        <w:gridCol w:w="567"/>
        <w:gridCol w:w="704"/>
        <w:gridCol w:w="572"/>
        <w:gridCol w:w="704"/>
        <w:gridCol w:w="427"/>
        <w:gridCol w:w="850"/>
      </w:tblGrid>
      <w:tr w:rsidR="00ED6C9E" w:rsidRPr="00240557" w14:paraId="7C63C520" w14:textId="77777777" w:rsidTr="0024055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8690000"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w:t>
            </w:r>
          </w:p>
        </w:tc>
        <w:tc>
          <w:tcPr>
            <w:tcW w:w="2500" w:type="dxa"/>
            <w:tcBorders>
              <w:top w:val="single" w:sz="6" w:space="0" w:color="auto"/>
              <w:left w:val="single" w:sz="6" w:space="0" w:color="auto"/>
              <w:bottom w:val="single" w:sz="6" w:space="0" w:color="auto"/>
              <w:right w:val="single" w:sz="6" w:space="0" w:color="auto"/>
            </w:tcBorders>
          </w:tcPr>
          <w:p w14:paraId="4F31F350"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(2)</w:t>
            </w:r>
          </w:p>
        </w:tc>
        <w:tc>
          <w:tcPr>
            <w:tcW w:w="346" w:type="dxa"/>
            <w:tcBorders>
              <w:top w:val="single" w:sz="6" w:space="0" w:color="auto"/>
              <w:left w:val="single" w:sz="6" w:space="0" w:color="auto"/>
              <w:bottom w:val="single" w:sz="6" w:space="0" w:color="auto"/>
              <w:right w:val="single" w:sz="4" w:space="0" w:color="auto"/>
            </w:tcBorders>
          </w:tcPr>
          <w:p w14:paraId="4A5032CE"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(3a)</w:t>
            </w:r>
          </w:p>
        </w:tc>
        <w:tc>
          <w:tcPr>
            <w:tcW w:w="471" w:type="dxa"/>
            <w:tcBorders>
              <w:top w:val="single" w:sz="6" w:space="0" w:color="auto"/>
              <w:left w:val="single" w:sz="4" w:space="0" w:color="auto"/>
              <w:bottom w:val="single" w:sz="6" w:space="0" w:color="auto"/>
              <w:right w:val="single" w:sz="6" w:space="0" w:color="auto"/>
            </w:tcBorders>
          </w:tcPr>
          <w:p w14:paraId="01B9F483"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(3b)</w:t>
            </w:r>
          </w:p>
        </w:tc>
        <w:tc>
          <w:tcPr>
            <w:tcW w:w="535" w:type="dxa"/>
            <w:tcBorders>
              <w:top w:val="single" w:sz="6" w:space="0" w:color="auto"/>
              <w:left w:val="single" w:sz="6" w:space="0" w:color="auto"/>
              <w:bottom w:val="single" w:sz="6" w:space="0" w:color="auto"/>
              <w:right w:val="single" w:sz="6" w:space="0" w:color="auto"/>
            </w:tcBorders>
          </w:tcPr>
          <w:p w14:paraId="55E5F9BD"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(4)</w:t>
            </w:r>
          </w:p>
        </w:tc>
        <w:tc>
          <w:tcPr>
            <w:tcW w:w="641" w:type="dxa"/>
            <w:tcBorders>
              <w:top w:val="single" w:sz="6" w:space="0" w:color="auto"/>
              <w:left w:val="single" w:sz="6" w:space="0" w:color="auto"/>
              <w:bottom w:val="single" w:sz="6" w:space="0" w:color="auto"/>
              <w:right w:val="single" w:sz="6" w:space="0" w:color="auto"/>
            </w:tcBorders>
            <w:noWrap/>
          </w:tcPr>
          <w:p w14:paraId="72AAB1AF"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(5)</w:t>
            </w:r>
          </w:p>
        </w:tc>
        <w:tc>
          <w:tcPr>
            <w:tcW w:w="635" w:type="dxa"/>
            <w:tcBorders>
              <w:top w:val="single" w:sz="6" w:space="0" w:color="auto"/>
              <w:left w:val="single" w:sz="6" w:space="0" w:color="auto"/>
              <w:bottom w:val="single" w:sz="6" w:space="0" w:color="auto"/>
              <w:right w:val="single" w:sz="6" w:space="0" w:color="auto"/>
            </w:tcBorders>
          </w:tcPr>
          <w:p w14:paraId="196F783E"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(6)</w:t>
            </w:r>
          </w:p>
        </w:tc>
        <w:tc>
          <w:tcPr>
            <w:tcW w:w="567" w:type="dxa"/>
            <w:tcBorders>
              <w:top w:val="single" w:sz="6" w:space="0" w:color="auto"/>
              <w:left w:val="single" w:sz="6" w:space="0" w:color="auto"/>
              <w:bottom w:val="single" w:sz="6" w:space="0" w:color="auto"/>
              <w:right w:val="single" w:sz="6" w:space="0" w:color="auto"/>
            </w:tcBorders>
          </w:tcPr>
          <w:p w14:paraId="6464AB21"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(7)</w:t>
            </w:r>
          </w:p>
        </w:tc>
        <w:tc>
          <w:tcPr>
            <w:tcW w:w="567" w:type="dxa"/>
            <w:tcBorders>
              <w:top w:val="single" w:sz="6" w:space="0" w:color="auto"/>
              <w:left w:val="single" w:sz="6" w:space="0" w:color="auto"/>
              <w:bottom w:val="single" w:sz="6" w:space="0" w:color="auto"/>
              <w:right w:val="single" w:sz="6" w:space="0" w:color="auto"/>
            </w:tcBorders>
          </w:tcPr>
          <w:p w14:paraId="0505EB35"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(8)</w:t>
            </w:r>
          </w:p>
        </w:tc>
        <w:tc>
          <w:tcPr>
            <w:tcW w:w="567" w:type="dxa"/>
            <w:tcBorders>
              <w:top w:val="single" w:sz="6" w:space="0" w:color="auto"/>
              <w:left w:val="single" w:sz="6" w:space="0" w:color="auto"/>
              <w:bottom w:val="single" w:sz="6" w:space="0" w:color="auto"/>
              <w:right w:val="single" w:sz="6" w:space="0" w:color="auto"/>
            </w:tcBorders>
          </w:tcPr>
          <w:p w14:paraId="4F1CF80A"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(9)</w:t>
            </w:r>
          </w:p>
        </w:tc>
        <w:tc>
          <w:tcPr>
            <w:tcW w:w="567" w:type="dxa"/>
            <w:tcBorders>
              <w:top w:val="single" w:sz="6" w:space="0" w:color="auto"/>
              <w:left w:val="single" w:sz="6" w:space="0" w:color="auto"/>
              <w:bottom w:val="single" w:sz="6" w:space="0" w:color="auto"/>
              <w:right w:val="single" w:sz="6" w:space="0" w:color="auto"/>
            </w:tcBorders>
          </w:tcPr>
          <w:p w14:paraId="256482C8"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1BFA02C2"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6148869F"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366159CE"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4FBEF7B8"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6C323D69"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5E6AD0BD"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42D6DC92"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47D894D2"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5AD21694"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48B900E2" w14:textId="77777777" w:rsidR="00ED6C9E" w:rsidRPr="00240557" w:rsidRDefault="00ED6C9E" w:rsidP="00240557">
            <w:pPr>
              <w:keepNext/>
              <w:spacing w:before="80" w:after="80" w:line="200" w:lineRule="exact"/>
              <w:jc w:val="center"/>
              <w:rPr>
                <w:sz w:val="16"/>
                <w:szCs w:val="16"/>
              </w:rPr>
            </w:pPr>
            <w:r w:rsidRPr="00240557">
              <w:rPr>
                <w:sz w:val="16"/>
                <w:szCs w:val="16"/>
                <w:lang w:val="fr-FR"/>
              </w:rPr>
              <w:t>(20)</w:t>
            </w:r>
          </w:p>
        </w:tc>
      </w:tr>
      <w:tr w:rsidR="00ED6C9E" w:rsidRPr="00240557" w14:paraId="7607D217" w14:textId="77777777" w:rsidTr="0024055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A8E5377" w14:textId="77777777" w:rsidR="00ED6C9E" w:rsidRPr="00240557" w:rsidRDefault="00ED6C9E" w:rsidP="00240557">
            <w:pPr>
              <w:keepNext/>
              <w:spacing w:before="40" w:after="40" w:line="200" w:lineRule="atLeast"/>
              <w:jc w:val="cente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tcPr>
          <w:p w14:paraId="6124B300"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3.1.2</w:t>
            </w:r>
          </w:p>
        </w:tc>
        <w:tc>
          <w:tcPr>
            <w:tcW w:w="346" w:type="dxa"/>
            <w:tcBorders>
              <w:top w:val="single" w:sz="6" w:space="0" w:color="auto"/>
              <w:left w:val="single" w:sz="6" w:space="0" w:color="auto"/>
              <w:bottom w:val="single" w:sz="6" w:space="0" w:color="auto"/>
              <w:right w:val="single" w:sz="4" w:space="0" w:color="auto"/>
            </w:tcBorders>
          </w:tcPr>
          <w:p w14:paraId="57F3FEBC"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2,2</w:t>
            </w:r>
          </w:p>
        </w:tc>
        <w:tc>
          <w:tcPr>
            <w:tcW w:w="471" w:type="dxa"/>
            <w:tcBorders>
              <w:top w:val="single" w:sz="6" w:space="0" w:color="auto"/>
              <w:left w:val="single" w:sz="4" w:space="0" w:color="auto"/>
              <w:bottom w:val="single" w:sz="6" w:space="0" w:color="auto"/>
              <w:right w:val="single" w:sz="6" w:space="0" w:color="auto"/>
            </w:tcBorders>
          </w:tcPr>
          <w:p w14:paraId="4680562D"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2,2</w:t>
            </w:r>
          </w:p>
        </w:tc>
        <w:tc>
          <w:tcPr>
            <w:tcW w:w="535" w:type="dxa"/>
            <w:tcBorders>
              <w:top w:val="single" w:sz="6" w:space="0" w:color="auto"/>
              <w:left w:val="single" w:sz="6" w:space="0" w:color="auto"/>
              <w:bottom w:val="single" w:sz="6" w:space="0" w:color="auto"/>
              <w:right w:val="single" w:sz="6" w:space="0" w:color="auto"/>
            </w:tcBorders>
          </w:tcPr>
          <w:p w14:paraId="4476DB0F"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2.1.1.3</w:t>
            </w:r>
          </w:p>
        </w:tc>
        <w:tc>
          <w:tcPr>
            <w:tcW w:w="641" w:type="dxa"/>
            <w:tcBorders>
              <w:top w:val="single" w:sz="6" w:space="0" w:color="auto"/>
              <w:left w:val="single" w:sz="6" w:space="0" w:color="auto"/>
              <w:bottom w:val="single" w:sz="6" w:space="0" w:color="auto"/>
              <w:right w:val="single" w:sz="6" w:space="0" w:color="auto"/>
            </w:tcBorders>
            <w:noWrap/>
          </w:tcPr>
          <w:p w14:paraId="1EBE98B5" w14:textId="103037CF" w:rsidR="00ED6C9E" w:rsidRPr="00240557" w:rsidRDefault="00ED6C9E" w:rsidP="00240557">
            <w:pPr>
              <w:keepNext/>
              <w:spacing w:before="40" w:after="40" w:line="200" w:lineRule="atLeast"/>
              <w:jc w:val="center"/>
              <w:rPr>
                <w:sz w:val="16"/>
                <w:szCs w:val="16"/>
              </w:rPr>
            </w:pPr>
            <w:r w:rsidRPr="00240557">
              <w:rPr>
                <w:b/>
                <w:bCs/>
                <w:sz w:val="16"/>
                <w:szCs w:val="16"/>
                <w:lang w:val="fr-FR"/>
              </w:rPr>
              <w:t>5.2.2/ 3.2.3.1</w:t>
            </w:r>
          </w:p>
        </w:tc>
        <w:tc>
          <w:tcPr>
            <w:tcW w:w="635" w:type="dxa"/>
            <w:tcBorders>
              <w:top w:val="single" w:sz="6" w:space="0" w:color="auto"/>
              <w:left w:val="single" w:sz="6" w:space="0" w:color="auto"/>
              <w:bottom w:val="single" w:sz="6" w:space="0" w:color="auto"/>
              <w:right w:val="single" w:sz="6" w:space="0" w:color="auto"/>
            </w:tcBorders>
          </w:tcPr>
          <w:p w14:paraId="10F50B75" w14:textId="24D9C6A2" w:rsidR="00ED6C9E" w:rsidRPr="00240557" w:rsidRDefault="00ED6C9E" w:rsidP="00240557">
            <w:pPr>
              <w:keepNext/>
              <w:spacing w:before="40" w:after="40" w:line="200" w:lineRule="atLeast"/>
              <w:jc w:val="center"/>
              <w:rPr>
                <w:sz w:val="16"/>
                <w:szCs w:val="16"/>
              </w:rPr>
            </w:pPr>
            <w:r w:rsidRPr="00240557">
              <w:rPr>
                <w:b/>
                <w:bCs/>
                <w:sz w:val="16"/>
                <w:szCs w:val="16"/>
                <w:lang w:val="fr-FR"/>
              </w:rPr>
              <w:t>1.2.1/ 7.2.2.0.1</w:t>
            </w:r>
          </w:p>
        </w:tc>
        <w:tc>
          <w:tcPr>
            <w:tcW w:w="567" w:type="dxa"/>
            <w:tcBorders>
              <w:top w:val="single" w:sz="6" w:space="0" w:color="auto"/>
              <w:left w:val="single" w:sz="6" w:space="0" w:color="auto"/>
              <w:bottom w:val="single" w:sz="6" w:space="0" w:color="auto"/>
              <w:right w:val="single" w:sz="6" w:space="0" w:color="auto"/>
            </w:tcBorders>
          </w:tcPr>
          <w:p w14:paraId="23C547B8" w14:textId="51A604CD"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625D2ADE" w14:textId="6912FF0B"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2B427C5D" w14:textId="18CF2948"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30A9BCF9" w14:textId="5E6F724A"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p>
        </w:tc>
        <w:tc>
          <w:tcPr>
            <w:tcW w:w="709" w:type="dxa"/>
            <w:tcBorders>
              <w:top w:val="single" w:sz="6" w:space="0" w:color="auto"/>
              <w:left w:val="single" w:sz="6" w:space="0" w:color="auto"/>
              <w:bottom w:val="single" w:sz="6" w:space="0" w:color="auto"/>
              <w:right w:val="single" w:sz="6" w:space="0" w:color="auto"/>
            </w:tcBorders>
          </w:tcPr>
          <w:p w14:paraId="7AC37757"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7.2.4.21</w:t>
            </w:r>
          </w:p>
        </w:tc>
        <w:tc>
          <w:tcPr>
            <w:tcW w:w="567" w:type="dxa"/>
            <w:tcBorders>
              <w:top w:val="single" w:sz="6" w:space="0" w:color="auto"/>
              <w:left w:val="single" w:sz="6" w:space="0" w:color="auto"/>
              <w:bottom w:val="single" w:sz="6" w:space="0" w:color="auto"/>
              <w:right w:val="single" w:sz="6" w:space="0" w:color="auto"/>
            </w:tcBorders>
          </w:tcPr>
          <w:p w14:paraId="37C65179"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3.2.3.1</w:t>
            </w:r>
          </w:p>
        </w:tc>
        <w:tc>
          <w:tcPr>
            <w:tcW w:w="567" w:type="dxa"/>
            <w:tcBorders>
              <w:top w:val="single" w:sz="6" w:space="0" w:color="auto"/>
              <w:left w:val="single" w:sz="6" w:space="0" w:color="auto"/>
              <w:bottom w:val="single" w:sz="6" w:space="0" w:color="auto"/>
              <w:right w:val="single" w:sz="6" w:space="0" w:color="auto"/>
            </w:tcBorders>
          </w:tcPr>
          <w:p w14:paraId="4E305504" w14:textId="7480777E"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p>
        </w:tc>
        <w:tc>
          <w:tcPr>
            <w:tcW w:w="567" w:type="dxa"/>
            <w:tcBorders>
              <w:top w:val="single" w:sz="6" w:space="0" w:color="auto"/>
              <w:left w:val="single" w:sz="6" w:space="0" w:color="auto"/>
              <w:bottom w:val="single" w:sz="6" w:space="0" w:color="auto"/>
              <w:right w:val="single" w:sz="6" w:space="0" w:color="auto"/>
            </w:tcBorders>
          </w:tcPr>
          <w:p w14:paraId="2F3A4DED" w14:textId="7F750B37" w:rsidR="00ED6C9E" w:rsidRPr="00240557" w:rsidRDefault="00ED6C9E" w:rsidP="00240557">
            <w:pPr>
              <w:keepNext/>
              <w:spacing w:before="40" w:after="40" w:line="200" w:lineRule="atLeast"/>
              <w:jc w:val="center"/>
              <w:rPr>
                <w:sz w:val="16"/>
                <w:szCs w:val="16"/>
              </w:rPr>
            </w:pPr>
            <w:r w:rsidRPr="00240557">
              <w:rPr>
                <w:b/>
                <w:bCs/>
                <w:sz w:val="16"/>
                <w:szCs w:val="16"/>
                <w:lang w:val="fr-FR"/>
              </w:rPr>
              <w:t>3.2.3.1/ 1.2.1</w:t>
            </w:r>
            <w:r w:rsidRPr="00240557">
              <w:rPr>
                <w:sz w:val="16"/>
                <w:szCs w:val="16"/>
                <w:lang w:val="fr-FR"/>
              </w:rPr>
              <w:t xml:space="preserve"> </w:t>
            </w:r>
          </w:p>
        </w:tc>
        <w:tc>
          <w:tcPr>
            <w:tcW w:w="567" w:type="dxa"/>
            <w:tcBorders>
              <w:top w:val="single" w:sz="6" w:space="0" w:color="auto"/>
              <w:left w:val="single" w:sz="6" w:space="0" w:color="auto"/>
              <w:bottom w:val="single" w:sz="6" w:space="0" w:color="auto"/>
              <w:right w:val="single" w:sz="6" w:space="0" w:color="auto"/>
            </w:tcBorders>
          </w:tcPr>
          <w:p w14:paraId="6ACC3DE9"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1.2.1</w:t>
            </w:r>
          </w:p>
        </w:tc>
        <w:tc>
          <w:tcPr>
            <w:tcW w:w="704" w:type="dxa"/>
            <w:tcBorders>
              <w:top w:val="single" w:sz="6" w:space="0" w:color="auto"/>
              <w:left w:val="single" w:sz="6" w:space="0" w:color="auto"/>
              <w:bottom w:val="single" w:sz="6" w:space="0" w:color="auto"/>
              <w:right w:val="single" w:sz="6" w:space="0" w:color="auto"/>
            </w:tcBorders>
          </w:tcPr>
          <w:p w14:paraId="386FF20E" w14:textId="3B119014" w:rsidR="00ED6C9E" w:rsidRPr="00240557" w:rsidRDefault="00ED6C9E" w:rsidP="00240557">
            <w:pPr>
              <w:keepNext/>
              <w:spacing w:before="40" w:after="40" w:line="200" w:lineRule="atLeast"/>
              <w:jc w:val="center"/>
              <w:rPr>
                <w:sz w:val="16"/>
                <w:szCs w:val="16"/>
              </w:rPr>
            </w:pPr>
            <w:r w:rsidRPr="00240557">
              <w:rPr>
                <w:b/>
                <w:bCs/>
                <w:sz w:val="16"/>
                <w:szCs w:val="16"/>
                <w:lang w:val="fr-FR"/>
              </w:rPr>
              <w:t>1.2.1/</w:t>
            </w:r>
            <w:r w:rsidR="00240557">
              <w:rPr>
                <w:b/>
                <w:bCs/>
                <w:sz w:val="16"/>
                <w:szCs w:val="16"/>
                <w:lang w:val="fr-FR"/>
              </w:rPr>
              <w:t xml:space="preserve"> </w:t>
            </w:r>
            <w:r w:rsidRPr="00240557">
              <w:rPr>
                <w:b/>
                <w:bCs/>
                <w:sz w:val="16"/>
                <w:szCs w:val="16"/>
                <w:lang w:val="fr-FR"/>
              </w:rPr>
              <w:t>3.2.3.3</w:t>
            </w:r>
            <w:r w:rsidRPr="00240557">
              <w:rPr>
                <w:sz w:val="16"/>
                <w:szCs w:val="16"/>
                <w:lang w:val="fr-FR"/>
              </w:rPr>
              <w:t xml:space="preserve"> </w:t>
            </w:r>
          </w:p>
        </w:tc>
        <w:tc>
          <w:tcPr>
            <w:tcW w:w="572" w:type="dxa"/>
            <w:tcBorders>
              <w:top w:val="single" w:sz="6" w:space="0" w:color="auto"/>
              <w:left w:val="single" w:sz="6" w:space="0" w:color="auto"/>
              <w:bottom w:val="single" w:sz="6" w:space="0" w:color="auto"/>
              <w:right w:val="single" w:sz="6" w:space="0" w:color="auto"/>
            </w:tcBorders>
          </w:tcPr>
          <w:p w14:paraId="39A5D7D5" w14:textId="2BD134A5" w:rsidR="00ED6C9E" w:rsidRPr="00240557" w:rsidRDefault="00ED6C9E" w:rsidP="00240557">
            <w:pPr>
              <w:keepNext/>
              <w:spacing w:before="40" w:after="40" w:line="200" w:lineRule="atLeast"/>
              <w:jc w:val="center"/>
              <w:rPr>
                <w:sz w:val="16"/>
                <w:szCs w:val="16"/>
              </w:rPr>
            </w:pPr>
            <w:r w:rsidRPr="00240557">
              <w:rPr>
                <w:b/>
                <w:bCs/>
                <w:sz w:val="16"/>
                <w:szCs w:val="16"/>
                <w:lang w:val="fr-FR"/>
              </w:rPr>
              <w:t>1.2.1/ 3.2.3.3</w:t>
            </w:r>
          </w:p>
        </w:tc>
        <w:tc>
          <w:tcPr>
            <w:tcW w:w="704" w:type="dxa"/>
            <w:tcBorders>
              <w:top w:val="single" w:sz="6" w:space="0" w:color="auto"/>
              <w:left w:val="single" w:sz="6" w:space="0" w:color="auto"/>
              <w:bottom w:val="single" w:sz="6" w:space="0" w:color="auto"/>
              <w:right w:val="single" w:sz="6" w:space="0" w:color="auto"/>
            </w:tcBorders>
          </w:tcPr>
          <w:p w14:paraId="2A55CA91"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8.1.5</w:t>
            </w:r>
          </w:p>
        </w:tc>
        <w:tc>
          <w:tcPr>
            <w:tcW w:w="427" w:type="dxa"/>
            <w:tcBorders>
              <w:top w:val="single" w:sz="6" w:space="0" w:color="auto"/>
              <w:left w:val="single" w:sz="6" w:space="0" w:color="auto"/>
              <w:bottom w:val="single" w:sz="6" w:space="0" w:color="auto"/>
              <w:right w:val="single" w:sz="6" w:space="0" w:color="auto"/>
            </w:tcBorders>
          </w:tcPr>
          <w:p w14:paraId="3848DB64"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7.2.5</w:t>
            </w:r>
          </w:p>
        </w:tc>
        <w:tc>
          <w:tcPr>
            <w:tcW w:w="850" w:type="dxa"/>
            <w:tcBorders>
              <w:top w:val="single" w:sz="6" w:space="0" w:color="auto"/>
              <w:left w:val="single" w:sz="6" w:space="0" w:color="auto"/>
              <w:bottom w:val="single" w:sz="6" w:space="0" w:color="auto"/>
              <w:right w:val="single" w:sz="6" w:space="0" w:color="auto"/>
            </w:tcBorders>
          </w:tcPr>
          <w:p w14:paraId="5E156670" w14:textId="77777777" w:rsidR="00ED6C9E" w:rsidRPr="00240557" w:rsidRDefault="00ED6C9E" w:rsidP="00240557">
            <w:pPr>
              <w:keepNext/>
              <w:spacing w:before="40" w:after="40" w:line="200" w:lineRule="atLeast"/>
              <w:jc w:val="center"/>
              <w:rPr>
                <w:sz w:val="16"/>
                <w:szCs w:val="16"/>
              </w:rPr>
            </w:pPr>
            <w:r w:rsidRPr="00240557">
              <w:rPr>
                <w:b/>
                <w:bCs/>
                <w:sz w:val="16"/>
                <w:szCs w:val="16"/>
                <w:lang w:val="fr-FR"/>
              </w:rPr>
              <w:t>3.2.3.1</w:t>
            </w:r>
          </w:p>
        </w:tc>
      </w:tr>
      <w:tr w:rsidR="00ED6C9E" w:rsidRPr="00240557" w14:paraId="3E8F19D4" w14:textId="77777777" w:rsidTr="00240557">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513C2C7" w14:textId="77777777" w:rsidR="00ED6C9E" w:rsidRPr="00240557" w:rsidRDefault="00ED6C9E" w:rsidP="00240557">
            <w:pPr>
              <w:keepNext/>
              <w:spacing w:before="40" w:after="40" w:line="200" w:lineRule="atLeast"/>
              <w:jc w:val="center"/>
              <w:rPr>
                <w:sz w:val="16"/>
                <w:szCs w:val="16"/>
              </w:rPr>
            </w:pPr>
            <w:bookmarkStart w:id="3" w:name="_Hlk123734941"/>
            <w:r w:rsidRPr="00240557">
              <w:rPr>
                <w:sz w:val="16"/>
                <w:szCs w:val="16"/>
                <w:lang w:val="fr-FR"/>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224210A" w14:textId="77777777" w:rsidR="00ED6C9E" w:rsidRPr="00240557" w:rsidRDefault="00ED6C9E" w:rsidP="00240557">
            <w:pPr>
              <w:keepNext/>
              <w:spacing w:before="40" w:after="40" w:line="200" w:lineRule="atLeast"/>
              <w:jc w:val="center"/>
              <w:rPr>
                <w:sz w:val="16"/>
                <w:szCs w:val="16"/>
                <w:lang w:val="fr-FR"/>
              </w:rPr>
            </w:pPr>
            <w:r w:rsidRPr="00240557">
              <w:rPr>
                <w:sz w:val="16"/>
                <w:szCs w:val="16"/>
                <w:lang w:val="fr-FR"/>
              </w:rPr>
              <w:t xml:space="preserve">XYLÈNES (mélanges </w:t>
            </w:r>
            <w:r w:rsidRPr="00240557">
              <w:rPr>
                <w:b/>
                <w:bCs/>
                <w:sz w:val="16"/>
                <w:szCs w:val="16"/>
                <w:u w:val="single"/>
                <w:lang w:val="fr-FR"/>
              </w:rPr>
              <w:t>contenant du cumène,</w:t>
            </w:r>
            <w:r w:rsidRPr="00240557">
              <w:rPr>
                <w:sz w:val="16"/>
                <w:szCs w:val="16"/>
                <w:lang w:val="fr-FR"/>
              </w:rPr>
              <w:t xml:space="preserve"> dont p.de fusion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F1440D1"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7077703"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46D537B"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II</w:t>
            </w:r>
          </w:p>
        </w:tc>
        <w:tc>
          <w:tcPr>
            <w:tcW w:w="641" w:type="dxa"/>
            <w:tcBorders>
              <w:top w:val="single" w:sz="6" w:space="0" w:color="auto"/>
              <w:left w:val="single" w:sz="6" w:space="0" w:color="auto"/>
              <w:bottom w:val="single" w:sz="6" w:space="0" w:color="auto"/>
              <w:right w:val="single" w:sz="6" w:space="0" w:color="auto"/>
            </w:tcBorders>
            <w:shd w:val="clear" w:color="auto" w:fill="auto"/>
            <w:noWrap/>
          </w:tcPr>
          <w:p w14:paraId="312861AA" w14:textId="77777777" w:rsidR="00ED6C9E" w:rsidRPr="00240557" w:rsidRDefault="00ED6C9E" w:rsidP="00240557">
            <w:pPr>
              <w:keepNext/>
              <w:spacing w:before="40" w:after="40" w:line="200" w:lineRule="atLeast"/>
              <w:jc w:val="center"/>
              <w:rPr>
                <w:b/>
                <w:bCs/>
                <w:sz w:val="16"/>
                <w:szCs w:val="16"/>
                <w:u w:val="single"/>
              </w:rPr>
            </w:pPr>
            <w:r w:rsidRPr="00240557">
              <w:rPr>
                <w:sz w:val="16"/>
                <w:szCs w:val="16"/>
                <w:lang w:val="fr-FR"/>
              </w:rPr>
              <w:t>3+N2</w:t>
            </w:r>
            <w:r w:rsidRPr="00240557">
              <w:rPr>
                <w:sz w:val="16"/>
                <w:szCs w:val="16"/>
                <w:u w:val="single"/>
                <w:lang w:val="fr-FR"/>
              </w:rPr>
              <w:t>+</w:t>
            </w:r>
          </w:p>
          <w:p w14:paraId="75377146" w14:textId="77777777" w:rsidR="00ED6C9E" w:rsidRPr="00240557" w:rsidRDefault="00ED6C9E" w:rsidP="00240557">
            <w:pPr>
              <w:keepNext/>
              <w:spacing w:before="40" w:after="40" w:line="200" w:lineRule="atLeast"/>
              <w:jc w:val="center"/>
              <w:rPr>
                <w:b/>
                <w:bCs/>
                <w:sz w:val="16"/>
                <w:szCs w:val="16"/>
                <w:u w:val="single"/>
              </w:rPr>
            </w:pPr>
            <w:r w:rsidRPr="00240557">
              <w:rPr>
                <w:b/>
                <w:bCs/>
                <w:sz w:val="16"/>
                <w:szCs w:val="16"/>
                <w:u w:val="single"/>
                <w:lang w:val="fr-FR"/>
              </w:rPr>
              <w:t>CMR</w:t>
            </w: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6B01854F"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6423B5" w14:textId="77777777" w:rsidR="00ED6C9E" w:rsidRPr="00240557" w:rsidRDefault="00ED6C9E" w:rsidP="00240557">
            <w:pPr>
              <w:keepNext/>
              <w:spacing w:before="40" w:after="40" w:line="200" w:lineRule="atLeast"/>
              <w:jc w:val="center"/>
              <w:rPr>
                <w:sz w:val="16"/>
                <w:szCs w:val="16"/>
              </w:rPr>
            </w:pPr>
            <w:r w:rsidRPr="00240557">
              <w:rPr>
                <w:strike/>
                <w:sz w:val="16"/>
                <w:szCs w:val="16"/>
                <w:lang w:val="fr-FR"/>
              </w:rPr>
              <w:t>3</w:t>
            </w:r>
            <w:r w:rsidRPr="00240557">
              <w:rPr>
                <w:sz w:val="16"/>
                <w:szCs w:val="16"/>
                <w:lang w:val="fr-FR"/>
              </w:rPr>
              <w:t xml:space="preserve"> </w:t>
            </w:r>
            <w:r w:rsidRPr="00240557">
              <w:rPr>
                <w:b/>
                <w:bCs/>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BAA1E9"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2E2223E" w14:textId="77777777" w:rsidR="00ED6C9E" w:rsidRPr="00240557" w:rsidRDefault="00ED6C9E" w:rsidP="00240557">
            <w:pPr>
              <w:keepNext/>
              <w:spacing w:before="40" w:after="40" w:line="200" w:lineRule="atLeast"/>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4859A7" w14:textId="77777777" w:rsidR="00ED6C9E" w:rsidRPr="00240557" w:rsidRDefault="00ED6C9E" w:rsidP="00240557">
            <w:pPr>
              <w:keepNext/>
              <w:spacing w:before="40" w:after="40" w:line="200" w:lineRule="atLeast"/>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AA41254"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35FFA9D" w14:textId="77777777" w:rsidR="00ED6C9E" w:rsidRPr="00240557" w:rsidRDefault="00ED6C9E" w:rsidP="00240557">
            <w:pPr>
              <w:keepNext/>
              <w:spacing w:before="40" w:after="40" w:line="200" w:lineRule="atLeast"/>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41E5650"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E22FE0"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53851B"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 xml:space="preserve">T1 </w:t>
            </w:r>
            <w:r w:rsidRPr="00240557">
              <w:rPr>
                <w:sz w:val="16"/>
                <w:szCs w:val="16"/>
                <w:vertAlign w:val="superscript"/>
                <w:lang w:val="fr-FR"/>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92649C1"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CE84F00"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72B7D54"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 xml:space="preserve">PP, </w:t>
            </w:r>
            <w:r w:rsidRPr="00240557">
              <w:rPr>
                <w:b/>
                <w:bCs/>
                <w:sz w:val="16"/>
                <w:szCs w:val="16"/>
                <w:u w:val="single"/>
                <w:lang w:val="fr-FR"/>
              </w:rPr>
              <w:t>EP</w:t>
            </w:r>
            <w:r w:rsidRPr="00240557">
              <w:rPr>
                <w:sz w:val="16"/>
                <w:szCs w:val="16"/>
                <w:lang w:val="fr-FR"/>
              </w:rPr>
              <w:t xml:space="preserve">, EX, </w:t>
            </w:r>
            <w:r w:rsidRPr="00240557">
              <w:rPr>
                <w:b/>
                <w:bCs/>
                <w:sz w:val="16"/>
                <w:szCs w:val="16"/>
                <w:u w:val="single"/>
                <w:lang w:val="fr-FR"/>
              </w:rPr>
              <w:t>TOX</w:t>
            </w:r>
            <w:r w:rsidRPr="00240557">
              <w:rPr>
                <w:sz w:val="16"/>
                <w:szCs w:val="16"/>
                <w:lang w:val="fr-FR"/>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A73E08C" w14:textId="77777777" w:rsidR="00ED6C9E" w:rsidRPr="00240557" w:rsidRDefault="00ED6C9E" w:rsidP="00240557">
            <w:pPr>
              <w:keepNext/>
              <w:spacing w:before="40" w:after="40" w:line="200" w:lineRule="atLeast"/>
              <w:jc w:val="center"/>
              <w:rPr>
                <w:sz w:val="16"/>
                <w:szCs w:val="16"/>
              </w:rPr>
            </w:pPr>
            <w:r w:rsidRPr="00240557">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A7A3D50" w14:textId="77777777" w:rsidR="00ED6C9E" w:rsidRPr="00240557" w:rsidRDefault="00ED6C9E" w:rsidP="00240557">
            <w:pPr>
              <w:keepNext/>
              <w:spacing w:before="40" w:after="40" w:line="200" w:lineRule="atLeast"/>
              <w:jc w:val="center"/>
              <w:rPr>
                <w:sz w:val="16"/>
                <w:szCs w:val="16"/>
                <w:lang w:bidi="th-TH"/>
              </w:rPr>
            </w:pPr>
          </w:p>
        </w:tc>
      </w:tr>
      <w:tr w:rsidR="00ED6C9E" w:rsidRPr="00240557" w14:paraId="068579D1" w14:textId="77777777" w:rsidTr="00240557">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2DEA5EC" w14:textId="77777777" w:rsidR="00ED6C9E" w:rsidRPr="00240557" w:rsidRDefault="00ED6C9E" w:rsidP="00240557">
            <w:pPr>
              <w:spacing w:before="40" w:after="40" w:line="200" w:lineRule="atLeast"/>
              <w:jc w:val="center"/>
              <w:rPr>
                <w:sz w:val="16"/>
                <w:szCs w:val="16"/>
              </w:rPr>
            </w:pPr>
            <w:r w:rsidRPr="00240557">
              <w:rPr>
                <w:sz w:val="16"/>
                <w:szCs w:val="16"/>
                <w:lang w:val="fr-FR"/>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290024A" w14:textId="77777777" w:rsidR="00ED6C9E" w:rsidRPr="00240557" w:rsidRDefault="00ED6C9E" w:rsidP="00240557">
            <w:pPr>
              <w:spacing w:before="40" w:after="40" w:line="200" w:lineRule="atLeast"/>
              <w:jc w:val="center"/>
              <w:rPr>
                <w:sz w:val="16"/>
                <w:szCs w:val="16"/>
                <w:lang w:val="fr-FR"/>
              </w:rPr>
            </w:pPr>
            <w:r w:rsidRPr="00240557">
              <w:rPr>
                <w:sz w:val="16"/>
                <w:szCs w:val="16"/>
                <w:lang w:val="fr-FR"/>
              </w:rPr>
              <w:t xml:space="preserve">XYLÈNES (mélanges </w:t>
            </w:r>
            <w:r w:rsidRPr="00240557">
              <w:rPr>
                <w:b/>
                <w:bCs/>
                <w:sz w:val="16"/>
                <w:szCs w:val="16"/>
                <w:u w:val="single"/>
                <w:lang w:val="fr-FR"/>
              </w:rPr>
              <w:t>contenant du cumène,</w:t>
            </w:r>
            <w:r w:rsidRPr="00240557">
              <w:rPr>
                <w:sz w:val="16"/>
                <w:szCs w:val="16"/>
                <w:lang w:val="fr-FR"/>
              </w:rPr>
              <w:t xml:space="preserve"> dont p.de fusion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9B48328"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D18912A" w14:textId="77777777" w:rsidR="00ED6C9E" w:rsidRPr="00240557" w:rsidRDefault="00ED6C9E" w:rsidP="00240557">
            <w:pPr>
              <w:spacing w:before="40" w:after="40" w:line="200" w:lineRule="atLeast"/>
              <w:jc w:val="center"/>
              <w:rPr>
                <w:sz w:val="16"/>
                <w:szCs w:val="16"/>
              </w:rPr>
            </w:pPr>
            <w:r w:rsidRPr="00240557">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285DDDC" w14:textId="77777777" w:rsidR="00ED6C9E" w:rsidRPr="00240557" w:rsidRDefault="00ED6C9E" w:rsidP="00240557">
            <w:pPr>
              <w:spacing w:before="40" w:after="40" w:line="200" w:lineRule="atLeast"/>
              <w:jc w:val="center"/>
              <w:rPr>
                <w:sz w:val="16"/>
                <w:szCs w:val="16"/>
              </w:rPr>
            </w:pPr>
            <w:r w:rsidRPr="00240557">
              <w:rPr>
                <w:sz w:val="16"/>
                <w:szCs w:val="16"/>
                <w:lang w:val="fr-FR"/>
              </w:rPr>
              <w:t>III</w:t>
            </w:r>
          </w:p>
        </w:tc>
        <w:tc>
          <w:tcPr>
            <w:tcW w:w="641" w:type="dxa"/>
            <w:tcBorders>
              <w:top w:val="single" w:sz="6" w:space="0" w:color="auto"/>
              <w:left w:val="single" w:sz="6" w:space="0" w:color="auto"/>
              <w:bottom w:val="single" w:sz="6" w:space="0" w:color="auto"/>
              <w:right w:val="single" w:sz="6" w:space="0" w:color="auto"/>
            </w:tcBorders>
            <w:shd w:val="clear" w:color="auto" w:fill="auto"/>
            <w:noWrap/>
          </w:tcPr>
          <w:p w14:paraId="249D2674" w14:textId="77777777" w:rsidR="00ED6C9E" w:rsidRPr="00240557" w:rsidRDefault="00ED6C9E" w:rsidP="00240557">
            <w:pPr>
              <w:spacing w:before="40" w:after="40" w:line="200" w:lineRule="atLeast"/>
              <w:jc w:val="center"/>
              <w:rPr>
                <w:b/>
                <w:bCs/>
                <w:sz w:val="16"/>
                <w:szCs w:val="16"/>
                <w:u w:val="single"/>
              </w:rPr>
            </w:pPr>
            <w:r w:rsidRPr="00240557">
              <w:rPr>
                <w:sz w:val="16"/>
                <w:szCs w:val="16"/>
                <w:lang w:val="fr-FR"/>
              </w:rPr>
              <w:t>3+N2</w:t>
            </w:r>
            <w:r w:rsidRPr="00240557">
              <w:rPr>
                <w:sz w:val="16"/>
                <w:szCs w:val="16"/>
                <w:u w:val="single"/>
                <w:lang w:val="fr-FR"/>
              </w:rPr>
              <w:t>+</w:t>
            </w:r>
          </w:p>
          <w:p w14:paraId="3BD8E856" w14:textId="77777777" w:rsidR="00ED6C9E" w:rsidRPr="00240557" w:rsidRDefault="00ED6C9E" w:rsidP="00240557">
            <w:pPr>
              <w:spacing w:before="40" w:after="40" w:line="200" w:lineRule="atLeast"/>
              <w:jc w:val="center"/>
              <w:rPr>
                <w:sz w:val="16"/>
                <w:szCs w:val="16"/>
              </w:rPr>
            </w:pPr>
            <w:r w:rsidRPr="00240557">
              <w:rPr>
                <w:b/>
                <w:bCs/>
                <w:sz w:val="16"/>
                <w:szCs w:val="16"/>
                <w:u w:val="single"/>
                <w:lang w:val="fr-FR"/>
              </w:rPr>
              <w:t>CMR</w:t>
            </w: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0B560DED" w14:textId="77777777" w:rsidR="00ED6C9E" w:rsidRPr="00240557" w:rsidRDefault="00ED6C9E" w:rsidP="00240557">
            <w:pPr>
              <w:spacing w:before="40" w:after="40" w:line="200" w:lineRule="atLeast"/>
              <w:jc w:val="center"/>
              <w:rPr>
                <w:sz w:val="16"/>
                <w:szCs w:val="16"/>
              </w:rPr>
            </w:pPr>
            <w:r w:rsidRPr="00240557">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60F909" w14:textId="77777777" w:rsidR="00ED6C9E" w:rsidRPr="00240557" w:rsidRDefault="00ED6C9E" w:rsidP="00240557">
            <w:pPr>
              <w:spacing w:before="40" w:after="40" w:line="200" w:lineRule="atLeast"/>
              <w:jc w:val="center"/>
              <w:rPr>
                <w:strike/>
                <w:sz w:val="16"/>
                <w:szCs w:val="16"/>
              </w:rPr>
            </w:pPr>
            <w:r w:rsidRPr="00240557">
              <w:rPr>
                <w:strike/>
                <w:sz w:val="16"/>
                <w:szCs w:val="16"/>
                <w:lang w:val="fr-FR"/>
              </w:rPr>
              <w:t>3</w:t>
            </w:r>
            <w:r w:rsidRPr="00240557">
              <w:rPr>
                <w:sz w:val="16"/>
                <w:szCs w:val="16"/>
                <w:lang w:val="fr-FR"/>
              </w:rPr>
              <w:t xml:space="preserve"> </w:t>
            </w:r>
            <w:r w:rsidRPr="00240557">
              <w:rPr>
                <w:b/>
                <w:bCs/>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3EDA76"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44FB502" w14:textId="77777777" w:rsidR="00ED6C9E" w:rsidRPr="00240557" w:rsidRDefault="00ED6C9E" w:rsidP="00240557">
            <w:pPr>
              <w:spacing w:before="40" w:after="40" w:line="200" w:lineRule="atLeast"/>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E00D41" w14:textId="77777777" w:rsidR="00ED6C9E" w:rsidRPr="00240557" w:rsidRDefault="00ED6C9E" w:rsidP="00240557">
            <w:pPr>
              <w:spacing w:before="40" w:after="40" w:line="200" w:lineRule="atLeast"/>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E695673" w14:textId="77777777" w:rsidR="00ED6C9E" w:rsidRPr="00240557" w:rsidRDefault="00ED6C9E" w:rsidP="00240557">
            <w:pPr>
              <w:spacing w:before="40" w:after="40" w:line="200" w:lineRule="atLeast"/>
              <w:jc w:val="center"/>
              <w:rPr>
                <w:sz w:val="16"/>
                <w:szCs w:val="16"/>
              </w:rPr>
            </w:pPr>
            <w:r w:rsidRPr="00240557">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263977" w14:textId="77777777" w:rsidR="00ED6C9E" w:rsidRPr="00240557" w:rsidRDefault="00ED6C9E" w:rsidP="00240557">
            <w:pPr>
              <w:spacing w:before="40" w:after="40" w:line="200" w:lineRule="atLeast"/>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7777335"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C8B7E15" w14:textId="77777777" w:rsidR="00ED6C9E" w:rsidRPr="00240557" w:rsidRDefault="00ED6C9E" w:rsidP="00240557">
            <w:pPr>
              <w:spacing w:before="40" w:after="40" w:line="200" w:lineRule="atLeast"/>
              <w:jc w:val="center"/>
              <w:rPr>
                <w:sz w:val="16"/>
                <w:szCs w:val="16"/>
              </w:rPr>
            </w:pPr>
            <w:r w:rsidRPr="00240557">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70F6ED" w14:textId="77777777" w:rsidR="00ED6C9E" w:rsidRPr="00240557" w:rsidRDefault="00ED6C9E" w:rsidP="00240557">
            <w:pPr>
              <w:spacing w:before="40" w:after="40" w:line="200" w:lineRule="atLeast"/>
              <w:jc w:val="center"/>
              <w:rPr>
                <w:sz w:val="16"/>
                <w:szCs w:val="16"/>
              </w:rPr>
            </w:pPr>
            <w:r w:rsidRPr="00240557">
              <w:rPr>
                <w:sz w:val="16"/>
                <w:szCs w:val="16"/>
                <w:lang w:val="fr-FR"/>
              </w:rPr>
              <w:t xml:space="preserve">T1 </w:t>
            </w:r>
            <w:r w:rsidRPr="00240557">
              <w:rPr>
                <w:sz w:val="16"/>
                <w:szCs w:val="16"/>
                <w:vertAlign w:val="superscript"/>
                <w:lang w:val="fr-FR"/>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EBD88FD" w14:textId="77777777" w:rsidR="00ED6C9E" w:rsidRPr="00240557" w:rsidRDefault="00ED6C9E" w:rsidP="00240557">
            <w:pPr>
              <w:spacing w:before="40" w:after="40" w:line="200" w:lineRule="atLeast"/>
              <w:jc w:val="center"/>
              <w:rPr>
                <w:sz w:val="16"/>
                <w:szCs w:val="16"/>
              </w:rPr>
            </w:pPr>
            <w:r w:rsidRPr="00240557">
              <w:rPr>
                <w:sz w:val="16"/>
                <w:szCs w:val="16"/>
                <w:lang w:val="fr-FR"/>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683D0FCC" w14:textId="77777777" w:rsidR="00ED6C9E" w:rsidRPr="00240557" w:rsidRDefault="00ED6C9E" w:rsidP="00240557">
            <w:pPr>
              <w:spacing w:before="40" w:after="40" w:line="200" w:lineRule="atLeast"/>
              <w:jc w:val="center"/>
              <w:rPr>
                <w:sz w:val="16"/>
                <w:szCs w:val="16"/>
              </w:rPr>
            </w:pPr>
            <w:r w:rsidRPr="00240557">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99406AA" w14:textId="77777777" w:rsidR="00ED6C9E" w:rsidRPr="00240557" w:rsidRDefault="00ED6C9E" w:rsidP="00240557">
            <w:pPr>
              <w:spacing w:before="40" w:after="40" w:line="200" w:lineRule="atLeast"/>
              <w:jc w:val="center"/>
              <w:rPr>
                <w:sz w:val="16"/>
                <w:szCs w:val="16"/>
              </w:rPr>
            </w:pPr>
            <w:r w:rsidRPr="00240557">
              <w:rPr>
                <w:sz w:val="16"/>
                <w:szCs w:val="16"/>
                <w:lang w:val="fr-FR"/>
              </w:rPr>
              <w:t xml:space="preserve">PP, </w:t>
            </w:r>
            <w:r w:rsidRPr="00240557">
              <w:rPr>
                <w:b/>
                <w:bCs/>
                <w:sz w:val="16"/>
                <w:szCs w:val="16"/>
                <w:u w:val="single"/>
                <w:lang w:val="fr-FR"/>
              </w:rPr>
              <w:t>EP</w:t>
            </w:r>
            <w:r w:rsidRPr="00240557">
              <w:rPr>
                <w:sz w:val="16"/>
                <w:szCs w:val="16"/>
                <w:lang w:val="fr-FR"/>
              </w:rPr>
              <w:t xml:space="preserve">, EX, </w:t>
            </w:r>
            <w:r w:rsidRPr="00240557">
              <w:rPr>
                <w:b/>
                <w:bCs/>
                <w:sz w:val="16"/>
                <w:szCs w:val="16"/>
                <w:u w:val="single"/>
                <w:lang w:val="fr-FR"/>
              </w:rPr>
              <w:t>TOX</w:t>
            </w:r>
            <w:r w:rsidRPr="00240557">
              <w:rPr>
                <w:sz w:val="16"/>
                <w:szCs w:val="16"/>
                <w:lang w:val="fr-FR"/>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ED05D69" w14:textId="77777777" w:rsidR="00ED6C9E" w:rsidRPr="00240557" w:rsidRDefault="00ED6C9E" w:rsidP="00240557">
            <w:pPr>
              <w:spacing w:before="40" w:after="40" w:line="200" w:lineRule="atLeast"/>
              <w:jc w:val="center"/>
              <w:rPr>
                <w:sz w:val="16"/>
                <w:szCs w:val="16"/>
              </w:rPr>
            </w:pPr>
            <w:r w:rsidRPr="00240557">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A9C3AB7" w14:textId="77777777" w:rsidR="00ED6C9E" w:rsidRPr="00240557" w:rsidRDefault="00ED6C9E" w:rsidP="00240557">
            <w:pPr>
              <w:spacing w:before="40" w:after="40" w:line="200" w:lineRule="atLeast"/>
              <w:jc w:val="center"/>
              <w:rPr>
                <w:sz w:val="16"/>
                <w:szCs w:val="16"/>
                <w:lang w:bidi="th-TH"/>
              </w:rPr>
            </w:pPr>
          </w:p>
        </w:tc>
      </w:tr>
      <w:tr w:rsidR="00ED6C9E" w:rsidRPr="00240557" w14:paraId="6FAC7541" w14:textId="77777777" w:rsidTr="00240557">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99EF9A7" w14:textId="77777777" w:rsidR="00ED6C9E" w:rsidRPr="00240557" w:rsidRDefault="00ED6C9E" w:rsidP="00240557">
            <w:pPr>
              <w:spacing w:before="40" w:after="40" w:line="200" w:lineRule="atLeast"/>
              <w:jc w:val="center"/>
              <w:rPr>
                <w:sz w:val="16"/>
                <w:szCs w:val="16"/>
              </w:rPr>
            </w:pPr>
            <w:r w:rsidRPr="00240557">
              <w:rPr>
                <w:sz w:val="16"/>
                <w:szCs w:val="16"/>
                <w:lang w:val="fr-FR"/>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2DC5461" w14:textId="0EEE187B" w:rsidR="00ED6C9E" w:rsidRPr="00240557" w:rsidRDefault="00ED6C9E" w:rsidP="00240557">
            <w:pPr>
              <w:spacing w:before="40" w:after="40" w:line="200" w:lineRule="atLeast"/>
              <w:jc w:val="center"/>
              <w:rPr>
                <w:sz w:val="16"/>
                <w:szCs w:val="16"/>
                <w:lang w:val="fr-FR"/>
              </w:rPr>
            </w:pPr>
            <w:r w:rsidRPr="00240557">
              <w:rPr>
                <w:sz w:val="16"/>
                <w:szCs w:val="16"/>
                <w:lang w:val="fr-FR"/>
              </w:rPr>
              <w:t xml:space="preserve">XYLÈNES (mélanges </w:t>
            </w:r>
            <w:r w:rsidRPr="00240557">
              <w:rPr>
                <w:b/>
                <w:bCs/>
                <w:sz w:val="16"/>
                <w:szCs w:val="16"/>
                <w:u w:val="single"/>
                <w:lang w:val="fr-FR"/>
              </w:rPr>
              <w:t xml:space="preserve">contenant du cumène, </w:t>
            </w:r>
            <w:r w:rsidRPr="00240557">
              <w:rPr>
                <w:sz w:val="16"/>
                <w:szCs w:val="16"/>
                <w:lang w:val="fr-FR"/>
              </w:rPr>
              <w:t xml:space="preserve">dont 0 °C &lt; p. de fusion </w:t>
            </w:r>
            <w:r w:rsidR="00D92208" w:rsidRPr="00ED3468">
              <w:rPr>
                <w:sz w:val="16"/>
                <w:szCs w:val="16"/>
                <w:lang w:bidi="th-TH"/>
              </w:rPr>
              <w:t>≤</w:t>
            </w:r>
            <w:r w:rsidR="003B10C8">
              <w:rPr>
                <w:sz w:val="16"/>
                <w:szCs w:val="16"/>
                <w:lang w:val="fr-FR"/>
              </w:rPr>
              <w:t> </w:t>
            </w:r>
            <w:r w:rsidRPr="00240557">
              <w:rPr>
                <w:sz w:val="16"/>
                <w:szCs w:val="16"/>
                <w:lang w:val="fr-FR"/>
              </w:rPr>
              <w:t>13°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99E0FD8"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FD275AA" w14:textId="77777777" w:rsidR="00ED6C9E" w:rsidRPr="00240557" w:rsidRDefault="00ED6C9E" w:rsidP="00240557">
            <w:pPr>
              <w:spacing w:before="40" w:after="40" w:line="200" w:lineRule="atLeast"/>
              <w:jc w:val="center"/>
              <w:rPr>
                <w:sz w:val="16"/>
                <w:szCs w:val="16"/>
              </w:rPr>
            </w:pPr>
            <w:r w:rsidRPr="00240557">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7F8A3F9" w14:textId="77777777" w:rsidR="00ED6C9E" w:rsidRPr="00240557" w:rsidRDefault="00ED6C9E" w:rsidP="00240557">
            <w:pPr>
              <w:spacing w:before="40" w:after="40" w:line="200" w:lineRule="atLeast"/>
              <w:jc w:val="center"/>
              <w:rPr>
                <w:sz w:val="16"/>
                <w:szCs w:val="16"/>
              </w:rPr>
            </w:pPr>
            <w:r w:rsidRPr="00240557">
              <w:rPr>
                <w:sz w:val="16"/>
                <w:szCs w:val="16"/>
                <w:lang w:val="fr-FR"/>
              </w:rPr>
              <w:t>III</w:t>
            </w:r>
          </w:p>
        </w:tc>
        <w:tc>
          <w:tcPr>
            <w:tcW w:w="641" w:type="dxa"/>
            <w:tcBorders>
              <w:top w:val="single" w:sz="6" w:space="0" w:color="auto"/>
              <w:left w:val="single" w:sz="6" w:space="0" w:color="auto"/>
              <w:bottom w:val="single" w:sz="6" w:space="0" w:color="auto"/>
              <w:right w:val="single" w:sz="6" w:space="0" w:color="auto"/>
            </w:tcBorders>
            <w:shd w:val="clear" w:color="auto" w:fill="auto"/>
            <w:noWrap/>
          </w:tcPr>
          <w:p w14:paraId="38B73730" w14:textId="77777777" w:rsidR="00ED6C9E" w:rsidRPr="00240557" w:rsidRDefault="00ED6C9E" w:rsidP="00240557">
            <w:pPr>
              <w:spacing w:before="40" w:after="40" w:line="200" w:lineRule="atLeast"/>
              <w:jc w:val="center"/>
              <w:rPr>
                <w:b/>
                <w:bCs/>
                <w:sz w:val="16"/>
                <w:szCs w:val="16"/>
                <w:u w:val="single"/>
              </w:rPr>
            </w:pPr>
            <w:r w:rsidRPr="00240557">
              <w:rPr>
                <w:sz w:val="16"/>
                <w:szCs w:val="16"/>
                <w:lang w:val="fr-FR"/>
              </w:rPr>
              <w:t>3+N2</w:t>
            </w:r>
            <w:r w:rsidRPr="00240557">
              <w:rPr>
                <w:sz w:val="16"/>
                <w:szCs w:val="16"/>
                <w:u w:val="single"/>
                <w:lang w:val="fr-FR"/>
              </w:rPr>
              <w:t>+</w:t>
            </w:r>
          </w:p>
          <w:p w14:paraId="67CCFAF6" w14:textId="77777777" w:rsidR="00ED6C9E" w:rsidRPr="00240557" w:rsidRDefault="00ED6C9E" w:rsidP="00240557">
            <w:pPr>
              <w:spacing w:before="40" w:after="40" w:line="200" w:lineRule="atLeast"/>
              <w:jc w:val="center"/>
              <w:rPr>
                <w:sz w:val="16"/>
                <w:szCs w:val="16"/>
              </w:rPr>
            </w:pPr>
            <w:r w:rsidRPr="00240557">
              <w:rPr>
                <w:b/>
                <w:bCs/>
                <w:sz w:val="16"/>
                <w:szCs w:val="16"/>
                <w:u w:val="single"/>
                <w:lang w:val="fr-FR"/>
              </w:rPr>
              <w:t>CMR</w:t>
            </w:r>
          </w:p>
        </w:tc>
        <w:tc>
          <w:tcPr>
            <w:tcW w:w="635" w:type="dxa"/>
            <w:tcBorders>
              <w:top w:val="single" w:sz="6" w:space="0" w:color="auto"/>
              <w:left w:val="single" w:sz="6" w:space="0" w:color="auto"/>
              <w:bottom w:val="single" w:sz="6" w:space="0" w:color="auto"/>
              <w:right w:val="single" w:sz="6" w:space="0" w:color="auto"/>
            </w:tcBorders>
            <w:shd w:val="clear" w:color="auto" w:fill="auto"/>
          </w:tcPr>
          <w:p w14:paraId="3DC496FE" w14:textId="77777777" w:rsidR="00ED6C9E" w:rsidRPr="00240557" w:rsidRDefault="00ED6C9E" w:rsidP="00240557">
            <w:pPr>
              <w:spacing w:before="40" w:after="40" w:line="200" w:lineRule="atLeast"/>
              <w:jc w:val="center"/>
              <w:rPr>
                <w:sz w:val="16"/>
                <w:szCs w:val="16"/>
              </w:rPr>
            </w:pPr>
            <w:r w:rsidRPr="00240557">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E17021" w14:textId="77777777" w:rsidR="00ED6C9E" w:rsidRPr="00240557" w:rsidRDefault="00ED6C9E" w:rsidP="00240557">
            <w:pPr>
              <w:spacing w:before="40" w:after="40" w:line="200" w:lineRule="atLeast"/>
              <w:jc w:val="center"/>
              <w:rPr>
                <w:strike/>
                <w:sz w:val="16"/>
                <w:szCs w:val="16"/>
              </w:rPr>
            </w:pPr>
            <w:r w:rsidRPr="00240557">
              <w:rPr>
                <w:strike/>
                <w:sz w:val="16"/>
                <w:szCs w:val="16"/>
                <w:lang w:val="fr-FR"/>
              </w:rPr>
              <w:t>3</w:t>
            </w:r>
            <w:r w:rsidRPr="00240557">
              <w:rPr>
                <w:sz w:val="16"/>
                <w:szCs w:val="16"/>
                <w:lang w:val="fr-FR"/>
              </w:rPr>
              <w:t xml:space="preserve"> </w:t>
            </w:r>
            <w:r w:rsidRPr="00240557">
              <w:rPr>
                <w:b/>
                <w:bCs/>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97845F"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7BDF6F3" w14:textId="77777777" w:rsidR="00ED6C9E" w:rsidRPr="00240557" w:rsidRDefault="00ED6C9E" w:rsidP="00240557">
            <w:pPr>
              <w:spacing w:before="40" w:after="40" w:line="200" w:lineRule="atLeast"/>
              <w:jc w:val="center"/>
              <w:rPr>
                <w:sz w:val="16"/>
                <w:szCs w:val="16"/>
              </w:rPr>
            </w:pPr>
            <w:r w:rsidRPr="00240557">
              <w:rPr>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B771DD" w14:textId="77777777" w:rsidR="00ED6C9E" w:rsidRPr="00240557" w:rsidRDefault="00ED6C9E" w:rsidP="00240557">
            <w:pPr>
              <w:spacing w:before="40" w:after="40" w:line="200" w:lineRule="atLeast"/>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197FDDC" w14:textId="77777777" w:rsidR="00ED6C9E" w:rsidRPr="00240557" w:rsidRDefault="00ED6C9E" w:rsidP="00240557">
            <w:pPr>
              <w:spacing w:before="40" w:after="40" w:line="200" w:lineRule="atLeast"/>
              <w:jc w:val="center"/>
              <w:rPr>
                <w:sz w:val="16"/>
                <w:szCs w:val="16"/>
              </w:rPr>
            </w:pPr>
            <w:r w:rsidRPr="00240557">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EF29AD7" w14:textId="77777777" w:rsidR="00ED6C9E" w:rsidRPr="00240557" w:rsidRDefault="00ED6C9E" w:rsidP="00240557">
            <w:pPr>
              <w:spacing w:before="40" w:after="40" w:line="200" w:lineRule="atLeast"/>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2B139B" w14:textId="77777777" w:rsidR="00ED6C9E" w:rsidRPr="00240557" w:rsidRDefault="00ED6C9E" w:rsidP="00240557">
            <w:pPr>
              <w:spacing w:before="40" w:after="40" w:line="200" w:lineRule="atLeast"/>
              <w:jc w:val="center"/>
              <w:rPr>
                <w:sz w:val="16"/>
                <w:szCs w:val="16"/>
              </w:rPr>
            </w:pPr>
            <w:r w:rsidRPr="00240557">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9BF18F" w14:textId="77777777" w:rsidR="00ED6C9E" w:rsidRPr="00240557" w:rsidRDefault="00ED6C9E" w:rsidP="00240557">
            <w:pPr>
              <w:spacing w:before="40" w:after="40" w:line="200" w:lineRule="atLeast"/>
              <w:jc w:val="center"/>
              <w:rPr>
                <w:sz w:val="16"/>
                <w:szCs w:val="16"/>
              </w:rPr>
            </w:pPr>
            <w:r w:rsidRPr="00240557">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88EC307" w14:textId="77777777" w:rsidR="00ED6C9E" w:rsidRPr="00240557" w:rsidRDefault="00ED6C9E" w:rsidP="00240557">
            <w:pPr>
              <w:spacing w:before="40" w:after="40" w:line="200" w:lineRule="atLeast"/>
              <w:jc w:val="center"/>
              <w:rPr>
                <w:sz w:val="16"/>
                <w:szCs w:val="16"/>
              </w:rPr>
            </w:pPr>
            <w:r w:rsidRPr="00240557">
              <w:rPr>
                <w:sz w:val="16"/>
                <w:szCs w:val="16"/>
                <w:lang w:val="fr-FR"/>
              </w:rPr>
              <w:t xml:space="preserve">T1 </w:t>
            </w:r>
            <w:r w:rsidRPr="00240557">
              <w:rPr>
                <w:sz w:val="16"/>
                <w:szCs w:val="16"/>
                <w:vertAlign w:val="superscript"/>
                <w:lang w:val="fr-FR"/>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7DCD9B4" w14:textId="77777777" w:rsidR="00ED6C9E" w:rsidRPr="00240557" w:rsidRDefault="00ED6C9E" w:rsidP="00240557">
            <w:pPr>
              <w:spacing w:before="40" w:after="40" w:line="200" w:lineRule="atLeast"/>
              <w:jc w:val="center"/>
              <w:rPr>
                <w:sz w:val="16"/>
                <w:szCs w:val="16"/>
              </w:rPr>
            </w:pPr>
            <w:r w:rsidRPr="00240557">
              <w:rPr>
                <w:sz w:val="16"/>
                <w:szCs w:val="16"/>
                <w:lang w:val="fr-FR"/>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E98B962" w14:textId="77777777" w:rsidR="00ED6C9E" w:rsidRPr="00240557" w:rsidRDefault="00ED6C9E" w:rsidP="00240557">
            <w:pPr>
              <w:spacing w:before="40" w:after="40" w:line="200" w:lineRule="atLeast"/>
              <w:jc w:val="center"/>
              <w:rPr>
                <w:sz w:val="16"/>
                <w:szCs w:val="16"/>
              </w:rPr>
            </w:pPr>
            <w:r w:rsidRPr="00240557">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40CF37D" w14:textId="77777777" w:rsidR="00ED6C9E" w:rsidRPr="00240557" w:rsidRDefault="00ED6C9E" w:rsidP="00240557">
            <w:pPr>
              <w:spacing w:before="40" w:after="40" w:line="200" w:lineRule="atLeast"/>
              <w:jc w:val="center"/>
              <w:rPr>
                <w:sz w:val="16"/>
                <w:szCs w:val="16"/>
              </w:rPr>
            </w:pPr>
            <w:r w:rsidRPr="00240557">
              <w:rPr>
                <w:sz w:val="16"/>
                <w:szCs w:val="16"/>
                <w:lang w:val="fr-FR"/>
              </w:rPr>
              <w:t xml:space="preserve">PP, </w:t>
            </w:r>
            <w:r w:rsidRPr="00240557">
              <w:rPr>
                <w:b/>
                <w:bCs/>
                <w:sz w:val="16"/>
                <w:szCs w:val="16"/>
                <w:u w:val="single"/>
                <w:lang w:val="fr-FR"/>
              </w:rPr>
              <w:t>EP</w:t>
            </w:r>
            <w:r w:rsidRPr="00240557">
              <w:rPr>
                <w:sz w:val="16"/>
                <w:szCs w:val="16"/>
                <w:lang w:val="fr-FR"/>
              </w:rPr>
              <w:t xml:space="preserve">, EX, </w:t>
            </w:r>
            <w:r w:rsidRPr="00240557">
              <w:rPr>
                <w:b/>
                <w:bCs/>
                <w:sz w:val="16"/>
                <w:szCs w:val="16"/>
                <w:u w:val="single"/>
                <w:lang w:val="fr-FR"/>
              </w:rPr>
              <w:t>TOX</w:t>
            </w:r>
            <w:r w:rsidRPr="00240557">
              <w:rPr>
                <w:sz w:val="16"/>
                <w:szCs w:val="16"/>
                <w:lang w:val="fr-FR"/>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FE5EB3C" w14:textId="77777777" w:rsidR="00ED6C9E" w:rsidRPr="00240557" w:rsidRDefault="00ED6C9E" w:rsidP="00240557">
            <w:pPr>
              <w:spacing w:before="40" w:after="40" w:line="200" w:lineRule="atLeast"/>
              <w:jc w:val="center"/>
              <w:rPr>
                <w:sz w:val="16"/>
                <w:szCs w:val="16"/>
              </w:rPr>
            </w:pPr>
            <w:r w:rsidRPr="00240557">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27E3B0E" w14:textId="77777777" w:rsidR="00ED6C9E" w:rsidRPr="00240557" w:rsidRDefault="00ED6C9E" w:rsidP="00240557">
            <w:pPr>
              <w:spacing w:before="40" w:after="40" w:line="200" w:lineRule="atLeast"/>
              <w:jc w:val="center"/>
              <w:rPr>
                <w:sz w:val="16"/>
                <w:szCs w:val="16"/>
              </w:rPr>
            </w:pPr>
            <w:r w:rsidRPr="00240557">
              <w:rPr>
                <w:sz w:val="16"/>
                <w:szCs w:val="16"/>
                <w:lang w:val="fr-FR"/>
              </w:rPr>
              <w:t>6 : +17 ºC ; 17</w:t>
            </w:r>
          </w:p>
        </w:tc>
      </w:tr>
      <w:bookmarkEnd w:id="3"/>
    </w:tbl>
    <w:p w14:paraId="0F1D7413" w14:textId="77777777" w:rsidR="004771D3" w:rsidRDefault="004771D3" w:rsidP="0015480E">
      <w:pPr>
        <w:rPr>
          <w:lang w:val="fr-FR"/>
        </w:rPr>
        <w:sectPr w:rsidR="004771D3" w:rsidSect="0015480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774F2C99" w14:textId="56A9E5A1" w:rsidR="004771D3" w:rsidRPr="006852FE" w:rsidRDefault="002B5773" w:rsidP="002B5773">
      <w:pPr>
        <w:pStyle w:val="HChG"/>
      </w:pPr>
      <w:r>
        <w:rPr>
          <w:lang w:val="fr-FR"/>
        </w:rPr>
        <w:tab/>
      </w:r>
      <w:r w:rsidR="004771D3">
        <w:rPr>
          <w:lang w:val="fr-FR"/>
        </w:rPr>
        <w:t>IV.</w:t>
      </w:r>
      <w:r w:rsidR="004771D3">
        <w:rPr>
          <w:lang w:val="fr-FR"/>
        </w:rPr>
        <w:tab/>
        <w:t>Remarques</w:t>
      </w:r>
    </w:p>
    <w:p w14:paraId="336EDB8D" w14:textId="23F11992" w:rsidR="004771D3" w:rsidRPr="00DA5025" w:rsidRDefault="004771D3" w:rsidP="004771D3">
      <w:pPr>
        <w:pStyle w:val="SingleTxtG"/>
        <w:rPr>
          <w:lang w:val="fr-FR"/>
        </w:rPr>
      </w:pPr>
      <w:r>
        <w:rPr>
          <w:lang w:val="fr-FR"/>
        </w:rPr>
        <w:t>12.</w:t>
      </w:r>
      <w:r>
        <w:rPr>
          <w:lang w:val="fr-FR"/>
        </w:rPr>
        <w:tab/>
        <w:t>S’agissant du N</w:t>
      </w:r>
      <w:r w:rsidRPr="002B5773">
        <w:rPr>
          <w:vertAlign w:val="superscript"/>
          <w:lang w:val="fr-FR"/>
        </w:rPr>
        <w:t>o</w:t>
      </w:r>
      <w:r w:rsidR="002B5773">
        <w:rPr>
          <w:lang w:val="fr-FR"/>
        </w:rPr>
        <w:t> </w:t>
      </w:r>
      <w:r>
        <w:rPr>
          <w:lang w:val="fr-FR"/>
        </w:rPr>
        <w:t>ONU 1863, il convient de noter que l’ADN prévoit déjà la possibilité de transporter les matières visées en tant que matières ayant les caractéristiques CMR. Par conséquent, aucune modification ne doit être apportée dans le tableau C en ce qui concerne le N</w:t>
      </w:r>
      <w:r w:rsidRPr="002B5773">
        <w:rPr>
          <w:vertAlign w:val="superscript"/>
          <w:lang w:val="fr-FR"/>
        </w:rPr>
        <w:t>o</w:t>
      </w:r>
      <w:r w:rsidR="002B5773">
        <w:rPr>
          <w:lang w:val="fr-FR"/>
        </w:rPr>
        <w:t> </w:t>
      </w:r>
      <w:r>
        <w:rPr>
          <w:lang w:val="fr-FR"/>
        </w:rPr>
        <w:t>ONU 1863.</w:t>
      </w:r>
    </w:p>
    <w:p w14:paraId="3EE96E57" w14:textId="2F672E05" w:rsidR="004771D3" w:rsidRPr="00DA5025" w:rsidRDefault="004771D3" w:rsidP="004771D3">
      <w:pPr>
        <w:pStyle w:val="SingleTxtG"/>
        <w:rPr>
          <w:lang w:val="fr-FR"/>
        </w:rPr>
      </w:pPr>
      <w:r>
        <w:rPr>
          <w:lang w:val="fr-FR"/>
        </w:rPr>
        <w:t>13.</w:t>
      </w:r>
      <w:r>
        <w:rPr>
          <w:lang w:val="fr-FR"/>
        </w:rPr>
        <w:tab/>
        <w:t>Les propositions figurant au paragraphe</w:t>
      </w:r>
      <w:r w:rsidR="002B5773">
        <w:rPr>
          <w:lang w:val="fr-FR"/>
        </w:rPr>
        <w:t> </w:t>
      </w:r>
      <w:r>
        <w:rPr>
          <w:lang w:val="fr-FR"/>
        </w:rPr>
        <w:t>11 portent uniquement sur le tableau C de l’ADN ; dans la mesure de ce qui a pu être établi, les caractéristiques CMR ajoutées n’entraînent pas de modifications des rubriques correspondantes des N</w:t>
      </w:r>
      <w:r w:rsidRPr="002B5773">
        <w:rPr>
          <w:vertAlign w:val="superscript"/>
          <w:lang w:val="fr-FR"/>
        </w:rPr>
        <w:t>os</w:t>
      </w:r>
      <w:r w:rsidR="002B5773">
        <w:rPr>
          <w:lang w:val="fr-FR"/>
        </w:rPr>
        <w:t> </w:t>
      </w:r>
      <w:r>
        <w:rPr>
          <w:lang w:val="fr-FR"/>
        </w:rPr>
        <w:t>ONU 1918, 1223 et 1307 dans le tableau A de l’ADN. De même, il ne sera pas nécessaire de modifier les rubriques correspondantes de l’ADR et du RID.</w:t>
      </w:r>
    </w:p>
    <w:p w14:paraId="1C3AC956" w14:textId="77777777" w:rsidR="004771D3" w:rsidRPr="00DA5025" w:rsidRDefault="004771D3" w:rsidP="002B5773">
      <w:pPr>
        <w:pStyle w:val="HChG"/>
        <w:rPr>
          <w:lang w:val="fr-FR"/>
        </w:rPr>
      </w:pPr>
      <w:r>
        <w:rPr>
          <w:lang w:val="fr-FR"/>
        </w:rPr>
        <w:tab/>
        <w:t>V.</w:t>
      </w:r>
      <w:r>
        <w:rPr>
          <w:lang w:val="fr-FR"/>
        </w:rPr>
        <w:tab/>
        <w:t>Lien avec les objectifs de développement durable</w:t>
      </w:r>
    </w:p>
    <w:p w14:paraId="164AB7E5" w14:textId="2370F612" w:rsidR="004771D3" w:rsidRPr="00DA5025" w:rsidRDefault="004771D3" w:rsidP="004771D3">
      <w:pPr>
        <w:pStyle w:val="SingleTxtG"/>
        <w:rPr>
          <w:lang w:val="fr-FR"/>
        </w:rPr>
      </w:pPr>
      <w:r>
        <w:rPr>
          <w:lang w:val="fr-FR"/>
        </w:rPr>
        <w:t>14.</w:t>
      </w:r>
      <w:r>
        <w:rPr>
          <w:lang w:val="fr-FR"/>
        </w:rPr>
        <w:tab/>
      </w:r>
      <w:r w:rsidRPr="002B1C12">
        <w:rPr>
          <w:lang w:val="fr-FR"/>
        </w:rPr>
        <w:t xml:space="preserve">On peut considérer que </w:t>
      </w:r>
      <w:r>
        <w:rPr>
          <w:lang w:val="fr-FR"/>
        </w:rPr>
        <w:t xml:space="preserve">les nouvelles connaissances sur les dangers (supplémentaires) des matières et </w:t>
      </w:r>
      <w:r w:rsidRPr="00EE7687">
        <w:rPr>
          <w:lang w:val="fr-FR"/>
        </w:rPr>
        <w:t xml:space="preserve">leur prise en compte aux fins de </w:t>
      </w:r>
      <w:r>
        <w:rPr>
          <w:lang w:val="fr-FR"/>
        </w:rPr>
        <w:t>la sécurité de la manutention, du stockage et du transport de ces matières dangereuses s’inscrivent dans le cadre de l’objectif de développement durable n</w:t>
      </w:r>
      <w:r w:rsidRPr="00881A89">
        <w:rPr>
          <w:vertAlign w:val="superscript"/>
          <w:lang w:val="fr-FR"/>
        </w:rPr>
        <w:t>o</w:t>
      </w:r>
      <w:r w:rsidR="00881A89">
        <w:rPr>
          <w:lang w:val="fr-FR"/>
        </w:rPr>
        <w:t> </w:t>
      </w:r>
      <w:r>
        <w:rPr>
          <w:lang w:val="fr-FR"/>
        </w:rPr>
        <w:t xml:space="preserve">3 (Bonne santé et bien-être </w:t>
      </w:r>
      <w:r w:rsidR="00881A89">
        <w:rPr>
          <w:lang w:val="fr-FR"/>
        </w:rPr>
        <w:t>−</w:t>
      </w:r>
      <w:r>
        <w:rPr>
          <w:lang w:val="fr-FR"/>
        </w:rPr>
        <w:t xml:space="preserve"> Réduction des risques sanitaires liés aux matières dangereuses).</w:t>
      </w:r>
    </w:p>
    <w:p w14:paraId="4B7D82E4" w14:textId="415B5B23" w:rsidR="004771D3" w:rsidRPr="00DA5025" w:rsidRDefault="004771D3" w:rsidP="004771D3">
      <w:pPr>
        <w:pStyle w:val="SingleTxtG"/>
        <w:rPr>
          <w:lang w:val="fr-FR"/>
        </w:rPr>
      </w:pPr>
      <w:r>
        <w:rPr>
          <w:lang w:val="fr-FR"/>
        </w:rPr>
        <w:t>15.</w:t>
      </w:r>
      <w:r>
        <w:rPr>
          <w:lang w:val="fr-FR"/>
        </w:rPr>
        <w:tab/>
        <w:t>Comme cette question est liée au transport durable, les modifications proposées peuvent également contribuer à la réalisation de l’objectif de développement durable n</w:t>
      </w:r>
      <w:r w:rsidRPr="00881A89">
        <w:rPr>
          <w:vertAlign w:val="superscript"/>
          <w:lang w:val="fr-FR"/>
        </w:rPr>
        <w:t>o</w:t>
      </w:r>
      <w:r w:rsidR="00881A89">
        <w:rPr>
          <w:lang w:val="fr-FR"/>
        </w:rPr>
        <w:t> </w:t>
      </w:r>
      <w:r>
        <w:rPr>
          <w:lang w:val="fr-FR"/>
        </w:rPr>
        <w:t>11.</w:t>
      </w:r>
    </w:p>
    <w:p w14:paraId="29132F3C" w14:textId="77777777" w:rsidR="004771D3" w:rsidRPr="00DA5025" w:rsidRDefault="004771D3" w:rsidP="00881A89">
      <w:pPr>
        <w:pStyle w:val="HChG"/>
        <w:rPr>
          <w:lang w:val="fr-FR"/>
        </w:rPr>
      </w:pPr>
      <w:r>
        <w:rPr>
          <w:lang w:val="fr-FR"/>
        </w:rPr>
        <w:tab/>
        <w:t>VI.</w:t>
      </w:r>
      <w:r>
        <w:rPr>
          <w:lang w:val="fr-FR"/>
        </w:rPr>
        <w:tab/>
        <w:t>Mesures à prendre</w:t>
      </w:r>
    </w:p>
    <w:p w14:paraId="6007D26F" w14:textId="3D65F08B" w:rsidR="004771D3" w:rsidRPr="00DA5025" w:rsidRDefault="004771D3" w:rsidP="004771D3">
      <w:pPr>
        <w:pStyle w:val="SingleTxtG"/>
        <w:rPr>
          <w:lang w:val="fr-FR"/>
        </w:rPr>
      </w:pPr>
      <w:r>
        <w:rPr>
          <w:lang w:val="fr-FR"/>
        </w:rPr>
        <w:t>16.</w:t>
      </w:r>
      <w:r>
        <w:rPr>
          <w:lang w:val="fr-FR"/>
        </w:rPr>
        <w:tab/>
        <w:t xml:space="preserve">Le Comité de sécurité est invité à débattre des questions </w:t>
      </w:r>
      <w:r w:rsidRPr="00F47F4B">
        <w:rPr>
          <w:lang w:val="fr-FR"/>
        </w:rPr>
        <w:t>mentionnées</w:t>
      </w:r>
      <w:r>
        <w:rPr>
          <w:b/>
          <w:bCs/>
          <w:lang w:val="fr-FR"/>
        </w:rPr>
        <w:t xml:space="preserve"> </w:t>
      </w:r>
      <w:r>
        <w:rPr>
          <w:lang w:val="fr-FR"/>
        </w:rPr>
        <w:t>aux paragraphes</w:t>
      </w:r>
      <w:r w:rsidR="00881A89">
        <w:rPr>
          <w:lang w:val="fr-FR"/>
        </w:rPr>
        <w:t> </w:t>
      </w:r>
      <w:r>
        <w:rPr>
          <w:lang w:val="fr-FR"/>
        </w:rPr>
        <w:t>9 et 10 ci-dessus et à prendre les mesures qui lui semblent appropriées.</w:t>
      </w:r>
    </w:p>
    <w:p w14:paraId="2720CAA9" w14:textId="7AF0B71B" w:rsidR="004771D3" w:rsidRDefault="004771D3" w:rsidP="004771D3">
      <w:pPr>
        <w:pStyle w:val="SingleTxtG"/>
        <w:rPr>
          <w:lang w:val="fr-FR"/>
        </w:rPr>
      </w:pPr>
      <w:r>
        <w:rPr>
          <w:lang w:val="fr-FR"/>
        </w:rPr>
        <w:t>17.</w:t>
      </w:r>
      <w:r>
        <w:rPr>
          <w:lang w:val="fr-FR"/>
        </w:rPr>
        <w:tab/>
        <w:t xml:space="preserve">Le groupe de travail informel des </w:t>
      </w:r>
      <w:r w:rsidRPr="00881A89">
        <w:rPr>
          <w:lang w:val="fr-FR"/>
        </w:rPr>
        <w:t>matières</w:t>
      </w:r>
      <w:r>
        <w:rPr>
          <w:lang w:val="fr-FR"/>
        </w:rPr>
        <w:t xml:space="preserve"> est invité à examiner les propositions et les observations figurant aux paragraphes</w:t>
      </w:r>
      <w:r w:rsidR="00881A89">
        <w:rPr>
          <w:lang w:val="fr-FR"/>
        </w:rPr>
        <w:t> </w:t>
      </w:r>
      <w:r>
        <w:rPr>
          <w:lang w:val="fr-FR"/>
        </w:rPr>
        <w:t xml:space="preserve">11, 12 et 13 ci-dessus, en vue de leur évaluation et de leur examen à sa prochaine réunion. </w:t>
      </w:r>
    </w:p>
    <w:p w14:paraId="32F49144" w14:textId="1B4C00FC" w:rsidR="00881A89" w:rsidRPr="00881A89" w:rsidRDefault="00881A89" w:rsidP="00881A8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81A89" w:rsidRPr="00881A89" w:rsidSect="004771D3">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18CB" w14:textId="77777777" w:rsidR="004F48D2" w:rsidRDefault="004F48D2" w:rsidP="00F95C08">
      <w:pPr>
        <w:spacing w:line="240" w:lineRule="auto"/>
      </w:pPr>
    </w:p>
  </w:endnote>
  <w:endnote w:type="continuationSeparator" w:id="0">
    <w:p w14:paraId="0ABFE979" w14:textId="77777777" w:rsidR="004F48D2" w:rsidRPr="00AC3823" w:rsidRDefault="004F48D2" w:rsidP="00AC3823">
      <w:pPr>
        <w:pStyle w:val="Pieddepage"/>
      </w:pPr>
    </w:p>
  </w:endnote>
  <w:endnote w:type="continuationNotice" w:id="1">
    <w:p w14:paraId="7ECA2FB1" w14:textId="77777777" w:rsidR="004F48D2" w:rsidRDefault="004F48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CB0" w14:textId="0D3A2483" w:rsidR="0074082A" w:rsidRPr="0074082A" w:rsidRDefault="0074082A" w:rsidP="0074082A">
    <w:pPr>
      <w:pStyle w:val="Pieddepage"/>
      <w:tabs>
        <w:tab w:val="right" w:pos="9638"/>
      </w:tabs>
    </w:pPr>
    <w:r w:rsidRPr="0074082A">
      <w:rPr>
        <w:b/>
        <w:sz w:val="18"/>
      </w:rPr>
      <w:fldChar w:fldCharType="begin"/>
    </w:r>
    <w:r w:rsidRPr="0074082A">
      <w:rPr>
        <w:b/>
        <w:sz w:val="18"/>
      </w:rPr>
      <w:instrText xml:space="preserve"> PAGE  \* MERGEFORMAT </w:instrText>
    </w:r>
    <w:r w:rsidRPr="0074082A">
      <w:rPr>
        <w:b/>
        <w:sz w:val="18"/>
      </w:rPr>
      <w:fldChar w:fldCharType="separate"/>
    </w:r>
    <w:r w:rsidRPr="0074082A">
      <w:rPr>
        <w:b/>
        <w:noProof/>
        <w:sz w:val="18"/>
      </w:rPr>
      <w:t>2</w:t>
    </w:r>
    <w:r w:rsidRPr="0074082A">
      <w:rPr>
        <w:b/>
        <w:sz w:val="18"/>
      </w:rPr>
      <w:fldChar w:fldCharType="end"/>
    </w:r>
    <w:r>
      <w:rPr>
        <w:b/>
        <w:sz w:val="18"/>
      </w:rPr>
      <w:tab/>
    </w:r>
    <w:r>
      <w:t>GE.23-10974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D1B" w14:textId="667E1116" w:rsidR="0074082A" w:rsidRPr="0074082A" w:rsidRDefault="0074082A" w:rsidP="0074082A">
    <w:pPr>
      <w:pStyle w:val="Pieddepage"/>
      <w:tabs>
        <w:tab w:val="right" w:pos="9638"/>
      </w:tabs>
      <w:rPr>
        <w:b/>
        <w:sz w:val="18"/>
      </w:rPr>
    </w:pPr>
    <w:r>
      <w:t>GE.23-10974</w:t>
    </w:r>
    <w:r>
      <w:tab/>
    </w:r>
    <w:r w:rsidRPr="0074082A">
      <w:rPr>
        <w:b/>
        <w:sz w:val="18"/>
      </w:rPr>
      <w:fldChar w:fldCharType="begin"/>
    </w:r>
    <w:r w:rsidRPr="0074082A">
      <w:rPr>
        <w:b/>
        <w:sz w:val="18"/>
      </w:rPr>
      <w:instrText xml:space="preserve"> PAGE  \* MERGEFORMAT </w:instrText>
    </w:r>
    <w:r w:rsidRPr="0074082A">
      <w:rPr>
        <w:b/>
        <w:sz w:val="18"/>
      </w:rPr>
      <w:fldChar w:fldCharType="separate"/>
    </w:r>
    <w:r w:rsidRPr="0074082A">
      <w:rPr>
        <w:b/>
        <w:noProof/>
        <w:sz w:val="18"/>
      </w:rPr>
      <w:t>3</w:t>
    </w:r>
    <w:r w:rsidRPr="007408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882" w14:textId="2588EE54" w:rsidR="007F20FA" w:rsidRPr="0074082A" w:rsidRDefault="0074082A" w:rsidP="0074082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690913" wp14:editId="550B435D">
          <wp:simplePos x="0" y="0"/>
          <wp:positionH relativeFrom="margin">
            <wp:posOffset>4319905</wp:posOffset>
          </wp:positionH>
          <wp:positionV relativeFrom="margin">
            <wp:posOffset>9144000</wp:posOffset>
          </wp:positionV>
          <wp:extent cx="1105200" cy="234000"/>
          <wp:effectExtent l="0" t="0" r="0" b="0"/>
          <wp:wrapNone/>
          <wp:docPr id="522045817" name="Image 52204581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23-10974  (F)</w:t>
    </w:r>
    <w:r>
      <w:rPr>
        <w:noProof/>
        <w:sz w:val="20"/>
      </w:rPr>
      <w:drawing>
        <wp:anchor distT="0" distB="0" distL="114300" distR="114300" simplePos="0" relativeHeight="251660288" behindDoc="0" locked="0" layoutInCell="1" allowOverlap="1" wp14:anchorId="5A05682B" wp14:editId="45594068">
          <wp:simplePos x="0" y="0"/>
          <wp:positionH relativeFrom="margin">
            <wp:posOffset>5489575</wp:posOffset>
          </wp:positionH>
          <wp:positionV relativeFrom="margin">
            <wp:posOffset>8891905</wp:posOffset>
          </wp:positionV>
          <wp:extent cx="638175" cy="638175"/>
          <wp:effectExtent l="0" t="0" r="9525" b="9525"/>
          <wp:wrapNone/>
          <wp:docPr id="19923633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180124    180124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E380" w14:textId="1F1B64BF" w:rsidR="0015480E" w:rsidRPr="0015480E" w:rsidRDefault="0015480E" w:rsidP="0015480E">
    <w:pPr>
      <w:pStyle w:val="Pieddepage"/>
    </w:pPr>
    <w:r>
      <w:rPr>
        <w:noProof/>
      </w:rPr>
      <mc:AlternateContent>
        <mc:Choice Requires="wps">
          <w:drawing>
            <wp:anchor distT="0" distB="0" distL="114300" distR="114300" simplePos="0" relativeHeight="251664384" behindDoc="0" locked="0" layoutInCell="1" allowOverlap="1" wp14:anchorId="78F4BB3D" wp14:editId="5A03F9A7">
              <wp:simplePos x="0" y="0"/>
              <wp:positionH relativeFrom="margin">
                <wp:posOffset>-431800</wp:posOffset>
              </wp:positionH>
              <wp:positionV relativeFrom="margin">
                <wp:posOffset>0</wp:posOffset>
              </wp:positionV>
              <wp:extent cx="215900" cy="6120130"/>
              <wp:effectExtent l="0" t="0" r="0" b="0"/>
              <wp:wrapNone/>
              <wp:docPr id="235798462"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745181" w14:textId="77777777" w:rsidR="0015480E" w:rsidRPr="0074082A" w:rsidRDefault="0015480E" w:rsidP="0015480E">
                          <w:pPr>
                            <w:pStyle w:val="Pieddepage"/>
                            <w:tabs>
                              <w:tab w:val="right" w:pos="9638"/>
                            </w:tabs>
                          </w:pPr>
                          <w:r w:rsidRPr="0074082A">
                            <w:rPr>
                              <w:b/>
                              <w:sz w:val="18"/>
                            </w:rPr>
                            <w:fldChar w:fldCharType="begin"/>
                          </w:r>
                          <w:r w:rsidRPr="0074082A">
                            <w:rPr>
                              <w:b/>
                              <w:sz w:val="18"/>
                            </w:rPr>
                            <w:instrText xml:space="preserve"> PAGE  \* MERGEFORMAT </w:instrText>
                          </w:r>
                          <w:r w:rsidRPr="0074082A">
                            <w:rPr>
                              <w:b/>
                              <w:sz w:val="18"/>
                            </w:rPr>
                            <w:fldChar w:fldCharType="separate"/>
                          </w:r>
                          <w:r>
                            <w:rPr>
                              <w:b/>
                              <w:sz w:val="18"/>
                            </w:rPr>
                            <w:t>6</w:t>
                          </w:r>
                          <w:r w:rsidRPr="0074082A">
                            <w:rPr>
                              <w:b/>
                              <w:sz w:val="18"/>
                            </w:rPr>
                            <w:fldChar w:fldCharType="end"/>
                          </w:r>
                          <w:r>
                            <w:rPr>
                              <w:b/>
                              <w:sz w:val="18"/>
                            </w:rPr>
                            <w:tab/>
                          </w:r>
                          <w:r>
                            <w:t>GE.23-10974</w:t>
                          </w:r>
                        </w:p>
                        <w:p w14:paraId="3A931CD0" w14:textId="77777777" w:rsidR="0015480E" w:rsidRDefault="001548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F4BB3D" id="_x0000_t202" coordsize="21600,21600" o:spt="202" path="m,l,21600r21600,l21600,xe">
              <v:stroke joinstyle="miter"/>
              <v:path gradientshapeok="t" o:connecttype="rect"/>
            </v:shapetype>
            <v:shape id="Zone de texte 4"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A745181" w14:textId="77777777" w:rsidR="0015480E" w:rsidRPr="0074082A" w:rsidRDefault="0015480E" w:rsidP="0015480E">
                    <w:pPr>
                      <w:pStyle w:val="Pieddepage"/>
                      <w:tabs>
                        <w:tab w:val="right" w:pos="9638"/>
                      </w:tabs>
                    </w:pPr>
                    <w:r w:rsidRPr="0074082A">
                      <w:rPr>
                        <w:b/>
                        <w:sz w:val="18"/>
                      </w:rPr>
                      <w:fldChar w:fldCharType="begin"/>
                    </w:r>
                    <w:r w:rsidRPr="0074082A">
                      <w:rPr>
                        <w:b/>
                        <w:sz w:val="18"/>
                      </w:rPr>
                      <w:instrText xml:space="preserve"> PAGE  \* MERGEFORMAT </w:instrText>
                    </w:r>
                    <w:r w:rsidRPr="0074082A">
                      <w:rPr>
                        <w:b/>
                        <w:sz w:val="18"/>
                      </w:rPr>
                      <w:fldChar w:fldCharType="separate"/>
                    </w:r>
                    <w:r>
                      <w:rPr>
                        <w:b/>
                        <w:sz w:val="18"/>
                      </w:rPr>
                      <w:t>6</w:t>
                    </w:r>
                    <w:r w:rsidRPr="0074082A">
                      <w:rPr>
                        <w:b/>
                        <w:sz w:val="18"/>
                      </w:rPr>
                      <w:fldChar w:fldCharType="end"/>
                    </w:r>
                    <w:r>
                      <w:rPr>
                        <w:b/>
                        <w:sz w:val="18"/>
                      </w:rPr>
                      <w:tab/>
                    </w:r>
                    <w:r>
                      <w:t>GE.23-10974</w:t>
                    </w:r>
                  </w:p>
                  <w:p w14:paraId="3A931CD0" w14:textId="77777777" w:rsidR="0015480E" w:rsidRDefault="001548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59C9" w14:textId="5C46F074" w:rsidR="0015480E" w:rsidRPr="0015480E" w:rsidRDefault="0015480E" w:rsidP="0015480E">
    <w:pPr>
      <w:pStyle w:val="Pieddepage"/>
    </w:pPr>
    <w:r>
      <w:rPr>
        <w:noProof/>
      </w:rPr>
      <mc:AlternateContent>
        <mc:Choice Requires="wps">
          <w:drawing>
            <wp:anchor distT="0" distB="0" distL="114300" distR="114300" simplePos="0" relativeHeight="251662336" behindDoc="0" locked="0" layoutInCell="1" allowOverlap="1" wp14:anchorId="28837E90" wp14:editId="64C5562D">
              <wp:simplePos x="0" y="0"/>
              <wp:positionH relativeFrom="margin">
                <wp:posOffset>-431800</wp:posOffset>
              </wp:positionH>
              <wp:positionV relativeFrom="margin">
                <wp:posOffset>0</wp:posOffset>
              </wp:positionV>
              <wp:extent cx="215900" cy="6120130"/>
              <wp:effectExtent l="0" t="0" r="0" b="0"/>
              <wp:wrapNone/>
              <wp:docPr id="938286060"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BA02ED" w14:textId="77777777" w:rsidR="0015480E" w:rsidRPr="0074082A" w:rsidRDefault="0015480E" w:rsidP="0015480E">
                          <w:pPr>
                            <w:pStyle w:val="Pieddepage"/>
                            <w:tabs>
                              <w:tab w:val="right" w:pos="9638"/>
                            </w:tabs>
                            <w:rPr>
                              <w:b/>
                              <w:sz w:val="18"/>
                            </w:rPr>
                          </w:pPr>
                          <w:r>
                            <w:t>GE.23-10974</w:t>
                          </w:r>
                          <w:r>
                            <w:tab/>
                          </w:r>
                          <w:r w:rsidRPr="0074082A">
                            <w:rPr>
                              <w:b/>
                              <w:sz w:val="18"/>
                            </w:rPr>
                            <w:fldChar w:fldCharType="begin"/>
                          </w:r>
                          <w:r w:rsidRPr="0074082A">
                            <w:rPr>
                              <w:b/>
                              <w:sz w:val="18"/>
                            </w:rPr>
                            <w:instrText xml:space="preserve"> PAGE  \* MERGEFORMAT </w:instrText>
                          </w:r>
                          <w:r w:rsidRPr="0074082A">
                            <w:rPr>
                              <w:b/>
                              <w:sz w:val="18"/>
                            </w:rPr>
                            <w:fldChar w:fldCharType="separate"/>
                          </w:r>
                          <w:r>
                            <w:rPr>
                              <w:b/>
                              <w:sz w:val="18"/>
                            </w:rPr>
                            <w:t>5</w:t>
                          </w:r>
                          <w:r w:rsidRPr="0074082A">
                            <w:rPr>
                              <w:b/>
                              <w:sz w:val="18"/>
                            </w:rPr>
                            <w:fldChar w:fldCharType="end"/>
                          </w:r>
                        </w:p>
                        <w:p w14:paraId="42E921CA" w14:textId="77777777" w:rsidR="0015480E" w:rsidRDefault="001548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837E90" id="_x0000_t202" coordsize="21600,21600" o:spt="202" path="m,l,21600r21600,l21600,xe">
              <v:stroke joinstyle="miter"/>
              <v:path gradientshapeok="t" o:connecttype="rect"/>
            </v:shapetype>
            <v:shape id="Zone de texte 2"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2BA02ED" w14:textId="77777777" w:rsidR="0015480E" w:rsidRPr="0074082A" w:rsidRDefault="0015480E" w:rsidP="0015480E">
                    <w:pPr>
                      <w:pStyle w:val="Pieddepage"/>
                      <w:tabs>
                        <w:tab w:val="right" w:pos="9638"/>
                      </w:tabs>
                      <w:rPr>
                        <w:b/>
                        <w:sz w:val="18"/>
                      </w:rPr>
                    </w:pPr>
                    <w:r>
                      <w:t>GE.23-10974</w:t>
                    </w:r>
                    <w:r>
                      <w:tab/>
                    </w:r>
                    <w:r w:rsidRPr="0074082A">
                      <w:rPr>
                        <w:b/>
                        <w:sz w:val="18"/>
                      </w:rPr>
                      <w:fldChar w:fldCharType="begin"/>
                    </w:r>
                    <w:r w:rsidRPr="0074082A">
                      <w:rPr>
                        <w:b/>
                        <w:sz w:val="18"/>
                      </w:rPr>
                      <w:instrText xml:space="preserve"> PAGE  \* MERGEFORMAT </w:instrText>
                    </w:r>
                    <w:r w:rsidRPr="0074082A">
                      <w:rPr>
                        <w:b/>
                        <w:sz w:val="18"/>
                      </w:rPr>
                      <w:fldChar w:fldCharType="separate"/>
                    </w:r>
                    <w:r>
                      <w:rPr>
                        <w:b/>
                        <w:sz w:val="18"/>
                      </w:rPr>
                      <w:t>5</w:t>
                    </w:r>
                    <w:r w:rsidRPr="0074082A">
                      <w:rPr>
                        <w:b/>
                        <w:sz w:val="18"/>
                      </w:rPr>
                      <w:fldChar w:fldCharType="end"/>
                    </w:r>
                  </w:p>
                  <w:p w14:paraId="42E921CA" w14:textId="77777777" w:rsidR="0015480E" w:rsidRDefault="0015480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EB9" w14:textId="72752B7A" w:rsidR="004771D3" w:rsidRPr="004771D3" w:rsidRDefault="004771D3" w:rsidP="004771D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4771D3">
      <w:t>GE.</w:t>
    </w:r>
    <w:r w:rsidRPr="004771D3">
      <w:t>23</w:t>
    </w:r>
    <w:r w:rsidRPr="004771D3">
      <w:t>-</w:t>
    </w:r>
    <w:r w:rsidRPr="004771D3">
      <w:t>10974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61E" w14:textId="27C4B73D" w:rsidR="004771D3" w:rsidRPr="004771D3" w:rsidRDefault="004771D3" w:rsidP="004771D3">
    <w:pPr>
      <w:pStyle w:val="Pieddepage"/>
      <w:tabs>
        <w:tab w:val="right" w:pos="9638"/>
      </w:tabs>
      <w:rPr>
        <w:b/>
        <w:sz w:val="18"/>
      </w:rPr>
    </w:pPr>
    <w:r>
      <w:t>GE.</w:t>
    </w:r>
    <w:r w:rsidRPr="004771D3">
      <w:t>23</w:t>
    </w:r>
    <w:r>
      <w:t>-</w:t>
    </w:r>
    <w:r w:rsidRPr="004771D3">
      <w:t>10974</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52E1" w14:textId="77777777" w:rsidR="004F48D2" w:rsidRPr="00AC3823" w:rsidRDefault="004F48D2" w:rsidP="00AC3823">
      <w:pPr>
        <w:pStyle w:val="Pieddepage"/>
        <w:tabs>
          <w:tab w:val="right" w:pos="2155"/>
        </w:tabs>
        <w:spacing w:after="80" w:line="240" w:lineRule="atLeast"/>
        <w:ind w:left="680"/>
        <w:rPr>
          <w:u w:val="single"/>
        </w:rPr>
      </w:pPr>
      <w:r>
        <w:rPr>
          <w:u w:val="single"/>
        </w:rPr>
        <w:tab/>
      </w:r>
    </w:p>
  </w:footnote>
  <w:footnote w:type="continuationSeparator" w:id="0">
    <w:p w14:paraId="18A07509" w14:textId="77777777" w:rsidR="004F48D2" w:rsidRPr="00AC3823" w:rsidRDefault="004F48D2" w:rsidP="00AC3823">
      <w:pPr>
        <w:pStyle w:val="Pieddepage"/>
        <w:tabs>
          <w:tab w:val="right" w:pos="2155"/>
        </w:tabs>
        <w:spacing w:after="80" w:line="240" w:lineRule="atLeast"/>
        <w:ind w:left="680"/>
        <w:rPr>
          <w:u w:val="single"/>
        </w:rPr>
      </w:pPr>
      <w:r>
        <w:rPr>
          <w:u w:val="single"/>
        </w:rPr>
        <w:tab/>
      </w:r>
    </w:p>
  </w:footnote>
  <w:footnote w:type="continuationNotice" w:id="1">
    <w:p w14:paraId="1F17AB27" w14:textId="77777777" w:rsidR="004F48D2" w:rsidRPr="00AC3823" w:rsidRDefault="004F48D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8CAC" w14:textId="4489AB8F" w:rsidR="0074082A" w:rsidRPr="0074082A" w:rsidRDefault="0074082A">
    <w:pPr>
      <w:pStyle w:val="En-tte"/>
    </w:pPr>
    <w:fldSimple w:instr=" TITLE  \* MERGEFORMAT ">
      <w:r w:rsidR="001A0B38">
        <w:t>ECE/TRANS/WP.15/AC.2/2023/45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8F8" w14:textId="1400D642" w:rsidR="0074082A" w:rsidRPr="0074082A" w:rsidRDefault="0074082A" w:rsidP="0074082A">
    <w:pPr>
      <w:pStyle w:val="En-tte"/>
      <w:jc w:val="right"/>
    </w:pPr>
    <w:fldSimple w:instr=" TITLE  \* MERGEFORMAT ">
      <w:r w:rsidR="001A0B38">
        <w:t>ECE/TRANS/WP.15/AC.2/2023/45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0C7F" w14:textId="54E2AE62" w:rsidR="0015480E" w:rsidRPr="0015480E" w:rsidRDefault="0015480E" w:rsidP="0015480E">
    <w:r>
      <w:rPr>
        <w:noProof/>
      </w:rPr>
      <mc:AlternateContent>
        <mc:Choice Requires="wps">
          <w:drawing>
            <wp:anchor distT="0" distB="0" distL="114300" distR="114300" simplePos="0" relativeHeight="251663360" behindDoc="0" locked="0" layoutInCell="1" allowOverlap="1" wp14:anchorId="1748C1C4" wp14:editId="53F0203C">
              <wp:simplePos x="0" y="0"/>
              <wp:positionH relativeFrom="page">
                <wp:posOffset>9935845</wp:posOffset>
              </wp:positionH>
              <wp:positionV relativeFrom="margin">
                <wp:posOffset>0</wp:posOffset>
              </wp:positionV>
              <wp:extent cx="215900" cy="6120130"/>
              <wp:effectExtent l="0" t="0" r="0" b="0"/>
              <wp:wrapNone/>
              <wp:docPr id="85399316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E64913D" w14:textId="2B4FE701" w:rsidR="0015480E" w:rsidRPr="0074082A" w:rsidRDefault="0015480E" w:rsidP="0015480E">
                          <w:pPr>
                            <w:pStyle w:val="En-tte"/>
                          </w:pPr>
                          <w:r>
                            <w:fldChar w:fldCharType="begin"/>
                          </w:r>
                          <w:r>
                            <w:instrText xml:space="preserve"> TITLE  \* MERGEFORMAT </w:instrText>
                          </w:r>
                          <w:r>
                            <w:fldChar w:fldCharType="separate"/>
                          </w:r>
                          <w:r w:rsidR="001A0B38">
                            <w:t>ECE/TRANS/WP.15/AC.2/2023/45</w:t>
                          </w:r>
                          <w:r>
                            <w:fldChar w:fldCharType="end"/>
                          </w:r>
                        </w:p>
                        <w:p w14:paraId="1C89F718" w14:textId="77777777" w:rsidR="0015480E" w:rsidRDefault="001548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48C1C4" id="_x0000_t202" coordsize="21600,21600" o:spt="202" path="m,l,21600r21600,l21600,xe">
              <v:stroke joinstyle="miter"/>
              <v:path gradientshapeok="t" o:connecttype="rect"/>
            </v:shapetype>
            <v:shape id="Zone de texte 3"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1E64913D" w14:textId="2B4FE701" w:rsidR="0015480E" w:rsidRPr="0074082A" w:rsidRDefault="0015480E" w:rsidP="0015480E">
                    <w:pPr>
                      <w:pStyle w:val="En-tte"/>
                    </w:pPr>
                    <w:r>
                      <w:fldChar w:fldCharType="begin"/>
                    </w:r>
                    <w:r>
                      <w:instrText xml:space="preserve"> TITLE  \* MERGEFORMAT </w:instrText>
                    </w:r>
                    <w:r>
                      <w:fldChar w:fldCharType="separate"/>
                    </w:r>
                    <w:r w:rsidR="001A0B38">
                      <w:t>ECE/TRANS/WP.15/AC.2/2023/45</w:t>
                    </w:r>
                    <w:r>
                      <w:fldChar w:fldCharType="end"/>
                    </w:r>
                  </w:p>
                  <w:p w14:paraId="1C89F718" w14:textId="77777777" w:rsidR="0015480E" w:rsidRDefault="0015480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CD5" w14:textId="6966FDCA" w:rsidR="0015480E" w:rsidRPr="0015480E" w:rsidRDefault="0015480E" w:rsidP="0015480E">
    <w:r>
      <w:rPr>
        <w:noProof/>
      </w:rPr>
      <mc:AlternateContent>
        <mc:Choice Requires="wps">
          <w:drawing>
            <wp:anchor distT="0" distB="0" distL="114300" distR="114300" simplePos="0" relativeHeight="251661312" behindDoc="0" locked="0" layoutInCell="1" allowOverlap="1" wp14:anchorId="2F2322F9" wp14:editId="2E2936E4">
              <wp:simplePos x="0" y="0"/>
              <wp:positionH relativeFrom="page">
                <wp:posOffset>9935845</wp:posOffset>
              </wp:positionH>
              <wp:positionV relativeFrom="margin">
                <wp:posOffset>0</wp:posOffset>
              </wp:positionV>
              <wp:extent cx="215900" cy="6120130"/>
              <wp:effectExtent l="0" t="0" r="0" b="0"/>
              <wp:wrapNone/>
              <wp:docPr id="715527833"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736DCD" w14:textId="66055E1C" w:rsidR="0015480E" w:rsidRPr="0074082A" w:rsidRDefault="0015480E" w:rsidP="0015480E">
                          <w:pPr>
                            <w:pStyle w:val="En-tte"/>
                            <w:jc w:val="right"/>
                          </w:pPr>
                          <w:r>
                            <w:fldChar w:fldCharType="begin"/>
                          </w:r>
                          <w:r>
                            <w:instrText xml:space="preserve"> TITLE  \* MERGEFORMAT </w:instrText>
                          </w:r>
                          <w:r>
                            <w:fldChar w:fldCharType="separate"/>
                          </w:r>
                          <w:r w:rsidR="001A0B38">
                            <w:t>ECE/TRANS/WP.15/AC.2/2023/45</w:t>
                          </w:r>
                          <w:r>
                            <w:fldChar w:fldCharType="end"/>
                          </w:r>
                        </w:p>
                        <w:p w14:paraId="6E2F0AB4" w14:textId="77777777" w:rsidR="0015480E" w:rsidRDefault="001548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2322F9" id="_x0000_t202" coordsize="21600,21600" o:spt="202" path="m,l,21600r21600,l21600,xe">
              <v:stroke joinstyle="miter"/>
              <v:path gradientshapeok="t" o:connecttype="rect"/>
            </v:shapetype>
            <v:shape id="Zone de texte 1"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D736DCD" w14:textId="66055E1C" w:rsidR="0015480E" w:rsidRPr="0074082A" w:rsidRDefault="0015480E" w:rsidP="0015480E">
                    <w:pPr>
                      <w:pStyle w:val="En-tte"/>
                      <w:jc w:val="right"/>
                    </w:pPr>
                    <w:r>
                      <w:fldChar w:fldCharType="begin"/>
                    </w:r>
                    <w:r>
                      <w:instrText xml:space="preserve"> TITLE  \* MERGEFORMAT </w:instrText>
                    </w:r>
                    <w:r>
                      <w:fldChar w:fldCharType="separate"/>
                    </w:r>
                    <w:r w:rsidR="001A0B38">
                      <w:t>ECE/TRANS/WP.15/AC.2/2023/45</w:t>
                    </w:r>
                    <w:r>
                      <w:fldChar w:fldCharType="end"/>
                    </w:r>
                  </w:p>
                  <w:p w14:paraId="6E2F0AB4" w14:textId="77777777" w:rsidR="0015480E" w:rsidRDefault="0015480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C90D" w14:textId="4AFB4273" w:rsidR="004771D3" w:rsidRPr="004771D3" w:rsidRDefault="004771D3" w:rsidP="004771D3">
    <w:pPr>
      <w:pStyle w:val="En-tte"/>
    </w:pPr>
    <w:fldSimple w:instr=" TITLE  \* MERGEFORMAT ">
      <w:r w:rsidR="001A0B38">
        <w:t>ECE/TRANS/WP.15/AC.2/2023/45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76E3" w14:textId="07AA03AA" w:rsidR="004771D3" w:rsidRPr="004771D3" w:rsidRDefault="004771D3" w:rsidP="004771D3">
    <w:pPr>
      <w:pStyle w:val="En-tte"/>
      <w:jc w:val="right"/>
    </w:pPr>
    <w:fldSimple w:instr=" TITLE  \* MERGEFORMAT ">
      <w:r w:rsidR="001A0B38">
        <w:t>ECE/TRANS/WP.15/AC.2/2023/45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70191345">
    <w:abstractNumId w:val="13"/>
  </w:num>
  <w:num w:numId="2" w16cid:durableId="249311503">
    <w:abstractNumId w:val="11"/>
  </w:num>
  <w:num w:numId="3" w16cid:durableId="1347945556">
    <w:abstractNumId w:val="10"/>
  </w:num>
  <w:num w:numId="4" w16cid:durableId="1580211191">
    <w:abstractNumId w:val="8"/>
  </w:num>
  <w:num w:numId="5" w16cid:durableId="1846743991">
    <w:abstractNumId w:val="3"/>
  </w:num>
  <w:num w:numId="6" w16cid:durableId="305013729">
    <w:abstractNumId w:val="2"/>
  </w:num>
  <w:num w:numId="7" w16cid:durableId="2038699335">
    <w:abstractNumId w:val="1"/>
  </w:num>
  <w:num w:numId="8" w16cid:durableId="1309553356">
    <w:abstractNumId w:val="0"/>
  </w:num>
  <w:num w:numId="9" w16cid:durableId="889608956">
    <w:abstractNumId w:val="9"/>
  </w:num>
  <w:num w:numId="10" w16cid:durableId="146019281">
    <w:abstractNumId w:val="7"/>
  </w:num>
  <w:num w:numId="11" w16cid:durableId="1870993978">
    <w:abstractNumId w:val="6"/>
  </w:num>
  <w:num w:numId="12" w16cid:durableId="875385398">
    <w:abstractNumId w:val="5"/>
  </w:num>
  <w:num w:numId="13" w16cid:durableId="114718573">
    <w:abstractNumId w:val="4"/>
  </w:num>
  <w:num w:numId="14" w16cid:durableId="1582373423">
    <w:abstractNumId w:val="13"/>
  </w:num>
  <w:num w:numId="15" w16cid:durableId="431438366">
    <w:abstractNumId w:val="11"/>
  </w:num>
  <w:num w:numId="16" w16cid:durableId="158349705">
    <w:abstractNumId w:val="10"/>
  </w:num>
  <w:num w:numId="17" w16cid:durableId="77941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D2"/>
    <w:rsid w:val="00017F94"/>
    <w:rsid w:val="00023842"/>
    <w:rsid w:val="000334F9"/>
    <w:rsid w:val="00045FEB"/>
    <w:rsid w:val="0007796D"/>
    <w:rsid w:val="000B7790"/>
    <w:rsid w:val="00111F2F"/>
    <w:rsid w:val="0014365E"/>
    <w:rsid w:val="00143C66"/>
    <w:rsid w:val="0015480E"/>
    <w:rsid w:val="00176178"/>
    <w:rsid w:val="001A0B38"/>
    <w:rsid w:val="001F525A"/>
    <w:rsid w:val="00201148"/>
    <w:rsid w:val="00223272"/>
    <w:rsid w:val="00240557"/>
    <w:rsid w:val="0024779E"/>
    <w:rsid w:val="00257168"/>
    <w:rsid w:val="002744B8"/>
    <w:rsid w:val="002832AC"/>
    <w:rsid w:val="002B5773"/>
    <w:rsid w:val="002D7C93"/>
    <w:rsid w:val="00305801"/>
    <w:rsid w:val="003916DE"/>
    <w:rsid w:val="0039721A"/>
    <w:rsid w:val="003B10C8"/>
    <w:rsid w:val="00421996"/>
    <w:rsid w:val="00441C3B"/>
    <w:rsid w:val="00446FE5"/>
    <w:rsid w:val="00452396"/>
    <w:rsid w:val="004771D3"/>
    <w:rsid w:val="00477EB2"/>
    <w:rsid w:val="004837D8"/>
    <w:rsid w:val="004E2EED"/>
    <w:rsid w:val="004E468C"/>
    <w:rsid w:val="004F48D2"/>
    <w:rsid w:val="005505B7"/>
    <w:rsid w:val="00573BE5"/>
    <w:rsid w:val="00586ED3"/>
    <w:rsid w:val="00596AA9"/>
    <w:rsid w:val="006A1748"/>
    <w:rsid w:val="0071601D"/>
    <w:rsid w:val="0074082A"/>
    <w:rsid w:val="007A046A"/>
    <w:rsid w:val="007A62E6"/>
    <w:rsid w:val="007F20FA"/>
    <w:rsid w:val="0080684C"/>
    <w:rsid w:val="00871C75"/>
    <w:rsid w:val="008776DC"/>
    <w:rsid w:val="00881A89"/>
    <w:rsid w:val="008D5EF9"/>
    <w:rsid w:val="009446C0"/>
    <w:rsid w:val="009705C8"/>
    <w:rsid w:val="009C1CF4"/>
    <w:rsid w:val="009F6B74"/>
    <w:rsid w:val="00A22A19"/>
    <w:rsid w:val="00A3029F"/>
    <w:rsid w:val="00A30353"/>
    <w:rsid w:val="00AC3823"/>
    <w:rsid w:val="00AE323C"/>
    <w:rsid w:val="00AF0CB5"/>
    <w:rsid w:val="00B00181"/>
    <w:rsid w:val="00B00B0D"/>
    <w:rsid w:val="00B45F2E"/>
    <w:rsid w:val="00B765F7"/>
    <w:rsid w:val="00B77993"/>
    <w:rsid w:val="00BA0CA9"/>
    <w:rsid w:val="00C02897"/>
    <w:rsid w:val="00C97039"/>
    <w:rsid w:val="00CE5A3E"/>
    <w:rsid w:val="00D3439C"/>
    <w:rsid w:val="00D7622E"/>
    <w:rsid w:val="00D92208"/>
    <w:rsid w:val="00DB1831"/>
    <w:rsid w:val="00DD3BFD"/>
    <w:rsid w:val="00DF6678"/>
    <w:rsid w:val="00E0299A"/>
    <w:rsid w:val="00E85C74"/>
    <w:rsid w:val="00EA6547"/>
    <w:rsid w:val="00EB2FE9"/>
    <w:rsid w:val="00ED6C9E"/>
    <w:rsid w:val="00ED7237"/>
    <w:rsid w:val="00EF2E22"/>
    <w:rsid w:val="00F35BAF"/>
    <w:rsid w:val="00F660DF"/>
    <w:rsid w:val="00F70029"/>
    <w:rsid w:val="00F9103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8A4C"/>
  <w15:docId w15:val="{0B2B207F-302D-4E37-AF23-614520FA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74082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F388A-2C23-4F65-B35B-CB524B030625}"/>
</file>

<file path=customXml/itemProps2.xml><?xml version="1.0" encoding="utf-8"?>
<ds:datastoreItem xmlns:ds="http://schemas.openxmlformats.org/officeDocument/2006/customXml" ds:itemID="{23635B07-86C9-4AE2-BB78-FEE171F10982}"/>
</file>

<file path=docProps/app.xml><?xml version="1.0" encoding="utf-8"?>
<Properties xmlns="http://schemas.openxmlformats.org/officeDocument/2006/extended-properties" xmlns:vt="http://schemas.openxmlformats.org/officeDocument/2006/docPropsVTypes">
  <Template>ECE_TRANS.dotm</Template>
  <TotalTime>2</TotalTime>
  <Pages>6</Pages>
  <Words>1795</Words>
  <Characters>9139</Characters>
  <Application>Microsoft Office Word</Application>
  <DocSecurity>0</DocSecurity>
  <Lines>458</Lines>
  <Paragraphs>305</Paragraphs>
  <ScaleCrop>false</ScaleCrop>
  <HeadingPairs>
    <vt:vector size="2" baseType="variant">
      <vt:variant>
        <vt:lpstr>Titre</vt:lpstr>
      </vt:variant>
      <vt:variant>
        <vt:i4>1</vt:i4>
      </vt:variant>
    </vt:vector>
  </HeadingPairs>
  <TitlesOfParts>
    <vt:vector size="1" baseType="lpstr">
      <vt:lpstr>ECE/TRANS/WP.15/AC.2/2023/45</vt:lpstr>
    </vt:vector>
  </TitlesOfParts>
  <Company>DCM</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ECE/TRANS/WP.15/AC.2/2023/45</dc:title>
  <dc:subject/>
  <dc:creator>Christine CHAUTAGNAT</dc:creator>
  <cp:keywords/>
  <cp:lastModifiedBy>Christine Chautagnat</cp:lastModifiedBy>
  <cp:revision>3</cp:revision>
  <cp:lastPrinted>2024-01-18T13:05:00Z</cp:lastPrinted>
  <dcterms:created xsi:type="dcterms:W3CDTF">2024-01-18T13:05:00Z</dcterms:created>
  <dcterms:modified xsi:type="dcterms:W3CDTF">2024-01-18T13:07:00Z</dcterms:modified>
</cp:coreProperties>
</file>