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8B6C8C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FD43A55" w14:textId="77777777" w:rsidR="002D5AAC" w:rsidRDefault="002D5AAC" w:rsidP="0007795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CEC47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652FCBE" w14:textId="3B0B5BDB" w:rsidR="002D5AAC" w:rsidRDefault="00077958" w:rsidP="00077958">
            <w:pPr>
              <w:jc w:val="right"/>
            </w:pPr>
            <w:r w:rsidRPr="00077958">
              <w:rPr>
                <w:sz w:val="40"/>
              </w:rPr>
              <w:t>ECE</w:t>
            </w:r>
            <w:r>
              <w:t>/TRANS/WP.15/AC.2/2023/43</w:t>
            </w:r>
          </w:p>
        </w:tc>
      </w:tr>
      <w:tr w:rsidR="002D5AAC" w14:paraId="6012FE4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409C1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4266438" wp14:editId="0FDF970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4B1ABA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2E2A979" w14:textId="77777777" w:rsidR="002D5AAC" w:rsidRDefault="0007795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84FFF2B" w14:textId="77777777" w:rsidR="00077958" w:rsidRDefault="00077958" w:rsidP="000779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2023</w:t>
            </w:r>
          </w:p>
          <w:p w14:paraId="62B0BF2D" w14:textId="77777777" w:rsidR="00077958" w:rsidRDefault="00077958" w:rsidP="000779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F12D21B" w14:textId="582BA856" w:rsidR="00077958" w:rsidRPr="008D53B6" w:rsidRDefault="00077958" w:rsidP="0007795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3B17A3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2BD0F90" w14:textId="77777777" w:rsidR="00077958" w:rsidRPr="00A278A6" w:rsidRDefault="00077958" w:rsidP="00077958">
      <w:pPr>
        <w:spacing w:before="120"/>
        <w:rPr>
          <w:sz w:val="28"/>
          <w:szCs w:val="28"/>
        </w:rPr>
      </w:pPr>
      <w:r w:rsidRPr="00A278A6">
        <w:rPr>
          <w:sz w:val="28"/>
          <w:szCs w:val="28"/>
        </w:rPr>
        <w:t>Комитет по внутреннему транспорту</w:t>
      </w:r>
    </w:p>
    <w:p w14:paraId="5A0B0DE2" w14:textId="77777777" w:rsidR="00077958" w:rsidRPr="00AC2580" w:rsidRDefault="00077958" w:rsidP="00077958">
      <w:pPr>
        <w:spacing w:before="120"/>
        <w:rPr>
          <w:b/>
          <w:sz w:val="24"/>
          <w:szCs w:val="24"/>
        </w:rPr>
      </w:pPr>
      <w:r w:rsidRPr="00AC2580">
        <w:rPr>
          <w:b/>
          <w:bCs/>
          <w:sz w:val="24"/>
          <w:szCs w:val="24"/>
        </w:rPr>
        <w:t>Рабочая группа по перевозкам опасных грузов</w:t>
      </w:r>
    </w:p>
    <w:p w14:paraId="752079A1" w14:textId="0D918643" w:rsidR="00077958" w:rsidRPr="009E7E2B" w:rsidRDefault="00077958" w:rsidP="00077958">
      <w:pPr>
        <w:spacing w:before="120"/>
        <w:rPr>
          <w:b/>
        </w:rPr>
      </w:pPr>
      <w:r>
        <w:rPr>
          <w:b/>
          <w:bCs/>
        </w:rPr>
        <w:t>Совместное совещание экспертов по Правилам,</w:t>
      </w:r>
      <w:r w:rsidR="00AC2580">
        <w:rPr>
          <w:b/>
          <w:bCs/>
        </w:rPr>
        <w:br/>
      </w:r>
      <w:r>
        <w:rPr>
          <w:b/>
          <w:bCs/>
        </w:rPr>
        <w:t>прилагаемым к Европейскому соглашению</w:t>
      </w:r>
      <w:r w:rsidR="00AC2580">
        <w:rPr>
          <w:b/>
          <w:bCs/>
        </w:rPr>
        <w:br/>
      </w:r>
      <w:r>
        <w:rPr>
          <w:b/>
          <w:bCs/>
        </w:rPr>
        <w:t>о международной перевозке опасных грузов</w:t>
      </w:r>
      <w:r w:rsidR="00AC2580"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  <w:r w:rsidR="00AC2580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79E71038" w14:textId="77777777" w:rsidR="00077958" w:rsidRPr="009E7E2B" w:rsidRDefault="00077958" w:rsidP="00077958">
      <w:pPr>
        <w:spacing w:before="120"/>
        <w:rPr>
          <w:b/>
        </w:rPr>
      </w:pPr>
      <w:r>
        <w:rPr>
          <w:b/>
          <w:bCs/>
        </w:rPr>
        <w:t>Сорок вторая сессия</w:t>
      </w:r>
    </w:p>
    <w:p w14:paraId="30662291" w14:textId="2CDCE296" w:rsidR="00077958" w:rsidRPr="009E7E2B" w:rsidRDefault="00077958" w:rsidP="00077958">
      <w:r>
        <w:t xml:space="preserve">Женева, </w:t>
      </w:r>
      <w:r w:rsidR="00B435D8">
        <w:t>21–25</w:t>
      </w:r>
      <w:r>
        <w:t xml:space="preserve"> августа 2023 года</w:t>
      </w:r>
    </w:p>
    <w:p w14:paraId="5948CFA5" w14:textId="77777777" w:rsidR="00077958" w:rsidRPr="009E7E2B" w:rsidRDefault="00077958" w:rsidP="00077958">
      <w:r>
        <w:t>Пункт 1 предварительной повестки дня</w:t>
      </w:r>
    </w:p>
    <w:p w14:paraId="5952C4E8" w14:textId="77777777" w:rsidR="00077958" w:rsidRPr="009E7E2B" w:rsidRDefault="00077958" w:rsidP="00077958">
      <w:r>
        <w:t>Пункт 4 b) предварительной повестки дня</w:t>
      </w:r>
    </w:p>
    <w:p w14:paraId="5758DB8F" w14:textId="1AB23DF9" w:rsidR="00077958" w:rsidRPr="009E7E2B" w:rsidRDefault="00077958" w:rsidP="00077958">
      <w:pPr>
        <w:rPr>
          <w:b/>
          <w:bCs/>
        </w:rPr>
      </w:pPr>
      <w:r>
        <w:rPr>
          <w:b/>
          <w:bCs/>
        </w:rPr>
        <w:t>Предложения о внесении поправок в Правила,</w:t>
      </w:r>
      <w:r w:rsidR="00B435D8">
        <w:rPr>
          <w:b/>
          <w:bCs/>
        </w:rPr>
        <w:br/>
      </w:r>
      <w:r>
        <w:rPr>
          <w:b/>
          <w:bCs/>
        </w:rPr>
        <w:t>прилагаемые к ВОПОГ:</w:t>
      </w:r>
    </w:p>
    <w:p w14:paraId="06EBF0A4" w14:textId="77777777" w:rsidR="00077958" w:rsidRPr="009E7E2B" w:rsidRDefault="00077958" w:rsidP="00077958">
      <w:pPr>
        <w:rPr>
          <w:b/>
          <w:bCs/>
        </w:rPr>
      </w:pPr>
      <w:r>
        <w:rPr>
          <w:b/>
          <w:bCs/>
        </w:rPr>
        <w:t>другие предложения</w:t>
      </w:r>
    </w:p>
    <w:p w14:paraId="247B8870" w14:textId="77777777" w:rsidR="00077958" w:rsidRPr="009E7E2B" w:rsidRDefault="00077958" w:rsidP="00077958">
      <w:pPr>
        <w:pStyle w:val="HChG"/>
      </w:pPr>
      <w:r>
        <w:tab/>
      </w:r>
      <w:r>
        <w:tab/>
      </w:r>
      <w:r>
        <w:rPr>
          <w:bCs/>
        </w:rPr>
        <w:t>Дегазация и стоянка</w:t>
      </w:r>
      <w:bookmarkStart w:id="0" w:name="_Hlk53046188"/>
      <w:bookmarkEnd w:id="0"/>
    </w:p>
    <w:p w14:paraId="322E07C1" w14:textId="72D679D6" w:rsidR="00077958" w:rsidRDefault="00077958" w:rsidP="00077958">
      <w:pPr>
        <w:pStyle w:val="H1G"/>
      </w:pPr>
      <w:r>
        <w:tab/>
      </w:r>
      <w:r>
        <w:tab/>
      </w:r>
      <w:r>
        <w:rPr>
          <w:bCs/>
        </w:rPr>
        <w:t>Передано правительствами Бельгии и Нидерландов и</w:t>
      </w:r>
      <w:r w:rsidR="00B435D8">
        <w:rPr>
          <w:bCs/>
        </w:rPr>
        <w:t> </w:t>
      </w:r>
      <w:r>
        <w:rPr>
          <w:bCs/>
        </w:rPr>
        <w:t>Центральной комиссией судоходства по Рейну</w:t>
      </w:r>
      <w:r w:rsidRPr="00B435D8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="00B435D8" w:rsidRPr="00B435D8">
        <w:rPr>
          <w:b w:val="0"/>
          <w:bCs/>
        </w:rPr>
        <w:t xml:space="preserve"> </w:t>
      </w:r>
      <w:r w:rsidRPr="00B435D8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435D8" w:rsidRPr="00B435D8" w14:paraId="2AF74744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7B5FF2EC" w14:textId="77777777" w:rsidR="00B435D8" w:rsidRPr="00B435D8" w:rsidRDefault="00B435D8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435D8">
              <w:rPr>
                <w:rFonts w:cs="Times New Roman"/>
              </w:rPr>
              <w:tab/>
            </w:r>
            <w:r w:rsidRPr="00B435D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435D8" w:rsidRPr="00B435D8" w14:paraId="1DB43F0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B75B52C" w14:textId="42A80BD4" w:rsidR="00B435D8" w:rsidRPr="00B435D8" w:rsidRDefault="00B435D8" w:rsidP="005B6ED1">
            <w:pPr>
              <w:pStyle w:val="SingleTxtG"/>
              <w:tabs>
                <w:tab w:val="left" w:pos="3679"/>
              </w:tabs>
              <w:ind w:left="3679" w:hanging="2545"/>
            </w:pPr>
            <w:r w:rsidRPr="00B435D8">
              <w:rPr>
                <w:b/>
                <w:bCs/>
              </w:rPr>
              <w:t>Предлагаемое решение:</w:t>
            </w:r>
            <w:r w:rsidRPr="00B435D8">
              <w:tab/>
              <w:t>Рассмотреть вопрос о принятии исправлений и поправок, предложенных в пунктах 5</w:t>
            </w:r>
            <w:r w:rsidR="005B6ED1">
              <w:t>–</w:t>
            </w:r>
            <w:r w:rsidRPr="00B435D8">
              <w:t>8.</w:t>
            </w:r>
          </w:p>
        </w:tc>
      </w:tr>
      <w:tr w:rsidR="00B435D8" w:rsidRPr="00B435D8" w14:paraId="05BA856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120C8798" w14:textId="1FD0A43B" w:rsidR="00B435D8" w:rsidRPr="00B435D8" w:rsidRDefault="00B435D8" w:rsidP="005B6ED1">
            <w:pPr>
              <w:pStyle w:val="SingleTxtG"/>
              <w:tabs>
                <w:tab w:val="left" w:pos="3679"/>
              </w:tabs>
              <w:ind w:left="3679" w:hanging="2545"/>
              <w:jc w:val="left"/>
              <w:rPr>
                <w:b/>
                <w:bCs/>
              </w:rPr>
            </w:pPr>
            <w:r w:rsidRPr="00B435D8">
              <w:rPr>
                <w:b/>
                <w:bCs/>
              </w:rPr>
              <w:t>Справочные документы:</w:t>
            </w:r>
            <w:r w:rsidRPr="00B435D8">
              <w:rPr>
                <w:b/>
                <w:bCs/>
              </w:rPr>
              <w:tab/>
            </w:r>
            <w:r w:rsidRPr="005B6ED1">
              <w:t xml:space="preserve">ECE/TRANS/WP.15/AC.2/2022/7 </w:t>
            </w:r>
            <w:r w:rsidR="005B6ED1">
              <w:t>—</w:t>
            </w:r>
            <w:r w:rsidRPr="005B6ED1">
              <w:t xml:space="preserve"> (ЦКСР)</w:t>
            </w:r>
            <w:r w:rsidR="005B6ED1">
              <w:br/>
            </w:r>
            <w:r w:rsidRPr="009E7E2B">
              <w:rPr>
                <w:lang w:val="en-US"/>
              </w:rPr>
              <w:t>ECE</w:t>
            </w:r>
            <w:r w:rsidRPr="00B435D8">
              <w:t>/</w:t>
            </w:r>
            <w:r w:rsidRPr="009E7E2B">
              <w:rPr>
                <w:lang w:val="en-US"/>
              </w:rPr>
              <w:t>TRANS</w:t>
            </w:r>
            <w:r w:rsidRPr="00B435D8">
              <w:t>/</w:t>
            </w:r>
            <w:r w:rsidRPr="009E7E2B">
              <w:rPr>
                <w:lang w:val="en-US"/>
              </w:rPr>
              <w:t>WP</w:t>
            </w:r>
            <w:r w:rsidRPr="00B435D8">
              <w:t>.15/</w:t>
            </w:r>
            <w:r w:rsidRPr="009E7E2B">
              <w:rPr>
                <w:lang w:val="en-US"/>
              </w:rPr>
              <w:t>AC</w:t>
            </w:r>
            <w:r w:rsidRPr="00B435D8">
              <w:t xml:space="preserve">.2/2022/35 </w:t>
            </w:r>
            <w:r w:rsidR="005B6ED1">
              <w:t>—</w:t>
            </w:r>
            <w:r w:rsidRPr="00B435D8">
              <w:t xml:space="preserve"> (</w:t>
            </w:r>
            <w:r>
              <w:t>ЦКСР</w:t>
            </w:r>
            <w:r w:rsidRPr="00B435D8">
              <w:t>)</w:t>
            </w:r>
            <w:r w:rsidR="005B6ED1">
              <w:br/>
            </w:r>
            <w:r>
              <w:t>ECE/ADN/61</w:t>
            </w:r>
          </w:p>
        </w:tc>
      </w:tr>
      <w:tr w:rsidR="00B435D8" w:rsidRPr="00B435D8" w14:paraId="731E6775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6E32565" w14:textId="77777777" w:rsidR="00B435D8" w:rsidRPr="00B435D8" w:rsidRDefault="00B435D8" w:rsidP="00850215">
            <w:pPr>
              <w:rPr>
                <w:rFonts w:cs="Times New Roman"/>
              </w:rPr>
            </w:pPr>
          </w:p>
        </w:tc>
      </w:tr>
    </w:tbl>
    <w:p w14:paraId="3C3FE3FB" w14:textId="77777777" w:rsidR="00077958" w:rsidRPr="00DB4902" w:rsidRDefault="00077958" w:rsidP="00077958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A19ED1F" w14:textId="77777777" w:rsidR="00077958" w:rsidRPr="009E7E2B" w:rsidRDefault="00077958" w:rsidP="00077958">
      <w:pPr>
        <w:pStyle w:val="SingleTxtG"/>
      </w:pPr>
      <w:r>
        <w:t>1.</w:t>
      </w:r>
      <w:r>
        <w:tab/>
        <w:t xml:space="preserve">На сороковой сессии Комитета по вопросам безопасности ВОПОГ Комитет обсудил документ ECE/TRANS/WP.15/AC.2/2022/35 по вопросу о том, в каких ситуациях для танкера необходим перечень или общий план с указанием установленных за пределами взрывоопасных зон стационарных установок и оборудования, которые разрешается использовать во время погрузки, разгрузки, </w:t>
      </w:r>
      <w:r>
        <w:lastRenderedPageBreak/>
        <w:t>дегазации, стоянки или во время нахождения в непосредственной близости от назначенной береговой зоны или в ее пределах (подпункт 8.1.2.3 v) Правил, прилагаемых к ВОПОГ). Поскольку это предложение имело последствия и для вариантов ВОПОГ на других языках, представителям Бельгии, Нидерландов и Центральной комиссии судоходства по Рейну (ЦКСР) было предложено подготовить новый документ к следующей сессии.</w:t>
      </w:r>
    </w:p>
    <w:p w14:paraId="4FAAAF67" w14:textId="2F7E0FB2" w:rsidR="00077958" w:rsidRPr="009E7E2B" w:rsidRDefault="00077958" w:rsidP="00077958">
      <w:pPr>
        <w:pStyle w:val="SingleTxtG"/>
      </w:pPr>
      <w:r>
        <w:t>2.</w:t>
      </w:r>
      <w:r>
        <w:tab/>
        <w:t>В варианте ВОПОГ на английском языке пункты 7.2.3.51.4, 7.2.3.51.7</w:t>
      </w:r>
      <w:r w:rsidR="00B90BE6">
        <w:br/>
      </w:r>
      <w:r>
        <w:t>и 8.1.2.3 s) регламентируют отключение электрических и неэлектрических установок, не соответствующих пунктам 9.3.x.51 a), 9.3.x.51 b), 9.3.x.51 c) или 9.3.x.52.1. В</w:t>
      </w:r>
      <w:r w:rsidR="0018455E">
        <w:rPr>
          <w:lang w:val="en-US"/>
        </w:rPr>
        <w:t> </w:t>
      </w:r>
      <w:r>
        <w:t xml:space="preserve">вариантах на немецком и французском языках эти установки должны быть отключены во время погрузки и разгрузки и во время дегазации </w:t>
      </w:r>
      <w:r w:rsidR="005C45CA">
        <w:t>«</w:t>
      </w:r>
      <w:r>
        <w:t>beim Stillliegen</w:t>
      </w:r>
      <w:r w:rsidR="005C45CA">
        <w:t>»</w:t>
      </w:r>
      <w:r>
        <w:t xml:space="preserve"> и </w:t>
      </w:r>
      <w:r w:rsidR="005C45CA">
        <w:t>«</w:t>
      </w:r>
      <w:r>
        <w:t>en stationnement</w:t>
      </w:r>
      <w:r w:rsidR="005C45CA">
        <w:t>»</w:t>
      </w:r>
      <w:r w:rsidR="00B90BE6" w:rsidRPr="00B90BE6">
        <w:t xml:space="preserve"> </w:t>
      </w:r>
      <w:r>
        <w:t>(</w:t>
      </w:r>
      <w:r w:rsidR="00EC5002">
        <w:t>«</w:t>
      </w:r>
      <w:r>
        <w:t>во время стоянки</w:t>
      </w:r>
      <w:r w:rsidR="00EC5002">
        <w:t>»</w:t>
      </w:r>
      <w:r>
        <w:t xml:space="preserve">) соответственно. Однако в англоязычном варианте значится </w:t>
      </w:r>
      <w:r w:rsidR="00EC5002">
        <w:t>«</w:t>
      </w:r>
      <w:r>
        <w:t>degassing during berthing</w:t>
      </w:r>
      <w:r w:rsidR="00EC5002">
        <w:t>»</w:t>
      </w:r>
      <w:r>
        <w:t xml:space="preserve"> (</w:t>
      </w:r>
      <w:r w:rsidR="00EC5002">
        <w:t>«</w:t>
      </w:r>
      <w:r>
        <w:t>дегазация во время швартовки</w:t>
      </w:r>
      <w:r w:rsidR="00EC5002">
        <w:t>»</w:t>
      </w:r>
      <w:r>
        <w:t>). В</w:t>
      </w:r>
      <w:r w:rsidR="007B0DF0">
        <w:rPr>
          <w:lang w:val="en-US"/>
        </w:rPr>
        <w:t> </w:t>
      </w:r>
      <w:r>
        <w:t xml:space="preserve">отличие от других языковых вариантов, данная формулировка указывает на то, что эти установки должны быть отключены в процессе швартовки (или причаливания) судна, если на судне проводится дегазация. Для согласования варианта ВОПОГ на английском языке с другими языковыми версиями формулировку следует изменить на </w:t>
      </w:r>
      <w:r w:rsidR="00EC5002">
        <w:t>«</w:t>
      </w:r>
      <w:r>
        <w:t>during degassing at berth</w:t>
      </w:r>
      <w:r w:rsidR="00EC5002">
        <w:t>»</w:t>
      </w:r>
      <w:r>
        <w:t xml:space="preserve"> (</w:t>
      </w:r>
      <w:r w:rsidR="00EC5002">
        <w:t>«</w:t>
      </w:r>
      <w:r>
        <w:t>во время дегазации на стоянке</w:t>
      </w:r>
      <w:r w:rsidR="00EC5002">
        <w:t>»</w:t>
      </w:r>
      <w:r>
        <w:t xml:space="preserve">). </w:t>
      </w:r>
    </w:p>
    <w:p w14:paraId="6217E70B" w14:textId="1D1C29BA" w:rsidR="00077958" w:rsidRPr="009E7E2B" w:rsidRDefault="00077958" w:rsidP="00077958">
      <w:pPr>
        <w:pStyle w:val="SingleTxtG"/>
      </w:pPr>
      <w:r>
        <w:t>3.</w:t>
      </w:r>
      <w:r>
        <w:tab/>
        <w:t>Кроме того, подпункт 8.1.2.3 v) содержит перечень установок, которые нет необходимости отключать во время погрузки, разгрузки, дегазации, стоянки или во время нахождения в непосредственной близости от назначенной береговой зоны или в ее пределах. Логически этот список параллелен перечню установок и оборудования, использование которых не допускается, в подпункте 8.1.2.3 s). Таким образом в пункт</w:t>
      </w:r>
      <w:r w:rsidR="00EC5002">
        <w:t> </w:t>
      </w:r>
      <w:r>
        <w:t>8.1.2.3 v) следует внести поправки, чтобы отразить тот факт, что он касается перечня установок, которые нет необходимости отключать во время дегазации на стоянке.</w:t>
      </w:r>
    </w:p>
    <w:p w14:paraId="4A078F06" w14:textId="77777777" w:rsidR="00077958" w:rsidRPr="009E7E2B" w:rsidRDefault="00077958" w:rsidP="00077958">
      <w:pPr>
        <w:pStyle w:val="SingleTxtG"/>
      </w:pPr>
      <w:r>
        <w:t>4.</w:t>
      </w:r>
      <w:r>
        <w:tab/>
        <w:t>В этой связи мы предлагаем следующие поправки к ВОПОГ и исправления к его варианту на английском языке.</w:t>
      </w:r>
    </w:p>
    <w:p w14:paraId="1F06C6F4" w14:textId="77777777" w:rsidR="00077958" w:rsidRPr="009E7E2B" w:rsidRDefault="00077958" w:rsidP="00077958">
      <w:pPr>
        <w:pStyle w:val="HChG"/>
      </w:pPr>
      <w:r>
        <w:tab/>
      </w:r>
      <w:r>
        <w:tab/>
      </w:r>
      <w:r>
        <w:rPr>
          <w:bCs/>
        </w:rPr>
        <w:t>Предложение о внесении поправок (для всех языковых версий)</w:t>
      </w:r>
    </w:p>
    <w:p w14:paraId="620B3616" w14:textId="77777777" w:rsidR="00077958" w:rsidRPr="009E7E2B" w:rsidRDefault="00077958" w:rsidP="00077958">
      <w:pPr>
        <w:pStyle w:val="SingleTxtG"/>
        <w:rPr>
          <w:color w:val="000000"/>
        </w:rPr>
      </w:pPr>
      <w:r>
        <w:t>5.</w:t>
      </w:r>
      <w:r>
        <w:tab/>
        <w:t>Изменить пункт 8.1.2.3 v) следующим образом (исключенный текст зачеркнут, новый текст выделен жирным шрифтом и подчеркнут):</w:t>
      </w:r>
    </w:p>
    <w:p w14:paraId="6326D3B7" w14:textId="346DEE2D" w:rsidR="00077958" w:rsidRPr="00077958" w:rsidRDefault="00EC5002" w:rsidP="00077958">
      <w:pPr>
        <w:pStyle w:val="SingleTxtG"/>
        <w:ind w:left="1701"/>
        <w:rPr>
          <w:lang w:val="en-US"/>
        </w:rPr>
      </w:pPr>
      <w:r w:rsidRPr="00EC5002">
        <w:rPr>
          <w:lang w:val="en-US"/>
        </w:rPr>
        <w:t>«</w:t>
      </w:r>
      <w:r w:rsidR="00077958" w:rsidRPr="009E7E2B">
        <w:rPr>
          <w:lang w:val="en-US"/>
        </w:rPr>
        <w:t xml:space="preserve">A list of or a general plan indicating the fixed installations and equipment installed outside the explosion hazardous areas that may </w:t>
      </w:r>
      <w:proofErr w:type="gramStart"/>
      <w:r w:rsidR="00077958" w:rsidRPr="009E7E2B">
        <w:rPr>
          <w:lang w:val="en-US"/>
        </w:rPr>
        <w:t>be used</w:t>
      </w:r>
      <w:proofErr w:type="gramEnd"/>
      <w:r w:rsidR="00077958" w:rsidRPr="009E7E2B">
        <w:rPr>
          <w:lang w:val="en-US"/>
        </w:rPr>
        <w:t xml:space="preserve"> during loading, unloading, degassing </w:t>
      </w:r>
      <w:r w:rsidR="00077958" w:rsidRPr="009E7E2B">
        <w:rPr>
          <w:b/>
          <w:bCs/>
          <w:u w:val="single"/>
          <w:lang w:val="en-US"/>
        </w:rPr>
        <w:t>at berth</w:t>
      </w:r>
      <w:r w:rsidR="00077958" w:rsidRPr="009E7E2B">
        <w:rPr>
          <w:strike/>
          <w:lang w:val="en-US"/>
        </w:rPr>
        <w:t>, berthing</w:t>
      </w:r>
      <w:r w:rsidR="00077958" w:rsidRPr="009E7E2B">
        <w:rPr>
          <w:lang w:val="en-US"/>
        </w:rPr>
        <w:t xml:space="preserve"> or during a stay in the immediate vicinity of or within an onshore assigned zone, if not referred to in (r) and (u). </w:t>
      </w:r>
    </w:p>
    <w:p w14:paraId="6394F8A2" w14:textId="52150D57" w:rsidR="00077958" w:rsidRPr="00EC5002" w:rsidRDefault="00077958" w:rsidP="00077958">
      <w:pPr>
        <w:pStyle w:val="SingleTxtG"/>
        <w:ind w:left="1701"/>
        <w:rPr>
          <w:lang w:val="en-US"/>
        </w:rPr>
      </w:pPr>
      <w:r w:rsidRPr="009E7E2B">
        <w:rPr>
          <w:lang w:val="en-US"/>
        </w:rPr>
        <w:t>The documents listed in (r) and (v) shall bear the stamp of the competent authority issuing the certificate of approval.</w:t>
      </w:r>
      <w:r w:rsidR="00EC5002" w:rsidRPr="00EC5002">
        <w:rPr>
          <w:lang w:val="en-US"/>
        </w:rPr>
        <w:t>»</w:t>
      </w:r>
    </w:p>
    <w:p w14:paraId="651340EE" w14:textId="5253873F" w:rsidR="00077958" w:rsidRPr="009E7E2B" w:rsidRDefault="00EC5002" w:rsidP="00077958">
      <w:pPr>
        <w:pStyle w:val="SingleTxtG"/>
        <w:ind w:left="1701"/>
        <w:rPr>
          <w:lang w:val="fr-CH"/>
        </w:rPr>
      </w:pPr>
      <w:r w:rsidRPr="00EC5002">
        <w:rPr>
          <w:lang w:val="fr-CH"/>
        </w:rPr>
        <w:t>«</w:t>
      </w:r>
      <w:r w:rsidR="00077958" w:rsidRPr="009E7E2B">
        <w:rPr>
          <w:lang w:val="fr-CH"/>
        </w:rPr>
        <w:t>une liste ou un plan schématique indiquant les installations et équipements fixés à demeure situés en dehors des zones de risque d’explosion, qui peuvent être utilisés pendant le chargement, le déchargement, le dégazage</w:t>
      </w:r>
      <w:r w:rsidR="00077958" w:rsidRPr="009E7E2B">
        <w:rPr>
          <w:strike/>
          <w:lang w:val="fr-CH"/>
        </w:rPr>
        <w:t>, le</w:t>
      </w:r>
      <w:r w:rsidR="00077958" w:rsidRPr="009E7E2B">
        <w:rPr>
          <w:lang w:val="fr-CH"/>
        </w:rPr>
        <w:t xml:space="preserve"> </w:t>
      </w:r>
      <w:r w:rsidR="00077958" w:rsidRPr="009E7E2B">
        <w:rPr>
          <w:b/>
          <w:bCs/>
          <w:u w:val="single"/>
          <w:lang w:val="fr-CH"/>
        </w:rPr>
        <w:t>en</w:t>
      </w:r>
      <w:r w:rsidR="00077958" w:rsidRPr="009E7E2B">
        <w:rPr>
          <w:b/>
          <w:bCs/>
          <w:lang w:val="fr-CH"/>
        </w:rPr>
        <w:t xml:space="preserve"> </w:t>
      </w:r>
      <w:r w:rsidR="00077958" w:rsidRPr="009E7E2B">
        <w:rPr>
          <w:lang w:val="fr-CH"/>
        </w:rPr>
        <w:t>stationnement ou pendant le séjour à proximité immédiate ou à l’intérieur d’une zone assignée à terre, s’ils ne sont pas visés par les alinéas r) et u);</w:t>
      </w:r>
    </w:p>
    <w:p w14:paraId="2EAEE1C0" w14:textId="5971CD6E" w:rsidR="00077958" w:rsidRPr="00EC5002" w:rsidRDefault="00077958" w:rsidP="00077958">
      <w:pPr>
        <w:pStyle w:val="SingleTxtG"/>
        <w:ind w:left="1701"/>
        <w:rPr>
          <w:lang w:val="fr-CH"/>
        </w:rPr>
      </w:pPr>
      <w:r w:rsidRPr="009E7E2B">
        <w:rPr>
          <w:lang w:val="fr-CH"/>
        </w:rPr>
        <w:t>Les documents énumérés aux alinéas r) à v) ci-dessus doivent porter le visa de l’autorité compétente ayant délivré le certificat d’agrément;</w:t>
      </w:r>
      <w:r w:rsidR="00EC5002" w:rsidRPr="00EC5002">
        <w:rPr>
          <w:lang w:val="fr-CH"/>
        </w:rPr>
        <w:t>»</w:t>
      </w:r>
    </w:p>
    <w:p w14:paraId="06173CD3" w14:textId="49687296" w:rsidR="00077958" w:rsidRPr="009E7E2B" w:rsidRDefault="00EC5002" w:rsidP="00077958">
      <w:pPr>
        <w:pStyle w:val="SingleTxtG"/>
        <w:ind w:left="1701"/>
        <w:rPr>
          <w:lang w:val="de-CH"/>
        </w:rPr>
      </w:pPr>
      <w:r w:rsidRPr="00EC5002">
        <w:rPr>
          <w:lang w:val="de-CH"/>
        </w:rPr>
        <w:t>«</w:t>
      </w:r>
      <w:r w:rsidR="00077958" w:rsidRPr="009E7E2B">
        <w:rPr>
          <w:lang w:val="de-CH"/>
        </w:rPr>
        <w:t>eine Liste oder ein Übersichtsplan über die au</w:t>
      </w:r>
      <w:r w:rsidR="00077958">
        <w:t>β</w:t>
      </w:r>
      <w:r w:rsidR="00077958" w:rsidRPr="009E7E2B">
        <w:rPr>
          <w:lang w:val="de-CH"/>
        </w:rPr>
        <w:t>erhalb der explosionsgefährdeten Bereiche fest installierten Anlagen und Geräte, die während des Ladens Löschens, Entgasens</w:t>
      </w:r>
      <w:r w:rsidR="00077958" w:rsidRPr="009E7E2B">
        <w:rPr>
          <w:strike/>
          <w:lang w:val="de-CH"/>
        </w:rPr>
        <w:t>,</w:t>
      </w:r>
      <w:r w:rsidR="00077958" w:rsidRPr="009E7E2B">
        <w:rPr>
          <w:lang w:val="de-CH"/>
        </w:rPr>
        <w:t xml:space="preserve"> beim Stillliegen oder während des Aufenthalts in einer oder unmittelbar angrenzend an eine landseitig ausgewiesene Zone betrieben werden dürfen, soweit sie nicht unter r) und u) fallen.</w:t>
      </w:r>
    </w:p>
    <w:p w14:paraId="4485155D" w14:textId="2DDEE360" w:rsidR="00077958" w:rsidRPr="00EC5002" w:rsidRDefault="00077958" w:rsidP="00077958">
      <w:pPr>
        <w:pStyle w:val="SingleTxtG"/>
        <w:ind w:left="1701"/>
        <w:rPr>
          <w:lang w:val="de-CH"/>
        </w:rPr>
      </w:pPr>
      <w:r w:rsidRPr="00077958">
        <w:rPr>
          <w:lang w:val="de-CH"/>
        </w:rPr>
        <w:t>Die vorstehend in r) bis v) genannten Unterlagen müssen mit dem Sichtvermerk der zuständige Behörde versehen sein, die das Zulassungzeugnis erteilt hat.</w:t>
      </w:r>
      <w:r w:rsidR="00EC5002" w:rsidRPr="00EC5002">
        <w:rPr>
          <w:lang w:val="de-CH"/>
        </w:rPr>
        <w:t>»</w:t>
      </w:r>
    </w:p>
    <w:p w14:paraId="409158CB" w14:textId="1B910BFB" w:rsidR="00077958" w:rsidRDefault="00EC5002" w:rsidP="00077958">
      <w:pPr>
        <w:pStyle w:val="SingleTxtG"/>
        <w:ind w:left="1701"/>
      </w:pPr>
      <w:r>
        <w:lastRenderedPageBreak/>
        <w:t>«</w:t>
      </w:r>
      <w:r w:rsidR="00077958">
        <w:t>перечень или общий план с указанием установленных за пределами взрывоопасных зон стационарных установок и оборудования, которые разрешается использовать во время погрузки, разгрузки, дегазации</w:t>
      </w:r>
      <w:r w:rsidR="00077958">
        <w:rPr>
          <w:strike/>
        </w:rPr>
        <w:t>,</w:t>
      </w:r>
      <w:r w:rsidR="00077958">
        <w:t xml:space="preserve"> </w:t>
      </w:r>
      <w:r w:rsidR="00077958">
        <w:rPr>
          <w:b/>
          <w:bCs/>
          <w:u w:val="single"/>
        </w:rPr>
        <w:t>на</w:t>
      </w:r>
      <w:r w:rsidR="00077958">
        <w:t xml:space="preserve"> стоянке или во время нахождения в непосредственной близости от назначенной береговой зоны или в ее пределах, если они не указаны в пунктах r) и u). </w:t>
      </w:r>
    </w:p>
    <w:p w14:paraId="23082C94" w14:textId="3F659869" w:rsidR="00077958" w:rsidRDefault="00077958" w:rsidP="00077958">
      <w:pPr>
        <w:pStyle w:val="SingleTxtG"/>
        <w:ind w:left="1701"/>
      </w:pPr>
      <w:r>
        <w:t>На документах, перечисленных в пунктах r)–v), должна стоять печать компетентного органа, выдавшего свидетельство о допущении;</w:t>
      </w:r>
      <w:r w:rsidR="00EC5002">
        <w:t>»</w:t>
      </w:r>
      <w:r>
        <w:t>.</w:t>
      </w:r>
    </w:p>
    <w:p w14:paraId="0BA2F286" w14:textId="5F7BD313" w:rsidR="00077958" w:rsidRDefault="00077958" w:rsidP="00077958">
      <w:pPr>
        <w:pStyle w:val="HChG"/>
      </w:pPr>
      <w:r>
        <w:tab/>
      </w:r>
      <w:r>
        <w:tab/>
      </w:r>
      <w:r>
        <w:rPr>
          <w:bCs/>
        </w:rPr>
        <w:t>Предложения по исправлениям (к варианту текста на</w:t>
      </w:r>
      <w:r w:rsidR="00EC5002">
        <w:rPr>
          <w:bCs/>
        </w:rPr>
        <w:t> </w:t>
      </w:r>
      <w:r>
        <w:rPr>
          <w:bCs/>
        </w:rPr>
        <w:t>английском и русском языках)</w:t>
      </w:r>
    </w:p>
    <w:p w14:paraId="053EC078" w14:textId="77777777" w:rsidR="00077958" w:rsidRPr="00C524F4" w:rsidRDefault="00077958" w:rsidP="00077958">
      <w:pPr>
        <w:pStyle w:val="SingleTxtG"/>
      </w:pPr>
      <w:r>
        <w:t>6.</w:t>
      </w:r>
      <w:r>
        <w:tab/>
        <w:t>Исправить пункт 7.2.3.51.4 следующим образом (исключенный текст зачеркнут, новый текст выделен жирным шрифтом и подчеркнут):</w:t>
      </w:r>
    </w:p>
    <w:p w14:paraId="536A8180" w14:textId="3335E53B" w:rsidR="00077958" w:rsidRPr="00077958" w:rsidRDefault="00EC5002" w:rsidP="00077958">
      <w:pPr>
        <w:pStyle w:val="SingleTxtG"/>
        <w:keepNext/>
        <w:keepLines/>
        <w:ind w:left="1701"/>
        <w:rPr>
          <w:lang w:val="en-US"/>
        </w:rPr>
      </w:pPr>
      <w:r w:rsidRPr="00EC5002">
        <w:rPr>
          <w:lang w:val="en-US"/>
        </w:rPr>
        <w:t>«</w:t>
      </w:r>
      <w:r w:rsidR="00077958" w:rsidRPr="00077958">
        <w:rPr>
          <w:lang w:val="en-US"/>
        </w:rPr>
        <w:t xml:space="preserve">When the list of substances on the vessel according to 1.16.1.2.5 contains substances for which explosion protection is required in column (17) of Table C of Chapter 3.2, this provision applies also during loading, and unloading and degassing </w:t>
      </w:r>
      <w:r w:rsidR="00077958" w:rsidRPr="00077958">
        <w:rPr>
          <w:b/>
          <w:bCs/>
          <w:u w:val="single"/>
          <w:lang w:val="en-US"/>
        </w:rPr>
        <w:t>at berth</w:t>
      </w:r>
      <w:r w:rsidR="00077958" w:rsidRPr="00077958">
        <w:rPr>
          <w:lang w:val="en-US"/>
        </w:rPr>
        <w:t xml:space="preserve"> </w:t>
      </w:r>
      <w:r w:rsidR="00077958" w:rsidRPr="00077958">
        <w:rPr>
          <w:strike/>
          <w:lang w:val="en-US"/>
        </w:rPr>
        <w:t>during berthing</w:t>
      </w:r>
      <w:r w:rsidR="00077958" w:rsidRPr="00077958">
        <w:rPr>
          <w:lang w:val="en-US"/>
        </w:rPr>
        <w:t>.</w:t>
      </w:r>
      <w:r w:rsidRPr="00EC5002">
        <w:rPr>
          <w:lang w:val="en-US"/>
        </w:rPr>
        <w:t>»</w:t>
      </w:r>
      <w:r w:rsidR="00077958" w:rsidRPr="00077958">
        <w:rPr>
          <w:lang w:val="en-US"/>
        </w:rPr>
        <w:t xml:space="preserve"> </w:t>
      </w:r>
    </w:p>
    <w:p w14:paraId="37F6F766" w14:textId="2316A908" w:rsidR="00077958" w:rsidRPr="00C524F4" w:rsidRDefault="00EC5002" w:rsidP="00077958">
      <w:pPr>
        <w:pStyle w:val="SingleTxtG"/>
        <w:keepNext/>
        <w:keepLines/>
        <w:ind w:left="1701"/>
      </w:pPr>
      <w:r>
        <w:t>«</w:t>
      </w:r>
      <w:r w:rsidR="00077958">
        <w:t>Если в перечне веществ, допущенных к перевозке судном, предусмотренном в пункте 1.16.1.2.5, указаны вещества, для которых в колонке 17 таблицы С главы</w:t>
      </w:r>
      <w:r w:rsidR="00F0788A">
        <w:rPr>
          <w:lang w:val="en-US"/>
        </w:rPr>
        <w:t> </w:t>
      </w:r>
      <w:r w:rsidR="00077958">
        <w:t xml:space="preserve">3.2 предписывается взрывозащита, то настоящее положение применяется также во время загрузки и разгрузки и дегазации </w:t>
      </w:r>
      <w:r w:rsidR="00077958">
        <w:rPr>
          <w:b/>
          <w:bCs/>
          <w:u w:val="single"/>
        </w:rPr>
        <w:t>на стоянке</w:t>
      </w:r>
      <w:r w:rsidR="00077958">
        <w:t xml:space="preserve"> </w:t>
      </w:r>
      <w:r w:rsidR="00077958">
        <w:rPr>
          <w:strike/>
        </w:rPr>
        <w:t>у причала</w:t>
      </w:r>
      <w:r>
        <w:t>»</w:t>
      </w:r>
      <w:r w:rsidR="00077958">
        <w:t>.</w:t>
      </w:r>
    </w:p>
    <w:p w14:paraId="187DCD1D" w14:textId="77777777" w:rsidR="00077958" w:rsidRPr="00C524F4" w:rsidRDefault="00077958" w:rsidP="00077958">
      <w:pPr>
        <w:pStyle w:val="SingleTxtG"/>
      </w:pPr>
      <w:r>
        <w:t>7.</w:t>
      </w:r>
      <w:r>
        <w:tab/>
        <w:t>Исправить пункт 7.2.3.51.7 следующим образом (исключенный текст зачеркнут, новый текст выделен жирным шрифтом и подчеркнут):</w:t>
      </w:r>
    </w:p>
    <w:p w14:paraId="2D3288D5" w14:textId="08664F80" w:rsidR="00077958" w:rsidRPr="00077958" w:rsidRDefault="00EC5002" w:rsidP="00077958">
      <w:pPr>
        <w:pStyle w:val="SingleTxtG"/>
        <w:ind w:left="1701"/>
        <w:rPr>
          <w:lang w:val="en-US"/>
        </w:rPr>
      </w:pPr>
      <w:r w:rsidRPr="00EC5002">
        <w:rPr>
          <w:lang w:val="en-US"/>
        </w:rPr>
        <w:t>«</w:t>
      </w:r>
      <w:r w:rsidR="00077958" w:rsidRPr="00077958">
        <w:rPr>
          <w:lang w:val="en-US"/>
        </w:rPr>
        <w:t xml:space="preserve">Installations and equipment according to 7.2.3.51.4 that have been switched off during loading, and unloading, degassing </w:t>
      </w:r>
      <w:r w:rsidR="00077958" w:rsidRPr="00077958">
        <w:rPr>
          <w:b/>
          <w:bCs/>
          <w:u w:val="single"/>
          <w:lang w:val="en-US"/>
        </w:rPr>
        <w:t>at berth</w:t>
      </w:r>
      <w:r w:rsidR="00077958" w:rsidRPr="00077958">
        <w:rPr>
          <w:u w:val="single"/>
          <w:lang w:val="en-US"/>
        </w:rPr>
        <w:t xml:space="preserve"> </w:t>
      </w:r>
      <w:r w:rsidR="00077958" w:rsidRPr="00077958">
        <w:rPr>
          <w:strike/>
          <w:lang w:val="en-US"/>
        </w:rPr>
        <w:t xml:space="preserve">during berthing </w:t>
      </w:r>
      <w:r w:rsidR="00077958" w:rsidRPr="00077958">
        <w:rPr>
          <w:lang w:val="en-US"/>
        </w:rPr>
        <w:t>or during a stay in the vicinity of or within an onshore assigned zone may only be switched on again:</w:t>
      </w:r>
      <w:r w:rsidRPr="00EC5002">
        <w:rPr>
          <w:lang w:val="en-US"/>
        </w:rPr>
        <w:t>»</w:t>
      </w:r>
      <w:r w:rsidR="00077958" w:rsidRPr="00077958">
        <w:rPr>
          <w:lang w:val="en-US"/>
        </w:rPr>
        <w:t xml:space="preserve"> </w:t>
      </w:r>
    </w:p>
    <w:p w14:paraId="06B82F2B" w14:textId="648D254A" w:rsidR="00077958" w:rsidRPr="00C524F4" w:rsidRDefault="00EC5002" w:rsidP="00077958">
      <w:pPr>
        <w:pStyle w:val="SingleTxtG"/>
        <w:ind w:left="1701"/>
      </w:pPr>
      <w:r>
        <w:t>«</w:t>
      </w:r>
      <w:r w:rsidR="00077958">
        <w:t xml:space="preserve">Установки и оборудование, указанные в пункте 7.2.3.51.4, которые были отключены во время погрузки и разгрузки, дегазации </w:t>
      </w:r>
      <w:r w:rsidR="00077958">
        <w:rPr>
          <w:b/>
          <w:bCs/>
          <w:u w:val="single"/>
        </w:rPr>
        <w:t>на стоянке</w:t>
      </w:r>
      <w:r w:rsidR="00077958">
        <w:t xml:space="preserve"> </w:t>
      </w:r>
      <w:r w:rsidR="00077958">
        <w:rPr>
          <w:strike/>
        </w:rPr>
        <w:t>у причала</w:t>
      </w:r>
      <w:r w:rsidR="00077958">
        <w:t xml:space="preserve"> или во время нахождения вблизи или в пределах назначенной береговой зоны, могут быть вновь включены только тогда, когда:</w:t>
      </w:r>
      <w:r>
        <w:t>»</w:t>
      </w:r>
      <w:r w:rsidR="00077958">
        <w:t>.</w:t>
      </w:r>
    </w:p>
    <w:p w14:paraId="62F64BA7" w14:textId="77777777" w:rsidR="00077958" w:rsidRPr="00C524F4" w:rsidRDefault="00077958" w:rsidP="00077958">
      <w:pPr>
        <w:pStyle w:val="SingleTxtG"/>
      </w:pPr>
      <w:r>
        <w:t>8.</w:t>
      </w:r>
      <w:r>
        <w:tab/>
        <w:t>Исправить подпункт 8.1.2.3 s) следующим образом (исключенный текст зачеркнут, новый текст выделен жирным шрифтом и подчеркнут)</w:t>
      </w:r>
      <w:r w:rsidRPr="00FC7FB9">
        <w:t xml:space="preserve"> </w:t>
      </w:r>
      <w:r>
        <w:t>(данное исправление к тексту на русском языке не относится):</w:t>
      </w:r>
    </w:p>
    <w:p w14:paraId="1DC12701" w14:textId="0DB4A562" w:rsidR="00077958" w:rsidRPr="00EC5002" w:rsidRDefault="00EC5002" w:rsidP="00077958">
      <w:pPr>
        <w:pStyle w:val="SingleTxtG"/>
        <w:ind w:left="1701"/>
        <w:rPr>
          <w:lang w:val="en-US"/>
        </w:rPr>
      </w:pPr>
      <w:r w:rsidRPr="00EC5002">
        <w:rPr>
          <w:lang w:val="en-US"/>
        </w:rPr>
        <w:t>«</w:t>
      </w:r>
      <w:r w:rsidR="00077958" w:rsidRPr="00077958">
        <w:rPr>
          <w:lang w:val="en-US"/>
        </w:rPr>
        <w:t xml:space="preserve">A list of or a general plan indicating the fixed installations and equipment which are not authorized for use during loading, and unloading, degassing </w:t>
      </w:r>
      <w:r w:rsidR="00077958" w:rsidRPr="00077958">
        <w:rPr>
          <w:b/>
          <w:bCs/>
          <w:u w:val="single"/>
          <w:lang w:val="en-US"/>
        </w:rPr>
        <w:t>at berth</w:t>
      </w:r>
      <w:r w:rsidR="00077958" w:rsidRPr="00077958">
        <w:rPr>
          <w:lang w:val="en-US"/>
        </w:rPr>
        <w:t xml:space="preserve"> </w:t>
      </w:r>
      <w:r w:rsidR="00077958" w:rsidRPr="00077958">
        <w:rPr>
          <w:strike/>
          <w:lang w:val="en-US"/>
        </w:rPr>
        <w:t xml:space="preserve">during berthing </w:t>
      </w:r>
      <w:r w:rsidR="00077958" w:rsidRPr="00077958">
        <w:rPr>
          <w:lang w:val="en-US"/>
        </w:rPr>
        <w:t>or during a stay in the immediate vicinity or within an onshore assigned zone (marked in red according to 9.3.1.52.3, 9.3.2.52.3, 9.3.3.52.3).</w:t>
      </w:r>
      <w:r w:rsidRPr="00EC5002">
        <w:rPr>
          <w:lang w:val="en-US"/>
        </w:rPr>
        <w:t>»</w:t>
      </w:r>
    </w:p>
    <w:p w14:paraId="160202F8" w14:textId="26DA240C" w:rsidR="00077958" w:rsidRPr="00C524F4" w:rsidRDefault="00EC5002" w:rsidP="00077958">
      <w:pPr>
        <w:pStyle w:val="SingleTxtG"/>
        <w:ind w:left="1701"/>
      </w:pPr>
      <w:r>
        <w:t>«</w:t>
      </w:r>
      <w:r w:rsidR="00077958">
        <w:t>перечень или общий план с указанием стационарных установок и оборудования, которые не разрешается использовать во время погрузки, разгрузки, дегазации на стоянке или во время нахождения вблизи или в пределах в непосредственной близости от назначенной береговой зоны или в ее пределах (с маркировкой красного цвета согласно пункту 9.3.1.52.3, 9.3.2.52.3 или 9.3.3.52.3);</w:t>
      </w:r>
      <w:r>
        <w:t>»</w:t>
      </w:r>
      <w:r w:rsidR="00077958">
        <w:t>.</w:t>
      </w:r>
    </w:p>
    <w:p w14:paraId="6638A102" w14:textId="77777777" w:rsidR="00077958" w:rsidRDefault="00077958" w:rsidP="00077958">
      <w:pPr>
        <w:pStyle w:val="HChG"/>
      </w:pPr>
      <w:r>
        <w:tab/>
      </w:r>
      <w:r>
        <w:tab/>
      </w:r>
      <w:r>
        <w:rPr>
          <w:bCs/>
        </w:rPr>
        <w:t>Обоснование</w:t>
      </w:r>
    </w:p>
    <w:p w14:paraId="2585BD6B" w14:textId="77777777" w:rsidR="00077958" w:rsidRPr="00C524F4" w:rsidRDefault="00077958" w:rsidP="00077958">
      <w:pPr>
        <w:pStyle w:val="SingleTxtG"/>
      </w:pPr>
      <w:r>
        <w:t>9.</w:t>
      </w:r>
      <w:r>
        <w:tab/>
        <w:t>Поскольку предлагаемые поправки направлены на согласование варианта текста ВОПОГ на английском языке с другими языковыми версиями и на устранение логического несоответствия между подпунктами 8.1.2.3 s) и 8.1.2.3 v), то данное предложение носит скорее редакционный характер. В этой связи авторы не претендуют на наличие прямой связи с целями в области устойчивого развития.</w:t>
      </w:r>
    </w:p>
    <w:p w14:paraId="16C076BC" w14:textId="77777777" w:rsidR="00077958" w:rsidRPr="00D06E96" w:rsidRDefault="00077958" w:rsidP="00077958">
      <w:pPr>
        <w:pStyle w:val="HChG"/>
      </w:pPr>
      <w:r>
        <w:lastRenderedPageBreak/>
        <w:tab/>
      </w:r>
      <w:r>
        <w:tab/>
      </w:r>
      <w:r>
        <w:rPr>
          <w:bCs/>
        </w:rPr>
        <w:t>Предлагаемое решение</w:t>
      </w:r>
    </w:p>
    <w:p w14:paraId="7097BAFF" w14:textId="77777777" w:rsidR="00077958" w:rsidRPr="00C524F4" w:rsidRDefault="00077958" w:rsidP="00077958">
      <w:pPr>
        <w:pStyle w:val="SingleTxtG"/>
      </w:pPr>
      <w:r>
        <w:t>10.</w:t>
      </w:r>
      <w:r>
        <w:tab/>
        <w:t>Комитету по вопросам безопасности предлагается рассмотреть исправления и поправки, предлагаемые в пунктах 5–8 выше, и принять решение, которое он сочтет целесообразным.</w:t>
      </w:r>
    </w:p>
    <w:p w14:paraId="07EDCB64" w14:textId="77777777" w:rsidR="00077958" w:rsidRPr="00AD5A60" w:rsidRDefault="00077958" w:rsidP="0007795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58F82F" w14:textId="77777777" w:rsidR="00E12C5F" w:rsidRPr="00077958" w:rsidRDefault="00E12C5F" w:rsidP="00D9145B"/>
    <w:sectPr w:rsidR="00E12C5F" w:rsidRPr="00077958" w:rsidSect="0007795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CB6F" w14:textId="77777777" w:rsidR="00CB3553" w:rsidRPr="00A312BC" w:rsidRDefault="00CB3553" w:rsidP="00A312BC"/>
  </w:endnote>
  <w:endnote w:type="continuationSeparator" w:id="0">
    <w:p w14:paraId="52E17435" w14:textId="77777777" w:rsidR="00CB3553" w:rsidRPr="00A312BC" w:rsidRDefault="00CB355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EF952" w14:textId="7F25A498" w:rsidR="00077958" w:rsidRPr="00077958" w:rsidRDefault="00077958">
    <w:pPr>
      <w:pStyle w:val="a8"/>
    </w:pPr>
    <w:r w:rsidRPr="00077958">
      <w:rPr>
        <w:b/>
        <w:sz w:val="18"/>
      </w:rPr>
      <w:fldChar w:fldCharType="begin"/>
    </w:r>
    <w:r w:rsidRPr="00077958">
      <w:rPr>
        <w:b/>
        <w:sz w:val="18"/>
      </w:rPr>
      <w:instrText xml:space="preserve"> PAGE  \* MERGEFORMAT </w:instrText>
    </w:r>
    <w:r w:rsidRPr="00077958">
      <w:rPr>
        <w:b/>
        <w:sz w:val="18"/>
      </w:rPr>
      <w:fldChar w:fldCharType="separate"/>
    </w:r>
    <w:r w:rsidRPr="00077958">
      <w:rPr>
        <w:b/>
        <w:noProof/>
        <w:sz w:val="18"/>
      </w:rPr>
      <w:t>2</w:t>
    </w:r>
    <w:r w:rsidRPr="00077958">
      <w:rPr>
        <w:b/>
        <w:sz w:val="18"/>
      </w:rPr>
      <w:fldChar w:fldCharType="end"/>
    </w:r>
    <w:r>
      <w:rPr>
        <w:b/>
        <w:sz w:val="18"/>
      </w:rPr>
      <w:tab/>
    </w:r>
    <w:r>
      <w:t>GE.23-10976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FE28" w14:textId="4A734F24" w:rsidR="00077958" w:rsidRPr="00077958" w:rsidRDefault="00077958" w:rsidP="00077958">
    <w:pPr>
      <w:pStyle w:val="a8"/>
      <w:tabs>
        <w:tab w:val="clear" w:pos="9639"/>
        <w:tab w:val="right" w:pos="9638"/>
      </w:tabs>
      <w:rPr>
        <w:b/>
        <w:sz w:val="18"/>
      </w:rPr>
    </w:pPr>
    <w:r>
      <w:t>GE.23-10976</w:t>
    </w:r>
    <w:r>
      <w:tab/>
    </w:r>
    <w:r w:rsidRPr="00077958">
      <w:rPr>
        <w:b/>
        <w:sz w:val="18"/>
      </w:rPr>
      <w:fldChar w:fldCharType="begin"/>
    </w:r>
    <w:r w:rsidRPr="00077958">
      <w:rPr>
        <w:b/>
        <w:sz w:val="18"/>
      </w:rPr>
      <w:instrText xml:space="preserve"> PAGE  \* MERGEFORMAT </w:instrText>
    </w:r>
    <w:r w:rsidRPr="00077958">
      <w:rPr>
        <w:b/>
        <w:sz w:val="18"/>
      </w:rPr>
      <w:fldChar w:fldCharType="separate"/>
    </w:r>
    <w:r w:rsidRPr="00077958">
      <w:rPr>
        <w:b/>
        <w:noProof/>
        <w:sz w:val="18"/>
      </w:rPr>
      <w:t>3</w:t>
    </w:r>
    <w:r w:rsidRPr="0007795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429F" w14:textId="299075F6" w:rsidR="00042B72" w:rsidRPr="00077958" w:rsidRDefault="00077958" w:rsidP="0007795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FB4EC0" wp14:editId="02CDDA0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23-10976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4533477" wp14:editId="554866C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8A6">
      <w:t xml:space="preserve">  300623  040723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BE58" w14:textId="77777777" w:rsidR="00CB3553" w:rsidRPr="001075E9" w:rsidRDefault="00CB355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DD2BB2" w14:textId="77777777" w:rsidR="00CB3553" w:rsidRDefault="00CB355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A06D74" w14:textId="77777777" w:rsidR="00077958" w:rsidRPr="00771558" w:rsidRDefault="00077958" w:rsidP="00077958">
      <w:pPr>
        <w:pStyle w:val="ad"/>
      </w:pPr>
      <w:r>
        <w:tab/>
      </w:r>
      <w:r w:rsidRPr="00B435D8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CCNR-ZKR/ADN/WP.15/AC.2/2023/43.</w:t>
      </w:r>
    </w:p>
  </w:footnote>
  <w:footnote w:id="2">
    <w:p w14:paraId="4D93E8D6" w14:textId="77777777" w:rsidR="00077958" w:rsidRPr="00404A27" w:rsidRDefault="00077958" w:rsidP="00077958">
      <w:pPr>
        <w:pStyle w:val="ad"/>
      </w:pPr>
      <w:r>
        <w:tab/>
      </w:r>
      <w:r w:rsidRPr="00B435D8">
        <w:rPr>
          <w:sz w:val="20"/>
        </w:rPr>
        <w:t>**</w:t>
      </w:r>
      <w:r>
        <w:tab/>
        <w:t>A/77/6 (разд. 20), таблица 20.6.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5D6F" w14:textId="31F99307" w:rsidR="00077958" w:rsidRPr="00077958" w:rsidRDefault="00077958">
    <w:pPr>
      <w:pStyle w:val="a5"/>
    </w:pPr>
    <w:fldSimple w:instr=" TITLE  \* MERGEFORMAT ">
      <w:r w:rsidR="00E6125B">
        <w:t>ECE/TRANS/WP.15/AC.2/2023/43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E8" w14:textId="26CB0830" w:rsidR="00077958" w:rsidRPr="00077958" w:rsidRDefault="00077958" w:rsidP="00077958">
    <w:pPr>
      <w:pStyle w:val="a5"/>
      <w:jc w:val="right"/>
    </w:pPr>
    <w:fldSimple w:instr=" TITLE  \* MERGEFORMAT ">
      <w:r w:rsidR="00E6125B">
        <w:t>ECE/TRANS/WP.15/AC.2/2023/43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04609472">
    <w:abstractNumId w:val="17"/>
  </w:num>
  <w:num w:numId="2" w16cid:durableId="1636175535">
    <w:abstractNumId w:val="12"/>
  </w:num>
  <w:num w:numId="3" w16cid:durableId="395787874">
    <w:abstractNumId w:val="11"/>
  </w:num>
  <w:num w:numId="4" w16cid:durableId="1700737053">
    <w:abstractNumId w:val="18"/>
  </w:num>
  <w:num w:numId="5" w16cid:durableId="1019817782">
    <w:abstractNumId w:val="14"/>
  </w:num>
  <w:num w:numId="6" w16cid:durableId="1941258139">
    <w:abstractNumId w:val="8"/>
  </w:num>
  <w:num w:numId="7" w16cid:durableId="385841800">
    <w:abstractNumId w:val="3"/>
  </w:num>
  <w:num w:numId="8" w16cid:durableId="1237864366">
    <w:abstractNumId w:val="2"/>
  </w:num>
  <w:num w:numId="9" w16cid:durableId="894857360">
    <w:abstractNumId w:val="1"/>
  </w:num>
  <w:num w:numId="10" w16cid:durableId="1846356653">
    <w:abstractNumId w:val="0"/>
  </w:num>
  <w:num w:numId="11" w16cid:durableId="495342407">
    <w:abstractNumId w:val="9"/>
  </w:num>
  <w:num w:numId="12" w16cid:durableId="1431731660">
    <w:abstractNumId w:val="7"/>
  </w:num>
  <w:num w:numId="13" w16cid:durableId="1236817099">
    <w:abstractNumId w:val="6"/>
  </w:num>
  <w:num w:numId="14" w16cid:durableId="1026323958">
    <w:abstractNumId w:val="5"/>
  </w:num>
  <w:num w:numId="15" w16cid:durableId="1087114474">
    <w:abstractNumId w:val="4"/>
  </w:num>
  <w:num w:numId="16" w16cid:durableId="796219697">
    <w:abstractNumId w:val="16"/>
  </w:num>
  <w:num w:numId="17" w16cid:durableId="1121070827">
    <w:abstractNumId w:val="13"/>
  </w:num>
  <w:num w:numId="18" w16cid:durableId="1954247738">
    <w:abstractNumId w:val="15"/>
  </w:num>
  <w:num w:numId="19" w16cid:durableId="276916175">
    <w:abstractNumId w:val="16"/>
  </w:num>
  <w:num w:numId="20" w16cid:durableId="2141728013">
    <w:abstractNumId w:val="13"/>
  </w:num>
  <w:num w:numId="21" w16cid:durableId="887692816">
    <w:abstractNumId w:val="15"/>
  </w:num>
  <w:num w:numId="22" w16cid:durableId="67469406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53"/>
    <w:rsid w:val="00033EE1"/>
    <w:rsid w:val="00042B72"/>
    <w:rsid w:val="000558BD"/>
    <w:rsid w:val="00077958"/>
    <w:rsid w:val="000B57E7"/>
    <w:rsid w:val="000B6373"/>
    <w:rsid w:val="000D0E0F"/>
    <w:rsid w:val="000E4E5B"/>
    <w:rsid w:val="000F09DF"/>
    <w:rsid w:val="000F61B2"/>
    <w:rsid w:val="001075E9"/>
    <w:rsid w:val="0014152F"/>
    <w:rsid w:val="00180183"/>
    <w:rsid w:val="0018024D"/>
    <w:rsid w:val="0018455E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6ED1"/>
    <w:rsid w:val="005C45CA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DF0"/>
    <w:rsid w:val="00806737"/>
    <w:rsid w:val="00825F8D"/>
    <w:rsid w:val="00834B71"/>
    <w:rsid w:val="0086445C"/>
    <w:rsid w:val="00881BF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278A6"/>
    <w:rsid w:val="00A312BC"/>
    <w:rsid w:val="00A84021"/>
    <w:rsid w:val="00A84D35"/>
    <w:rsid w:val="00A917B3"/>
    <w:rsid w:val="00AB4B51"/>
    <w:rsid w:val="00AC2580"/>
    <w:rsid w:val="00B10CC7"/>
    <w:rsid w:val="00B36DF7"/>
    <w:rsid w:val="00B435D8"/>
    <w:rsid w:val="00B539E7"/>
    <w:rsid w:val="00B62458"/>
    <w:rsid w:val="00B90BE6"/>
    <w:rsid w:val="00BC18B2"/>
    <w:rsid w:val="00BD33EE"/>
    <w:rsid w:val="00BE1CC7"/>
    <w:rsid w:val="00C106D6"/>
    <w:rsid w:val="00C119AE"/>
    <w:rsid w:val="00C60F0C"/>
    <w:rsid w:val="00C6798A"/>
    <w:rsid w:val="00C71E84"/>
    <w:rsid w:val="00C805C9"/>
    <w:rsid w:val="00C92939"/>
    <w:rsid w:val="00CA1679"/>
    <w:rsid w:val="00CB151C"/>
    <w:rsid w:val="00CB3553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125B"/>
    <w:rsid w:val="00E73F76"/>
    <w:rsid w:val="00EA2C9F"/>
    <w:rsid w:val="00EA420E"/>
    <w:rsid w:val="00EB7D45"/>
    <w:rsid w:val="00EC5002"/>
    <w:rsid w:val="00ED0BDA"/>
    <w:rsid w:val="00EE142A"/>
    <w:rsid w:val="00EF1360"/>
    <w:rsid w:val="00EF3220"/>
    <w:rsid w:val="00F0788A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F455BC"/>
  <w15:docId w15:val="{4AD904EF-E372-4FCA-9EB7-2D14FAD1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077958"/>
    <w:rPr>
      <w:lang w:val="ru-RU" w:eastAsia="en-US"/>
    </w:rPr>
  </w:style>
  <w:style w:type="paragraph" w:customStyle="1" w:styleId="ParNoG">
    <w:name w:val="_ParNo_G"/>
    <w:basedOn w:val="SingleTxtG"/>
    <w:qFormat/>
    <w:rsid w:val="00077958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4EC2D-5A34-4504-9A18-8AAF4A78C0FE}"/>
</file>

<file path=customXml/itemProps2.xml><?xml version="1.0" encoding="utf-8"?>
<ds:datastoreItem xmlns:ds="http://schemas.openxmlformats.org/officeDocument/2006/customXml" ds:itemID="{3257B6BD-7723-4A5D-BA52-7AFFB5BF119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1165</Words>
  <Characters>7254</Characters>
  <Application>Microsoft Office Word</Application>
  <DocSecurity>0</DocSecurity>
  <Lines>201</Lines>
  <Paragraphs>75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ECE/TRANS/WP.15/AC.2/2023/43</vt:lpstr>
      <vt:lpstr>A/</vt:lpstr>
      <vt:lpstr>A/</vt:lpstr>
    </vt:vector>
  </TitlesOfParts>
  <Company>DCM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ECE/TRANS/WP.15/AC.2/2023/43</dc:title>
  <dc:subject/>
  <dc:creator>Uliana ANTIPOVA</dc:creator>
  <cp:keywords/>
  <cp:lastModifiedBy>Uliana Antipova</cp:lastModifiedBy>
  <cp:revision>3</cp:revision>
  <cp:lastPrinted>2023-07-04T06:34:00Z</cp:lastPrinted>
  <dcterms:created xsi:type="dcterms:W3CDTF">2023-07-04T06:34:00Z</dcterms:created>
  <dcterms:modified xsi:type="dcterms:W3CDTF">2023-07-04T06:34:00Z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