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39B347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96B6B7A" w14:textId="77777777" w:rsidR="002D5AAC" w:rsidRDefault="002D5AAC" w:rsidP="00072F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9071B8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0B8261F" w14:textId="10FB5A4E" w:rsidR="002D5AAC" w:rsidRDefault="00072F00" w:rsidP="00072F00">
            <w:pPr>
              <w:jc w:val="right"/>
            </w:pPr>
            <w:r w:rsidRPr="00072F00">
              <w:rPr>
                <w:sz w:val="40"/>
              </w:rPr>
              <w:t>ECE</w:t>
            </w:r>
            <w:r>
              <w:t>/TRANS/WP.15/AC.2/2023/40</w:t>
            </w:r>
          </w:p>
        </w:tc>
      </w:tr>
      <w:tr w:rsidR="002D5AAC" w:rsidRPr="00D3651C" w14:paraId="29AEEE8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437FAA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2534AD6" wp14:editId="606ADE4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298324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68D7C1C" w14:textId="77777777" w:rsidR="002D5AAC" w:rsidRDefault="00072F0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F22EC2F" w14:textId="0BAEB72A" w:rsidR="00072F00" w:rsidRDefault="00072F00" w:rsidP="00072F0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June 2023</w:t>
            </w:r>
          </w:p>
          <w:p w14:paraId="15E5E31B" w14:textId="77777777" w:rsidR="00072F00" w:rsidRDefault="00072F00" w:rsidP="00072F0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3CCFA66" w14:textId="33AE9F6B" w:rsidR="00072F00" w:rsidRPr="008D53B6" w:rsidRDefault="00072F00" w:rsidP="00072F0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70171D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0F17FB8" w14:textId="77777777" w:rsidR="00072F00" w:rsidRPr="00072F00" w:rsidRDefault="00072F00" w:rsidP="00072F00">
      <w:pPr>
        <w:spacing w:before="120"/>
        <w:rPr>
          <w:sz w:val="28"/>
          <w:szCs w:val="28"/>
        </w:rPr>
      </w:pPr>
      <w:r w:rsidRPr="00072F00">
        <w:rPr>
          <w:sz w:val="28"/>
          <w:szCs w:val="28"/>
        </w:rPr>
        <w:t>Комитет по внутреннему транспорту</w:t>
      </w:r>
    </w:p>
    <w:p w14:paraId="0BBD7C6E" w14:textId="77777777" w:rsidR="00072F00" w:rsidRPr="00072F00" w:rsidRDefault="00072F00" w:rsidP="00072F00">
      <w:pPr>
        <w:spacing w:before="120"/>
        <w:rPr>
          <w:b/>
          <w:sz w:val="24"/>
          <w:szCs w:val="24"/>
        </w:rPr>
      </w:pPr>
      <w:r w:rsidRPr="00072F00">
        <w:rPr>
          <w:b/>
          <w:bCs/>
          <w:sz w:val="24"/>
          <w:szCs w:val="24"/>
        </w:rPr>
        <w:t>Рабочая группа по перевозкам опасных грузов</w:t>
      </w:r>
    </w:p>
    <w:p w14:paraId="7F5B3F7B" w14:textId="04EDA795" w:rsidR="00072F00" w:rsidRPr="00497B18" w:rsidRDefault="00072F00" w:rsidP="00072F00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 xml:space="preserve">по внутренним водным путям (ВОПОГ) </w:t>
      </w:r>
      <w:r>
        <w:rPr>
          <w:b/>
          <w:bCs/>
        </w:rPr>
        <w:br/>
        <w:t>(Комитет по вопросам безопасности ВОПОГ)</w:t>
      </w:r>
    </w:p>
    <w:p w14:paraId="6A9F4260" w14:textId="77777777" w:rsidR="00072F00" w:rsidRPr="00497B18" w:rsidRDefault="00072F00" w:rsidP="00072F00">
      <w:pPr>
        <w:spacing w:before="120"/>
        <w:rPr>
          <w:b/>
        </w:rPr>
      </w:pPr>
      <w:r>
        <w:rPr>
          <w:b/>
          <w:bCs/>
        </w:rPr>
        <w:t>Сорок вторая сессия</w:t>
      </w:r>
    </w:p>
    <w:p w14:paraId="7AC23DE7" w14:textId="1377B0C1" w:rsidR="00072F00" w:rsidRPr="00497B18" w:rsidRDefault="00072F00" w:rsidP="00072F00">
      <w:r>
        <w:t>Женева, 21</w:t>
      </w:r>
      <w:r w:rsidRPr="00D3651C">
        <w:t>–</w:t>
      </w:r>
      <w:r>
        <w:t>25 августа 2023 года</w:t>
      </w:r>
    </w:p>
    <w:p w14:paraId="08CDCFBE" w14:textId="77777777" w:rsidR="00072F00" w:rsidRPr="00497B18" w:rsidRDefault="00072F00" w:rsidP="00072F00">
      <w:r>
        <w:t>Пункт 1 предварительной повестки дня</w:t>
      </w:r>
    </w:p>
    <w:p w14:paraId="5AA75336" w14:textId="77777777" w:rsidR="00072F00" w:rsidRPr="00497B18" w:rsidRDefault="00072F00" w:rsidP="00072F00">
      <w:r>
        <w:t>Пункт 4 b) предварительной повестки дня</w:t>
      </w:r>
    </w:p>
    <w:p w14:paraId="3024324E" w14:textId="657656EF" w:rsidR="00072F00" w:rsidRPr="00497B18" w:rsidRDefault="00072F00" w:rsidP="00072F00">
      <w:pPr>
        <w:rPr>
          <w:b/>
          <w:bCs/>
        </w:rPr>
      </w:pPr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  <w:t>прилагаемые к ВОПОГ:</w:t>
      </w:r>
      <w:r w:rsidRPr="00072F00">
        <w:rPr>
          <w:b/>
          <w:bCs/>
        </w:rPr>
        <w:t xml:space="preserve"> </w:t>
      </w:r>
      <w:r>
        <w:rPr>
          <w:b/>
          <w:bCs/>
        </w:rPr>
        <w:t>другие предложения</w:t>
      </w:r>
    </w:p>
    <w:p w14:paraId="77AAB7D8" w14:textId="6819C553" w:rsidR="00072F00" w:rsidRPr="00497B18" w:rsidRDefault="00072F00" w:rsidP="00072F00">
      <w:pPr>
        <w:pStyle w:val="HChG"/>
      </w:pPr>
      <w:r>
        <w:tab/>
      </w:r>
      <w:r>
        <w:tab/>
      </w:r>
      <w:r>
        <w:rPr>
          <w:bCs/>
        </w:rPr>
        <w:t>Максимальное количество (согласно пункту 7.2.4.1.1 ВОПОГ) проб груза на борту судов снабжения или</w:t>
      </w:r>
      <w:r>
        <w:rPr>
          <w:bCs/>
          <w:lang w:val="fr-CH"/>
        </w:rPr>
        <w:t> </w:t>
      </w:r>
      <w:r w:rsidR="0045623A">
        <w:rPr>
          <w:bCs/>
        </w:rPr>
        <w:t>«</w:t>
      </w:r>
      <w:r>
        <w:rPr>
          <w:bCs/>
        </w:rPr>
        <w:t>других судов, доставляющих продукты, необходимые для эксплуатации судов</w:t>
      </w:r>
      <w:r w:rsidR="00C3773D">
        <w:rPr>
          <w:bCs/>
        </w:rPr>
        <w:t>»</w:t>
      </w:r>
      <w:r>
        <w:rPr>
          <w:bCs/>
        </w:rPr>
        <w:t xml:space="preserve"> </w:t>
      </w:r>
      <w:r>
        <w:rPr>
          <w:bCs/>
        </w:rPr>
        <w:br/>
        <w:t>(согласно пунктам 7.2.4.1.3 и 7.2.4.1.4 ВОПОГ)</w:t>
      </w:r>
    </w:p>
    <w:p w14:paraId="6B5BCDAE" w14:textId="5B2920AE" w:rsidR="00072F00" w:rsidRPr="00497B18" w:rsidRDefault="00072F00" w:rsidP="00072F00">
      <w:pPr>
        <w:pStyle w:val="H1G"/>
      </w:pPr>
      <w:r>
        <w:tab/>
      </w:r>
      <w:r>
        <w:tab/>
      </w:r>
      <w:r>
        <w:rPr>
          <w:bCs/>
        </w:rPr>
        <w:t>Передано Европейским союзом речного судоходства и</w:t>
      </w:r>
      <w:r w:rsidR="003E18B2">
        <w:rPr>
          <w:bCs/>
          <w:lang w:val="fr-CH"/>
        </w:rPr>
        <w:t> </w:t>
      </w:r>
      <w:r>
        <w:rPr>
          <w:bCs/>
        </w:rPr>
        <w:t>Европейской организацией судоводителей (ЕСРС/ЕОС)</w:t>
      </w:r>
      <w:r w:rsidRPr="00072F00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072F00">
        <w:rPr>
          <w:b w:val="0"/>
          <w:szCs w:val="24"/>
        </w:rPr>
        <w:t xml:space="preserve"> </w:t>
      </w:r>
      <w:r w:rsidRPr="00072F00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bookmarkStart w:id="0" w:name="_Hlk131514861"/>
      <w:bookmarkEnd w:id="0"/>
    </w:p>
    <w:p w14:paraId="3BEE81ED" w14:textId="77777777" w:rsidR="00072F00" w:rsidRPr="00497B18" w:rsidRDefault="00072F00" w:rsidP="00072F00">
      <w:pPr>
        <w:pStyle w:val="HChG"/>
      </w:pPr>
      <w:r>
        <w:tab/>
      </w:r>
      <w:r>
        <w:tab/>
      </w:r>
      <w:r>
        <w:rPr>
          <w:bCs/>
        </w:rPr>
        <w:t>Введение</w:t>
      </w:r>
      <w:r>
        <w:t xml:space="preserve"> </w:t>
      </w:r>
    </w:p>
    <w:p w14:paraId="47FB225C" w14:textId="77777777" w:rsidR="00072F00" w:rsidRPr="00497B18" w:rsidRDefault="00072F00" w:rsidP="00072F00">
      <w:pPr>
        <w:pStyle w:val="SingleTxtG"/>
      </w:pPr>
      <w:r>
        <w:t>1.</w:t>
      </w:r>
      <w:r>
        <w:tab/>
        <w:t>В морских портах многие суда типа N 2.3 и типа C 2.2 ВОПОГ используются для снабжения морских судов судовым топливом. Судовое топливо, поставляемое на эти суда, должно соответствовать глобальным нормативным требованиям (положения Международной конвенции по предотвращению загрязнения с судов (МАРПОЛ), приложение VI, глава 3, правила 14 и 18, содержание оксидов серы и качество судового топлива). Для выполнения этих положений на борту таких судов снабжения и других судов, доставляющих продукты, необходимые для эксплуатации судов (как указано в пунктах 7.2.4.1.3 и 7.2.4.1.4 ВОПОГ), отбираются и хранятся репрезентативные пробы доставленного судового топлива.</w:t>
      </w:r>
    </w:p>
    <w:p w14:paraId="08620548" w14:textId="6DA9F595" w:rsidR="00072F00" w:rsidRPr="00497B18" w:rsidRDefault="00072F00" w:rsidP="00072F00">
      <w:pPr>
        <w:pStyle w:val="SingleTxtG"/>
      </w:pPr>
      <w:r>
        <w:t>2.</w:t>
      </w:r>
      <w:r>
        <w:tab/>
        <w:t>Порядок отбора проб по вышеупомянутым правилам определен в стандарте ISO</w:t>
      </w:r>
      <w:r w:rsidR="00C3773D">
        <w:rPr>
          <w:lang w:val="fr-CH"/>
        </w:rPr>
        <w:t> </w:t>
      </w:r>
      <w:r>
        <w:t xml:space="preserve">13739:2020 </w:t>
      </w:r>
      <w:r w:rsidR="00C3773D">
        <w:t>«</w:t>
      </w:r>
      <w:r>
        <w:t>Процедуры передачи бункеров на суда</w:t>
      </w:r>
      <w:r w:rsidR="00C3773D">
        <w:t>»</w:t>
      </w:r>
      <w:r>
        <w:t xml:space="preserve">. Поставщики, заказчики, </w:t>
      </w:r>
      <w:r>
        <w:lastRenderedPageBreak/>
        <w:t xml:space="preserve">покупатели и </w:t>
      </w:r>
      <w:r w:rsidRPr="00434A3A">
        <w:t>сюрвейер</w:t>
      </w:r>
      <w:r>
        <w:t>ы</w:t>
      </w:r>
      <w:r w:rsidRPr="00434A3A">
        <w:t xml:space="preserve"> </w:t>
      </w:r>
      <w:r>
        <w:t>включили эти процедуры в собственные регламенты и предоставляют, отбирают и хранят репрезентативные пробы доставленного судового топлива. Портовые власти обязаны проверять соблюдение этих процедур и используют для этого систему контроля судов государством порта (КГП) Международной морской организации.</w:t>
      </w:r>
    </w:p>
    <w:p w14:paraId="3371572D" w14:textId="2C3F4FF0" w:rsidR="00072F00" w:rsidRPr="00497B18" w:rsidRDefault="00072F00" w:rsidP="00072F00">
      <w:pPr>
        <w:pStyle w:val="SingleTxtG"/>
      </w:pPr>
      <w:r>
        <w:t>3.</w:t>
      </w:r>
      <w:r>
        <w:tab/>
        <w:t>В пункте 7.2.4.1.1 ВОПОГ (</w:t>
      </w:r>
      <w:r w:rsidR="00C3773D">
        <w:t>«</w:t>
      </w:r>
      <w:r>
        <w:t>Ограничение перевозимых количеств</w:t>
      </w:r>
      <w:r w:rsidR="00C3773D">
        <w:t>»</w:t>
      </w:r>
      <w:r>
        <w:t xml:space="preserve">) указано, что максимальное количество пробы груза составляет 500 мл на один сосуд. Однако ограничение на уровне 500 мл не соответствует нынешним требованиям, которые опираются на стандарт ISO 13739:2020 </w:t>
      </w:r>
      <w:r w:rsidR="00C3773D">
        <w:t>«</w:t>
      </w:r>
      <w:r>
        <w:t>Процедуры передачи бункеров на суда</w:t>
      </w:r>
      <w:r w:rsidR="00C3773D">
        <w:t>»</w:t>
      </w:r>
      <w:r>
        <w:t>, применительно к судам снабжения топливом (бункерным судам). На практике объемы проб, отбираемых и хранящихся на борту судов снабжения или других судов, доставляющих продукты, необходимые для эксплуатации судов, превышают 500 мл. Этим стандартом руководствуются поставщики, заказчики, покупатели бункерного топлива и портовые власти.</w:t>
      </w:r>
      <w:bookmarkStart w:id="1" w:name="_Hlk131070766"/>
      <w:bookmarkEnd w:id="1"/>
    </w:p>
    <w:p w14:paraId="1E2A1FC8" w14:textId="77777777" w:rsidR="00072F00" w:rsidRPr="00497B18" w:rsidRDefault="00072F00" w:rsidP="00072F00">
      <w:pPr>
        <w:pStyle w:val="HChG"/>
      </w:pPr>
      <w:r>
        <w:tab/>
      </w:r>
      <w:r>
        <w:tab/>
      </w:r>
      <w:r>
        <w:rPr>
          <w:bCs/>
        </w:rPr>
        <w:t>Суть проблемы</w:t>
      </w:r>
      <w:r>
        <w:t xml:space="preserve"> </w:t>
      </w:r>
    </w:p>
    <w:p w14:paraId="51120B9B" w14:textId="084149D6" w:rsidR="00072F00" w:rsidRPr="00497B18" w:rsidRDefault="00072F00" w:rsidP="00072F00">
      <w:pPr>
        <w:pStyle w:val="SingleTxtG"/>
      </w:pPr>
      <w:r>
        <w:t>4.</w:t>
      </w:r>
      <w:r>
        <w:tab/>
        <w:t>Хотя согласно вышеупомянутому требованию относительно отбора репрезентативных проб судового топлива в соответствии со стандартом ISO</w:t>
      </w:r>
      <w:r w:rsidR="00C3773D">
        <w:rPr>
          <w:lang w:val="fr-CH"/>
        </w:rPr>
        <w:t> </w:t>
      </w:r>
      <w:r>
        <w:t xml:space="preserve">13739:2020 (второе издание, 2020-02, должно применяться с апреля 2022 года) репрезентативные пробы топлива/бункера должны отбираться, минимальное количество пробы более нигде не прописано, и на практике отбираются и передаются на хранение на борту судов (как указано </w:t>
      </w:r>
      <w:r w:rsidRPr="00D3651C">
        <w:rPr>
          <w:color w:val="000000" w:themeColor="text1"/>
        </w:rPr>
        <w:t xml:space="preserve">в </w:t>
      </w:r>
      <w:r w:rsidR="00D3651C" w:rsidRPr="00D3651C">
        <w:rPr>
          <w:color w:val="000000" w:themeColor="text1"/>
        </w:rPr>
        <w:t xml:space="preserve">пунктах </w:t>
      </w:r>
      <w:r w:rsidRPr="00D3651C">
        <w:rPr>
          <w:color w:val="000000" w:themeColor="text1"/>
        </w:rPr>
        <w:t xml:space="preserve">7.2.4.1.3 и 7.2.4.1.4 </w:t>
      </w:r>
      <w:r>
        <w:t>ВОПОГ) пробы объемом 1</w:t>
      </w:r>
      <w:r w:rsidR="00C3773D">
        <w:rPr>
          <w:lang w:val="fr-CH"/>
        </w:rPr>
        <w:t> </w:t>
      </w:r>
      <w:r>
        <w:t>литр. В случае возникновения проблем с качеством, после передачи топлив/бункеров на судно, сохранившиеся образцы используются для проверки и подтверждения соответствия доставленного судового топлива установленным законом требованиям.</w:t>
      </w:r>
    </w:p>
    <w:p w14:paraId="3C540BE1" w14:textId="6391A5BB" w:rsidR="00072F00" w:rsidRPr="00497B18" w:rsidRDefault="00072F00" w:rsidP="00072F00">
      <w:pPr>
        <w:pStyle w:val="SingleTxtG"/>
      </w:pPr>
      <w:r>
        <w:t>5.</w:t>
      </w:r>
      <w:r>
        <w:tab/>
        <w:t>В пункте</w:t>
      </w:r>
      <w:r w:rsidR="00C3773D">
        <w:rPr>
          <w:lang w:val="fr-CH"/>
        </w:rPr>
        <w:t> </w:t>
      </w:r>
      <w:r>
        <w:t>7.2.4.1.1 ВОПОГ указано максимальное количество пробы, составляющее 500 мл на один сосуд. Согласно пункту 7.2.4.1.1 ВОПОГ число проб груза ограничено 30 сосудами.</w:t>
      </w:r>
    </w:p>
    <w:p w14:paraId="7F589705" w14:textId="793C8986" w:rsidR="00072F00" w:rsidRPr="00497B18" w:rsidRDefault="00072F00" w:rsidP="00072F00">
      <w:pPr>
        <w:pStyle w:val="SingleTxtG"/>
      </w:pPr>
      <w:r>
        <w:t>6.</w:t>
      </w:r>
      <w:r>
        <w:tab/>
        <w:t xml:space="preserve">В пункте 7.2.4.1.4 ВОПОГ предусматривается, что </w:t>
      </w:r>
      <w:r w:rsidR="00C3773D">
        <w:t>«</w:t>
      </w:r>
      <w:r>
        <w:t>на борту судов снабжения или других судов, доставляющих продукты, необходимые для эксплуатации судов, количество проб груза, указанное в пункте 7.2.4.1.1, может быть увеличено с 30 до не более 500</w:t>
      </w:r>
      <w:r w:rsidR="00C3773D">
        <w:t>»</w:t>
      </w:r>
      <w:r>
        <w:t>.</w:t>
      </w:r>
    </w:p>
    <w:p w14:paraId="04A68452" w14:textId="77777777" w:rsidR="00072F00" w:rsidRPr="00497B18" w:rsidRDefault="00072F00" w:rsidP="00072F00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032EE7AE" w14:textId="658FDFE8" w:rsidR="00072F00" w:rsidRPr="00497B18" w:rsidRDefault="00072F00" w:rsidP="00072F00">
      <w:pPr>
        <w:pStyle w:val="SingleTxtG"/>
      </w:pPr>
      <w:r>
        <w:t>7.</w:t>
      </w:r>
      <w:r>
        <w:tab/>
        <w:t>ЕСРТ/ЕОС предлагают изменить пункт 7.2.4.1.4 ВОПОГ следующим образом:</w:t>
      </w:r>
    </w:p>
    <w:p w14:paraId="397A9FEE" w14:textId="056FDEEB" w:rsidR="00072F00" w:rsidRPr="00497B18" w:rsidRDefault="00C3773D" w:rsidP="00072F00">
      <w:pPr>
        <w:pStyle w:val="SingleTxtG"/>
        <w:ind w:left="1701"/>
      </w:pPr>
      <w:r>
        <w:t>«</w:t>
      </w:r>
      <w:r w:rsidR="00072F00">
        <w:t>7.2.4.1.4 На борту судов снабжения или других судов, доставляющих продукты, необходимые для эксплуатации судов, количество проб груза, указанное в пункте 7.2.4.1.1, может быть увеличено с 30 до не более 500, причем максимальное количество пробы составляет 1 литр на один сосуд</w:t>
      </w:r>
      <w:r>
        <w:t>»</w:t>
      </w:r>
      <w:r w:rsidR="00072F00">
        <w:t>.</w:t>
      </w:r>
    </w:p>
    <w:p w14:paraId="30563D43" w14:textId="77777777" w:rsidR="00072F00" w:rsidRPr="00497B18" w:rsidRDefault="00072F00" w:rsidP="00072F00">
      <w:pPr>
        <w:pStyle w:val="HChG"/>
      </w:pPr>
      <w:r>
        <w:tab/>
      </w:r>
      <w:r>
        <w:tab/>
      </w:r>
      <w:r>
        <w:rPr>
          <w:bCs/>
        </w:rPr>
        <w:t>Замечание</w:t>
      </w:r>
    </w:p>
    <w:p w14:paraId="77790EF9" w14:textId="77777777" w:rsidR="00072F00" w:rsidRPr="00497B18" w:rsidRDefault="00072F00" w:rsidP="00072F00">
      <w:pPr>
        <w:pStyle w:val="SingleTxtG"/>
      </w:pPr>
      <w:r>
        <w:t>8.</w:t>
      </w:r>
      <w:r>
        <w:tab/>
        <w:t>Эта поправка позволяет привести требование ВОПОГ в соответствие с отраслевой практикой и требованиями портовых властей.</w:t>
      </w:r>
    </w:p>
    <w:p w14:paraId="7A406C47" w14:textId="5B8DB37A" w:rsidR="00072F00" w:rsidRPr="00497B18" w:rsidRDefault="00072F00" w:rsidP="00072F00">
      <w:pPr>
        <w:pStyle w:val="SingleTxtG"/>
      </w:pPr>
      <w:r>
        <w:t>9.</w:t>
      </w:r>
      <w:r>
        <w:tab/>
        <w:t>Второй абзац пункта 7.2.4.1.1 остается в прежней редакции, т.</w:t>
      </w:r>
      <w:r w:rsidR="00C3773D">
        <w:rPr>
          <w:lang w:val="fr-CH"/>
        </w:rPr>
        <w:t> </w:t>
      </w:r>
      <w:r>
        <w:t xml:space="preserve">е.: </w:t>
      </w:r>
      <w:r w:rsidR="00C3773D">
        <w:t>«</w:t>
      </w:r>
      <w:r>
        <w:t>Сосуды должны удовлетворять требованиям в отношении упаковки, указанным в части 4 ДОПОГ, и размещаться на борту в строго определенном месте в пределах грузового пространства таким образом, чтобы в нормальных условиях перевозки они не могли разбиться или получить прокол и чтобы их содержимое не могло разлиться в трюмном помещении. Хрупкие сосуды должны быть обложены надлежащим прокладочным материалом</w:t>
      </w:r>
      <w:r w:rsidR="00C3773D">
        <w:t>»</w:t>
      </w:r>
      <w:r>
        <w:t xml:space="preserve">. </w:t>
      </w:r>
    </w:p>
    <w:p w14:paraId="1486C985" w14:textId="77777777" w:rsidR="00072F00" w:rsidRPr="00497B18" w:rsidRDefault="00072F00" w:rsidP="00072F00">
      <w:pPr>
        <w:pStyle w:val="SingleTxtG"/>
      </w:pPr>
      <w:r>
        <w:t>10.</w:t>
      </w:r>
      <w:r>
        <w:tab/>
        <w:t>В соответствии с правилами 14 и 18 главы 3 приложения VI МАРПОЛ и стандартом ISO 13739:2020 срок хранения репрезентативных проб доставленного судового топлива составляет один год. По мнению представителей бункеровочной отрасли, общее число проб, хранящихся на борту, вероятно, не превысит 500 в год.</w:t>
      </w:r>
    </w:p>
    <w:p w14:paraId="11EDB22F" w14:textId="77777777" w:rsidR="00072F00" w:rsidRPr="00497B18" w:rsidRDefault="00072F00" w:rsidP="00072F00">
      <w:pPr>
        <w:pStyle w:val="SingleTxtG"/>
      </w:pPr>
      <w:r>
        <w:t>11.</w:t>
      </w:r>
      <w:r>
        <w:tab/>
        <w:t xml:space="preserve">Увеличение совокупного объема проб с 250 литров до 500 литров на одно судно (танкер внутреннего плавания) не окажет негативного влияния на остойчивость этих судов таким образом, что они перестанут отвечать минимальным требованиям в отношении остойчивости. </w:t>
      </w:r>
    </w:p>
    <w:p w14:paraId="4EA2F09D" w14:textId="6EFD3C2D" w:rsidR="00E12C5F" w:rsidRPr="008D53B6" w:rsidRDefault="00072F00" w:rsidP="00072F00">
      <w:pPr>
        <w:spacing w:before="240"/>
        <w:jc w:val="center"/>
      </w:pPr>
      <w:r w:rsidRPr="00497B18">
        <w:rPr>
          <w:u w:val="single"/>
        </w:rPr>
        <w:tab/>
      </w:r>
      <w:r w:rsidRPr="00497B18">
        <w:rPr>
          <w:u w:val="single"/>
        </w:rPr>
        <w:tab/>
      </w:r>
      <w:r w:rsidRPr="00497B18">
        <w:rPr>
          <w:u w:val="single"/>
        </w:rPr>
        <w:tab/>
      </w:r>
    </w:p>
    <w:sectPr w:rsidR="00E12C5F" w:rsidRPr="008D53B6" w:rsidSect="00072F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FFC3C" w14:textId="77777777" w:rsidR="003106A7" w:rsidRPr="00A312BC" w:rsidRDefault="003106A7" w:rsidP="00A312BC"/>
  </w:endnote>
  <w:endnote w:type="continuationSeparator" w:id="0">
    <w:p w14:paraId="1ED87B44" w14:textId="77777777" w:rsidR="003106A7" w:rsidRPr="00A312BC" w:rsidRDefault="003106A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5241" w14:textId="3CBE2B7D" w:rsidR="00072F00" w:rsidRPr="00072F00" w:rsidRDefault="00072F00">
    <w:pPr>
      <w:pStyle w:val="a8"/>
    </w:pPr>
    <w:r w:rsidRPr="00072F00">
      <w:rPr>
        <w:b/>
        <w:sz w:val="18"/>
      </w:rPr>
      <w:fldChar w:fldCharType="begin"/>
    </w:r>
    <w:r w:rsidRPr="00072F00">
      <w:rPr>
        <w:b/>
        <w:sz w:val="18"/>
      </w:rPr>
      <w:instrText xml:space="preserve"> PAGE  \* MERGEFORMAT </w:instrText>
    </w:r>
    <w:r w:rsidRPr="00072F00">
      <w:rPr>
        <w:b/>
        <w:sz w:val="18"/>
      </w:rPr>
      <w:fldChar w:fldCharType="separate"/>
    </w:r>
    <w:r w:rsidRPr="00072F00">
      <w:rPr>
        <w:b/>
        <w:noProof/>
        <w:sz w:val="18"/>
      </w:rPr>
      <w:t>2</w:t>
    </w:r>
    <w:r w:rsidRPr="00072F00">
      <w:rPr>
        <w:b/>
        <w:sz w:val="18"/>
      </w:rPr>
      <w:fldChar w:fldCharType="end"/>
    </w:r>
    <w:r>
      <w:rPr>
        <w:b/>
        <w:sz w:val="18"/>
      </w:rPr>
      <w:tab/>
    </w:r>
    <w:r>
      <w:t>GE.23-10897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F8242" w14:textId="6A03F86D" w:rsidR="00072F00" w:rsidRPr="00072F00" w:rsidRDefault="00072F00" w:rsidP="00072F00">
    <w:pPr>
      <w:pStyle w:val="a8"/>
      <w:tabs>
        <w:tab w:val="clear" w:pos="9639"/>
        <w:tab w:val="right" w:pos="9638"/>
      </w:tabs>
      <w:rPr>
        <w:b/>
        <w:sz w:val="18"/>
      </w:rPr>
    </w:pPr>
    <w:r>
      <w:t>GE.23-10897</w:t>
    </w:r>
    <w:r>
      <w:tab/>
    </w:r>
    <w:r w:rsidRPr="00072F00">
      <w:rPr>
        <w:b/>
        <w:sz w:val="18"/>
      </w:rPr>
      <w:fldChar w:fldCharType="begin"/>
    </w:r>
    <w:r w:rsidRPr="00072F00">
      <w:rPr>
        <w:b/>
        <w:sz w:val="18"/>
      </w:rPr>
      <w:instrText xml:space="preserve"> PAGE  \* MERGEFORMAT </w:instrText>
    </w:r>
    <w:r w:rsidRPr="00072F00">
      <w:rPr>
        <w:b/>
        <w:sz w:val="18"/>
      </w:rPr>
      <w:fldChar w:fldCharType="separate"/>
    </w:r>
    <w:r w:rsidRPr="00072F00">
      <w:rPr>
        <w:b/>
        <w:noProof/>
        <w:sz w:val="18"/>
      </w:rPr>
      <w:t>3</w:t>
    </w:r>
    <w:r w:rsidRPr="00072F0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FB30" w14:textId="746A3417" w:rsidR="00042B72" w:rsidRPr="00072F00" w:rsidRDefault="00072F00" w:rsidP="00072F00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245B06A" wp14:editId="2BDE419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23-10897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EC1CFC2" wp14:editId="478290C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160623  280623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EA1F5" w14:textId="77777777" w:rsidR="003106A7" w:rsidRPr="001075E9" w:rsidRDefault="003106A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62884B9" w14:textId="77777777" w:rsidR="003106A7" w:rsidRDefault="003106A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FD440A4" w14:textId="77777777" w:rsidR="00072F00" w:rsidRPr="00497B18" w:rsidRDefault="00072F00" w:rsidP="00072F00">
      <w:pPr>
        <w:pStyle w:val="ad"/>
      </w:pPr>
      <w:r>
        <w:tab/>
      </w:r>
      <w:r w:rsidRPr="00072F00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CCNR-ZKR/ADN/WP.15/AC.2/2023/40.</w:t>
      </w:r>
    </w:p>
  </w:footnote>
  <w:footnote w:id="2">
    <w:p w14:paraId="4CC0B463" w14:textId="77777777" w:rsidR="00072F00" w:rsidRPr="00404A27" w:rsidRDefault="00072F00" w:rsidP="00072F00">
      <w:pPr>
        <w:pStyle w:val="ad"/>
      </w:pPr>
      <w:r>
        <w:tab/>
      </w:r>
      <w:r w:rsidRPr="00072F00">
        <w:rPr>
          <w:sz w:val="20"/>
        </w:rPr>
        <w:t>**</w:t>
      </w:r>
      <w:r>
        <w:tab/>
        <w:t>A/77/6 (разд. 20), таблица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3B08" w14:textId="227C73F0" w:rsidR="00072F00" w:rsidRPr="00072F00" w:rsidRDefault="00985E62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ECE/TRANS/WP.15/AC.2/2023/40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CC8E2" w14:textId="78AD0168" w:rsidR="00072F00" w:rsidRPr="00072F00" w:rsidRDefault="00985E62" w:rsidP="00072F00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ECE/TRANS/WP.15/AC.2/2023/40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D248" w14:textId="77777777" w:rsidR="00072F00" w:rsidRDefault="00072F00" w:rsidP="00072F00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725792153">
    <w:abstractNumId w:val="16"/>
  </w:num>
  <w:num w:numId="2" w16cid:durableId="1179931045">
    <w:abstractNumId w:val="11"/>
  </w:num>
  <w:num w:numId="3" w16cid:durableId="222495536">
    <w:abstractNumId w:val="10"/>
  </w:num>
  <w:num w:numId="4" w16cid:durableId="1547260485">
    <w:abstractNumId w:val="17"/>
  </w:num>
  <w:num w:numId="5" w16cid:durableId="1828399802">
    <w:abstractNumId w:val="13"/>
  </w:num>
  <w:num w:numId="6" w16cid:durableId="1291322393">
    <w:abstractNumId w:val="8"/>
  </w:num>
  <w:num w:numId="7" w16cid:durableId="364521260">
    <w:abstractNumId w:val="3"/>
  </w:num>
  <w:num w:numId="8" w16cid:durableId="1322081896">
    <w:abstractNumId w:val="2"/>
  </w:num>
  <w:num w:numId="9" w16cid:durableId="1446534589">
    <w:abstractNumId w:val="1"/>
  </w:num>
  <w:num w:numId="10" w16cid:durableId="730275817">
    <w:abstractNumId w:val="0"/>
  </w:num>
  <w:num w:numId="11" w16cid:durableId="1000737580">
    <w:abstractNumId w:val="9"/>
  </w:num>
  <w:num w:numId="12" w16cid:durableId="1214124864">
    <w:abstractNumId w:val="7"/>
  </w:num>
  <w:num w:numId="13" w16cid:durableId="525485994">
    <w:abstractNumId w:val="6"/>
  </w:num>
  <w:num w:numId="14" w16cid:durableId="31468820">
    <w:abstractNumId w:val="5"/>
  </w:num>
  <w:num w:numId="15" w16cid:durableId="2011638801">
    <w:abstractNumId w:val="4"/>
  </w:num>
  <w:num w:numId="16" w16cid:durableId="2140829990">
    <w:abstractNumId w:val="15"/>
  </w:num>
  <w:num w:numId="17" w16cid:durableId="87629119">
    <w:abstractNumId w:val="12"/>
  </w:num>
  <w:num w:numId="18" w16cid:durableId="605768943">
    <w:abstractNumId w:val="14"/>
  </w:num>
  <w:num w:numId="19" w16cid:durableId="1298955877">
    <w:abstractNumId w:val="15"/>
  </w:num>
  <w:num w:numId="20" w16cid:durableId="1781609132">
    <w:abstractNumId w:val="12"/>
  </w:num>
  <w:num w:numId="21" w16cid:durableId="6413453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A7"/>
    <w:rsid w:val="00033EE1"/>
    <w:rsid w:val="00042B72"/>
    <w:rsid w:val="000558BD"/>
    <w:rsid w:val="00072F00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06A7"/>
    <w:rsid w:val="00317339"/>
    <w:rsid w:val="00322004"/>
    <w:rsid w:val="003402C2"/>
    <w:rsid w:val="003725B3"/>
    <w:rsid w:val="00381C24"/>
    <w:rsid w:val="00387CD4"/>
    <w:rsid w:val="003958D0"/>
    <w:rsid w:val="003A0D43"/>
    <w:rsid w:val="003A48CE"/>
    <w:rsid w:val="003B00E5"/>
    <w:rsid w:val="003E0B46"/>
    <w:rsid w:val="003E18B2"/>
    <w:rsid w:val="00407B78"/>
    <w:rsid w:val="00422362"/>
    <w:rsid w:val="00424203"/>
    <w:rsid w:val="00452493"/>
    <w:rsid w:val="00453318"/>
    <w:rsid w:val="00454AF2"/>
    <w:rsid w:val="00454E07"/>
    <w:rsid w:val="0045623A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5E62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13BED"/>
    <w:rsid w:val="00C3773D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3651C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9930C8"/>
  <w15:docId w15:val="{D07DE54E-5BDA-48E7-9CAC-F5C21142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072F00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74FDE7-494E-47B1-B8C9-2A1F17DE3CAA}"/>
</file>

<file path=customXml/itemProps2.xml><?xml version="1.0" encoding="utf-8"?>
<ds:datastoreItem xmlns:ds="http://schemas.openxmlformats.org/officeDocument/2006/customXml" ds:itemID="{14EBED86-00A5-46C5-9DF6-22968379F298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716</Words>
  <Characters>4768</Characters>
  <Application>Microsoft Office Word</Application>
  <DocSecurity>0</DocSecurity>
  <Lines>433</Lines>
  <Paragraphs>182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9" baseType="lpstr">
      <vt:lpstr>ECE/TRANS/WP.15/AC.2/2023/40</vt:lpstr>
      <vt:lpstr>    Максимальное количество (согласно пункту 7.2.4.1.1 ВОПОГ) проб груза на борту </vt:lpstr>
      <vt:lpstr>        Передано Европейским союзом речного судоходства и Европейской организацией суд</vt:lpstr>
      <vt:lpstr>    Введение </vt:lpstr>
      <vt:lpstr>    Суть проблемы </vt:lpstr>
      <vt:lpstr>    Предложение</vt:lpstr>
      <vt:lpstr>    Замечание</vt:lpstr>
      <vt:lpstr>A/</vt:lpstr>
      <vt:lpstr>A/</vt:lpstr>
    </vt:vector>
  </TitlesOfParts>
  <Company>DCM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ECE/TRANS/WP.15/AC.2/2023/40</dc:title>
  <dc:subject/>
  <dc:creator>Olga OVTCHINNIKOVA</dc:creator>
  <cp:keywords/>
  <cp:lastModifiedBy>Olga Ovchinnikova</cp:lastModifiedBy>
  <cp:revision>3</cp:revision>
  <cp:lastPrinted>2023-06-28T08:53:00Z</cp:lastPrinted>
  <dcterms:created xsi:type="dcterms:W3CDTF">2023-06-28T08:53:00Z</dcterms:created>
  <dcterms:modified xsi:type="dcterms:W3CDTF">2023-06-28T08:53:00Z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