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B95437" w14:textId="77777777" w:rsidTr="00C97039">
        <w:trPr>
          <w:trHeight w:hRule="exact" w:val="851"/>
        </w:trPr>
        <w:tc>
          <w:tcPr>
            <w:tcW w:w="1276" w:type="dxa"/>
            <w:tcBorders>
              <w:bottom w:val="single" w:sz="4" w:space="0" w:color="auto"/>
            </w:tcBorders>
          </w:tcPr>
          <w:p w14:paraId="6168C3DB" w14:textId="77777777" w:rsidR="00F35BAF" w:rsidRPr="00DB58B5" w:rsidRDefault="00F35BAF" w:rsidP="00C34C1B"/>
        </w:tc>
        <w:tc>
          <w:tcPr>
            <w:tcW w:w="2268" w:type="dxa"/>
            <w:tcBorders>
              <w:bottom w:val="single" w:sz="4" w:space="0" w:color="auto"/>
            </w:tcBorders>
            <w:vAlign w:val="bottom"/>
          </w:tcPr>
          <w:p w14:paraId="0B2E88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334A62" w14:textId="4A701326" w:rsidR="00F35BAF" w:rsidRPr="00DB58B5" w:rsidRDefault="00C34C1B" w:rsidP="00C34C1B">
            <w:pPr>
              <w:jc w:val="right"/>
            </w:pPr>
            <w:r w:rsidRPr="00C34C1B">
              <w:rPr>
                <w:sz w:val="40"/>
              </w:rPr>
              <w:t>ECE</w:t>
            </w:r>
            <w:r>
              <w:t>/TRANS/WP</w:t>
            </w:r>
            <w:r w:rsidR="00402B6E" w:rsidRPr="00402B6E">
              <w:t>.</w:t>
            </w:r>
            <w:r>
              <w:t>29/GRBP/2024/16</w:t>
            </w:r>
          </w:p>
        </w:tc>
      </w:tr>
      <w:tr w:rsidR="00F35BAF" w:rsidRPr="00DB58B5" w14:paraId="0ACAB091" w14:textId="77777777" w:rsidTr="00C97039">
        <w:trPr>
          <w:trHeight w:hRule="exact" w:val="2835"/>
        </w:trPr>
        <w:tc>
          <w:tcPr>
            <w:tcW w:w="1276" w:type="dxa"/>
            <w:tcBorders>
              <w:top w:val="single" w:sz="4" w:space="0" w:color="auto"/>
              <w:bottom w:val="single" w:sz="12" w:space="0" w:color="auto"/>
            </w:tcBorders>
          </w:tcPr>
          <w:p w14:paraId="2DE087D1" w14:textId="77777777" w:rsidR="00F35BAF" w:rsidRPr="00DB58B5" w:rsidRDefault="00F35BAF" w:rsidP="00C97039">
            <w:pPr>
              <w:spacing w:before="120"/>
              <w:jc w:val="center"/>
            </w:pPr>
            <w:r>
              <w:rPr>
                <w:noProof/>
                <w:lang w:eastAsia="fr-CH"/>
              </w:rPr>
              <w:drawing>
                <wp:inline distT="0" distB="0" distL="0" distR="0" wp14:anchorId="2F19692B" wp14:editId="7CE452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C71B7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AF3006" w14:textId="0F19AF26" w:rsidR="00F35BAF" w:rsidRDefault="00C34C1B" w:rsidP="00C97039">
            <w:pPr>
              <w:spacing w:before="240"/>
            </w:pPr>
            <w:proofErr w:type="spellStart"/>
            <w:r>
              <w:t>Distr</w:t>
            </w:r>
            <w:proofErr w:type="spellEnd"/>
            <w:r w:rsidR="00402B6E" w:rsidRPr="00402B6E">
              <w:t>.</w:t>
            </w:r>
            <w:r>
              <w:t xml:space="preserve"> générale</w:t>
            </w:r>
          </w:p>
          <w:p w14:paraId="62A56C14" w14:textId="77777777" w:rsidR="00C34C1B" w:rsidRDefault="00C34C1B" w:rsidP="00C34C1B">
            <w:pPr>
              <w:spacing w:line="240" w:lineRule="exact"/>
            </w:pPr>
            <w:r>
              <w:t>22 novembre 2023</w:t>
            </w:r>
          </w:p>
          <w:p w14:paraId="28D43CAD" w14:textId="77777777" w:rsidR="00C34C1B" w:rsidRDefault="00C34C1B" w:rsidP="00C34C1B">
            <w:pPr>
              <w:spacing w:line="240" w:lineRule="exact"/>
            </w:pPr>
            <w:r>
              <w:t>Français</w:t>
            </w:r>
          </w:p>
          <w:p w14:paraId="06767DF4" w14:textId="2FC05D82" w:rsidR="00C34C1B" w:rsidRPr="00DB58B5" w:rsidRDefault="00C34C1B" w:rsidP="00C34C1B">
            <w:pPr>
              <w:spacing w:line="240" w:lineRule="exact"/>
            </w:pPr>
            <w:r>
              <w:t>Original : anglais et russe</w:t>
            </w:r>
          </w:p>
        </w:tc>
      </w:tr>
    </w:tbl>
    <w:p w14:paraId="1CE463A0" w14:textId="77777777" w:rsidR="007F20FA" w:rsidRPr="000312C0" w:rsidRDefault="007F20FA" w:rsidP="007F20FA">
      <w:pPr>
        <w:spacing w:before="120"/>
        <w:rPr>
          <w:b/>
          <w:sz w:val="28"/>
          <w:szCs w:val="28"/>
        </w:rPr>
      </w:pPr>
      <w:r w:rsidRPr="000312C0">
        <w:rPr>
          <w:b/>
          <w:sz w:val="28"/>
          <w:szCs w:val="28"/>
        </w:rPr>
        <w:t>Commission économique pour l’Europe</w:t>
      </w:r>
    </w:p>
    <w:p w14:paraId="00CEA667" w14:textId="77777777" w:rsidR="007F20FA" w:rsidRDefault="007F20FA" w:rsidP="007F20FA">
      <w:pPr>
        <w:spacing w:before="120"/>
        <w:rPr>
          <w:sz w:val="28"/>
          <w:szCs w:val="28"/>
        </w:rPr>
      </w:pPr>
      <w:r w:rsidRPr="00685843">
        <w:rPr>
          <w:sz w:val="28"/>
          <w:szCs w:val="28"/>
        </w:rPr>
        <w:t>Comité des transports intérieurs</w:t>
      </w:r>
    </w:p>
    <w:p w14:paraId="6980C00F" w14:textId="7BAD220D" w:rsidR="00C34C1B" w:rsidRPr="00C34C1B" w:rsidRDefault="00C34C1B" w:rsidP="00C34C1B">
      <w:pPr>
        <w:spacing w:before="120"/>
        <w:rPr>
          <w:sz w:val="24"/>
          <w:szCs w:val="24"/>
        </w:rPr>
      </w:pPr>
      <w:r w:rsidRPr="00C34C1B">
        <w:rPr>
          <w:b/>
          <w:bCs/>
          <w:sz w:val="24"/>
          <w:szCs w:val="24"/>
          <w:lang w:val="fr-FR"/>
        </w:rPr>
        <w:t xml:space="preserve">Forum mondial de l’harmonisation </w:t>
      </w:r>
      <w:r>
        <w:rPr>
          <w:b/>
          <w:bCs/>
          <w:sz w:val="24"/>
          <w:szCs w:val="24"/>
          <w:lang w:val="fr-FR"/>
        </w:rPr>
        <w:br/>
      </w:r>
      <w:r w:rsidRPr="00C34C1B">
        <w:rPr>
          <w:b/>
          <w:bCs/>
          <w:sz w:val="24"/>
          <w:szCs w:val="24"/>
          <w:lang w:val="fr-FR"/>
        </w:rPr>
        <w:t>des Règlements concernant les véhicules</w:t>
      </w:r>
      <w:r w:rsidRPr="00C34C1B">
        <w:rPr>
          <w:sz w:val="24"/>
          <w:szCs w:val="24"/>
          <w:lang w:val="fr-FR"/>
        </w:rPr>
        <w:t xml:space="preserve"> </w:t>
      </w:r>
    </w:p>
    <w:p w14:paraId="0B54EA60" w14:textId="77777777" w:rsidR="00C34C1B" w:rsidRPr="00E03A64" w:rsidRDefault="00C34C1B" w:rsidP="00C34C1B">
      <w:pPr>
        <w:spacing w:before="120" w:after="120"/>
        <w:rPr>
          <w:b/>
          <w:bCs/>
        </w:rPr>
      </w:pPr>
      <w:r>
        <w:rPr>
          <w:b/>
          <w:bCs/>
          <w:lang w:val="fr-FR"/>
        </w:rPr>
        <w:t>Groupe de travail du bruit et des pneumatiques</w:t>
      </w:r>
    </w:p>
    <w:p w14:paraId="53B02011" w14:textId="77777777" w:rsidR="00C34C1B" w:rsidRPr="00A345D9" w:rsidRDefault="00C34C1B" w:rsidP="00C34C1B">
      <w:pPr>
        <w:rPr>
          <w:b/>
        </w:rPr>
      </w:pPr>
      <w:r>
        <w:rPr>
          <w:b/>
          <w:bCs/>
          <w:lang w:val="fr-FR"/>
        </w:rPr>
        <w:t>Soixante-dix-neuvième session</w:t>
      </w:r>
      <w:r>
        <w:rPr>
          <w:lang w:val="fr-FR"/>
        </w:rPr>
        <w:t xml:space="preserve"> </w:t>
      </w:r>
    </w:p>
    <w:p w14:paraId="26CB190C" w14:textId="77777777" w:rsidR="00C34C1B" w:rsidRPr="00A345D9" w:rsidRDefault="00C34C1B" w:rsidP="00C34C1B">
      <w:pPr>
        <w:rPr>
          <w:bCs/>
        </w:rPr>
      </w:pPr>
      <w:r>
        <w:rPr>
          <w:lang w:val="fr-FR"/>
        </w:rPr>
        <w:t>Genève, 6-9 février 2024</w:t>
      </w:r>
    </w:p>
    <w:p w14:paraId="588CB846" w14:textId="77777777" w:rsidR="00C34C1B" w:rsidRPr="00FE243B" w:rsidRDefault="00C34C1B" w:rsidP="00C34C1B">
      <w:pPr>
        <w:rPr>
          <w:bCs/>
        </w:rPr>
      </w:pPr>
      <w:r>
        <w:rPr>
          <w:lang w:val="fr-FR"/>
        </w:rPr>
        <w:t>Point 7 e) de l’ordre du jour provisoire</w:t>
      </w:r>
    </w:p>
    <w:p w14:paraId="29864A3F" w14:textId="69A97669" w:rsidR="00C34C1B" w:rsidRPr="00904E96" w:rsidRDefault="00C34C1B" w:rsidP="00C34C1B">
      <w:pPr>
        <w:rPr>
          <w:b/>
          <w:bCs/>
        </w:rPr>
      </w:pPr>
      <w:r>
        <w:rPr>
          <w:b/>
          <w:bCs/>
          <w:lang w:val="fr-FR"/>
        </w:rPr>
        <w:t>Pneumatiques : Règlement ONU n</w:t>
      </w:r>
      <w:r>
        <w:rPr>
          <w:b/>
          <w:bCs/>
          <w:vertAlign w:val="superscript"/>
          <w:lang w:val="fr-FR"/>
        </w:rPr>
        <w:t>o</w:t>
      </w:r>
      <w:r>
        <w:rPr>
          <w:b/>
          <w:bCs/>
          <w:lang w:val="fr-FR"/>
        </w:rPr>
        <w:t> </w:t>
      </w:r>
      <w:r>
        <w:rPr>
          <w:b/>
          <w:bCs/>
          <w:lang w:val="fr-FR"/>
        </w:rPr>
        <w:t xml:space="preserve">124 </w:t>
      </w:r>
      <w:r>
        <w:rPr>
          <w:b/>
          <w:bCs/>
          <w:lang w:val="fr-FR"/>
        </w:rPr>
        <w:br/>
      </w:r>
      <w:r>
        <w:rPr>
          <w:b/>
          <w:bCs/>
          <w:lang w:val="fr-FR"/>
        </w:rPr>
        <w:t>(Roues de rechange pour voitures particulières)</w:t>
      </w:r>
    </w:p>
    <w:p w14:paraId="1FDB0D2F" w14:textId="6832DF3C" w:rsidR="00C34C1B" w:rsidRPr="00170F71" w:rsidRDefault="00C34C1B" w:rsidP="00C34C1B">
      <w:pPr>
        <w:pStyle w:val="HChG"/>
        <w:rPr>
          <w:color w:val="000000"/>
        </w:rPr>
      </w:pPr>
      <w:r w:rsidRPr="00170F71">
        <w:rPr>
          <w:lang w:val="fr-FR"/>
        </w:rPr>
        <w:tab/>
      </w:r>
      <w:r w:rsidRPr="00170F71">
        <w:rPr>
          <w:lang w:val="fr-FR"/>
        </w:rPr>
        <w:tab/>
        <w:t>Proposition de complément au Règlement ONU n</w:t>
      </w:r>
      <w:r w:rsidRPr="00170F71">
        <w:rPr>
          <w:vertAlign w:val="superscript"/>
          <w:lang w:val="fr-FR"/>
        </w:rPr>
        <w:t>o</w:t>
      </w:r>
      <w:r>
        <w:rPr>
          <w:lang w:val="fr-FR"/>
        </w:rPr>
        <w:t> </w:t>
      </w:r>
      <w:r w:rsidRPr="00170F71">
        <w:rPr>
          <w:lang w:val="fr-FR"/>
        </w:rPr>
        <w:t>124</w:t>
      </w:r>
    </w:p>
    <w:p w14:paraId="319583B1" w14:textId="183D1DCE" w:rsidR="00C34C1B" w:rsidRPr="00C34C1B" w:rsidRDefault="00C34C1B" w:rsidP="00C34C1B">
      <w:pPr>
        <w:pStyle w:val="H1G"/>
      </w:pPr>
      <w:r>
        <w:rPr>
          <w:lang w:val="fr-FR"/>
        </w:rPr>
        <w:tab/>
      </w:r>
      <w:r>
        <w:rPr>
          <w:lang w:val="fr-FR"/>
        </w:rPr>
        <w:tab/>
        <w:t>Communication de l’expert de la Fédération de Russie</w:t>
      </w:r>
      <w:r w:rsidRPr="00C34C1B">
        <w:rPr>
          <w:b w:val="0"/>
          <w:bCs/>
          <w:sz w:val="20"/>
          <w:szCs w:val="16"/>
          <w:lang w:val="fr-FR"/>
        </w:rPr>
        <w:footnoteReference w:customMarkFollows="1" w:id="2"/>
        <w:t>*</w:t>
      </w:r>
    </w:p>
    <w:p w14:paraId="053FEAE6" w14:textId="2FA14619" w:rsidR="00F9573C" w:rsidRDefault="00C34C1B" w:rsidP="00C34C1B">
      <w:pPr>
        <w:pStyle w:val="SingleTxtG"/>
        <w:ind w:firstLine="567"/>
        <w:rPr>
          <w:lang w:val="fr-FR"/>
        </w:rPr>
      </w:pPr>
      <w:r>
        <w:rPr>
          <w:lang w:val="fr-FR"/>
        </w:rPr>
        <w:t>Le texte ci-après, établi par l’expert de la Fédération de Russie, vise à préciser certaines dispositions du Règlement ONU n</w:t>
      </w:r>
      <w:r>
        <w:rPr>
          <w:vertAlign w:val="superscript"/>
          <w:lang w:val="fr-FR"/>
        </w:rPr>
        <w:t>o</w:t>
      </w:r>
      <w:r>
        <w:rPr>
          <w:lang w:val="fr-FR"/>
        </w:rPr>
        <w:t> </w:t>
      </w:r>
      <w:r>
        <w:rPr>
          <w:lang w:val="fr-FR"/>
        </w:rPr>
        <w:t>124</w:t>
      </w:r>
      <w:r w:rsidR="00402B6E" w:rsidRPr="00402B6E">
        <w:rPr>
          <w:lang w:val="fr-FR"/>
        </w:rPr>
        <w:t>.</w:t>
      </w:r>
      <w:r>
        <w:rPr>
          <w:lang w:val="fr-FR"/>
        </w:rPr>
        <w:t xml:space="preserve"> Il est fondé sur le document informel GRBP-78-03 et tient compte des observations formulées à la soixante-dix-huitième session du Groupe de travail du bruit et des pneumatiques (GRBP) ainsi que des observations écrites reçues après cette session</w:t>
      </w:r>
      <w:r w:rsidR="00402B6E" w:rsidRPr="00402B6E">
        <w:rPr>
          <w:lang w:val="fr-FR"/>
        </w:rPr>
        <w:t>.</w:t>
      </w:r>
      <w:r>
        <w:rPr>
          <w:lang w:val="fr-FR"/>
        </w:rPr>
        <w:t xml:space="preserve"> Les modifications qu’il est proposé d’apporter au texte actuel du Règlement ONU figurent en caractères gras pour les ajouts et biffés pour les suppressions</w:t>
      </w:r>
      <w:r w:rsidR="00402B6E" w:rsidRPr="00402B6E">
        <w:rPr>
          <w:lang w:val="fr-FR"/>
        </w:rPr>
        <w:t>.</w:t>
      </w:r>
      <w:r>
        <w:rPr>
          <w:lang w:val="fr-FR"/>
        </w:rPr>
        <w:t xml:space="preserve"> </w:t>
      </w:r>
    </w:p>
    <w:p w14:paraId="2B0B1CD0" w14:textId="645D21F7" w:rsidR="00C34C1B" w:rsidRDefault="00C34C1B">
      <w:pPr>
        <w:suppressAutoHyphens w:val="0"/>
        <w:kinsoku/>
        <w:overflowPunct/>
        <w:autoSpaceDE/>
        <w:autoSpaceDN/>
        <w:adjustRightInd/>
        <w:snapToGrid/>
        <w:spacing w:after="200" w:line="276" w:lineRule="auto"/>
        <w:rPr>
          <w:lang w:val="fr-FR"/>
        </w:rPr>
      </w:pPr>
      <w:r>
        <w:rPr>
          <w:lang w:val="fr-FR"/>
        </w:rPr>
        <w:br w:type="page"/>
      </w:r>
    </w:p>
    <w:p w14:paraId="66E7C092" w14:textId="14DC3704" w:rsidR="00C34C1B" w:rsidRPr="00170F71" w:rsidRDefault="00C34C1B" w:rsidP="00C34C1B">
      <w:pPr>
        <w:pStyle w:val="HChG"/>
      </w:pPr>
      <w:r>
        <w:rPr>
          <w:lang w:val="fr-FR"/>
        </w:rPr>
        <w:lastRenderedPageBreak/>
        <w:tab/>
      </w:r>
      <w:r w:rsidRPr="00170F71">
        <w:rPr>
          <w:lang w:val="fr-FR"/>
        </w:rPr>
        <w:t>I</w:t>
      </w:r>
      <w:r w:rsidR="00402B6E" w:rsidRPr="00402B6E">
        <w:rPr>
          <w:lang w:val="fr-FR"/>
        </w:rPr>
        <w:t>.</w:t>
      </w:r>
      <w:r w:rsidRPr="00170F71">
        <w:rPr>
          <w:lang w:val="fr-FR"/>
        </w:rPr>
        <w:tab/>
        <w:t>Proposition</w:t>
      </w:r>
    </w:p>
    <w:p w14:paraId="63D381FF" w14:textId="684AB60F" w:rsidR="00C34C1B" w:rsidRPr="00C70EBC" w:rsidRDefault="00C34C1B" w:rsidP="00C34C1B">
      <w:pPr>
        <w:spacing w:after="120"/>
        <w:ind w:left="1134" w:right="1134"/>
        <w:jc w:val="both"/>
        <w:rPr>
          <w:rFonts w:asciiTheme="majorBidi" w:eastAsia="Calibri" w:hAnsiTheme="majorBidi" w:cstheme="majorBidi"/>
          <w:b/>
          <w:i/>
        </w:rPr>
      </w:pPr>
      <w:r>
        <w:rPr>
          <w:i/>
          <w:iCs/>
          <w:lang w:val="fr-FR"/>
        </w:rPr>
        <w:t>Paragraphe 2</w:t>
      </w:r>
      <w:r w:rsidR="00402B6E" w:rsidRPr="00402B6E">
        <w:rPr>
          <w:i/>
          <w:iCs/>
          <w:lang w:val="fr-FR"/>
        </w:rPr>
        <w:t>.</w:t>
      </w:r>
      <w:r>
        <w:rPr>
          <w:i/>
          <w:iCs/>
          <w:lang w:val="fr-FR"/>
        </w:rPr>
        <w:t>2</w:t>
      </w:r>
      <w:r>
        <w:rPr>
          <w:lang w:val="fr-FR"/>
        </w:rPr>
        <w:t>, lire :</w:t>
      </w:r>
    </w:p>
    <w:p w14:paraId="442F0621" w14:textId="06F6EE04" w:rsidR="00C34C1B" w:rsidRPr="00C70EBC" w:rsidRDefault="00C34C1B" w:rsidP="00C34C1B">
      <w:pPr>
        <w:spacing w:after="120"/>
        <w:ind w:left="2268" w:right="1134" w:hanging="1134"/>
        <w:jc w:val="both"/>
      </w:pPr>
      <w:r>
        <w:rPr>
          <w:lang w:val="fr-FR"/>
        </w:rPr>
        <w:t>« 2</w:t>
      </w:r>
      <w:r w:rsidR="00402B6E" w:rsidRPr="00402B6E">
        <w:rPr>
          <w:lang w:val="fr-FR"/>
        </w:rPr>
        <w:t>.</w:t>
      </w:r>
      <w:r w:rsidRPr="00C34C1B">
        <w:rPr>
          <w:lang w:val="fr-FR"/>
        </w:rPr>
        <w:t>2</w:t>
      </w:r>
      <w:r>
        <w:rPr>
          <w:lang w:val="fr-FR"/>
        </w:rPr>
        <w:tab/>
      </w:r>
      <w:r>
        <w:rPr>
          <w:lang w:val="fr-FR"/>
        </w:rPr>
        <w:tab/>
        <w:t>«</w:t>
      </w:r>
      <w:r>
        <w:rPr>
          <w:u w:val="single"/>
          <w:lang w:val="fr-FR"/>
        </w:rPr>
        <w:t> Roues du même type</w:t>
      </w:r>
      <w:r w:rsidR="008A53D2">
        <w:rPr>
          <w:lang w:val="fr-FR"/>
        </w:rPr>
        <w:t> </w:t>
      </w:r>
      <w:r>
        <w:rPr>
          <w:lang w:val="fr-FR"/>
        </w:rPr>
        <w:t>», des roues identiques quant aux caractéristiques essentielles ci-après :</w:t>
      </w:r>
    </w:p>
    <w:p w14:paraId="5B0AE871" w14:textId="03E132A6" w:rsidR="00C34C1B" w:rsidRDefault="00C34C1B" w:rsidP="00C34C1B">
      <w:pPr>
        <w:spacing w:after="120"/>
        <w:ind w:left="2268" w:right="1134" w:hanging="1134"/>
        <w:jc w:val="both"/>
      </w:pPr>
      <w:r>
        <w:rPr>
          <w:lang w:val="fr-FR"/>
        </w:rPr>
        <w:tab/>
        <w:t>[</w:t>
      </w:r>
      <w:r w:rsidR="00402B6E" w:rsidRPr="00402B6E">
        <w:rPr>
          <w:lang w:val="fr-FR"/>
        </w:rPr>
        <w:t>...</w:t>
      </w:r>
      <w:r>
        <w:rPr>
          <w:lang w:val="fr-FR"/>
        </w:rPr>
        <w:t>]</w:t>
      </w:r>
    </w:p>
    <w:p w14:paraId="4C8429B1" w14:textId="4667BE84" w:rsidR="00C34C1B" w:rsidRPr="00C70EBC" w:rsidRDefault="00C34C1B" w:rsidP="00C34C1B">
      <w:pPr>
        <w:spacing w:after="120"/>
        <w:ind w:left="2268" w:right="1134" w:hanging="1134"/>
        <w:jc w:val="both"/>
        <w:rPr>
          <w:color w:val="000000" w:themeColor="text1"/>
        </w:rPr>
      </w:pPr>
      <w:r>
        <w:rPr>
          <w:lang w:val="fr-FR"/>
        </w:rPr>
        <w:t>2</w:t>
      </w:r>
      <w:r w:rsidR="00402B6E" w:rsidRPr="00402B6E">
        <w:rPr>
          <w:lang w:val="fr-FR"/>
        </w:rPr>
        <w:t>.</w:t>
      </w:r>
      <w:r>
        <w:rPr>
          <w:lang w:val="fr-FR"/>
        </w:rPr>
        <w:t>2</w:t>
      </w:r>
      <w:r w:rsidR="00402B6E" w:rsidRPr="00402B6E">
        <w:rPr>
          <w:lang w:val="fr-FR"/>
        </w:rPr>
        <w:t>.</w:t>
      </w:r>
      <w:r>
        <w:rPr>
          <w:lang w:val="fr-FR"/>
        </w:rPr>
        <w:t>3</w:t>
      </w:r>
      <w:r>
        <w:rPr>
          <w:lang w:val="fr-FR"/>
        </w:rPr>
        <w:tab/>
      </w:r>
      <w:r>
        <w:rPr>
          <w:strike/>
          <w:lang w:val="fr-FR"/>
        </w:rPr>
        <w:t xml:space="preserve">les matériaux utilisés pour la </w:t>
      </w:r>
      <w:proofErr w:type="spellStart"/>
      <w:r>
        <w:rPr>
          <w:strike/>
          <w:lang w:val="fr-FR"/>
        </w:rPr>
        <w:t>fabrication</w:t>
      </w:r>
      <w:r>
        <w:rPr>
          <w:b/>
          <w:bCs/>
          <w:lang w:val="fr-FR"/>
        </w:rPr>
        <w:t>la</w:t>
      </w:r>
      <w:proofErr w:type="spellEnd"/>
      <w:r>
        <w:rPr>
          <w:b/>
          <w:bCs/>
          <w:lang w:val="fr-FR"/>
        </w:rPr>
        <w:t xml:space="preserve"> structure interne et les caractéristiques du matériau utilisé (composition chimique, caractéristiques mécaniques, dureté)</w:t>
      </w:r>
      <w:r>
        <w:rPr>
          <w:lang w:val="fr-FR"/>
        </w:rPr>
        <w:t xml:space="preserve"> ;</w:t>
      </w:r>
    </w:p>
    <w:p w14:paraId="054041B2" w14:textId="3E9CEBA3" w:rsidR="00C34C1B" w:rsidRPr="00C70EBC" w:rsidRDefault="00C34C1B" w:rsidP="00C34C1B">
      <w:pPr>
        <w:spacing w:after="120"/>
        <w:ind w:left="2268" w:right="1134" w:hanging="1134"/>
        <w:jc w:val="both"/>
        <w:rPr>
          <w:color w:val="000000" w:themeColor="text1"/>
        </w:rPr>
      </w:pPr>
      <w:r>
        <w:rPr>
          <w:lang w:val="fr-FR"/>
        </w:rPr>
        <w:t>2</w:t>
      </w:r>
      <w:r w:rsidR="00402B6E" w:rsidRPr="00402B6E">
        <w:rPr>
          <w:lang w:val="fr-FR"/>
        </w:rPr>
        <w:t>.</w:t>
      </w:r>
      <w:r>
        <w:rPr>
          <w:lang w:val="fr-FR"/>
        </w:rPr>
        <w:t>2</w:t>
      </w:r>
      <w:r w:rsidR="00402B6E" w:rsidRPr="00402B6E">
        <w:rPr>
          <w:lang w:val="fr-FR"/>
        </w:rPr>
        <w:t>.</w:t>
      </w:r>
      <w:r>
        <w:rPr>
          <w:lang w:val="fr-FR"/>
        </w:rPr>
        <w:t>4</w:t>
      </w:r>
      <w:r>
        <w:rPr>
          <w:lang w:val="fr-FR"/>
        </w:rPr>
        <w:tab/>
      </w:r>
      <w:r w:rsidRPr="006457C8">
        <w:rPr>
          <w:b/>
          <w:bCs/>
          <w:lang w:val="fr-FR"/>
        </w:rPr>
        <w:t>La forme, la dimension et le nombre</w:t>
      </w:r>
      <w:r>
        <w:rPr>
          <w:lang w:val="fr-FR"/>
        </w:rPr>
        <w:t xml:space="preserve"> </w:t>
      </w:r>
      <w:r>
        <w:rPr>
          <w:strike/>
          <w:lang w:val="fr-FR"/>
        </w:rPr>
        <w:t>les</w:t>
      </w:r>
      <w:r>
        <w:rPr>
          <w:b/>
          <w:bCs/>
          <w:lang w:val="fr-FR"/>
        </w:rPr>
        <w:t xml:space="preserve"> </w:t>
      </w:r>
      <w:r w:rsidRPr="006457C8">
        <w:rPr>
          <w:lang w:val="fr-FR"/>
        </w:rPr>
        <w:t>des trous d’attache</w:t>
      </w:r>
      <w:r>
        <w:rPr>
          <w:lang w:val="fr-FR"/>
        </w:rPr>
        <w:t xml:space="preserve"> ; </w:t>
      </w:r>
    </w:p>
    <w:p w14:paraId="0D250DB4" w14:textId="13896FC6" w:rsidR="00C34C1B" w:rsidRPr="00C70EBC" w:rsidRDefault="00C34C1B" w:rsidP="00C34C1B">
      <w:pPr>
        <w:spacing w:after="120"/>
        <w:ind w:left="2268" w:right="1134" w:hanging="1134"/>
        <w:jc w:val="both"/>
        <w:rPr>
          <w:color w:val="000000" w:themeColor="text1"/>
        </w:rPr>
      </w:pPr>
      <w:r>
        <w:rPr>
          <w:lang w:val="fr-FR"/>
        </w:rPr>
        <w:tab/>
        <w:t>[</w:t>
      </w:r>
      <w:r w:rsidR="00402B6E" w:rsidRPr="00402B6E">
        <w:rPr>
          <w:lang w:val="fr-FR"/>
        </w:rPr>
        <w:t>...</w:t>
      </w:r>
      <w:r>
        <w:rPr>
          <w:lang w:val="fr-FR"/>
        </w:rPr>
        <w:t>]</w:t>
      </w:r>
    </w:p>
    <w:p w14:paraId="618B632B" w14:textId="44849267" w:rsidR="00C34C1B" w:rsidRPr="00C70EBC" w:rsidRDefault="00C34C1B" w:rsidP="00C34C1B">
      <w:pPr>
        <w:spacing w:after="120"/>
        <w:ind w:left="2268" w:right="1134" w:hanging="1134"/>
        <w:jc w:val="both"/>
        <w:rPr>
          <w:color w:val="000000" w:themeColor="text1"/>
        </w:rPr>
      </w:pPr>
      <w:r>
        <w:rPr>
          <w:lang w:val="fr-FR"/>
        </w:rPr>
        <w:t>2</w:t>
      </w:r>
      <w:r w:rsidR="00402B6E" w:rsidRPr="00402B6E">
        <w:rPr>
          <w:lang w:val="fr-FR"/>
        </w:rPr>
        <w:t>.</w:t>
      </w:r>
      <w:r>
        <w:rPr>
          <w:lang w:val="fr-FR"/>
        </w:rPr>
        <w:t>2</w:t>
      </w:r>
      <w:r w:rsidR="00402B6E" w:rsidRPr="00402B6E">
        <w:rPr>
          <w:lang w:val="fr-FR"/>
        </w:rPr>
        <w:t>.</w:t>
      </w:r>
      <w:r>
        <w:rPr>
          <w:lang w:val="fr-FR"/>
        </w:rPr>
        <w:t>8</w:t>
      </w:r>
      <w:r>
        <w:rPr>
          <w:lang w:val="fr-FR"/>
        </w:rPr>
        <w:tab/>
        <w:t xml:space="preserve">« </w:t>
      </w:r>
      <w:r w:rsidRPr="00C34C1B">
        <w:rPr>
          <w:i/>
          <w:iCs/>
          <w:lang w:val="fr-FR"/>
        </w:rPr>
        <w:t>Dessin</w:t>
      </w:r>
      <w:r>
        <w:rPr>
          <w:lang w:val="fr-FR"/>
        </w:rPr>
        <w:t xml:space="preserve"> », le dessin géométrique de la roue, y compris la forme générale et le rapport entre les ajours et les parties pleines</w:t>
      </w:r>
      <w:r>
        <w:rPr>
          <w:b/>
          <w:bCs/>
          <w:lang w:val="fr-FR"/>
        </w:rPr>
        <w:t>, le profil de la jante et les éléments du voile</w:t>
      </w:r>
      <w:r w:rsidR="00402B6E" w:rsidRPr="00402B6E">
        <w:rPr>
          <w:lang w:val="fr-FR"/>
        </w:rPr>
        <w:t>.</w:t>
      </w:r>
      <w:r>
        <w:rPr>
          <w:lang w:val="fr-FR"/>
        </w:rPr>
        <w:t> »</w:t>
      </w:r>
      <w:r w:rsidR="00402B6E" w:rsidRPr="00402B6E">
        <w:rPr>
          <w:lang w:val="fr-FR"/>
        </w:rPr>
        <w:t>.</w:t>
      </w:r>
    </w:p>
    <w:p w14:paraId="3B684BFA" w14:textId="34AFA0AC" w:rsidR="00C34C1B" w:rsidRPr="00C70EBC" w:rsidRDefault="00C34C1B" w:rsidP="00C34C1B">
      <w:pPr>
        <w:spacing w:after="120"/>
        <w:ind w:left="2268" w:right="1134" w:hanging="1134"/>
        <w:jc w:val="both"/>
      </w:pPr>
      <w:r>
        <w:rPr>
          <w:i/>
          <w:iCs/>
          <w:lang w:val="fr-FR"/>
        </w:rPr>
        <w:t>Ajouter le nouveau paragraphe 3</w:t>
      </w:r>
      <w:r w:rsidR="00402B6E" w:rsidRPr="00402B6E">
        <w:rPr>
          <w:i/>
          <w:iCs/>
          <w:lang w:val="fr-FR"/>
        </w:rPr>
        <w:t>.</w:t>
      </w:r>
      <w:r>
        <w:rPr>
          <w:i/>
          <w:iCs/>
          <w:lang w:val="fr-FR"/>
        </w:rPr>
        <w:t>1</w:t>
      </w:r>
      <w:r w:rsidR="00402B6E" w:rsidRPr="00402B6E">
        <w:rPr>
          <w:i/>
          <w:iCs/>
          <w:lang w:val="fr-FR"/>
        </w:rPr>
        <w:t>.</w:t>
      </w:r>
      <w:r>
        <w:rPr>
          <w:i/>
          <w:iCs/>
          <w:lang w:val="fr-FR"/>
        </w:rPr>
        <w:t>2</w:t>
      </w:r>
      <w:r w:rsidR="00402B6E" w:rsidRPr="00402B6E">
        <w:rPr>
          <w:i/>
          <w:iCs/>
          <w:lang w:val="fr-FR"/>
        </w:rPr>
        <w:t>.</w:t>
      </w:r>
      <w:r>
        <w:rPr>
          <w:i/>
          <w:iCs/>
          <w:lang w:val="fr-FR"/>
        </w:rPr>
        <w:t>13</w:t>
      </w:r>
      <w:r>
        <w:rPr>
          <w:lang w:val="fr-FR"/>
        </w:rPr>
        <w:t>, libellé comme suit :</w:t>
      </w:r>
    </w:p>
    <w:p w14:paraId="2B378A1E" w14:textId="5A031E54" w:rsidR="00C34C1B" w:rsidRPr="00C70EBC" w:rsidRDefault="00C34C1B" w:rsidP="00C34C1B">
      <w:pPr>
        <w:spacing w:after="120"/>
        <w:ind w:left="2268" w:right="1134" w:hanging="1134"/>
        <w:jc w:val="both"/>
        <w:rPr>
          <w:b/>
          <w:bCs/>
        </w:rPr>
      </w:pPr>
      <w:r w:rsidRPr="00170F71">
        <w:rPr>
          <w:lang w:val="fr-FR"/>
        </w:rPr>
        <w:t>«</w:t>
      </w:r>
      <w:r>
        <w:rPr>
          <w:b/>
          <w:bCs/>
          <w:lang w:val="fr-FR"/>
        </w:rPr>
        <w:t> 3</w:t>
      </w:r>
      <w:r w:rsidR="00402B6E" w:rsidRPr="00402B6E">
        <w:rPr>
          <w:b/>
          <w:bCs/>
          <w:lang w:val="fr-FR"/>
        </w:rPr>
        <w:t>.</w:t>
      </w:r>
      <w:r>
        <w:rPr>
          <w:b/>
          <w:bCs/>
          <w:lang w:val="fr-FR"/>
        </w:rPr>
        <w:t>1</w:t>
      </w:r>
      <w:r w:rsidR="00402B6E" w:rsidRPr="00402B6E">
        <w:rPr>
          <w:b/>
          <w:bCs/>
          <w:lang w:val="fr-FR"/>
        </w:rPr>
        <w:t>.</w:t>
      </w:r>
      <w:r>
        <w:rPr>
          <w:b/>
          <w:bCs/>
          <w:lang w:val="fr-FR"/>
        </w:rPr>
        <w:t>2</w:t>
      </w:r>
      <w:r w:rsidR="00402B6E" w:rsidRPr="00402B6E">
        <w:rPr>
          <w:b/>
          <w:bCs/>
          <w:lang w:val="fr-FR"/>
        </w:rPr>
        <w:t>.</w:t>
      </w:r>
      <w:r>
        <w:rPr>
          <w:b/>
          <w:bCs/>
          <w:lang w:val="fr-FR"/>
        </w:rPr>
        <w:t>13</w:t>
      </w:r>
      <w:r>
        <w:rPr>
          <w:lang w:val="fr-FR"/>
        </w:rPr>
        <w:tab/>
      </w:r>
      <w:r>
        <w:rPr>
          <w:b/>
          <w:bCs/>
          <w:lang w:val="fr-FR"/>
        </w:rPr>
        <w:t>informations sur les caractéristiques mécaniques et la dureté du matériau, les essais d’étanchéité avec un pneumatique sans chambre monté, la vérification des défauts internes et de surface, y compris l’inspection par rayons X et la déviation radiale et axiale</w:t>
      </w:r>
      <w:r>
        <w:rPr>
          <w:lang w:val="fr-FR"/>
        </w:rPr>
        <w:t> »</w:t>
      </w:r>
      <w:r w:rsidR="00402B6E" w:rsidRPr="00402B6E">
        <w:rPr>
          <w:lang w:val="fr-FR"/>
        </w:rPr>
        <w:t>.</w:t>
      </w:r>
    </w:p>
    <w:p w14:paraId="0CBA61A4" w14:textId="3ECE74DA" w:rsidR="00C34C1B" w:rsidRPr="00C70EBC" w:rsidRDefault="00C34C1B" w:rsidP="00C34C1B">
      <w:pPr>
        <w:spacing w:after="120"/>
        <w:ind w:left="2268" w:right="1134" w:hanging="1134"/>
        <w:jc w:val="both"/>
      </w:pPr>
      <w:r>
        <w:rPr>
          <w:i/>
          <w:iCs/>
          <w:lang w:val="fr-FR"/>
        </w:rPr>
        <w:t>Ajouter le nouveau paragraphe 5</w:t>
      </w:r>
      <w:r w:rsidR="00402B6E" w:rsidRPr="00402B6E">
        <w:rPr>
          <w:i/>
          <w:iCs/>
          <w:lang w:val="fr-FR"/>
        </w:rPr>
        <w:t>.</w:t>
      </w:r>
      <w:r>
        <w:rPr>
          <w:i/>
          <w:iCs/>
          <w:lang w:val="fr-FR"/>
        </w:rPr>
        <w:t>1</w:t>
      </w:r>
      <w:r w:rsidR="00402B6E" w:rsidRPr="00402B6E">
        <w:rPr>
          <w:i/>
          <w:iCs/>
          <w:lang w:val="fr-FR"/>
        </w:rPr>
        <w:t>.</w:t>
      </w:r>
      <w:r>
        <w:rPr>
          <w:i/>
          <w:iCs/>
          <w:lang w:val="fr-FR"/>
        </w:rPr>
        <w:t>6</w:t>
      </w:r>
      <w:r>
        <w:rPr>
          <w:lang w:val="fr-FR"/>
        </w:rPr>
        <w:t>, libellé comme suit :</w:t>
      </w:r>
    </w:p>
    <w:p w14:paraId="654081A7" w14:textId="6369291B" w:rsidR="00C34C1B" w:rsidRPr="00C70EBC" w:rsidRDefault="00C34C1B" w:rsidP="00C34C1B">
      <w:pPr>
        <w:spacing w:after="120"/>
        <w:ind w:left="2268" w:right="1134" w:hanging="1134"/>
        <w:jc w:val="both"/>
        <w:rPr>
          <w:b/>
          <w:bCs/>
        </w:rPr>
      </w:pPr>
      <w:r w:rsidRPr="00170F71">
        <w:rPr>
          <w:lang w:val="fr-FR"/>
        </w:rPr>
        <w:t>«</w:t>
      </w:r>
      <w:r>
        <w:rPr>
          <w:b/>
          <w:bCs/>
          <w:lang w:val="fr-FR"/>
        </w:rPr>
        <w:t> 5</w:t>
      </w:r>
      <w:r w:rsidR="00402B6E" w:rsidRPr="00402B6E">
        <w:rPr>
          <w:b/>
          <w:bCs/>
          <w:lang w:val="fr-FR"/>
        </w:rPr>
        <w:t>.</w:t>
      </w:r>
      <w:r>
        <w:rPr>
          <w:b/>
          <w:bCs/>
          <w:lang w:val="fr-FR"/>
        </w:rPr>
        <w:t>1</w:t>
      </w:r>
      <w:r w:rsidR="00402B6E" w:rsidRPr="00402B6E">
        <w:rPr>
          <w:b/>
          <w:bCs/>
          <w:lang w:val="fr-FR"/>
        </w:rPr>
        <w:t>.</w:t>
      </w:r>
      <w:r>
        <w:rPr>
          <w:b/>
          <w:bCs/>
          <w:lang w:val="fr-FR"/>
        </w:rPr>
        <w:t>6</w:t>
      </w:r>
      <w:r>
        <w:rPr>
          <w:lang w:val="fr-FR"/>
        </w:rPr>
        <w:tab/>
      </w:r>
      <w:r>
        <w:rPr>
          <w:b/>
          <w:bCs/>
          <w:lang w:val="fr-FR"/>
        </w:rPr>
        <w:t>Un marquage facultatif peut aussi être apposé sur la roue pour ce qui concerne les éléments mentionnés dans tous les sous-paragraphes du présent paragraphe ou certains d’entre eux :</w:t>
      </w:r>
    </w:p>
    <w:p w14:paraId="76BAE2E5" w14:textId="634A0F1E" w:rsidR="00C34C1B" w:rsidRPr="00C70EBC" w:rsidRDefault="00C34C1B" w:rsidP="00C34C1B">
      <w:pPr>
        <w:spacing w:after="120"/>
        <w:ind w:left="2268" w:right="1134" w:hanging="1134"/>
        <w:jc w:val="both"/>
        <w:rPr>
          <w:b/>
          <w:bCs/>
        </w:rPr>
      </w:pPr>
      <w:r>
        <w:rPr>
          <w:b/>
          <w:bCs/>
          <w:lang w:val="fr-FR"/>
        </w:rPr>
        <w:t>5</w:t>
      </w:r>
      <w:r w:rsidR="00402B6E" w:rsidRPr="00402B6E">
        <w:rPr>
          <w:b/>
          <w:bCs/>
          <w:lang w:val="fr-FR"/>
        </w:rPr>
        <w:t>.</w:t>
      </w:r>
      <w:r>
        <w:rPr>
          <w:b/>
          <w:bCs/>
          <w:lang w:val="fr-FR"/>
        </w:rPr>
        <w:t>1</w:t>
      </w:r>
      <w:r w:rsidR="00402B6E" w:rsidRPr="00402B6E">
        <w:rPr>
          <w:b/>
          <w:bCs/>
          <w:lang w:val="fr-FR"/>
        </w:rPr>
        <w:t>.</w:t>
      </w:r>
      <w:r>
        <w:rPr>
          <w:b/>
          <w:bCs/>
          <w:lang w:val="fr-FR"/>
        </w:rPr>
        <w:t>6</w:t>
      </w:r>
      <w:r w:rsidR="00402B6E" w:rsidRPr="00402B6E">
        <w:rPr>
          <w:b/>
          <w:bCs/>
          <w:lang w:val="fr-FR"/>
        </w:rPr>
        <w:t>.</w:t>
      </w:r>
      <w:r>
        <w:rPr>
          <w:b/>
          <w:bCs/>
          <w:lang w:val="fr-FR"/>
        </w:rPr>
        <w:t>1</w:t>
      </w:r>
      <w:r>
        <w:rPr>
          <w:lang w:val="fr-FR"/>
        </w:rPr>
        <w:tab/>
      </w:r>
      <w:r>
        <w:rPr>
          <w:b/>
          <w:bCs/>
          <w:lang w:val="fr-FR"/>
        </w:rPr>
        <w:t xml:space="preserve">la lettre </w:t>
      </w:r>
      <w:r w:rsidRPr="00C34C1B">
        <w:rPr>
          <w:b/>
          <w:bCs/>
        </w:rPr>
        <w:t>“</w:t>
      </w:r>
      <w:r>
        <w:rPr>
          <w:b/>
          <w:bCs/>
          <w:lang w:val="fr-FR"/>
        </w:rPr>
        <w:t>G</w:t>
      </w:r>
      <w:r w:rsidRPr="00C34C1B">
        <w:rPr>
          <w:b/>
          <w:bCs/>
        </w:rPr>
        <w:t>”</w:t>
      </w:r>
      <w:r>
        <w:rPr>
          <w:b/>
          <w:bCs/>
          <w:lang w:val="fr-FR"/>
        </w:rPr>
        <w:t xml:space="preserve"> si le résultat de l’essai d’étanchéité, pour les roues utilisées avec des pneumatiques sans chambre, est satisfaisant ;</w:t>
      </w:r>
    </w:p>
    <w:p w14:paraId="7A9F555D" w14:textId="7EB1F569" w:rsidR="00C34C1B" w:rsidRPr="00C70EBC" w:rsidRDefault="00C34C1B" w:rsidP="00C34C1B">
      <w:pPr>
        <w:spacing w:after="120"/>
        <w:ind w:left="2268" w:right="1134" w:hanging="1134"/>
        <w:jc w:val="both"/>
        <w:rPr>
          <w:b/>
          <w:bCs/>
        </w:rPr>
      </w:pPr>
      <w:r>
        <w:rPr>
          <w:b/>
          <w:bCs/>
          <w:lang w:val="fr-FR"/>
        </w:rPr>
        <w:t>5</w:t>
      </w:r>
      <w:r w:rsidR="00402B6E" w:rsidRPr="00402B6E">
        <w:rPr>
          <w:b/>
          <w:bCs/>
          <w:lang w:val="fr-FR"/>
        </w:rPr>
        <w:t>.</w:t>
      </w:r>
      <w:r>
        <w:rPr>
          <w:b/>
          <w:bCs/>
          <w:lang w:val="fr-FR"/>
        </w:rPr>
        <w:t>1</w:t>
      </w:r>
      <w:r w:rsidR="00402B6E" w:rsidRPr="00402B6E">
        <w:rPr>
          <w:b/>
          <w:bCs/>
          <w:lang w:val="fr-FR"/>
        </w:rPr>
        <w:t>.</w:t>
      </w:r>
      <w:r>
        <w:rPr>
          <w:b/>
          <w:bCs/>
          <w:lang w:val="fr-FR"/>
        </w:rPr>
        <w:t>6</w:t>
      </w:r>
      <w:r w:rsidR="00402B6E" w:rsidRPr="00402B6E">
        <w:rPr>
          <w:b/>
          <w:bCs/>
          <w:lang w:val="fr-FR"/>
        </w:rPr>
        <w:t>.</w:t>
      </w:r>
      <w:r>
        <w:rPr>
          <w:b/>
          <w:bCs/>
          <w:lang w:val="fr-FR"/>
        </w:rPr>
        <w:t>2</w:t>
      </w:r>
      <w:r>
        <w:rPr>
          <w:lang w:val="fr-FR"/>
        </w:rPr>
        <w:tab/>
      </w:r>
      <w:r>
        <w:rPr>
          <w:b/>
          <w:bCs/>
          <w:lang w:val="fr-FR"/>
        </w:rPr>
        <w:t xml:space="preserve">la lettre </w:t>
      </w:r>
      <w:r w:rsidRPr="00C34C1B">
        <w:rPr>
          <w:b/>
          <w:bCs/>
        </w:rPr>
        <w:t>“</w:t>
      </w:r>
      <w:r>
        <w:rPr>
          <w:b/>
          <w:bCs/>
          <w:lang w:val="fr-FR"/>
        </w:rPr>
        <w:t>R</w:t>
      </w:r>
      <w:r w:rsidRPr="00C34C1B">
        <w:rPr>
          <w:b/>
          <w:bCs/>
        </w:rPr>
        <w:t>”</w:t>
      </w:r>
      <w:r>
        <w:rPr>
          <w:b/>
          <w:bCs/>
          <w:lang w:val="fr-FR"/>
        </w:rPr>
        <w:t xml:space="preserve"> si le résultat de l’inspection aux rayons X, pour les roues fabriquées par moulage, est satisfaisant ;</w:t>
      </w:r>
    </w:p>
    <w:p w14:paraId="4D9AB976" w14:textId="75BFB44A" w:rsidR="00C34C1B" w:rsidRPr="00C70EBC" w:rsidRDefault="00C34C1B" w:rsidP="00C34C1B">
      <w:pPr>
        <w:spacing w:after="120"/>
        <w:ind w:left="2268" w:right="1134" w:hanging="1134"/>
        <w:jc w:val="both"/>
        <w:rPr>
          <w:b/>
          <w:bCs/>
        </w:rPr>
      </w:pPr>
      <w:r>
        <w:rPr>
          <w:b/>
          <w:bCs/>
          <w:lang w:val="fr-FR"/>
        </w:rPr>
        <w:t>5</w:t>
      </w:r>
      <w:r w:rsidR="00402B6E" w:rsidRPr="00402B6E">
        <w:rPr>
          <w:b/>
          <w:bCs/>
          <w:lang w:val="fr-FR"/>
        </w:rPr>
        <w:t>.</w:t>
      </w:r>
      <w:r>
        <w:rPr>
          <w:b/>
          <w:bCs/>
          <w:lang w:val="fr-FR"/>
        </w:rPr>
        <w:t>1</w:t>
      </w:r>
      <w:r w:rsidR="00402B6E" w:rsidRPr="00402B6E">
        <w:rPr>
          <w:b/>
          <w:bCs/>
          <w:lang w:val="fr-FR"/>
        </w:rPr>
        <w:t>.</w:t>
      </w:r>
      <w:r>
        <w:rPr>
          <w:b/>
          <w:bCs/>
          <w:lang w:val="fr-FR"/>
        </w:rPr>
        <w:t>6</w:t>
      </w:r>
      <w:r w:rsidR="00402B6E" w:rsidRPr="00402B6E">
        <w:rPr>
          <w:b/>
          <w:bCs/>
          <w:lang w:val="fr-FR"/>
        </w:rPr>
        <w:t>.</w:t>
      </w:r>
      <w:r>
        <w:rPr>
          <w:b/>
          <w:bCs/>
          <w:lang w:val="fr-FR"/>
        </w:rPr>
        <w:t>3</w:t>
      </w:r>
      <w:r>
        <w:rPr>
          <w:lang w:val="fr-FR"/>
        </w:rPr>
        <w:tab/>
      </w:r>
      <w:r>
        <w:rPr>
          <w:b/>
          <w:bCs/>
          <w:lang w:val="fr-FR"/>
        </w:rPr>
        <w:t xml:space="preserve">la charge statique verticale maximale pouvant être supportée par la roue, en kilogrammes, précédée de l’inscription </w:t>
      </w:r>
      <w:r w:rsidRPr="00C34C1B">
        <w:rPr>
          <w:b/>
          <w:bCs/>
        </w:rPr>
        <w:t>“</w:t>
      </w:r>
      <w:r>
        <w:rPr>
          <w:b/>
          <w:bCs/>
          <w:lang w:val="fr-FR"/>
        </w:rPr>
        <w:t>Fb</w:t>
      </w:r>
      <w:r w:rsidRPr="00C34C1B">
        <w:rPr>
          <w:b/>
          <w:bCs/>
        </w:rPr>
        <w:t>”</w:t>
      </w:r>
      <w:r>
        <w:rPr>
          <w:b/>
          <w:bCs/>
          <w:lang w:val="fr-FR"/>
        </w:rPr>
        <w:t xml:space="preserve"> ;</w:t>
      </w:r>
    </w:p>
    <w:p w14:paraId="43C9B444" w14:textId="14253067" w:rsidR="00C34C1B" w:rsidRPr="00C70EBC" w:rsidRDefault="00C34C1B" w:rsidP="00C34C1B">
      <w:pPr>
        <w:spacing w:after="120"/>
        <w:ind w:left="2268" w:right="1134" w:hanging="1134"/>
        <w:jc w:val="both"/>
        <w:rPr>
          <w:b/>
          <w:bCs/>
        </w:rPr>
      </w:pPr>
      <w:r>
        <w:rPr>
          <w:b/>
          <w:bCs/>
          <w:lang w:val="fr-FR"/>
        </w:rPr>
        <w:t>5</w:t>
      </w:r>
      <w:r w:rsidR="00402B6E" w:rsidRPr="00402B6E">
        <w:rPr>
          <w:b/>
          <w:bCs/>
          <w:lang w:val="fr-FR"/>
        </w:rPr>
        <w:t>.</w:t>
      </w:r>
      <w:r>
        <w:rPr>
          <w:b/>
          <w:bCs/>
          <w:lang w:val="fr-FR"/>
        </w:rPr>
        <w:t>1</w:t>
      </w:r>
      <w:r w:rsidR="00402B6E" w:rsidRPr="00402B6E">
        <w:rPr>
          <w:b/>
          <w:bCs/>
          <w:lang w:val="fr-FR"/>
        </w:rPr>
        <w:t>.</w:t>
      </w:r>
      <w:r>
        <w:rPr>
          <w:b/>
          <w:bCs/>
          <w:lang w:val="fr-FR"/>
        </w:rPr>
        <w:t>6</w:t>
      </w:r>
      <w:r w:rsidR="00402B6E" w:rsidRPr="00402B6E">
        <w:rPr>
          <w:b/>
          <w:bCs/>
          <w:lang w:val="fr-FR"/>
        </w:rPr>
        <w:t>.</w:t>
      </w:r>
      <w:r>
        <w:rPr>
          <w:b/>
          <w:bCs/>
          <w:lang w:val="fr-FR"/>
        </w:rPr>
        <w:t>4</w:t>
      </w:r>
      <w:r>
        <w:rPr>
          <w:lang w:val="fr-FR"/>
        </w:rPr>
        <w:tab/>
      </w:r>
      <w:r>
        <w:rPr>
          <w:b/>
          <w:bCs/>
          <w:lang w:val="fr-FR"/>
        </w:rPr>
        <w:t xml:space="preserve">la distance entre axes des trous de montage en millimètres, précédée de l’inscription </w:t>
      </w:r>
      <w:r w:rsidRPr="00C34C1B">
        <w:rPr>
          <w:b/>
          <w:bCs/>
        </w:rPr>
        <w:t>“</w:t>
      </w:r>
      <w:r>
        <w:rPr>
          <w:b/>
          <w:bCs/>
          <w:lang w:val="fr-FR"/>
        </w:rPr>
        <w:t>PCD</w:t>
      </w:r>
      <w:r w:rsidRPr="00C34C1B">
        <w:rPr>
          <w:b/>
          <w:bCs/>
        </w:rPr>
        <w:t>”</w:t>
      </w:r>
      <w:r>
        <w:rPr>
          <w:b/>
          <w:bCs/>
          <w:lang w:val="fr-FR"/>
        </w:rPr>
        <w:t xml:space="preserve"> ;</w:t>
      </w:r>
    </w:p>
    <w:p w14:paraId="2C156AB9" w14:textId="06D4B543" w:rsidR="00C34C1B" w:rsidRPr="00C70EBC" w:rsidRDefault="00C34C1B" w:rsidP="00C34C1B">
      <w:pPr>
        <w:spacing w:after="120"/>
        <w:ind w:left="2268" w:right="1134" w:hanging="1134"/>
        <w:jc w:val="both"/>
        <w:rPr>
          <w:b/>
          <w:bCs/>
        </w:rPr>
      </w:pPr>
      <w:r>
        <w:rPr>
          <w:b/>
          <w:bCs/>
          <w:lang w:val="fr-FR"/>
        </w:rPr>
        <w:t>5</w:t>
      </w:r>
      <w:r w:rsidR="00402B6E" w:rsidRPr="00402B6E">
        <w:rPr>
          <w:b/>
          <w:bCs/>
          <w:lang w:val="fr-FR"/>
        </w:rPr>
        <w:t>.</w:t>
      </w:r>
      <w:r>
        <w:rPr>
          <w:b/>
          <w:bCs/>
          <w:lang w:val="fr-FR"/>
        </w:rPr>
        <w:t>1</w:t>
      </w:r>
      <w:r w:rsidR="00402B6E" w:rsidRPr="00402B6E">
        <w:rPr>
          <w:b/>
          <w:bCs/>
          <w:lang w:val="fr-FR"/>
        </w:rPr>
        <w:t>.</w:t>
      </w:r>
      <w:r>
        <w:rPr>
          <w:b/>
          <w:bCs/>
          <w:lang w:val="fr-FR"/>
        </w:rPr>
        <w:t>6</w:t>
      </w:r>
      <w:r w:rsidR="00402B6E" w:rsidRPr="00402B6E">
        <w:rPr>
          <w:b/>
          <w:bCs/>
          <w:lang w:val="fr-FR"/>
        </w:rPr>
        <w:t>.</w:t>
      </w:r>
      <w:r>
        <w:rPr>
          <w:b/>
          <w:bCs/>
          <w:lang w:val="fr-FR"/>
        </w:rPr>
        <w:t>5</w:t>
      </w:r>
      <w:r>
        <w:rPr>
          <w:lang w:val="fr-FR"/>
        </w:rPr>
        <w:tab/>
      </w:r>
      <w:r>
        <w:rPr>
          <w:b/>
          <w:bCs/>
          <w:lang w:val="fr-FR"/>
        </w:rPr>
        <w:t xml:space="preserve">le diamètre du trou central en millimètres, précédé de l’inscription </w:t>
      </w:r>
      <w:r w:rsidRPr="00C34C1B">
        <w:rPr>
          <w:b/>
          <w:bCs/>
        </w:rPr>
        <w:t>“</w:t>
      </w:r>
      <w:r>
        <w:rPr>
          <w:b/>
          <w:bCs/>
          <w:lang w:val="fr-FR"/>
        </w:rPr>
        <w:t>DIA</w:t>
      </w:r>
      <w:r w:rsidRPr="00C34C1B">
        <w:rPr>
          <w:b/>
          <w:bCs/>
        </w:rPr>
        <w:t>”</w:t>
      </w:r>
      <w:r w:rsidR="00402B6E" w:rsidRPr="00402B6E">
        <w:rPr>
          <w:b/>
          <w:bCs/>
          <w:lang w:val="fr-FR"/>
        </w:rPr>
        <w:t>.</w:t>
      </w:r>
      <w:r>
        <w:rPr>
          <w:b/>
          <w:bCs/>
          <w:lang w:val="fr-FR"/>
        </w:rPr>
        <w:t> </w:t>
      </w:r>
      <w:r>
        <w:rPr>
          <w:lang w:val="fr-FR"/>
        </w:rPr>
        <w:t>»</w:t>
      </w:r>
      <w:r w:rsidR="00402B6E" w:rsidRPr="00402B6E">
        <w:rPr>
          <w:lang w:val="fr-FR"/>
        </w:rPr>
        <w:t>.</w:t>
      </w:r>
    </w:p>
    <w:p w14:paraId="4CAC02C3" w14:textId="77777777" w:rsidR="00C34C1B" w:rsidRPr="00C70EBC" w:rsidRDefault="00C34C1B" w:rsidP="00C34C1B">
      <w:pPr>
        <w:spacing w:after="120"/>
        <w:ind w:left="1134" w:right="1134"/>
        <w:jc w:val="both"/>
        <w:rPr>
          <w:rFonts w:asciiTheme="majorBidi" w:eastAsia="Calibri" w:hAnsiTheme="majorBidi" w:cstheme="majorBidi"/>
          <w:i/>
        </w:rPr>
      </w:pPr>
      <w:r>
        <w:rPr>
          <w:i/>
          <w:iCs/>
          <w:lang w:val="fr-FR"/>
        </w:rPr>
        <w:t>Annexe 3, avant le dernier paragraphe</w:t>
      </w:r>
      <w:r>
        <w:rPr>
          <w:lang w:val="fr-FR"/>
        </w:rPr>
        <w:t>, ajouter le texte suivant :</w:t>
      </w:r>
    </w:p>
    <w:p w14:paraId="7DF2DE95" w14:textId="2A736E41" w:rsidR="00C34C1B" w:rsidRPr="00C70EBC" w:rsidRDefault="00C34C1B" w:rsidP="00C34C1B">
      <w:pPr>
        <w:tabs>
          <w:tab w:val="left" w:pos="1021"/>
        </w:tabs>
        <w:spacing w:after="120"/>
        <w:ind w:left="1134" w:right="1134"/>
        <w:jc w:val="both"/>
        <w:rPr>
          <w:b/>
          <w:bCs/>
        </w:rPr>
      </w:pPr>
      <w:r w:rsidRPr="008233ED">
        <w:rPr>
          <w:lang w:val="fr-FR"/>
        </w:rPr>
        <w:t>«</w:t>
      </w:r>
      <w:r w:rsidRPr="008233ED">
        <w:rPr>
          <w:lang w:val="fr-FR"/>
        </w:rPr>
        <w:t> </w:t>
      </w:r>
      <w:r>
        <w:rPr>
          <w:b/>
          <w:bCs/>
          <w:lang w:val="fr-FR"/>
        </w:rPr>
        <w:t>Exemple de marquages pouvant être apposés sur une roue conformément au paragraphe 5</w:t>
      </w:r>
      <w:r w:rsidR="00402B6E" w:rsidRPr="00402B6E">
        <w:rPr>
          <w:b/>
          <w:bCs/>
          <w:lang w:val="fr-FR"/>
        </w:rPr>
        <w:t>.</w:t>
      </w:r>
      <w:r>
        <w:rPr>
          <w:b/>
          <w:bCs/>
          <w:lang w:val="fr-FR"/>
        </w:rPr>
        <w:t>1</w:t>
      </w:r>
      <w:r w:rsidR="00402B6E" w:rsidRPr="00402B6E">
        <w:rPr>
          <w:b/>
          <w:bCs/>
          <w:lang w:val="fr-FR"/>
        </w:rPr>
        <w:t>.</w:t>
      </w:r>
      <w:r>
        <w:rPr>
          <w:b/>
          <w:bCs/>
          <w:lang w:val="fr-FR"/>
        </w:rPr>
        <w:t>6 :</w:t>
      </w:r>
    </w:p>
    <w:p w14:paraId="695201F9" w14:textId="6AC855FE" w:rsidR="00C34C1B" w:rsidRPr="002D7669" w:rsidRDefault="00C34C1B" w:rsidP="00C34C1B">
      <w:pPr>
        <w:tabs>
          <w:tab w:val="left" w:pos="1021"/>
        </w:tabs>
        <w:spacing w:after="120"/>
        <w:ind w:left="1134" w:right="1134"/>
        <w:jc w:val="both"/>
        <w:rPr>
          <w:b/>
          <w:bCs/>
          <w:lang w:val="fr-FR"/>
        </w:rPr>
      </w:pPr>
      <w:r w:rsidRPr="002D7669">
        <w:rPr>
          <w:b/>
          <w:bCs/>
          <w:lang w:val="fr-FR"/>
        </w:rPr>
        <w:t>G R Fb 560 PCD 114</w:t>
      </w:r>
      <w:r w:rsidR="00402B6E" w:rsidRPr="00402B6E">
        <w:rPr>
          <w:b/>
          <w:bCs/>
          <w:lang w:val="fr-FR"/>
        </w:rPr>
        <w:t>.</w:t>
      </w:r>
      <w:r w:rsidRPr="002D7669">
        <w:rPr>
          <w:b/>
          <w:bCs/>
          <w:lang w:val="fr-FR"/>
        </w:rPr>
        <w:t>3 DIA 61</w:t>
      </w:r>
    </w:p>
    <w:p w14:paraId="0A229370" w14:textId="77777777" w:rsidR="00C34C1B" w:rsidRPr="00C70EBC" w:rsidRDefault="00C34C1B" w:rsidP="00C34C1B">
      <w:pPr>
        <w:tabs>
          <w:tab w:val="left" w:pos="1021"/>
        </w:tabs>
        <w:spacing w:after="120"/>
        <w:ind w:left="1134" w:right="1134"/>
        <w:jc w:val="both"/>
        <w:rPr>
          <w:b/>
          <w:bCs/>
        </w:rPr>
      </w:pPr>
      <w:r>
        <w:rPr>
          <w:b/>
          <w:bCs/>
          <w:lang w:val="fr-FR"/>
        </w:rPr>
        <w:t>Cet exemple de marquage signifie ce qui suit :</w:t>
      </w:r>
    </w:p>
    <w:p w14:paraId="6B7EEB54" w14:textId="77777777" w:rsidR="00C34C1B" w:rsidRPr="00C70EBC" w:rsidRDefault="00C34C1B" w:rsidP="00C34C1B">
      <w:pPr>
        <w:pStyle w:val="Paragraphedeliste"/>
        <w:numPr>
          <w:ilvl w:val="0"/>
          <w:numId w:val="17"/>
        </w:numPr>
        <w:tabs>
          <w:tab w:val="left" w:pos="1021"/>
        </w:tabs>
        <w:spacing w:after="120"/>
        <w:ind w:left="1491" w:right="1134" w:hanging="357"/>
        <w:contextualSpacing w:val="0"/>
        <w:jc w:val="both"/>
        <w:rPr>
          <w:b/>
          <w:bCs/>
        </w:rPr>
      </w:pPr>
      <w:r>
        <w:rPr>
          <w:b/>
          <w:bCs/>
          <w:lang w:val="fr-FR"/>
        </w:rPr>
        <w:t>la roue destinée à être utilisée avec un pneumatique sans chambre a passé avec succès l’essai d’étanchéité (G) ;</w:t>
      </w:r>
    </w:p>
    <w:p w14:paraId="7F16E5D4" w14:textId="53BB759A" w:rsidR="00C34C1B" w:rsidRPr="00C70EBC" w:rsidRDefault="00C34C1B" w:rsidP="00C34C1B">
      <w:pPr>
        <w:pStyle w:val="Paragraphedeliste"/>
        <w:numPr>
          <w:ilvl w:val="0"/>
          <w:numId w:val="17"/>
        </w:numPr>
        <w:tabs>
          <w:tab w:val="left" w:pos="1021"/>
        </w:tabs>
        <w:spacing w:after="120"/>
        <w:ind w:left="1491" w:right="1134" w:hanging="357"/>
        <w:contextualSpacing w:val="0"/>
        <w:jc w:val="both"/>
        <w:rPr>
          <w:b/>
          <w:bCs/>
        </w:rPr>
      </w:pPr>
      <w:r>
        <w:rPr>
          <w:b/>
          <w:bCs/>
          <w:lang w:val="fr-FR"/>
        </w:rPr>
        <w:t>le résultat de l’inspection aux rayons X de la roue fabriquée par moulage a été satisfaisant (R) ;</w:t>
      </w:r>
    </w:p>
    <w:p w14:paraId="2C7C0102" w14:textId="0D092E7F" w:rsidR="00C34C1B" w:rsidRPr="00C70EBC" w:rsidRDefault="00C34C1B" w:rsidP="00C34C1B">
      <w:pPr>
        <w:pStyle w:val="Paragraphedeliste"/>
        <w:numPr>
          <w:ilvl w:val="0"/>
          <w:numId w:val="17"/>
        </w:numPr>
        <w:tabs>
          <w:tab w:val="left" w:pos="1021"/>
        </w:tabs>
        <w:spacing w:after="120"/>
        <w:ind w:left="1491" w:right="1134" w:hanging="357"/>
        <w:contextualSpacing w:val="0"/>
        <w:jc w:val="both"/>
        <w:rPr>
          <w:b/>
          <w:bCs/>
        </w:rPr>
      </w:pPr>
      <w:r>
        <w:rPr>
          <w:b/>
          <w:bCs/>
          <w:lang w:val="fr-FR"/>
        </w:rPr>
        <w:t>la charge statique verticale maximale pouvant être supportée par la roue est de 560</w:t>
      </w:r>
      <w:r>
        <w:rPr>
          <w:b/>
          <w:bCs/>
          <w:lang w:val="fr-FR"/>
        </w:rPr>
        <w:t> </w:t>
      </w:r>
      <w:r>
        <w:rPr>
          <w:b/>
          <w:bCs/>
          <w:lang w:val="fr-FR"/>
        </w:rPr>
        <w:t>kg ;</w:t>
      </w:r>
    </w:p>
    <w:p w14:paraId="2C3F8178" w14:textId="77777777" w:rsidR="00C34C1B" w:rsidRPr="00C70EBC" w:rsidRDefault="00C34C1B" w:rsidP="00C34C1B">
      <w:pPr>
        <w:pStyle w:val="Paragraphedeliste"/>
        <w:numPr>
          <w:ilvl w:val="0"/>
          <w:numId w:val="17"/>
        </w:numPr>
        <w:tabs>
          <w:tab w:val="left" w:pos="1021"/>
        </w:tabs>
        <w:spacing w:after="120"/>
        <w:ind w:left="1491" w:right="1134" w:hanging="357"/>
        <w:contextualSpacing w:val="0"/>
        <w:jc w:val="both"/>
        <w:rPr>
          <w:b/>
          <w:bCs/>
        </w:rPr>
      </w:pPr>
      <w:r>
        <w:rPr>
          <w:b/>
          <w:bCs/>
          <w:lang w:val="fr-FR"/>
        </w:rPr>
        <w:t>la distance entre axes des trous de montage est de 114,3 mm ;</w:t>
      </w:r>
    </w:p>
    <w:p w14:paraId="1B56A6F9" w14:textId="4A2D5ED2" w:rsidR="00C34C1B" w:rsidRPr="00C70EBC" w:rsidRDefault="00C34C1B" w:rsidP="00C34C1B">
      <w:pPr>
        <w:pStyle w:val="Paragraphedeliste"/>
        <w:numPr>
          <w:ilvl w:val="0"/>
          <w:numId w:val="17"/>
        </w:numPr>
        <w:tabs>
          <w:tab w:val="left" w:pos="1021"/>
        </w:tabs>
        <w:spacing w:after="120"/>
        <w:ind w:left="1491" w:right="1134" w:hanging="357"/>
        <w:contextualSpacing w:val="0"/>
        <w:jc w:val="both"/>
        <w:rPr>
          <w:b/>
          <w:bCs/>
        </w:rPr>
      </w:pPr>
      <w:r>
        <w:rPr>
          <w:b/>
          <w:bCs/>
          <w:lang w:val="fr-FR"/>
        </w:rPr>
        <w:t xml:space="preserve">le diamètre du trou central est de 61 </w:t>
      </w:r>
      <w:proofErr w:type="spellStart"/>
      <w:r>
        <w:rPr>
          <w:b/>
          <w:bCs/>
          <w:lang w:val="fr-FR"/>
        </w:rPr>
        <w:t>mm</w:t>
      </w:r>
      <w:r w:rsidR="00402B6E" w:rsidRPr="00402B6E">
        <w:rPr>
          <w:b/>
          <w:bCs/>
          <w:lang w:val="fr-FR"/>
        </w:rPr>
        <w:t>.</w:t>
      </w:r>
      <w:proofErr w:type="spellEnd"/>
      <w:r>
        <w:rPr>
          <w:b/>
          <w:bCs/>
          <w:lang w:val="fr-FR"/>
        </w:rPr>
        <w:t xml:space="preserve"> </w:t>
      </w:r>
      <w:r>
        <w:rPr>
          <w:lang w:val="fr-FR"/>
        </w:rPr>
        <w:t>»</w:t>
      </w:r>
      <w:r w:rsidR="00402B6E" w:rsidRPr="00402B6E">
        <w:rPr>
          <w:lang w:val="fr-FR"/>
        </w:rPr>
        <w:t>.</w:t>
      </w:r>
    </w:p>
    <w:p w14:paraId="665051C8" w14:textId="77777777" w:rsidR="00C34C1B" w:rsidRPr="009D7A29" w:rsidRDefault="00C34C1B" w:rsidP="00C34C1B">
      <w:pPr>
        <w:spacing w:after="120"/>
        <w:ind w:left="1134" w:right="1134"/>
        <w:jc w:val="both"/>
        <w:rPr>
          <w:i/>
          <w:iCs/>
        </w:rPr>
      </w:pPr>
      <w:r>
        <w:rPr>
          <w:i/>
          <w:iCs/>
          <w:lang w:val="fr-FR"/>
        </w:rPr>
        <w:lastRenderedPageBreak/>
        <w:t>Annexe 4,</w:t>
      </w:r>
      <w:r>
        <w:rPr>
          <w:lang w:val="fr-FR"/>
        </w:rPr>
        <w:t xml:space="preserve"> </w:t>
      </w:r>
      <w:r>
        <w:rPr>
          <w:i/>
          <w:iCs/>
          <w:lang w:val="fr-FR"/>
        </w:rPr>
        <w:t>tableau</w:t>
      </w:r>
      <w:r>
        <w:rPr>
          <w:lang w:val="fr-FR"/>
        </w:rPr>
        <w:t>, lire (supprimer l’essai b pour les roues en alliage d’aluminium et en alliage de magnésium)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0"/>
        <w:gridCol w:w="1559"/>
      </w:tblGrid>
      <w:tr w:rsidR="00C34C1B" w:rsidRPr="00EB5538" w14:paraId="4B25ECDD" w14:textId="77777777" w:rsidTr="00C34C1B">
        <w:tc>
          <w:tcPr>
            <w:tcW w:w="2530" w:type="dxa"/>
          </w:tcPr>
          <w:p w14:paraId="325E4FC2" w14:textId="77777777" w:rsidR="00C34C1B" w:rsidRPr="00EB5538" w:rsidRDefault="00C34C1B" w:rsidP="00C34C1B">
            <w:pPr>
              <w:tabs>
                <w:tab w:val="left" w:pos="1122"/>
              </w:tabs>
              <w:suppressAutoHyphens w:val="0"/>
              <w:spacing w:before="60" w:after="60" w:line="220" w:lineRule="atLeast"/>
              <w:ind w:left="57" w:right="57"/>
              <w:jc w:val="both"/>
              <w:rPr>
                <w:i/>
                <w:iCs/>
                <w:sz w:val="16"/>
                <w:szCs w:val="16"/>
              </w:rPr>
            </w:pPr>
            <w:r>
              <w:rPr>
                <w:lang w:val="fr-FR"/>
              </w:rPr>
              <w:t>Matériau</w:t>
            </w:r>
          </w:p>
        </w:tc>
        <w:tc>
          <w:tcPr>
            <w:tcW w:w="1559" w:type="dxa"/>
          </w:tcPr>
          <w:p w14:paraId="672680BE" w14:textId="77777777" w:rsidR="00C34C1B" w:rsidRPr="00EB5538" w:rsidRDefault="00C34C1B" w:rsidP="00C34C1B">
            <w:pPr>
              <w:tabs>
                <w:tab w:val="left" w:pos="1122"/>
              </w:tabs>
              <w:suppressAutoHyphens w:val="0"/>
              <w:spacing w:before="60" w:after="60" w:line="220" w:lineRule="atLeast"/>
              <w:ind w:left="57" w:right="57"/>
              <w:jc w:val="both"/>
              <w:rPr>
                <w:i/>
                <w:iCs/>
                <w:sz w:val="16"/>
                <w:szCs w:val="16"/>
              </w:rPr>
            </w:pPr>
            <w:r>
              <w:rPr>
                <w:lang w:val="fr-FR"/>
              </w:rPr>
              <w:t>Essais</w:t>
            </w:r>
          </w:p>
        </w:tc>
      </w:tr>
      <w:tr w:rsidR="00C34C1B" w:rsidRPr="00EB5538" w14:paraId="7B3EB846" w14:textId="77777777" w:rsidTr="00C34C1B">
        <w:tc>
          <w:tcPr>
            <w:tcW w:w="2530" w:type="dxa"/>
          </w:tcPr>
          <w:p w14:paraId="08FCAD16"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Alliage d’aluminium</w:t>
            </w:r>
          </w:p>
        </w:tc>
        <w:tc>
          <w:tcPr>
            <w:tcW w:w="1559" w:type="dxa"/>
          </w:tcPr>
          <w:p w14:paraId="6088CD74"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 xml:space="preserve">a, </w:t>
            </w:r>
            <w:r>
              <w:rPr>
                <w:strike/>
                <w:lang w:val="fr-FR"/>
              </w:rPr>
              <w:t>b,</w:t>
            </w:r>
            <w:r>
              <w:rPr>
                <w:lang w:val="fr-FR"/>
              </w:rPr>
              <w:t xml:space="preserve"> c, e</w:t>
            </w:r>
          </w:p>
        </w:tc>
      </w:tr>
      <w:tr w:rsidR="00C34C1B" w:rsidRPr="00EB5538" w14:paraId="3BCF652B" w14:textId="77777777" w:rsidTr="00C34C1B">
        <w:tc>
          <w:tcPr>
            <w:tcW w:w="2530" w:type="dxa"/>
          </w:tcPr>
          <w:p w14:paraId="30304D2B"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Alliage de magnésium</w:t>
            </w:r>
          </w:p>
        </w:tc>
        <w:tc>
          <w:tcPr>
            <w:tcW w:w="1559" w:type="dxa"/>
          </w:tcPr>
          <w:p w14:paraId="480D2849"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 xml:space="preserve">a, </w:t>
            </w:r>
            <w:r>
              <w:rPr>
                <w:strike/>
                <w:lang w:val="fr-FR"/>
              </w:rPr>
              <w:t>b,</w:t>
            </w:r>
            <w:r w:rsidRPr="00193753">
              <w:rPr>
                <w:lang w:val="fr-FR"/>
              </w:rPr>
              <w:t xml:space="preserve"> </w:t>
            </w:r>
            <w:r>
              <w:rPr>
                <w:lang w:val="fr-FR"/>
              </w:rPr>
              <w:t>c, e</w:t>
            </w:r>
          </w:p>
        </w:tc>
      </w:tr>
      <w:tr w:rsidR="00C34C1B" w:rsidRPr="00EB5538" w14:paraId="67385A4A" w14:textId="77777777" w:rsidTr="00C34C1B">
        <w:tc>
          <w:tcPr>
            <w:tcW w:w="2530" w:type="dxa"/>
          </w:tcPr>
          <w:p w14:paraId="1E68E4A3"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Acier</w:t>
            </w:r>
          </w:p>
        </w:tc>
        <w:tc>
          <w:tcPr>
            <w:tcW w:w="1559" w:type="dxa"/>
          </w:tcPr>
          <w:p w14:paraId="3917F5AA" w14:textId="77777777" w:rsidR="00C34C1B" w:rsidRPr="00EB5538" w:rsidRDefault="00C34C1B" w:rsidP="00C34C1B">
            <w:pPr>
              <w:tabs>
                <w:tab w:val="left" w:pos="1122"/>
              </w:tabs>
              <w:suppressAutoHyphens w:val="0"/>
              <w:spacing w:before="60" w:after="60" w:line="220" w:lineRule="atLeast"/>
              <w:ind w:left="57" w:right="57"/>
              <w:jc w:val="both"/>
              <w:rPr>
                <w:sz w:val="18"/>
                <w:szCs w:val="18"/>
              </w:rPr>
            </w:pPr>
            <w:r>
              <w:rPr>
                <w:lang w:val="fr-FR"/>
              </w:rPr>
              <w:t>a, b, d</w:t>
            </w:r>
          </w:p>
        </w:tc>
      </w:tr>
    </w:tbl>
    <w:p w14:paraId="4F925DB1" w14:textId="77777777" w:rsidR="00C34C1B" w:rsidRPr="008233ED" w:rsidRDefault="00C34C1B" w:rsidP="00C34C1B">
      <w:pPr>
        <w:spacing w:before="240" w:after="120"/>
        <w:ind w:left="1134" w:right="1134"/>
        <w:jc w:val="both"/>
        <w:rPr>
          <w:rFonts w:asciiTheme="majorBidi" w:eastAsia="Calibri" w:hAnsiTheme="majorBidi" w:cstheme="majorBidi"/>
          <w:b/>
          <w:i/>
        </w:rPr>
      </w:pPr>
      <w:r w:rsidRPr="008233ED">
        <w:rPr>
          <w:i/>
          <w:iCs/>
          <w:lang w:val="fr-FR"/>
        </w:rPr>
        <w:t>Alinéas a) à e)</w:t>
      </w:r>
      <w:r w:rsidRPr="008233ED">
        <w:rPr>
          <w:lang w:val="fr-FR"/>
        </w:rPr>
        <w:t>, lire :</w:t>
      </w:r>
    </w:p>
    <w:p w14:paraId="3D213A13" w14:textId="6AD84D1E" w:rsidR="00C34C1B" w:rsidRPr="008233ED" w:rsidRDefault="00C34C1B" w:rsidP="00C34C1B">
      <w:pPr>
        <w:pStyle w:val="SingleTxtGR"/>
        <w:ind w:left="1701" w:hanging="567"/>
        <w:rPr>
          <w:spacing w:val="0"/>
          <w:lang w:val="fr-FR"/>
        </w:rPr>
      </w:pPr>
      <w:r w:rsidRPr="008233ED">
        <w:rPr>
          <w:spacing w:val="0"/>
          <w:lang w:val="fr-FR"/>
        </w:rPr>
        <w:t>« a)</w:t>
      </w:r>
      <w:r w:rsidRPr="008233ED">
        <w:rPr>
          <w:spacing w:val="0"/>
          <w:lang w:val="fr-FR"/>
        </w:rPr>
        <w:tab/>
        <w:t xml:space="preserve">Analyse chimique du matériau </w:t>
      </w:r>
      <w:r w:rsidRPr="008233ED">
        <w:rPr>
          <w:strike/>
          <w:spacing w:val="0"/>
          <w:lang w:val="fr-FR"/>
        </w:rPr>
        <w:t xml:space="preserve">brut </w:t>
      </w:r>
      <w:r w:rsidRPr="008233ED">
        <w:rPr>
          <w:b/>
          <w:bCs/>
          <w:spacing w:val="0"/>
          <w:lang w:val="fr-FR"/>
        </w:rPr>
        <w:t>utilisé pour la fabrication des roues</w:t>
      </w:r>
      <w:r w:rsidR="00402B6E" w:rsidRPr="00402B6E">
        <w:rPr>
          <w:spacing w:val="0"/>
          <w:lang w:val="fr-FR"/>
        </w:rPr>
        <w:t>.</w:t>
      </w:r>
    </w:p>
    <w:p w14:paraId="3EBDBE86" w14:textId="77777777" w:rsidR="00C34C1B" w:rsidRPr="008233ED" w:rsidRDefault="00C34C1B" w:rsidP="00C34C1B">
      <w:pPr>
        <w:pStyle w:val="SingleTxtGR"/>
        <w:ind w:left="1701" w:hanging="567"/>
        <w:rPr>
          <w:spacing w:val="0"/>
          <w:lang w:val="fr-FR"/>
        </w:rPr>
      </w:pPr>
      <w:r w:rsidRPr="008233ED">
        <w:rPr>
          <w:spacing w:val="0"/>
          <w:lang w:val="fr-FR"/>
        </w:rPr>
        <w:t>b)</w:t>
      </w:r>
      <w:r w:rsidRPr="008233ED">
        <w:rPr>
          <w:spacing w:val="0"/>
          <w:lang w:val="fr-FR"/>
        </w:rPr>
        <w:tab/>
        <w:t>(</w:t>
      </w:r>
      <w:r w:rsidRPr="008233ED">
        <w:rPr>
          <w:i/>
          <w:iCs/>
          <w:spacing w:val="0"/>
          <w:lang w:val="fr-FR"/>
        </w:rPr>
        <w:t>Cet alinéa reste inchangé</w:t>
      </w:r>
      <w:r w:rsidRPr="008233ED">
        <w:rPr>
          <w:spacing w:val="0"/>
          <w:lang w:val="fr-FR"/>
        </w:rPr>
        <w:t>)</w:t>
      </w:r>
    </w:p>
    <w:p w14:paraId="1042E96F" w14:textId="648FF2F7" w:rsidR="00C34C1B" w:rsidRPr="008233ED" w:rsidRDefault="00C34C1B" w:rsidP="00C34C1B">
      <w:pPr>
        <w:pStyle w:val="SingleTxtGR"/>
        <w:ind w:left="1701" w:hanging="567"/>
        <w:rPr>
          <w:spacing w:val="0"/>
          <w:lang w:val="fr-FR"/>
        </w:rPr>
      </w:pPr>
      <w:r w:rsidRPr="008233ED">
        <w:rPr>
          <w:spacing w:val="0"/>
          <w:lang w:val="fr-FR"/>
        </w:rPr>
        <w:t>c)</w:t>
      </w:r>
      <w:r w:rsidRPr="008233ED">
        <w:rPr>
          <w:spacing w:val="0"/>
          <w:lang w:val="fr-FR"/>
        </w:rPr>
        <w:tab/>
        <w:t>Vérification des caractéristiques mécaniques (R</w:t>
      </w:r>
      <w:r w:rsidRPr="008233ED">
        <w:rPr>
          <w:spacing w:val="0"/>
          <w:vertAlign w:val="subscript"/>
          <w:lang w:val="fr-FR"/>
        </w:rPr>
        <w:t>p0,2</w:t>
      </w:r>
      <w:r w:rsidRPr="008233ED">
        <w:rPr>
          <w:spacing w:val="0"/>
          <w:lang w:val="fr-FR"/>
        </w:rPr>
        <w:t xml:space="preserve">, </w:t>
      </w:r>
      <w:proofErr w:type="spellStart"/>
      <w:r w:rsidRPr="008233ED">
        <w:rPr>
          <w:spacing w:val="0"/>
          <w:lang w:val="fr-FR"/>
        </w:rPr>
        <w:t>R</w:t>
      </w:r>
      <w:r w:rsidRPr="008233ED">
        <w:rPr>
          <w:spacing w:val="0"/>
          <w:vertAlign w:val="subscript"/>
          <w:lang w:val="fr-FR"/>
        </w:rPr>
        <w:t>m</w:t>
      </w:r>
      <w:proofErr w:type="spellEnd"/>
      <w:r w:rsidRPr="008233ED">
        <w:rPr>
          <w:spacing w:val="0"/>
          <w:lang w:val="fr-FR"/>
        </w:rPr>
        <w:t xml:space="preserve"> et A) d’échantillons prélevés dans des zones critiques (</w:t>
      </w:r>
      <w:r w:rsidRPr="008233ED">
        <w:rPr>
          <w:strike/>
          <w:spacing w:val="0"/>
          <w:lang w:val="fr-FR"/>
        </w:rPr>
        <w:t xml:space="preserve">sur </w:t>
      </w:r>
      <w:r w:rsidRPr="008233ED">
        <w:rPr>
          <w:spacing w:val="0"/>
          <w:lang w:val="fr-FR"/>
        </w:rPr>
        <w:t>un rayon</w:t>
      </w:r>
      <w:r w:rsidRPr="008233ED">
        <w:rPr>
          <w:strike/>
          <w:spacing w:val="0"/>
          <w:lang w:val="fr-FR"/>
        </w:rPr>
        <w:t>, par exemple</w:t>
      </w:r>
      <w:r w:rsidRPr="008233ED">
        <w:rPr>
          <w:spacing w:val="0"/>
          <w:lang w:val="fr-FR"/>
        </w:rPr>
        <w:t xml:space="preserve">, </w:t>
      </w:r>
      <w:r w:rsidRPr="008233ED">
        <w:rPr>
          <w:b/>
          <w:bCs/>
          <w:spacing w:val="0"/>
          <w:lang w:val="fr-FR"/>
        </w:rPr>
        <w:t>le moyeu, le bord interne ou externe de la jante, si la conception de la roue permet le prélèvement de l’échantillon approprié) prévues par le fabricant ou spécifiées par le service technique</w:t>
      </w:r>
      <w:r w:rsidRPr="008233ED">
        <w:rPr>
          <w:strike/>
          <w:spacing w:val="0"/>
          <w:lang w:val="fr-FR"/>
        </w:rPr>
        <w:t>, et sur le bord interne ou externe de la jante</w:t>
      </w:r>
      <w:r w:rsidR="00402B6E" w:rsidRPr="00402B6E">
        <w:rPr>
          <w:spacing w:val="0"/>
          <w:lang w:val="fr-FR"/>
        </w:rPr>
        <w:t>.</w:t>
      </w:r>
      <w:r w:rsidRPr="008233ED">
        <w:rPr>
          <w:spacing w:val="0"/>
          <w:lang w:val="fr-FR"/>
        </w:rPr>
        <w:t xml:space="preserve"> Les points de prélèvement des échantillons doivent être indiqués sur la figure </w:t>
      </w:r>
      <w:r w:rsidRPr="008233ED">
        <w:rPr>
          <w:b/>
          <w:bCs/>
          <w:spacing w:val="0"/>
          <w:lang w:val="fr-FR"/>
        </w:rPr>
        <w:t>et spécifiés dans la description technique du fabricant</w:t>
      </w:r>
      <w:r w:rsidR="00402B6E" w:rsidRPr="00402B6E">
        <w:rPr>
          <w:spacing w:val="0"/>
          <w:lang w:val="fr-FR"/>
        </w:rPr>
        <w:t>.</w:t>
      </w:r>
    </w:p>
    <w:p w14:paraId="7201F720" w14:textId="77777777" w:rsidR="00C34C1B" w:rsidRPr="008233ED" w:rsidRDefault="00C34C1B" w:rsidP="00C34C1B">
      <w:pPr>
        <w:pStyle w:val="SingleTxtGR"/>
        <w:rPr>
          <w:spacing w:val="0"/>
          <w:lang w:val="fr-FR"/>
        </w:rPr>
      </w:pPr>
      <w:r w:rsidRPr="008233ED">
        <w:rPr>
          <w:spacing w:val="0"/>
          <w:lang w:val="fr-FR"/>
        </w:rPr>
        <w:t>d)</w:t>
      </w:r>
      <w:r w:rsidRPr="008233ED">
        <w:rPr>
          <w:spacing w:val="0"/>
          <w:lang w:val="fr-FR"/>
        </w:rPr>
        <w:tab/>
        <w:t>(</w:t>
      </w:r>
      <w:r w:rsidRPr="008233ED">
        <w:rPr>
          <w:i/>
          <w:iCs/>
          <w:spacing w:val="0"/>
          <w:lang w:val="fr-FR"/>
        </w:rPr>
        <w:t>Cet alinéa reste inchangé</w:t>
      </w:r>
      <w:r w:rsidRPr="008233ED">
        <w:rPr>
          <w:spacing w:val="0"/>
          <w:lang w:val="fr-FR"/>
        </w:rPr>
        <w:t>)</w:t>
      </w:r>
    </w:p>
    <w:p w14:paraId="5072827B" w14:textId="1A139CA0" w:rsidR="00C34C1B" w:rsidRPr="008233ED" w:rsidRDefault="00C34C1B" w:rsidP="00C34C1B">
      <w:pPr>
        <w:pStyle w:val="SingleTxtGR"/>
        <w:ind w:left="1701" w:hanging="567"/>
        <w:rPr>
          <w:spacing w:val="0"/>
          <w:lang w:val="fr-FR"/>
        </w:rPr>
      </w:pPr>
      <w:r w:rsidRPr="008233ED">
        <w:rPr>
          <w:spacing w:val="0"/>
          <w:lang w:val="fr-FR"/>
        </w:rPr>
        <w:t>e)</w:t>
      </w:r>
      <w:r w:rsidRPr="008233ED">
        <w:rPr>
          <w:spacing w:val="0"/>
          <w:lang w:val="fr-FR"/>
        </w:rPr>
        <w:tab/>
        <w:t>Analyse des défauts du métal et de la structure dans la zone de transition entre le voile de la roue et la jante</w:t>
      </w:r>
      <w:r w:rsidRPr="008233ED">
        <w:rPr>
          <w:b/>
          <w:bCs/>
          <w:spacing w:val="0"/>
          <w:lang w:val="fr-FR"/>
        </w:rPr>
        <w:t>, ainsi qu’aux autres zones critiques spécifiées dans la documentation du fabricant ou désignées par le service technique,</w:t>
      </w:r>
      <w:r w:rsidRPr="008233ED">
        <w:rPr>
          <w:spacing w:val="0"/>
          <w:lang w:val="fr-FR"/>
        </w:rPr>
        <w:t xml:space="preserve"> ou dans la zone de rupture, le cas échéant</w:t>
      </w:r>
      <w:r w:rsidRPr="008233ED">
        <w:rPr>
          <w:b/>
          <w:bCs/>
          <w:spacing w:val="0"/>
          <w:lang w:val="fr-FR"/>
        </w:rPr>
        <w:t>, afin de vérifier que ces défauts correspondent aux défauts acceptables spécifiés par le fabricant</w:t>
      </w:r>
      <w:r w:rsidR="00402B6E" w:rsidRPr="00402B6E">
        <w:rPr>
          <w:spacing w:val="0"/>
          <w:lang w:val="fr-FR"/>
        </w:rPr>
        <w:t>.</w:t>
      </w:r>
      <w:r w:rsidRPr="008233ED">
        <w:rPr>
          <w:spacing w:val="0"/>
          <w:lang w:val="fr-FR"/>
        </w:rPr>
        <w:t> »</w:t>
      </w:r>
      <w:r w:rsidR="00402B6E" w:rsidRPr="00402B6E">
        <w:rPr>
          <w:spacing w:val="0"/>
          <w:lang w:val="fr-FR"/>
        </w:rPr>
        <w:t>.</w:t>
      </w:r>
    </w:p>
    <w:p w14:paraId="54048C43" w14:textId="77777777" w:rsidR="00C34C1B" w:rsidRDefault="00C34C1B" w:rsidP="00C34C1B">
      <w:pPr>
        <w:keepNext/>
        <w:spacing w:after="120"/>
        <w:ind w:left="1134" w:right="1134"/>
        <w:jc w:val="both"/>
      </w:pPr>
      <w:r>
        <w:rPr>
          <w:i/>
          <w:iCs/>
          <w:lang w:val="fr-FR"/>
        </w:rPr>
        <w:t>Annexe 6,</w:t>
      </w:r>
      <w:r>
        <w:rPr>
          <w:lang w:val="fr-FR"/>
        </w:rPr>
        <w:t xml:space="preserve"> </w:t>
      </w:r>
      <w:r>
        <w:rPr>
          <w:i/>
          <w:iCs/>
          <w:lang w:val="fr-FR"/>
        </w:rPr>
        <w:t>paragraphe 3, tableau, ligne « Limites acceptables »</w:t>
      </w:r>
      <w:r>
        <w:rPr>
          <w:lang w:val="fr-FR"/>
        </w:rPr>
        <w:t>, lire :</w:t>
      </w:r>
    </w:p>
    <w:p w14:paraId="4D85CF8A" w14:textId="77777777" w:rsidR="00C34C1B" w:rsidRPr="00EB5538" w:rsidRDefault="00C34C1B" w:rsidP="00C34C1B">
      <w:pPr>
        <w:keepNext/>
        <w:spacing w:after="120"/>
        <w:ind w:left="1134" w:right="1134"/>
        <w:jc w:val="both"/>
      </w:pPr>
      <w:r>
        <w:rPr>
          <w:lang w:val="fr-FR"/>
        </w:rPr>
        <w:t>«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3119"/>
        <w:gridCol w:w="2268"/>
      </w:tblGrid>
      <w:tr w:rsidR="00C34C1B" w:rsidRPr="00713553" w14:paraId="09F42612" w14:textId="77777777" w:rsidTr="00713553">
        <w:trPr>
          <w:trHeight w:hRule="exact" w:val="814"/>
          <w:jc w:val="center"/>
        </w:trPr>
        <w:tc>
          <w:tcPr>
            <w:tcW w:w="1838" w:type="dxa"/>
            <w:vMerge w:val="restart"/>
            <w:shd w:val="clear" w:color="auto" w:fill="FFFFFF"/>
          </w:tcPr>
          <w:p w14:paraId="2177BBE0" w14:textId="77777777" w:rsidR="00C34C1B" w:rsidRPr="00713553" w:rsidRDefault="00C34C1B" w:rsidP="00C34C1B">
            <w:pPr>
              <w:pStyle w:val="a0"/>
              <w:shd w:val="clear" w:color="auto" w:fill="auto"/>
              <w:spacing w:before="60" w:after="60" w:line="220" w:lineRule="atLeast"/>
              <w:ind w:left="57" w:right="57"/>
              <w:rPr>
                <w:rFonts w:ascii="Times New Roman" w:hAnsi="Times New Roman" w:cs="Times New Roman"/>
                <w:sz w:val="20"/>
                <w:szCs w:val="20"/>
              </w:rPr>
            </w:pPr>
            <w:r w:rsidRPr="00713553">
              <w:rPr>
                <w:rFonts w:ascii="Times New Roman" w:hAnsi="Times New Roman" w:cs="Times New Roman"/>
                <w:sz w:val="20"/>
                <w:szCs w:val="20"/>
                <w:lang w:val="fr-FR"/>
              </w:rPr>
              <w:t>Limites acceptables</w:t>
            </w:r>
          </w:p>
        </w:tc>
        <w:tc>
          <w:tcPr>
            <w:tcW w:w="5387" w:type="dxa"/>
            <w:gridSpan w:val="2"/>
            <w:shd w:val="clear" w:color="auto" w:fill="FFFFFF"/>
            <w:vAlign w:val="bottom"/>
          </w:tcPr>
          <w:p w14:paraId="096F3295" w14:textId="41CD0E13" w:rsidR="00C34C1B" w:rsidRPr="00713553" w:rsidRDefault="00C34C1B" w:rsidP="00C34C1B">
            <w:pPr>
              <w:pStyle w:val="a0"/>
              <w:shd w:val="clear" w:color="auto" w:fill="auto"/>
              <w:spacing w:before="60" w:after="60" w:line="220" w:lineRule="atLeast"/>
              <w:ind w:left="57" w:right="57"/>
              <w:rPr>
                <w:rFonts w:ascii="Times New Roman" w:hAnsi="Times New Roman" w:cs="Times New Roman"/>
                <w:sz w:val="20"/>
                <w:szCs w:val="20"/>
                <w:lang w:val="fr-FR"/>
              </w:rPr>
            </w:pPr>
            <w:r w:rsidRPr="00713553">
              <w:rPr>
                <w:rFonts w:ascii="Times New Roman" w:hAnsi="Times New Roman" w:cs="Times New Roman"/>
                <w:sz w:val="20"/>
                <w:szCs w:val="20"/>
                <w:lang w:val="fr-FR"/>
              </w:rPr>
              <w:t>Le déplacement de l’arbre ne doit pas être supérieur de plus de 10 pour cent au déplacement mesuré après environ 10</w:t>
            </w:r>
            <w:r w:rsidR="00713553">
              <w:rPr>
                <w:rFonts w:ascii="Times New Roman" w:hAnsi="Times New Roman" w:cs="Times New Roman"/>
                <w:sz w:val="20"/>
                <w:szCs w:val="20"/>
                <w:lang w:val="fr-FR"/>
              </w:rPr>
              <w:t> </w:t>
            </w:r>
            <w:r w:rsidRPr="00713553">
              <w:rPr>
                <w:rFonts w:ascii="Times New Roman" w:hAnsi="Times New Roman" w:cs="Times New Roman"/>
                <w:sz w:val="20"/>
                <w:szCs w:val="20"/>
                <w:lang w:val="fr-FR"/>
              </w:rPr>
              <w:t>000</w:t>
            </w:r>
            <w:r w:rsidR="00713553">
              <w:rPr>
                <w:rFonts w:ascii="Times New Roman" w:hAnsi="Times New Roman" w:cs="Times New Roman"/>
                <w:sz w:val="20"/>
                <w:szCs w:val="20"/>
                <w:lang w:val="fr-FR"/>
              </w:rPr>
              <w:t> </w:t>
            </w:r>
            <w:r w:rsidRPr="00713553">
              <w:rPr>
                <w:rFonts w:ascii="Times New Roman" w:hAnsi="Times New Roman" w:cs="Times New Roman"/>
                <w:sz w:val="20"/>
                <w:szCs w:val="20"/>
                <w:lang w:val="fr-FR"/>
              </w:rPr>
              <w:t>cycles</w:t>
            </w:r>
            <w:r w:rsidR="00402B6E" w:rsidRPr="00402B6E">
              <w:rPr>
                <w:rFonts w:ascii="Times New Roman" w:hAnsi="Times New Roman" w:cs="Times New Roman"/>
                <w:sz w:val="20"/>
                <w:szCs w:val="20"/>
                <w:lang w:val="fr-FR"/>
              </w:rPr>
              <w:t>.</w:t>
            </w:r>
          </w:p>
        </w:tc>
      </w:tr>
      <w:tr w:rsidR="00C34C1B" w:rsidRPr="00713553" w14:paraId="5BF7DFF3" w14:textId="77777777" w:rsidTr="00713553">
        <w:trPr>
          <w:trHeight w:hRule="exact" w:val="3973"/>
          <w:jc w:val="center"/>
        </w:trPr>
        <w:tc>
          <w:tcPr>
            <w:tcW w:w="1838" w:type="dxa"/>
            <w:vMerge/>
            <w:shd w:val="clear" w:color="auto" w:fill="FFFFFF"/>
          </w:tcPr>
          <w:p w14:paraId="76652CE5" w14:textId="77777777" w:rsidR="00C34C1B" w:rsidRPr="00713553" w:rsidRDefault="00C34C1B" w:rsidP="00C34C1B">
            <w:pPr>
              <w:spacing w:before="60" w:after="60" w:line="220" w:lineRule="atLeast"/>
              <w:ind w:left="57" w:right="57"/>
              <w:rPr>
                <w:lang w:val="fr-FR"/>
              </w:rPr>
            </w:pPr>
          </w:p>
        </w:tc>
        <w:tc>
          <w:tcPr>
            <w:tcW w:w="3119" w:type="dxa"/>
            <w:shd w:val="clear" w:color="auto" w:fill="FFFFFF"/>
            <w:vAlign w:val="center"/>
          </w:tcPr>
          <w:p w14:paraId="22783B6A" w14:textId="41268F26" w:rsidR="00C34C1B" w:rsidRPr="00713553" w:rsidRDefault="00C34C1B" w:rsidP="00C34C1B">
            <w:pPr>
              <w:pStyle w:val="a0"/>
              <w:shd w:val="clear" w:color="auto" w:fill="auto"/>
              <w:spacing w:before="60" w:after="60" w:line="220" w:lineRule="atLeast"/>
              <w:ind w:left="57" w:right="57"/>
              <w:rPr>
                <w:rFonts w:ascii="Times New Roman" w:hAnsi="Times New Roman" w:cs="Times New Roman"/>
                <w:color w:val="000000"/>
                <w:sz w:val="20"/>
                <w:szCs w:val="20"/>
                <w:lang w:val="fr-FR"/>
              </w:rPr>
            </w:pPr>
            <w:r w:rsidRPr="00713553">
              <w:rPr>
                <w:rFonts w:ascii="Times New Roman" w:hAnsi="Times New Roman" w:cs="Times New Roman"/>
                <w:sz w:val="20"/>
                <w:szCs w:val="20"/>
                <w:lang w:val="fr-FR"/>
              </w:rPr>
              <w:t>Les fissures techniques ne sont pas acceptées</w:t>
            </w:r>
            <w:r w:rsidR="00402B6E" w:rsidRPr="00402B6E">
              <w:rPr>
                <w:rFonts w:ascii="Times New Roman" w:hAnsi="Times New Roman" w:cs="Times New Roman"/>
                <w:sz w:val="20"/>
                <w:szCs w:val="20"/>
                <w:lang w:val="fr-FR"/>
              </w:rPr>
              <w:t>.</w:t>
            </w:r>
          </w:p>
          <w:p w14:paraId="798C0C79" w14:textId="7F356A71" w:rsidR="00C34C1B" w:rsidRPr="00713553" w:rsidRDefault="00C34C1B" w:rsidP="00C34C1B">
            <w:pPr>
              <w:pStyle w:val="a0"/>
              <w:shd w:val="clear" w:color="auto" w:fill="auto"/>
              <w:spacing w:before="60" w:after="60" w:line="220" w:lineRule="atLeast"/>
              <w:ind w:left="57" w:right="57"/>
              <w:rPr>
                <w:rFonts w:ascii="Times New Roman" w:hAnsi="Times New Roman" w:cs="Times New Roman"/>
                <w:b/>
                <w:bCs/>
                <w:sz w:val="20"/>
                <w:szCs w:val="20"/>
                <w:lang w:val="fr-FR"/>
              </w:rPr>
            </w:pPr>
            <w:r w:rsidRPr="00713553">
              <w:rPr>
                <w:rFonts w:ascii="Times New Roman" w:hAnsi="Times New Roman" w:cs="Times New Roman"/>
                <w:b/>
                <w:bCs/>
                <w:sz w:val="20"/>
                <w:szCs w:val="20"/>
                <w:lang w:val="fr-FR"/>
              </w:rPr>
              <w:t>Les défauts causés par le processus de fabrication qui sont autorisés par le fabricant et spécifiés dans la documentation technique fournie par celui-ci, qui n’ont pas d’incidence sur la formation et la progression des fissures et qui ne sont pas des points d’origine de fissures, ne sont pas pris en compte</w:t>
            </w:r>
            <w:r w:rsidR="00402B6E" w:rsidRPr="00402B6E">
              <w:rPr>
                <w:rFonts w:ascii="Times New Roman" w:hAnsi="Times New Roman" w:cs="Times New Roman"/>
                <w:b/>
                <w:bCs/>
                <w:sz w:val="20"/>
                <w:szCs w:val="20"/>
                <w:lang w:val="fr-FR"/>
              </w:rPr>
              <w:t>.</w:t>
            </w:r>
          </w:p>
        </w:tc>
        <w:tc>
          <w:tcPr>
            <w:tcW w:w="2268" w:type="dxa"/>
            <w:shd w:val="clear" w:color="auto" w:fill="FFFFFF"/>
            <w:vAlign w:val="center"/>
          </w:tcPr>
          <w:p w14:paraId="0CC77C4A" w14:textId="77777777" w:rsidR="00C34C1B" w:rsidRPr="00713553" w:rsidRDefault="00C34C1B" w:rsidP="00C34C1B">
            <w:pPr>
              <w:pStyle w:val="a0"/>
              <w:shd w:val="clear" w:color="auto" w:fill="auto"/>
              <w:spacing w:before="60" w:after="60" w:line="220" w:lineRule="atLeast"/>
              <w:ind w:left="57" w:right="57"/>
              <w:jc w:val="center"/>
              <w:rPr>
                <w:rFonts w:ascii="Times New Roman" w:hAnsi="Times New Roman" w:cs="Times New Roman"/>
                <w:sz w:val="20"/>
                <w:szCs w:val="20"/>
              </w:rPr>
            </w:pPr>
            <w:r w:rsidRPr="00713553">
              <w:rPr>
                <w:rFonts w:ascii="Times New Roman" w:hAnsi="Times New Roman" w:cs="Times New Roman"/>
                <w:color w:val="000000"/>
                <w:sz w:val="20"/>
                <w:szCs w:val="20"/>
                <w:lang w:eastAsia="en-US" w:bidi="en-US"/>
              </w:rPr>
              <w:t>-</w:t>
            </w:r>
          </w:p>
        </w:tc>
      </w:tr>
    </w:tbl>
    <w:p w14:paraId="4F57488A" w14:textId="4A6F35B5" w:rsidR="00C34C1B" w:rsidRPr="00EB5538" w:rsidRDefault="00C34C1B" w:rsidP="00713553">
      <w:pPr>
        <w:keepNext/>
        <w:spacing w:before="120" w:after="240"/>
        <w:ind w:left="1134" w:right="1134"/>
        <w:jc w:val="right"/>
      </w:pPr>
      <w:r>
        <w:t>»</w:t>
      </w:r>
      <w:r w:rsidR="00402B6E" w:rsidRPr="00402B6E">
        <w:t>.</w:t>
      </w:r>
    </w:p>
    <w:p w14:paraId="6286B91C" w14:textId="77777777" w:rsidR="00C34C1B" w:rsidRPr="00C70EBC" w:rsidRDefault="00C34C1B" w:rsidP="00C34C1B">
      <w:pPr>
        <w:keepNext/>
        <w:spacing w:after="120"/>
        <w:ind w:left="1134" w:right="1134"/>
        <w:jc w:val="both"/>
        <w:rPr>
          <w:rFonts w:asciiTheme="majorBidi" w:eastAsia="Calibri" w:hAnsiTheme="majorBidi" w:cstheme="majorBidi"/>
          <w:b/>
          <w:i/>
        </w:rPr>
      </w:pPr>
      <w:r>
        <w:rPr>
          <w:i/>
          <w:iCs/>
          <w:lang w:val="fr-FR"/>
        </w:rPr>
        <w:t>Paragraphe 4, à la fin (avant l’illustration)</w:t>
      </w:r>
      <w:r>
        <w:rPr>
          <w:lang w:val="fr-FR"/>
        </w:rPr>
        <w:t>, ajouter un nouveau segment libellé comme suit :</w:t>
      </w:r>
    </w:p>
    <w:p w14:paraId="65786559" w14:textId="0FA127E4" w:rsidR="00C34C1B" w:rsidRPr="00713553" w:rsidRDefault="00C34C1B" w:rsidP="00C34C1B">
      <w:pPr>
        <w:tabs>
          <w:tab w:val="left" w:pos="1021"/>
        </w:tabs>
        <w:spacing w:after="120"/>
        <w:ind w:left="1134" w:right="1134"/>
        <w:jc w:val="both"/>
        <w:rPr>
          <w:b/>
          <w:bCs/>
        </w:rPr>
      </w:pPr>
      <w:r w:rsidRPr="00193753">
        <w:rPr>
          <w:lang w:val="fr-FR"/>
        </w:rPr>
        <w:t>«</w:t>
      </w:r>
      <w:r w:rsidR="00713553">
        <w:rPr>
          <w:lang w:val="fr-FR"/>
        </w:rPr>
        <w:t> </w:t>
      </w:r>
      <w:r>
        <w:rPr>
          <w:b/>
          <w:bCs/>
          <w:lang w:val="fr-FR"/>
        </w:rPr>
        <w:t>Des peintures pénétrantes peuvent être utilisées pour détecter les fissures résultant de l’essai</w:t>
      </w:r>
      <w:r w:rsidR="00402B6E" w:rsidRPr="00402B6E">
        <w:rPr>
          <w:b/>
          <w:bCs/>
          <w:lang w:val="fr-FR"/>
        </w:rPr>
        <w:t>.</w:t>
      </w:r>
      <w:r>
        <w:rPr>
          <w:b/>
          <w:bCs/>
          <w:lang w:val="fr-FR"/>
        </w:rPr>
        <w:t> </w:t>
      </w:r>
      <w:r w:rsidRPr="00170F71">
        <w:rPr>
          <w:lang w:val="fr-FR"/>
        </w:rPr>
        <w:t>»</w:t>
      </w:r>
      <w:r w:rsidR="00402B6E" w:rsidRPr="00402B6E">
        <w:rPr>
          <w:lang w:val="fr-FR"/>
        </w:rPr>
        <w:t>.</w:t>
      </w:r>
    </w:p>
    <w:p w14:paraId="56D5030A" w14:textId="77777777" w:rsidR="00C34C1B" w:rsidRDefault="00C34C1B" w:rsidP="00713553">
      <w:pPr>
        <w:keepNext/>
        <w:spacing w:after="120"/>
        <w:ind w:left="1134" w:right="1134"/>
        <w:jc w:val="both"/>
      </w:pPr>
      <w:r>
        <w:rPr>
          <w:i/>
          <w:iCs/>
          <w:lang w:val="fr-FR"/>
        </w:rPr>
        <w:lastRenderedPageBreak/>
        <w:t xml:space="preserve">Annexe 7, paragraphe 3, tableau, ligne « Limites acceptables », </w:t>
      </w:r>
      <w:r>
        <w:rPr>
          <w:lang w:val="fr-FR"/>
        </w:rPr>
        <w:t>lire :</w:t>
      </w:r>
    </w:p>
    <w:p w14:paraId="44E26C33" w14:textId="77777777" w:rsidR="00C34C1B" w:rsidRPr="00EB5538" w:rsidRDefault="00C34C1B" w:rsidP="00C34C1B">
      <w:pPr>
        <w:spacing w:after="120"/>
        <w:ind w:left="1134" w:right="1134"/>
        <w:jc w:val="both"/>
        <w:rPr>
          <w:rFonts w:asciiTheme="majorBidi" w:eastAsia="Calibri" w:hAnsiTheme="majorBidi" w:cstheme="majorBidi"/>
          <w:b/>
        </w:rPr>
      </w:pPr>
      <w:r>
        <w:rPr>
          <w:lang w:val="fr-FR"/>
        </w:rPr>
        <w:t>«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5506"/>
      </w:tblGrid>
      <w:tr w:rsidR="00C34C1B" w:rsidRPr="00713553" w14:paraId="7A100B5B" w14:textId="77777777" w:rsidTr="00713553">
        <w:trPr>
          <w:trHeight w:hRule="exact" w:val="3137"/>
          <w:jc w:val="center"/>
        </w:trPr>
        <w:tc>
          <w:tcPr>
            <w:tcW w:w="1838" w:type="dxa"/>
            <w:shd w:val="clear" w:color="auto" w:fill="FFFFFF"/>
          </w:tcPr>
          <w:p w14:paraId="3D5DCB00" w14:textId="77777777" w:rsidR="00C34C1B" w:rsidRPr="00713553" w:rsidRDefault="00C34C1B" w:rsidP="00713553">
            <w:pPr>
              <w:pStyle w:val="a0"/>
              <w:shd w:val="clear" w:color="auto" w:fill="auto"/>
              <w:spacing w:before="60" w:after="60" w:line="220" w:lineRule="atLeast"/>
              <w:ind w:left="57" w:right="57"/>
              <w:rPr>
                <w:rFonts w:ascii="Times New Roman" w:hAnsi="Times New Roman" w:cs="Times New Roman"/>
                <w:sz w:val="20"/>
                <w:szCs w:val="20"/>
              </w:rPr>
            </w:pPr>
            <w:r w:rsidRPr="00713553">
              <w:rPr>
                <w:rFonts w:ascii="Times New Roman" w:hAnsi="Times New Roman" w:cs="Times New Roman"/>
                <w:sz w:val="20"/>
                <w:szCs w:val="20"/>
                <w:lang w:val="fr-FR"/>
              </w:rPr>
              <w:t>Limites acceptables</w:t>
            </w:r>
          </w:p>
        </w:tc>
        <w:tc>
          <w:tcPr>
            <w:tcW w:w="5506" w:type="dxa"/>
            <w:shd w:val="clear" w:color="auto" w:fill="FFFFFF"/>
          </w:tcPr>
          <w:p w14:paraId="52419D1C" w14:textId="48D5E1F7" w:rsidR="00C34C1B" w:rsidRPr="00713553" w:rsidRDefault="00C34C1B" w:rsidP="00713553">
            <w:pPr>
              <w:pStyle w:val="a0"/>
              <w:shd w:val="clear" w:color="auto" w:fill="auto"/>
              <w:spacing w:before="60" w:after="60" w:line="220" w:lineRule="atLeast"/>
              <w:ind w:left="57" w:right="57"/>
              <w:rPr>
                <w:rFonts w:ascii="Times New Roman" w:hAnsi="Times New Roman" w:cs="Times New Roman"/>
                <w:color w:val="000000"/>
                <w:sz w:val="20"/>
                <w:szCs w:val="20"/>
                <w:lang w:val="fr-FR"/>
              </w:rPr>
            </w:pPr>
            <w:r w:rsidRPr="00713553">
              <w:rPr>
                <w:rFonts w:ascii="Times New Roman" w:hAnsi="Times New Roman" w:cs="Times New Roman"/>
                <w:sz w:val="20"/>
                <w:szCs w:val="20"/>
                <w:lang w:val="fr-FR"/>
              </w:rPr>
              <w:t>Les fissures techniques et/ou les fuites d’air ne sont pas acceptées</w:t>
            </w:r>
            <w:r w:rsidR="00402B6E" w:rsidRPr="00402B6E">
              <w:rPr>
                <w:rFonts w:ascii="Times New Roman" w:hAnsi="Times New Roman" w:cs="Times New Roman"/>
                <w:sz w:val="20"/>
                <w:szCs w:val="20"/>
                <w:lang w:val="fr-FR"/>
              </w:rPr>
              <w:t>.</w:t>
            </w:r>
          </w:p>
          <w:p w14:paraId="2242DC74" w14:textId="1B060B92" w:rsidR="00C34C1B" w:rsidRPr="00713553" w:rsidRDefault="00C34C1B" w:rsidP="00713553">
            <w:pPr>
              <w:pStyle w:val="a0"/>
              <w:shd w:val="clear" w:color="auto" w:fill="auto"/>
              <w:spacing w:before="60" w:after="60" w:line="220" w:lineRule="atLeast"/>
              <w:ind w:left="57" w:right="57"/>
              <w:rPr>
                <w:rFonts w:ascii="Times New Roman" w:hAnsi="Times New Roman" w:cs="Times New Roman"/>
                <w:b/>
                <w:bCs/>
                <w:sz w:val="20"/>
                <w:szCs w:val="20"/>
                <w:lang w:val="fr-FR"/>
              </w:rPr>
            </w:pPr>
            <w:r w:rsidRPr="00713553">
              <w:rPr>
                <w:rFonts w:ascii="Times New Roman" w:hAnsi="Times New Roman" w:cs="Times New Roman"/>
                <w:b/>
                <w:bCs/>
                <w:sz w:val="20"/>
                <w:szCs w:val="20"/>
                <w:lang w:val="fr-FR"/>
              </w:rPr>
              <w:t>Les défauts causés par le processus de fabrication qui sont autorisés par le fabricant et spécifiés dans la documentation technique fournie par celui-ci, qui n’ont pas d’incidence sur la formation et la progression des fissures et qui ne sont pas des points d’origine de fissures, ne sont pas pris en compte</w:t>
            </w:r>
            <w:r w:rsidR="00402B6E" w:rsidRPr="00402B6E">
              <w:rPr>
                <w:rFonts w:ascii="Times New Roman" w:hAnsi="Times New Roman" w:cs="Times New Roman"/>
                <w:b/>
                <w:bCs/>
                <w:sz w:val="20"/>
                <w:szCs w:val="20"/>
                <w:lang w:val="fr-FR"/>
              </w:rPr>
              <w:t>.</w:t>
            </w:r>
            <w:r w:rsidR="00713553">
              <w:rPr>
                <w:rFonts w:ascii="Times New Roman" w:hAnsi="Times New Roman" w:cs="Times New Roman"/>
                <w:b/>
                <w:bCs/>
                <w:sz w:val="20"/>
                <w:szCs w:val="20"/>
                <w:lang w:val="fr-FR"/>
              </w:rPr>
              <w:t xml:space="preserve"> </w:t>
            </w:r>
            <w:r w:rsidRPr="00713553">
              <w:rPr>
                <w:rFonts w:ascii="Times New Roman" w:hAnsi="Times New Roman" w:cs="Times New Roman"/>
                <w:b/>
                <w:bCs/>
                <w:sz w:val="20"/>
                <w:szCs w:val="20"/>
                <w:lang w:val="fr-FR"/>
              </w:rPr>
              <w:t>Les fuites d’air causées par la détérioration du pneumatique pendant l’essai ne sont pas prises en compte</w:t>
            </w:r>
            <w:r w:rsidR="00402B6E" w:rsidRPr="00402B6E">
              <w:rPr>
                <w:rFonts w:ascii="Times New Roman" w:hAnsi="Times New Roman" w:cs="Times New Roman"/>
                <w:b/>
                <w:bCs/>
                <w:sz w:val="20"/>
                <w:szCs w:val="20"/>
                <w:lang w:val="fr-FR"/>
              </w:rPr>
              <w:t>.</w:t>
            </w:r>
          </w:p>
        </w:tc>
      </w:tr>
    </w:tbl>
    <w:p w14:paraId="54908B42" w14:textId="7C075ACD" w:rsidR="00C34C1B" w:rsidRPr="001F160E" w:rsidRDefault="00C34C1B" w:rsidP="00713553">
      <w:pPr>
        <w:spacing w:before="120" w:after="240"/>
        <w:ind w:left="1134" w:right="1134"/>
        <w:jc w:val="right"/>
      </w:pPr>
      <w:r>
        <w:rPr>
          <w:lang w:val="fr-FR"/>
        </w:rPr>
        <w:t>»</w:t>
      </w:r>
      <w:r w:rsidR="00402B6E" w:rsidRPr="00402B6E">
        <w:rPr>
          <w:lang w:val="fr-FR"/>
        </w:rPr>
        <w:t>.</w:t>
      </w:r>
    </w:p>
    <w:p w14:paraId="483B3DB7" w14:textId="77777777" w:rsidR="00C34C1B" w:rsidRDefault="00C34C1B" w:rsidP="00C34C1B">
      <w:pPr>
        <w:spacing w:after="120"/>
        <w:ind w:left="1134" w:right="1134"/>
        <w:jc w:val="both"/>
      </w:pPr>
      <w:r>
        <w:rPr>
          <w:i/>
          <w:iCs/>
          <w:lang w:val="fr-FR"/>
        </w:rPr>
        <w:t>Annexe 8,</w:t>
      </w:r>
      <w:r>
        <w:rPr>
          <w:lang w:val="fr-FR"/>
        </w:rPr>
        <w:t xml:space="preserve"> </w:t>
      </w:r>
      <w:r>
        <w:rPr>
          <w:i/>
          <w:iCs/>
          <w:lang w:val="fr-FR"/>
        </w:rPr>
        <w:t>paragraphe 3, tableau, ligne « Critères d’acceptation »,</w:t>
      </w:r>
      <w:r>
        <w:rPr>
          <w:lang w:val="fr-FR"/>
        </w:rPr>
        <w:t xml:space="preserve"> lire :</w:t>
      </w:r>
    </w:p>
    <w:p w14:paraId="23BB6E0C" w14:textId="77777777" w:rsidR="00C34C1B" w:rsidRPr="00EB5538" w:rsidRDefault="00C34C1B" w:rsidP="00C34C1B">
      <w:pPr>
        <w:spacing w:after="120"/>
        <w:ind w:left="1134" w:right="1134"/>
        <w:jc w:val="both"/>
        <w:rPr>
          <w:rFonts w:asciiTheme="majorBidi" w:eastAsia="Calibri" w:hAnsiTheme="majorBidi" w:cstheme="majorBidi"/>
          <w:b/>
        </w:rPr>
      </w:pPr>
      <w:r>
        <w:rPr>
          <w:lang w:val="fr-FR"/>
        </w:rPr>
        <w:t>« </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5528"/>
      </w:tblGrid>
      <w:tr w:rsidR="00C34C1B" w:rsidRPr="00EB5538" w14:paraId="4493CA82" w14:textId="77777777" w:rsidTr="008233ED">
        <w:tc>
          <w:tcPr>
            <w:tcW w:w="1843" w:type="dxa"/>
          </w:tcPr>
          <w:p w14:paraId="687990A8" w14:textId="77777777" w:rsidR="00C34C1B" w:rsidRPr="00EB5538" w:rsidRDefault="00C34C1B" w:rsidP="00713553">
            <w:pPr>
              <w:keepNext/>
              <w:spacing w:before="60" w:after="60" w:line="220" w:lineRule="atLeast"/>
              <w:ind w:left="57" w:right="57"/>
              <w:rPr>
                <w:sz w:val="18"/>
                <w:szCs w:val="18"/>
              </w:rPr>
            </w:pPr>
            <w:r>
              <w:rPr>
                <w:lang w:val="fr-FR"/>
              </w:rPr>
              <w:t>Critères d’acceptation</w:t>
            </w:r>
          </w:p>
        </w:tc>
        <w:tc>
          <w:tcPr>
            <w:tcW w:w="5528" w:type="dxa"/>
          </w:tcPr>
          <w:p w14:paraId="1AAF761E" w14:textId="2C42CB2A" w:rsidR="00C34C1B" w:rsidRPr="00EB5538" w:rsidRDefault="00C34C1B" w:rsidP="00713553">
            <w:pPr>
              <w:suppressAutoHyphens w:val="0"/>
              <w:spacing w:before="60" w:after="60" w:line="220" w:lineRule="atLeast"/>
              <w:ind w:left="57" w:right="57"/>
              <w:jc w:val="both"/>
              <w:rPr>
                <w:sz w:val="18"/>
                <w:szCs w:val="18"/>
              </w:rPr>
            </w:pPr>
            <w:r>
              <w:rPr>
                <w:lang w:val="fr-FR"/>
              </w:rPr>
              <w:t>L’essai est jugé satisfaisant s’il n’y a aucune fracture visible allant au-delà de la surface de la roue et si aucune baisse de la pression de gonflage du pneumatique n’apparaît dans la minute qui suit l’achèvement de l’essai</w:t>
            </w:r>
            <w:r w:rsidR="00402B6E" w:rsidRPr="00402B6E">
              <w:rPr>
                <w:lang w:val="fr-FR"/>
              </w:rPr>
              <w:t>.</w:t>
            </w:r>
            <w:r>
              <w:rPr>
                <w:lang w:val="fr-FR"/>
              </w:rPr>
              <w:t xml:space="preserve"> Les fractures et les indentations causées par le contact direct avec la masse soumise à la chute sont acceptables</w:t>
            </w:r>
            <w:r w:rsidR="00402B6E" w:rsidRPr="00402B6E">
              <w:rPr>
                <w:lang w:val="fr-FR"/>
              </w:rPr>
              <w:t>.</w:t>
            </w:r>
            <w:r>
              <w:rPr>
                <w:lang w:val="fr-FR"/>
              </w:rPr>
              <w:t xml:space="preserve"> </w:t>
            </w:r>
            <w:r>
              <w:rPr>
                <w:b/>
                <w:bCs/>
                <w:lang w:val="fr-FR"/>
              </w:rPr>
              <w:t>Les fuites d’air causées par la détérioration du pneumatique pendant l’essai ne sont pas prises en compte</w:t>
            </w:r>
            <w:r w:rsidR="00402B6E" w:rsidRPr="00402B6E">
              <w:rPr>
                <w:b/>
                <w:bCs/>
                <w:lang w:val="fr-FR"/>
              </w:rPr>
              <w:t>.</w:t>
            </w:r>
          </w:p>
          <w:p w14:paraId="08B5E160" w14:textId="4D213846" w:rsidR="00C34C1B" w:rsidRPr="00713553" w:rsidRDefault="00C34C1B" w:rsidP="00713553">
            <w:pPr>
              <w:suppressAutoHyphens w:val="0"/>
              <w:spacing w:before="60" w:after="60" w:line="220" w:lineRule="atLeast"/>
              <w:ind w:left="57" w:right="57"/>
              <w:jc w:val="both"/>
              <w:rPr>
                <w:sz w:val="18"/>
                <w:szCs w:val="18"/>
              </w:rPr>
            </w:pPr>
            <w:r>
              <w:rPr>
                <w:lang w:val="fr-FR"/>
              </w:rPr>
              <w:t>Dans le cas où la roue a des jantes amovibles ou d’autres éléments qui peuvent être démantelés, si les éléments de fixation filetés qui sont proches des rayons ou des trous de ventilation ne répondent pas aux prescriptions, on considère que la roue n’a pas subi l’essai avec succès</w:t>
            </w:r>
            <w:r w:rsidR="00402B6E" w:rsidRPr="00402B6E">
              <w:rPr>
                <w:lang w:val="fr-FR"/>
              </w:rPr>
              <w:t>.</w:t>
            </w:r>
          </w:p>
        </w:tc>
      </w:tr>
    </w:tbl>
    <w:p w14:paraId="74CCC4A0" w14:textId="471549C5" w:rsidR="00C34C1B" w:rsidRDefault="00C34C1B" w:rsidP="00713553">
      <w:pPr>
        <w:spacing w:before="120" w:after="240"/>
        <w:ind w:left="1134" w:right="1134"/>
        <w:jc w:val="right"/>
        <w:rPr>
          <w:b/>
          <w:bCs/>
        </w:rPr>
      </w:pPr>
      <w:r>
        <w:rPr>
          <w:lang w:val="fr-FR"/>
        </w:rPr>
        <w:tab/>
        <w:t>»</w:t>
      </w:r>
      <w:r w:rsidR="00402B6E" w:rsidRPr="00402B6E">
        <w:rPr>
          <w:lang w:val="fr-FR"/>
        </w:rPr>
        <w:t>.</w:t>
      </w:r>
    </w:p>
    <w:p w14:paraId="6EA02170" w14:textId="77777777" w:rsidR="00C34C1B" w:rsidRDefault="00C34C1B" w:rsidP="00C34C1B">
      <w:pPr>
        <w:tabs>
          <w:tab w:val="left" w:pos="1021"/>
        </w:tabs>
        <w:spacing w:after="120"/>
        <w:ind w:left="1134" w:right="1134"/>
        <w:jc w:val="both"/>
        <w:rPr>
          <w:b/>
          <w:bCs/>
        </w:rPr>
      </w:pPr>
      <w:r>
        <w:rPr>
          <w:i/>
          <w:iCs/>
          <w:lang w:val="fr-FR"/>
        </w:rPr>
        <w:t>Paragraphe 5</w:t>
      </w:r>
      <w:r>
        <w:rPr>
          <w:lang w:val="fr-FR"/>
        </w:rPr>
        <w:t>, lire :</w:t>
      </w:r>
    </w:p>
    <w:p w14:paraId="102FB482" w14:textId="75D9401F" w:rsidR="00C34C1B" w:rsidRPr="000553D4" w:rsidRDefault="00C34C1B" w:rsidP="00C34C1B">
      <w:pPr>
        <w:pStyle w:val="SingleTxtG"/>
        <w:ind w:left="2268" w:hanging="1134"/>
      </w:pPr>
      <w:r>
        <w:rPr>
          <w:lang w:val="fr-FR"/>
        </w:rPr>
        <w:t>« 5</w:t>
      </w:r>
      <w:r w:rsidR="008233ED">
        <w:rPr>
          <w:lang w:val="fr-FR"/>
        </w:rPr>
        <w:t>.</w:t>
      </w:r>
      <w:r>
        <w:rPr>
          <w:lang w:val="fr-FR"/>
        </w:rPr>
        <w:tab/>
        <w:t>Critères de défaillance</w:t>
      </w:r>
    </w:p>
    <w:p w14:paraId="112CAB95" w14:textId="77777777" w:rsidR="00C34C1B" w:rsidRPr="000553D4" w:rsidRDefault="00C34C1B" w:rsidP="00C34C1B">
      <w:pPr>
        <w:pStyle w:val="SingleTxtG"/>
        <w:ind w:left="2268" w:hanging="1134"/>
      </w:pPr>
      <w:r>
        <w:rPr>
          <w:lang w:val="fr-FR"/>
        </w:rPr>
        <w:tab/>
        <w:t>On considère que la roue n’a pas subi l’essai avec succès si un ou plusieurs des cas suivants se produisent :</w:t>
      </w:r>
    </w:p>
    <w:p w14:paraId="79BF2A20" w14:textId="77777777" w:rsidR="00C34C1B" w:rsidRPr="000553D4" w:rsidRDefault="00C34C1B" w:rsidP="00713553">
      <w:pPr>
        <w:pStyle w:val="SingleTxtG"/>
        <w:ind w:left="2835" w:hanging="567"/>
      </w:pPr>
      <w:r>
        <w:rPr>
          <w:lang w:val="fr-FR"/>
        </w:rPr>
        <w:t>a)</w:t>
      </w:r>
      <w:r>
        <w:rPr>
          <w:lang w:val="fr-FR"/>
        </w:rPr>
        <w:tab/>
        <w:t>Une amorce de rupture apparaît dans une zone du voile de la roue ;</w:t>
      </w:r>
    </w:p>
    <w:p w14:paraId="35BFF3E7" w14:textId="77777777" w:rsidR="00C34C1B" w:rsidRPr="000553D4" w:rsidRDefault="00C34C1B" w:rsidP="00713553">
      <w:pPr>
        <w:pStyle w:val="SingleTxtG"/>
        <w:ind w:left="2835" w:hanging="567"/>
      </w:pPr>
      <w:r>
        <w:rPr>
          <w:lang w:val="fr-FR"/>
        </w:rPr>
        <w:t>b)</w:t>
      </w:r>
      <w:r>
        <w:rPr>
          <w:lang w:val="fr-FR"/>
        </w:rPr>
        <w:tab/>
        <w:t>La partie centrale se sépare de la jante ;</w:t>
      </w:r>
    </w:p>
    <w:p w14:paraId="1FFCBC83" w14:textId="4397A009" w:rsidR="00C34C1B" w:rsidRPr="000553D4" w:rsidRDefault="00C34C1B" w:rsidP="00713553">
      <w:pPr>
        <w:pStyle w:val="SingleTxtG"/>
        <w:ind w:left="2835" w:hanging="567"/>
      </w:pPr>
      <w:r>
        <w:rPr>
          <w:lang w:val="fr-FR"/>
        </w:rPr>
        <w:t>c)</w:t>
      </w:r>
      <w:r>
        <w:rPr>
          <w:lang w:val="fr-FR"/>
        </w:rPr>
        <w:tab/>
        <w:t>La pression de gonflage tombe à zéro dans un délai de 1 min</w:t>
      </w:r>
      <w:r w:rsidR="00402B6E" w:rsidRPr="00402B6E">
        <w:rPr>
          <w:lang w:val="fr-FR"/>
        </w:rPr>
        <w:t>.</w:t>
      </w:r>
    </w:p>
    <w:p w14:paraId="3DD8AE07" w14:textId="006A3188" w:rsidR="00C34C1B" w:rsidRPr="000553D4" w:rsidRDefault="00C34C1B" w:rsidP="00C34C1B">
      <w:pPr>
        <w:pStyle w:val="SingleTxtG"/>
        <w:ind w:left="2268"/>
      </w:pPr>
      <w:r>
        <w:rPr>
          <w:lang w:val="fr-FR"/>
        </w:rPr>
        <w:t>Une déformation du voile de la roue</w:t>
      </w:r>
      <w:r>
        <w:rPr>
          <w:b/>
          <w:bCs/>
          <w:lang w:val="fr-FR"/>
        </w:rPr>
        <w:t>,</w:t>
      </w:r>
      <w:r>
        <w:rPr>
          <w:strike/>
          <w:lang w:val="fr-FR"/>
        </w:rPr>
        <w:t xml:space="preserve"> ou</w:t>
      </w:r>
      <w:r>
        <w:rPr>
          <w:lang w:val="fr-FR"/>
        </w:rPr>
        <w:t xml:space="preserve"> des fractures dans la zone de la jante qui a été frappée par la face d’impact du percuteur </w:t>
      </w:r>
      <w:r>
        <w:rPr>
          <w:b/>
          <w:bCs/>
          <w:lang w:val="fr-FR"/>
        </w:rPr>
        <w:t xml:space="preserve">ou une fuite d’air causée par la détérioration du pneumatique </w:t>
      </w:r>
      <w:r>
        <w:rPr>
          <w:lang w:val="fr-FR"/>
        </w:rPr>
        <w:t>ne signifient pas que la roue a échoué à l’essai</w:t>
      </w:r>
      <w:r w:rsidR="00402B6E" w:rsidRPr="00402B6E">
        <w:rPr>
          <w:lang w:val="fr-FR"/>
        </w:rPr>
        <w:t>.</w:t>
      </w:r>
      <w:r>
        <w:rPr>
          <w:lang w:val="fr-FR"/>
        </w:rPr>
        <w:t> »</w:t>
      </w:r>
      <w:r w:rsidR="00402B6E" w:rsidRPr="00402B6E">
        <w:rPr>
          <w:lang w:val="fr-FR"/>
        </w:rPr>
        <w:t>.</w:t>
      </w:r>
    </w:p>
    <w:p w14:paraId="3C99247A" w14:textId="26179F87" w:rsidR="00C34C1B" w:rsidRPr="00170F71" w:rsidRDefault="00713553" w:rsidP="00713553">
      <w:pPr>
        <w:pStyle w:val="HChG"/>
      </w:pPr>
      <w:r>
        <w:rPr>
          <w:lang w:val="fr-FR"/>
        </w:rPr>
        <w:tab/>
      </w:r>
      <w:r w:rsidR="00C34C1B" w:rsidRPr="00170F71">
        <w:rPr>
          <w:lang w:val="fr-FR"/>
        </w:rPr>
        <w:t>II</w:t>
      </w:r>
      <w:r w:rsidR="00402B6E" w:rsidRPr="00402B6E">
        <w:rPr>
          <w:lang w:val="fr-FR"/>
        </w:rPr>
        <w:t>.</w:t>
      </w:r>
      <w:r w:rsidR="00C34C1B" w:rsidRPr="00170F71">
        <w:rPr>
          <w:lang w:val="fr-FR"/>
        </w:rPr>
        <w:tab/>
        <w:t xml:space="preserve">Justification </w:t>
      </w:r>
    </w:p>
    <w:p w14:paraId="5A191F4E" w14:textId="5C9593DC" w:rsidR="00C34C1B" w:rsidRPr="00C70EBC" w:rsidRDefault="00C34C1B" w:rsidP="00C34C1B">
      <w:pPr>
        <w:pStyle w:val="H4G"/>
        <w:spacing w:before="0" w:line="240" w:lineRule="atLeast"/>
      </w:pPr>
      <w:r>
        <w:rPr>
          <w:lang w:val="fr-FR"/>
        </w:rPr>
        <w:tab/>
      </w:r>
      <w:r>
        <w:rPr>
          <w:lang w:val="fr-FR"/>
        </w:rPr>
        <w:tab/>
      </w:r>
      <w:r>
        <w:rPr>
          <w:iCs/>
          <w:lang w:val="fr-FR"/>
        </w:rPr>
        <w:t>Paragraphe 2</w:t>
      </w:r>
      <w:r w:rsidR="00402B6E" w:rsidRPr="00402B6E">
        <w:rPr>
          <w:iCs/>
          <w:lang w:val="fr-FR"/>
        </w:rPr>
        <w:t>.</w:t>
      </w:r>
      <w:r>
        <w:rPr>
          <w:iCs/>
          <w:lang w:val="fr-FR"/>
        </w:rPr>
        <w:t>2</w:t>
      </w:r>
      <w:r w:rsidR="00402B6E" w:rsidRPr="00402B6E">
        <w:rPr>
          <w:iCs/>
          <w:lang w:val="fr-FR"/>
        </w:rPr>
        <w:t>.</w:t>
      </w:r>
      <w:r>
        <w:rPr>
          <w:iCs/>
          <w:lang w:val="fr-FR"/>
        </w:rPr>
        <w:t>3</w:t>
      </w:r>
    </w:p>
    <w:p w14:paraId="10D2DC04" w14:textId="22D0326B" w:rsidR="00C34C1B" w:rsidRPr="00C70EBC" w:rsidRDefault="00C34C1B" w:rsidP="00C34C1B">
      <w:pPr>
        <w:pStyle w:val="SingleTxtG"/>
      </w:pPr>
      <w:r>
        <w:rPr>
          <w:lang w:val="fr-FR"/>
        </w:rPr>
        <w:t>1</w:t>
      </w:r>
      <w:r w:rsidR="00402B6E" w:rsidRPr="00402B6E">
        <w:rPr>
          <w:lang w:val="fr-FR"/>
        </w:rPr>
        <w:t>.</w:t>
      </w:r>
      <w:r>
        <w:rPr>
          <w:lang w:val="fr-FR"/>
        </w:rPr>
        <w:tab/>
        <w:t>La modification qu’il est proposé d’apporter au paragraphe 2</w:t>
      </w:r>
      <w:r w:rsidR="00402B6E" w:rsidRPr="00402B6E">
        <w:rPr>
          <w:lang w:val="fr-FR"/>
        </w:rPr>
        <w:t>.</w:t>
      </w:r>
      <w:r>
        <w:rPr>
          <w:lang w:val="fr-FR"/>
        </w:rPr>
        <w:t>2</w:t>
      </w:r>
      <w:r w:rsidR="00402B6E" w:rsidRPr="00402B6E">
        <w:rPr>
          <w:lang w:val="fr-FR"/>
        </w:rPr>
        <w:t>.</w:t>
      </w:r>
      <w:r>
        <w:rPr>
          <w:lang w:val="fr-FR"/>
        </w:rPr>
        <w:t>3 permet de préciser le sens du terme « matériaux utilisés pour la fabrication », car les experts de la Fédération de Russie estiment que ce terme n’est pas suffisamment clair</w:t>
      </w:r>
      <w:r w:rsidR="00402B6E" w:rsidRPr="00402B6E">
        <w:rPr>
          <w:lang w:val="fr-FR"/>
        </w:rPr>
        <w:t>.</w:t>
      </w:r>
      <w:r>
        <w:rPr>
          <w:lang w:val="fr-FR"/>
        </w:rPr>
        <w:t xml:space="preserve"> La volonté de préciser le sens de </w:t>
      </w:r>
      <w:r>
        <w:rPr>
          <w:lang w:val="fr-FR"/>
        </w:rPr>
        <w:lastRenderedPageBreak/>
        <w:t>ce terme tient au fait que les demandeurs d’une évaluation de la conformité (fabricants et importateurs de roues) en ont des interprétations différentes</w:t>
      </w:r>
      <w:r w:rsidR="00402B6E" w:rsidRPr="00402B6E">
        <w:rPr>
          <w:lang w:val="fr-FR"/>
        </w:rPr>
        <w:t>.</w:t>
      </w:r>
    </w:p>
    <w:p w14:paraId="044F2F6B" w14:textId="50C50139" w:rsidR="00C34C1B" w:rsidRPr="00C70EBC" w:rsidRDefault="00C34C1B" w:rsidP="00C34C1B">
      <w:pPr>
        <w:pStyle w:val="H4G"/>
        <w:spacing w:before="0" w:line="240" w:lineRule="atLeast"/>
        <w:jc w:val="both"/>
      </w:pPr>
      <w:r>
        <w:rPr>
          <w:lang w:val="fr-FR"/>
        </w:rPr>
        <w:tab/>
      </w:r>
      <w:r>
        <w:rPr>
          <w:lang w:val="fr-FR"/>
        </w:rPr>
        <w:tab/>
      </w:r>
      <w:r>
        <w:rPr>
          <w:iCs/>
          <w:lang w:val="fr-FR"/>
        </w:rPr>
        <w:t>Paragraphes 2</w:t>
      </w:r>
      <w:r w:rsidR="00402B6E" w:rsidRPr="00402B6E">
        <w:rPr>
          <w:iCs/>
          <w:lang w:val="fr-FR"/>
        </w:rPr>
        <w:t>.</w:t>
      </w:r>
      <w:r>
        <w:rPr>
          <w:iCs/>
          <w:lang w:val="fr-FR"/>
        </w:rPr>
        <w:t>2</w:t>
      </w:r>
      <w:r w:rsidR="00402B6E" w:rsidRPr="00402B6E">
        <w:rPr>
          <w:iCs/>
          <w:lang w:val="fr-FR"/>
        </w:rPr>
        <w:t>.</w:t>
      </w:r>
      <w:r>
        <w:rPr>
          <w:iCs/>
          <w:lang w:val="fr-FR"/>
        </w:rPr>
        <w:t>4 et 2</w:t>
      </w:r>
      <w:r w:rsidR="00402B6E" w:rsidRPr="00402B6E">
        <w:rPr>
          <w:iCs/>
          <w:lang w:val="fr-FR"/>
        </w:rPr>
        <w:t>.</w:t>
      </w:r>
      <w:r>
        <w:rPr>
          <w:iCs/>
          <w:lang w:val="fr-FR"/>
        </w:rPr>
        <w:t>2</w:t>
      </w:r>
      <w:r w:rsidR="00402B6E" w:rsidRPr="00402B6E">
        <w:rPr>
          <w:iCs/>
          <w:lang w:val="fr-FR"/>
        </w:rPr>
        <w:t>.</w:t>
      </w:r>
      <w:r>
        <w:rPr>
          <w:iCs/>
          <w:lang w:val="fr-FR"/>
        </w:rPr>
        <w:t>8</w:t>
      </w:r>
    </w:p>
    <w:p w14:paraId="6CDAC48E" w14:textId="798CF5EE" w:rsidR="00C34C1B" w:rsidRPr="006A3F01" w:rsidRDefault="00C34C1B" w:rsidP="00C34C1B">
      <w:pPr>
        <w:pStyle w:val="SingleTxtG"/>
      </w:pPr>
      <w:r>
        <w:rPr>
          <w:lang w:val="fr-FR"/>
        </w:rPr>
        <w:t>2</w:t>
      </w:r>
      <w:r w:rsidR="00402B6E" w:rsidRPr="00402B6E">
        <w:rPr>
          <w:lang w:val="fr-FR"/>
        </w:rPr>
        <w:t>.</w:t>
      </w:r>
      <w:r>
        <w:rPr>
          <w:lang w:val="fr-FR"/>
        </w:rPr>
        <w:tab/>
        <w:t>La volonté de formuler ces paragraphes de manière plus précise tient au fait que les demandeurs d’une évaluation de la conformité (fabricants et importateurs de roues) en ont des interprétations différentes</w:t>
      </w:r>
      <w:r w:rsidR="00402B6E" w:rsidRPr="00402B6E">
        <w:rPr>
          <w:lang w:val="fr-FR"/>
        </w:rPr>
        <w:t>.</w:t>
      </w:r>
    </w:p>
    <w:p w14:paraId="1FB36DA1" w14:textId="3CB8268C" w:rsidR="00C34C1B" w:rsidRPr="00C70EBC" w:rsidRDefault="00C34C1B" w:rsidP="00C34C1B">
      <w:pPr>
        <w:pStyle w:val="H4G"/>
        <w:spacing w:before="0" w:line="240" w:lineRule="atLeast"/>
        <w:jc w:val="both"/>
      </w:pPr>
      <w:r>
        <w:rPr>
          <w:lang w:val="fr-FR"/>
        </w:rPr>
        <w:tab/>
      </w:r>
      <w:r>
        <w:rPr>
          <w:lang w:val="fr-FR"/>
        </w:rPr>
        <w:tab/>
      </w:r>
      <w:r>
        <w:rPr>
          <w:lang w:val="fr-FR"/>
        </w:rPr>
        <w:tab/>
      </w:r>
      <w:r>
        <w:rPr>
          <w:iCs/>
          <w:lang w:val="fr-FR"/>
        </w:rPr>
        <w:t>Paragraphe 3</w:t>
      </w:r>
      <w:r w:rsidR="00402B6E" w:rsidRPr="00402B6E">
        <w:rPr>
          <w:iCs/>
          <w:lang w:val="fr-FR"/>
        </w:rPr>
        <w:t>.</w:t>
      </w:r>
      <w:r>
        <w:rPr>
          <w:iCs/>
          <w:lang w:val="fr-FR"/>
        </w:rPr>
        <w:t>1</w:t>
      </w:r>
      <w:r w:rsidR="00402B6E" w:rsidRPr="00402B6E">
        <w:rPr>
          <w:iCs/>
          <w:lang w:val="fr-FR"/>
        </w:rPr>
        <w:t>.</w:t>
      </w:r>
      <w:r>
        <w:rPr>
          <w:iCs/>
          <w:lang w:val="fr-FR"/>
        </w:rPr>
        <w:t>2</w:t>
      </w:r>
      <w:r w:rsidR="00402B6E" w:rsidRPr="00402B6E">
        <w:rPr>
          <w:iCs/>
          <w:lang w:val="fr-FR"/>
        </w:rPr>
        <w:t>.</w:t>
      </w:r>
      <w:r>
        <w:rPr>
          <w:iCs/>
          <w:lang w:val="fr-FR"/>
        </w:rPr>
        <w:t>13</w:t>
      </w:r>
      <w:r>
        <w:rPr>
          <w:lang w:val="fr-FR"/>
        </w:rPr>
        <w:t xml:space="preserve"> </w:t>
      </w:r>
    </w:p>
    <w:p w14:paraId="41817EA6" w14:textId="0648603F" w:rsidR="00C34C1B" w:rsidRDefault="00C34C1B" w:rsidP="00C34C1B">
      <w:pPr>
        <w:pStyle w:val="SingleTxtG"/>
        <w:rPr>
          <w:lang w:val="fr-FR"/>
        </w:rPr>
      </w:pPr>
      <w:r>
        <w:rPr>
          <w:lang w:val="fr-FR"/>
        </w:rPr>
        <w:t>3</w:t>
      </w:r>
      <w:r w:rsidR="00402B6E" w:rsidRPr="00402B6E">
        <w:rPr>
          <w:lang w:val="fr-FR"/>
        </w:rPr>
        <w:t>.</w:t>
      </w:r>
      <w:r>
        <w:rPr>
          <w:lang w:val="fr-FR"/>
        </w:rPr>
        <w:tab/>
        <w:t>La description technique de la roue est complétée par des informations décrivant le contrôle de la qualité du produit au cours du processus de fabrication</w:t>
      </w:r>
      <w:r w:rsidR="00402B6E" w:rsidRPr="00402B6E">
        <w:rPr>
          <w:lang w:val="fr-FR"/>
        </w:rPr>
        <w:t>.</w:t>
      </w:r>
      <w:r>
        <w:rPr>
          <w:lang w:val="fr-FR"/>
        </w:rPr>
        <w:t xml:space="preserve"> L’ajout de ce paragraphe obligerait le fabricant ou l’importateur de roues à fournir, au moment de l’homologation de type, des informations relatives à la vérification interne du produit faite par le fabricant, l’objectif étant de garantir que la conformité de la production soit correctement évaluée dans le cadre de l’homologation de type</w:t>
      </w:r>
      <w:r w:rsidR="00402B6E" w:rsidRPr="00402B6E">
        <w:rPr>
          <w:lang w:val="fr-FR"/>
        </w:rPr>
        <w:t>.</w:t>
      </w:r>
      <w:r>
        <w:rPr>
          <w:lang w:val="fr-FR"/>
        </w:rPr>
        <w:t xml:space="preserve"> </w:t>
      </w:r>
    </w:p>
    <w:p w14:paraId="1FE472E2" w14:textId="100A5DEB" w:rsidR="00C34C1B" w:rsidRPr="00C70EBC" w:rsidRDefault="00C34C1B" w:rsidP="00C34C1B">
      <w:pPr>
        <w:pStyle w:val="H4G"/>
        <w:spacing w:before="0" w:line="240" w:lineRule="atLeast"/>
        <w:jc w:val="both"/>
      </w:pPr>
      <w:r>
        <w:rPr>
          <w:lang w:val="fr-FR"/>
        </w:rPr>
        <w:tab/>
      </w:r>
      <w:r>
        <w:rPr>
          <w:lang w:val="fr-FR"/>
        </w:rPr>
        <w:tab/>
      </w:r>
      <w:r>
        <w:rPr>
          <w:iCs/>
          <w:lang w:val="fr-FR"/>
        </w:rPr>
        <w:t>Paragraphe 5</w:t>
      </w:r>
      <w:r w:rsidR="00402B6E" w:rsidRPr="00402B6E">
        <w:rPr>
          <w:iCs/>
          <w:lang w:val="fr-FR"/>
        </w:rPr>
        <w:t>.</w:t>
      </w:r>
      <w:r>
        <w:rPr>
          <w:iCs/>
          <w:lang w:val="fr-FR"/>
        </w:rPr>
        <w:t>1</w:t>
      </w:r>
      <w:r w:rsidR="00402B6E" w:rsidRPr="00402B6E">
        <w:rPr>
          <w:iCs/>
          <w:lang w:val="fr-FR"/>
        </w:rPr>
        <w:t>.</w:t>
      </w:r>
      <w:r>
        <w:rPr>
          <w:iCs/>
          <w:lang w:val="fr-FR"/>
        </w:rPr>
        <w:t>6 et annexe 3</w:t>
      </w:r>
      <w:r>
        <w:rPr>
          <w:lang w:val="fr-FR"/>
        </w:rPr>
        <w:t xml:space="preserve"> </w:t>
      </w:r>
    </w:p>
    <w:p w14:paraId="1A181402" w14:textId="722EC4AA" w:rsidR="00C34C1B" w:rsidRPr="00555E2A" w:rsidRDefault="00C34C1B" w:rsidP="00C34C1B">
      <w:pPr>
        <w:pStyle w:val="SingleTxtG"/>
      </w:pPr>
      <w:r>
        <w:rPr>
          <w:lang w:val="fr-FR"/>
        </w:rPr>
        <w:t>4</w:t>
      </w:r>
      <w:r w:rsidR="00402B6E" w:rsidRPr="00402B6E">
        <w:rPr>
          <w:lang w:val="fr-FR"/>
        </w:rPr>
        <w:t>.</w:t>
      </w:r>
      <w:r>
        <w:rPr>
          <w:lang w:val="fr-FR"/>
        </w:rPr>
        <w:tab/>
        <w:t>Le marquage supplémentaire proposé est considéré comme facultatif et peut être apposé par le fabricant à l’intention des consommateurs</w:t>
      </w:r>
      <w:r w:rsidR="00402B6E" w:rsidRPr="00402B6E">
        <w:rPr>
          <w:lang w:val="fr-FR"/>
        </w:rPr>
        <w:t>.</w:t>
      </w:r>
      <w:r>
        <w:rPr>
          <w:lang w:val="fr-FR"/>
        </w:rPr>
        <w:t xml:space="preserve"> L’apposition d’un marquage facultatif vise à fournir aux consommateurs des informations sur le contrôle de la qualité de la roue, ainsi qu’à faciliter le choix des roues présentant les caractéristiques requises par le consommateur</w:t>
      </w:r>
      <w:r w:rsidR="00402B6E" w:rsidRPr="00402B6E">
        <w:rPr>
          <w:lang w:val="fr-FR"/>
        </w:rPr>
        <w:t>.</w:t>
      </w:r>
      <w:r>
        <w:rPr>
          <w:lang w:val="fr-FR"/>
        </w:rPr>
        <w:t xml:space="preserve"> Ce marquage serait fondé sur les essais internes réalisés par le fabricant</w:t>
      </w:r>
      <w:r w:rsidR="00402B6E" w:rsidRPr="00402B6E">
        <w:rPr>
          <w:lang w:val="fr-FR"/>
        </w:rPr>
        <w:t>.</w:t>
      </w:r>
      <w:r>
        <w:rPr>
          <w:lang w:val="fr-FR"/>
        </w:rPr>
        <w:t xml:space="preserve"> Il aiderait les consommateurs à choisir les roues adaptées à leur véhicule</w:t>
      </w:r>
      <w:r w:rsidR="00402B6E" w:rsidRPr="00402B6E">
        <w:rPr>
          <w:lang w:val="fr-FR"/>
        </w:rPr>
        <w:t>.</w:t>
      </w:r>
      <w:r>
        <w:rPr>
          <w:lang w:val="fr-FR"/>
        </w:rPr>
        <w:t xml:space="preserve"> L’objectif est de remplacer une partie des informations que les fabricants doivent fournir conformément au paragraphe</w:t>
      </w:r>
      <w:r w:rsidR="008233ED">
        <w:rPr>
          <w:lang w:val="fr-FR"/>
        </w:rPr>
        <w:t> </w:t>
      </w:r>
      <w:r>
        <w:rPr>
          <w:lang w:val="fr-FR"/>
        </w:rPr>
        <w:t>1</w:t>
      </w:r>
      <w:r w:rsidR="00402B6E" w:rsidRPr="00402B6E">
        <w:rPr>
          <w:lang w:val="fr-FR"/>
        </w:rPr>
        <w:t>.</w:t>
      </w:r>
      <w:r>
        <w:rPr>
          <w:lang w:val="fr-FR"/>
        </w:rPr>
        <w:t>2 de l’annexe 10 du Règlement ONU n</w:t>
      </w:r>
      <w:r>
        <w:rPr>
          <w:vertAlign w:val="superscript"/>
          <w:lang w:val="fr-FR"/>
        </w:rPr>
        <w:t>o</w:t>
      </w:r>
      <w:r w:rsidR="008233ED">
        <w:rPr>
          <w:lang w:val="fr-FR"/>
        </w:rPr>
        <w:t> </w:t>
      </w:r>
      <w:r>
        <w:rPr>
          <w:lang w:val="fr-FR"/>
        </w:rPr>
        <w:t>124, étant donné que dans certains marchés, les fabricants peuvent ne pas avoir toutes ces informations</w:t>
      </w:r>
      <w:r w:rsidR="00402B6E" w:rsidRPr="00402B6E">
        <w:rPr>
          <w:lang w:val="fr-FR"/>
        </w:rPr>
        <w:t>.</w:t>
      </w:r>
      <w:r>
        <w:rPr>
          <w:lang w:val="fr-FR"/>
        </w:rPr>
        <w:t xml:space="preserve"> En outre, ce marquage fournirait aux consommateurs des informations sur le contrôle de la qualité du produit réalisé par le fabricant</w:t>
      </w:r>
      <w:r w:rsidR="00402B6E" w:rsidRPr="00402B6E">
        <w:rPr>
          <w:lang w:val="fr-FR"/>
        </w:rPr>
        <w:t>.</w:t>
      </w:r>
      <w:r>
        <w:rPr>
          <w:lang w:val="fr-FR"/>
        </w:rPr>
        <w:t xml:space="preserve"> La présente proposition permettrait d’harmoniser l’utilisation de ce marquage supplémentaire</w:t>
      </w:r>
      <w:r w:rsidR="00402B6E" w:rsidRPr="00402B6E">
        <w:rPr>
          <w:lang w:val="fr-FR"/>
        </w:rPr>
        <w:t>.</w:t>
      </w:r>
    </w:p>
    <w:p w14:paraId="28C44447" w14:textId="77777777" w:rsidR="00C34C1B" w:rsidRDefault="00C34C1B" w:rsidP="00C34C1B">
      <w:pPr>
        <w:pStyle w:val="H4G"/>
        <w:spacing w:before="0" w:line="240" w:lineRule="atLeast"/>
        <w:jc w:val="both"/>
      </w:pPr>
      <w:r>
        <w:rPr>
          <w:lang w:val="fr-FR"/>
        </w:rPr>
        <w:tab/>
      </w:r>
      <w:r>
        <w:rPr>
          <w:lang w:val="fr-FR"/>
        </w:rPr>
        <w:tab/>
      </w:r>
      <w:r>
        <w:rPr>
          <w:iCs/>
          <w:lang w:val="fr-FR"/>
        </w:rPr>
        <w:t>Annexe 4, tableau</w:t>
      </w:r>
    </w:p>
    <w:p w14:paraId="0C7C3070" w14:textId="45D7B26F" w:rsidR="00C34C1B" w:rsidRPr="008B21C0" w:rsidRDefault="00C34C1B" w:rsidP="00713553">
      <w:pPr>
        <w:pStyle w:val="SingleTxtG"/>
        <w:rPr>
          <w:i/>
          <w:iCs/>
        </w:rPr>
      </w:pPr>
      <w:r w:rsidRPr="008A53D2">
        <w:rPr>
          <w:iCs/>
          <w:lang w:val="fr-FR"/>
        </w:rPr>
        <w:tab/>
        <w:t>5</w:t>
      </w:r>
      <w:r w:rsidR="00402B6E" w:rsidRPr="00402B6E">
        <w:rPr>
          <w:iCs/>
          <w:lang w:val="fr-FR"/>
        </w:rPr>
        <w:t>.</w:t>
      </w:r>
      <w:r>
        <w:rPr>
          <w:lang w:val="fr-FR"/>
        </w:rPr>
        <w:tab/>
        <w:t>L</w:t>
      </w:r>
      <w:r w:rsidRPr="001C0870">
        <w:rPr>
          <w:lang w:val="fr-FR"/>
        </w:rPr>
        <w:t xml:space="preserve">’essai b </w:t>
      </w:r>
      <w:r>
        <w:rPr>
          <w:lang w:val="fr-FR"/>
        </w:rPr>
        <w:t>pour les</w:t>
      </w:r>
      <w:r w:rsidRPr="001C0870">
        <w:rPr>
          <w:lang w:val="fr-FR"/>
        </w:rPr>
        <w:t xml:space="preserve"> roues en alliage d’aluminium et en alliage de magnésium</w:t>
      </w:r>
      <w:r>
        <w:rPr>
          <w:lang w:val="fr-FR"/>
        </w:rPr>
        <w:t xml:space="preserve"> a été supprimé,</w:t>
      </w:r>
      <w:r w:rsidRPr="001C0870">
        <w:rPr>
          <w:lang w:val="fr-FR"/>
        </w:rPr>
        <w:t xml:space="preserve"> car l’expérience en matière d’essais a confirmé que les caractéristiques mécaniques des matériaux bruts ne sont pas comparables à celles des produits finis (roues)</w:t>
      </w:r>
      <w:r w:rsidR="00402B6E" w:rsidRPr="00402B6E">
        <w:rPr>
          <w:i/>
          <w:lang w:val="fr-FR"/>
        </w:rPr>
        <w:t>.</w:t>
      </w:r>
      <w:r w:rsidRPr="001C0870">
        <w:rPr>
          <w:lang w:val="fr-FR"/>
        </w:rPr>
        <w:t xml:space="preserve"> </w:t>
      </w:r>
      <w:r>
        <w:rPr>
          <w:lang w:val="fr-FR"/>
        </w:rPr>
        <w:t>I</w:t>
      </w:r>
      <w:r w:rsidRPr="001C0870">
        <w:rPr>
          <w:lang w:val="fr-FR"/>
        </w:rPr>
        <w:t xml:space="preserve">l est proposé de ne pas vérifier les caractéristiques mécaniques du matériau brut </w:t>
      </w:r>
      <w:r>
        <w:rPr>
          <w:lang w:val="fr-FR"/>
        </w:rPr>
        <w:t>comme prescrit à l’alinéa</w:t>
      </w:r>
      <w:r w:rsidRPr="001C0870">
        <w:rPr>
          <w:lang w:val="fr-FR"/>
        </w:rPr>
        <w:t xml:space="preserve"> b) pour les roues en alliage d’aluminium et en alliage de magnésium</w:t>
      </w:r>
      <w:r w:rsidR="00402B6E" w:rsidRPr="00402B6E">
        <w:rPr>
          <w:i/>
          <w:lang w:val="fr-FR"/>
        </w:rPr>
        <w:t>.</w:t>
      </w:r>
      <w:r w:rsidRPr="001C0870">
        <w:rPr>
          <w:lang w:val="fr-FR"/>
        </w:rPr>
        <w:t xml:space="preserve"> Il suffit de vérifier les caractéristiques du produit final puisque que le Règlement ONU </w:t>
      </w:r>
      <w:r w:rsidR="00713553" w:rsidRPr="00713553">
        <w:rPr>
          <w:rFonts w:eastAsia="MS Mincho"/>
          <w:lang w:val="fr-FR"/>
        </w:rPr>
        <w:t>n</w:t>
      </w:r>
      <w:r w:rsidR="00713553" w:rsidRPr="00713553">
        <w:rPr>
          <w:rFonts w:eastAsia="MS Mincho"/>
          <w:vertAlign w:val="superscript"/>
          <w:lang w:val="fr-FR"/>
        </w:rPr>
        <w:t>o</w:t>
      </w:r>
      <w:r w:rsidR="00713553">
        <w:rPr>
          <w:lang w:val="fr-FR"/>
        </w:rPr>
        <w:t> </w:t>
      </w:r>
      <w:r w:rsidRPr="00713553">
        <w:rPr>
          <w:iCs/>
          <w:lang w:val="fr-FR"/>
        </w:rPr>
        <w:t>1</w:t>
      </w:r>
      <w:r w:rsidRPr="001C0870">
        <w:rPr>
          <w:lang w:val="fr-FR"/>
        </w:rPr>
        <w:t>24 ne vise pas nécessairement les matériaux bruts en alliage léger</w:t>
      </w:r>
      <w:r w:rsidR="00402B6E" w:rsidRPr="00402B6E">
        <w:rPr>
          <w:i/>
          <w:lang w:val="fr-FR"/>
        </w:rPr>
        <w:t>.</w:t>
      </w:r>
      <w:bookmarkStart w:id="0" w:name="_Hlk150521368"/>
      <w:bookmarkEnd w:id="0"/>
    </w:p>
    <w:p w14:paraId="135AE798" w14:textId="77777777" w:rsidR="00C34C1B" w:rsidRPr="00C70EBC" w:rsidRDefault="00C34C1B" w:rsidP="00C34C1B">
      <w:pPr>
        <w:pStyle w:val="H4G"/>
        <w:spacing w:before="0" w:line="240" w:lineRule="atLeast"/>
        <w:jc w:val="both"/>
      </w:pPr>
      <w:r>
        <w:rPr>
          <w:lang w:val="fr-FR"/>
        </w:rPr>
        <w:tab/>
      </w:r>
      <w:r>
        <w:rPr>
          <w:lang w:val="fr-FR"/>
        </w:rPr>
        <w:tab/>
      </w:r>
      <w:r>
        <w:rPr>
          <w:iCs/>
          <w:lang w:val="fr-FR"/>
        </w:rPr>
        <w:t>Annexe 4, alinéa а)</w:t>
      </w:r>
    </w:p>
    <w:p w14:paraId="217380D2" w14:textId="6D55A525" w:rsidR="00C34C1B" w:rsidRPr="00C70EBC" w:rsidRDefault="00C34C1B" w:rsidP="00C34C1B">
      <w:pPr>
        <w:pStyle w:val="SingleTxtG"/>
      </w:pPr>
      <w:r>
        <w:rPr>
          <w:lang w:val="fr-FR"/>
        </w:rPr>
        <w:t>6</w:t>
      </w:r>
      <w:r w:rsidR="00402B6E" w:rsidRPr="00402B6E">
        <w:rPr>
          <w:lang w:val="fr-FR"/>
        </w:rPr>
        <w:t>.</w:t>
      </w:r>
      <w:r>
        <w:rPr>
          <w:lang w:val="fr-FR"/>
        </w:rPr>
        <w:tab/>
        <w:t>La disposition est formulée de manière plus précise</w:t>
      </w:r>
      <w:r w:rsidR="00402B6E" w:rsidRPr="00402B6E">
        <w:rPr>
          <w:lang w:val="fr-FR"/>
        </w:rPr>
        <w:t>.</w:t>
      </w:r>
    </w:p>
    <w:p w14:paraId="6721C085" w14:textId="77777777" w:rsidR="00C34C1B" w:rsidRPr="00C70EBC" w:rsidRDefault="00C34C1B" w:rsidP="00C34C1B">
      <w:pPr>
        <w:pStyle w:val="H4G"/>
        <w:spacing w:before="0" w:line="240" w:lineRule="atLeast"/>
        <w:jc w:val="both"/>
      </w:pPr>
      <w:r>
        <w:rPr>
          <w:lang w:val="fr-FR"/>
        </w:rPr>
        <w:tab/>
      </w:r>
      <w:r>
        <w:rPr>
          <w:lang w:val="fr-FR"/>
        </w:rPr>
        <w:tab/>
      </w:r>
      <w:r>
        <w:rPr>
          <w:lang w:val="fr-FR"/>
        </w:rPr>
        <w:tab/>
      </w:r>
      <w:r>
        <w:rPr>
          <w:iCs/>
          <w:lang w:val="fr-FR"/>
        </w:rPr>
        <w:t>Annexe 4, alinéa а)</w:t>
      </w:r>
      <w:r>
        <w:rPr>
          <w:lang w:val="fr-FR"/>
        </w:rPr>
        <w:t xml:space="preserve"> </w:t>
      </w:r>
    </w:p>
    <w:p w14:paraId="14E38C0E" w14:textId="66FF0F5B" w:rsidR="00C34C1B" w:rsidRPr="00827BA7" w:rsidRDefault="00C34C1B" w:rsidP="00C34C1B">
      <w:pPr>
        <w:pStyle w:val="SingleTxtG"/>
      </w:pPr>
      <w:r>
        <w:rPr>
          <w:lang w:val="fr-FR"/>
        </w:rPr>
        <w:t>7</w:t>
      </w:r>
      <w:r w:rsidR="00402B6E" w:rsidRPr="00402B6E">
        <w:rPr>
          <w:lang w:val="fr-FR"/>
        </w:rPr>
        <w:t>.</w:t>
      </w:r>
      <w:r>
        <w:rPr>
          <w:lang w:val="fr-FR"/>
        </w:rPr>
        <w:tab/>
        <w:t>L’énumération des zones critiques de la roue où l’on peut prélever des échantillons de matériau pour en vérifier les caractéristiques est précisée</w:t>
      </w:r>
      <w:r w:rsidR="00402B6E" w:rsidRPr="00402B6E">
        <w:rPr>
          <w:lang w:val="fr-FR"/>
        </w:rPr>
        <w:t>.</w:t>
      </w:r>
      <w:r>
        <w:rPr>
          <w:lang w:val="fr-FR"/>
        </w:rPr>
        <w:t xml:space="preserve"> La proposition vise à préciser les endroits où les échantillons doivent être prélevés et à harmoniser l’application des dispositions de cet alinéa</w:t>
      </w:r>
      <w:r w:rsidR="00402B6E" w:rsidRPr="00402B6E">
        <w:rPr>
          <w:lang w:val="fr-FR"/>
        </w:rPr>
        <w:t>.</w:t>
      </w:r>
      <w:r>
        <w:rPr>
          <w:lang w:val="fr-FR"/>
        </w:rPr>
        <w:t xml:space="preserve"> Le</w:t>
      </w:r>
      <w:r w:rsidRPr="00327EB9">
        <w:rPr>
          <w:lang w:val="fr-FR"/>
        </w:rPr>
        <w:t xml:space="preserve"> fabricant doit connaître les zones critiques du produit où les échantillons doivent être prélevés et les indiquer dans la documentation</w:t>
      </w:r>
      <w:r w:rsidR="00402B6E" w:rsidRPr="00402B6E">
        <w:rPr>
          <w:lang w:val="fr-FR"/>
        </w:rPr>
        <w:t>.</w:t>
      </w:r>
      <w:r>
        <w:rPr>
          <w:lang w:val="fr-FR"/>
        </w:rPr>
        <w:t xml:space="preserve"> Ces zones critiques peuvent également être spécifiées par les services techniques</w:t>
      </w:r>
      <w:r w:rsidR="00402B6E" w:rsidRPr="00402B6E">
        <w:rPr>
          <w:lang w:val="fr-FR"/>
        </w:rPr>
        <w:t>.</w:t>
      </w:r>
      <w:r>
        <w:rPr>
          <w:lang w:val="fr-FR"/>
        </w:rPr>
        <w:t xml:space="preserve"> La proposition vise à garantir la fiabilité du processus d’évaluation de la conformité</w:t>
      </w:r>
      <w:r w:rsidR="00402B6E" w:rsidRPr="00402B6E">
        <w:rPr>
          <w:lang w:val="fr-FR"/>
        </w:rPr>
        <w:t>.</w:t>
      </w:r>
    </w:p>
    <w:p w14:paraId="7880B17A" w14:textId="77777777" w:rsidR="00C34C1B" w:rsidRPr="00D27155" w:rsidRDefault="00C34C1B" w:rsidP="00C34C1B">
      <w:pPr>
        <w:pStyle w:val="SingleTxtG"/>
        <w:rPr>
          <w:i/>
          <w:iCs/>
        </w:rPr>
      </w:pPr>
      <w:r>
        <w:rPr>
          <w:i/>
          <w:iCs/>
          <w:lang w:val="fr-FR"/>
        </w:rPr>
        <w:t>Annexe 4, alinéa e)</w:t>
      </w:r>
    </w:p>
    <w:p w14:paraId="7C257E97" w14:textId="0C222206" w:rsidR="00C34C1B" w:rsidRPr="00827BA7" w:rsidRDefault="00C34C1B" w:rsidP="00C34C1B">
      <w:pPr>
        <w:pStyle w:val="SingleTxtG"/>
      </w:pPr>
      <w:r>
        <w:rPr>
          <w:lang w:val="fr-FR"/>
        </w:rPr>
        <w:t>8</w:t>
      </w:r>
      <w:r w:rsidR="00402B6E" w:rsidRPr="00402B6E">
        <w:rPr>
          <w:lang w:val="fr-FR"/>
        </w:rPr>
        <w:t>.</w:t>
      </w:r>
      <w:r>
        <w:rPr>
          <w:lang w:val="fr-FR"/>
        </w:rPr>
        <w:tab/>
        <w:t>Il est précisé que l’analyse des défauts du métal est effectuée aux zones critiques des roues</w:t>
      </w:r>
      <w:r w:rsidR="00402B6E" w:rsidRPr="00402B6E">
        <w:rPr>
          <w:lang w:val="fr-FR"/>
        </w:rPr>
        <w:t>.</w:t>
      </w:r>
      <w:r>
        <w:rPr>
          <w:lang w:val="fr-FR"/>
        </w:rPr>
        <w:t xml:space="preserve"> Ces zones sont indiquées par le fabricant dans la documentation relative à la demande d’homologation et peuvent également être spécifiées par le service technique</w:t>
      </w:r>
      <w:r w:rsidR="00402B6E" w:rsidRPr="00402B6E">
        <w:rPr>
          <w:lang w:val="fr-FR"/>
        </w:rPr>
        <w:t>.</w:t>
      </w:r>
      <w:r>
        <w:rPr>
          <w:lang w:val="fr-FR"/>
        </w:rPr>
        <w:t xml:space="preserve"> L’analyse doit être effectuée en comparant les résultats avec les défauts acceptables spécifiés par le fabricant</w:t>
      </w:r>
      <w:r w:rsidR="00402B6E" w:rsidRPr="00402B6E">
        <w:rPr>
          <w:lang w:val="fr-FR"/>
        </w:rPr>
        <w:t>.</w:t>
      </w:r>
      <w:r>
        <w:rPr>
          <w:lang w:val="fr-FR"/>
        </w:rPr>
        <w:t xml:space="preserve"> L’objectif de cette proposition est de préciser que le fabricant doit connaître</w:t>
      </w:r>
      <w:r w:rsidRPr="00327EB9">
        <w:rPr>
          <w:lang w:val="fr-FR"/>
        </w:rPr>
        <w:t xml:space="preserve"> </w:t>
      </w:r>
      <w:r>
        <w:rPr>
          <w:lang w:val="fr-FR"/>
        </w:rPr>
        <w:t>les zones critiques du produit et les indiquer dans la documentation</w:t>
      </w:r>
      <w:r w:rsidR="00402B6E" w:rsidRPr="00402B6E">
        <w:rPr>
          <w:lang w:val="fr-FR"/>
        </w:rPr>
        <w:t>.</w:t>
      </w:r>
      <w:r>
        <w:rPr>
          <w:lang w:val="fr-FR"/>
        </w:rPr>
        <w:t xml:space="preserve"> La proposition vise à garantir la fiabilité du processus d’évaluation de la conformité</w:t>
      </w:r>
      <w:r w:rsidR="00402B6E" w:rsidRPr="00402B6E">
        <w:rPr>
          <w:lang w:val="fr-FR"/>
        </w:rPr>
        <w:t>.</w:t>
      </w:r>
    </w:p>
    <w:p w14:paraId="45766F00" w14:textId="77777777" w:rsidR="00C34C1B" w:rsidRDefault="00C34C1B" w:rsidP="00C34C1B">
      <w:pPr>
        <w:pStyle w:val="H4G"/>
        <w:spacing w:before="0" w:line="240" w:lineRule="atLeast"/>
        <w:jc w:val="both"/>
      </w:pPr>
      <w:r>
        <w:rPr>
          <w:lang w:val="fr-FR"/>
        </w:rPr>
        <w:lastRenderedPageBreak/>
        <w:tab/>
      </w:r>
      <w:r>
        <w:rPr>
          <w:lang w:val="fr-FR"/>
        </w:rPr>
        <w:tab/>
      </w:r>
      <w:r>
        <w:rPr>
          <w:iCs/>
          <w:lang w:val="fr-FR"/>
        </w:rPr>
        <w:t>Annexe 6, paragraphe 3, tableau et annexe 7, paragraphe 3, tableau</w:t>
      </w:r>
    </w:p>
    <w:p w14:paraId="6B8D2E7C" w14:textId="56FA215D" w:rsidR="00C34C1B" w:rsidRPr="001C0870" w:rsidRDefault="00C34C1B" w:rsidP="00402B6E">
      <w:pPr>
        <w:pStyle w:val="SingleTxtG"/>
        <w:rPr>
          <w:i/>
        </w:rPr>
      </w:pPr>
      <w:r w:rsidRPr="001C0870">
        <w:rPr>
          <w:lang w:val="fr-FR"/>
        </w:rPr>
        <w:t>9</w:t>
      </w:r>
      <w:r w:rsidR="00402B6E" w:rsidRPr="00402B6E">
        <w:rPr>
          <w:i/>
          <w:lang w:val="fr-FR"/>
        </w:rPr>
        <w:t>.</w:t>
      </w:r>
      <w:r w:rsidRPr="001C0870">
        <w:rPr>
          <w:lang w:val="fr-FR"/>
        </w:rPr>
        <w:tab/>
        <w:t xml:space="preserve">Il est précisé que le fabricant peut </w:t>
      </w:r>
      <w:r>
        <w:rPr>
          <w:lang w:val="fr-FR"/>
        </w:rPr>
        <w:t>indiquer</w:t>
      </w:r>
      <w:r w:rsidRPr="001C0870">
        <w:rPr>
          <w:lang w:val="fr-FR"/>
        </w:rPr>
        <w:t xml:space="preserve"> dans la documentation les éventuels défauts causés par le processus de fabrication et n’ayant pas d’incidence sur la formation de fissures au cours de </w:t>
      </w:r>
      <w:r>
        <w:rPr>
          <w:lang w:val="fr-FR"/>
        </w:rPr>
        <w:t>l’</w:t>
      </w:r>
      <w:r w:rsidRPr="001C0870">
        <w:rPr>
          <w:lang w:val="fr-FR"/>
        </w:rPr>
        <w:t>essai</w:t>
      </w:r>
      <w:r w:rsidR="00402B6E" w:rsidRPr="00402B6E">
        <w:rPr>
          <w:i/>
          <w:lang w:val="fr-FR"/>
        </w:rPr>
        <w:t>.</w:t>
      </w:r>
      <w:r w:rsidRPr="001C0870">
        <w:rPr>
          <w:lang w:val="fr-FR"/>
        </w:rPr>
        <w:t xml:space="preserve"> Cette précis</w:t>
      </w:r>
      <w:r>
        <w:rPr>
          <w:lang w:val="fr-FR"/>
        </w:rPr>
        <w:t>ion</w:t>
      </w:r>
      <w:r w:rsidRPr="001C0870">
        <w:rPr>
          <w:lang w:val="fr-FR"/>
        </w:rPr>
        <w:t xml:space="preserve"> vise à aider le service technique à </w:t>
      </w:r>
      <w:r>
        <w:rPr>
          <w:lang w:val="fr-FR"/>
        </w:rPr>
        <w:t>repérer</w:t>
      </w:r>
      <w:r w:rsidRPr="001C0870">
        <w:rPr>
          <w:lang w:val="fr-FR"/>
        </w:rPr>
        <w:t xml:space="preserve"> les fissures causées par les charges d’essai</w:t>
      </w:r>
      <w:r w:rsidR="00402B6E" w:rsidRPr="00402B6E">
        <w:rPr>
          <w:i/>
          <w:lang w:val="fr-FR"/>
        </w:rPr>
        <w:t>.</w:t>
      </w:r>
      <w:r w:rsidRPr="001C0870">
        <w:rPr>
          <w:lang w:val="fr-FR"/>
        </w:rPr>
        <w:t xml:space="preserve"> Le libellé proposé permet de faire la distinction entre une fissure apparue pendant les essais et une rayure, qui peut être un défaut de fabrication acceptable</w:t>
      </w:r>
      <w:r w:rsidR="00402B6E" w:rsidRPr="00402B6E">
        <w:rPr>
          <w:i/>
          <w:lang w:val="fr-FR"/>
        </w:rPr>
        <w:t>.</w:t>
      </w:r>
    </w:p>
    <w:p w14:paraId="223D42EF" w14:textId="77777777" w:rsidR="00C34C1B" w:rsidRPr="00C70EBC" w:rsidRDefault="00C34C1B" w:rsidP="00C34C1B">
      <w:pPr>
        <w:pStyle w:val="H4G"/>
        <w:spacing w:before="0" w:line="240" w:lineRule="atLeast"/>
        <w:jc w:val="both"/>
      </w:pPr>
      <w:r>
        <w:rPr>
          <w:lang w:val="fr-FR"/>
        </w:rPr>
        <w:tab/>
      </w:r>
      <w:r>
        <w:rPr>
          <w:lang w:val="fr-FR"/>
        </w:rPr>
        <w:tab/>
      </w:r>
      <w:r>
        <w:rPr>
          <w:iCs/>
          <w:lang w:val="fr-FR"/>
        </w:rPr>
        <w:t>Annexe 6, alinéa 4</w:t>
      </w:r>
    </w:p>
    <w:p w14:paraId="233D9647" w14:textId="5681CB7E" w:rsidR="00C34C1B" w:rsidRPr="00C70EBC" w:rsidRDefault="00C34C1B" w:rsidP="00C34C1B">
      <w:pPr>
        <w:pStyle w:val="SingleTxtG"/>
      </w:pPr>
      <w:r>
        <w:rPr>
          <w:lang w:val="fr-FR"/>
        </w:rPr>
        <w:t>10</w:t>
      </w:r>
      <w:r w:rsidR="00402B6E" w:rsidRPr="00402B6E">
        <w:rPr>
          <w:lang w:val="fr-FR"/>
        </w:rPr>
        <w:t>.</w:t>
      </w:r>
      <w:r>
        <w:rPr>
          <w:lang w:val="fr-FR"/>
        </w:rPr>
        <w:tab/>
        <w:t>Une recommandation est ajoutée concernant la possibilité de détecter les fissures résultant de l’essai en utilisant des peintures pénétrantes</w:t>
      </w:r>
      <w:r w:rsidR="00402B6E" w:rsidRPr="00402B6E">
        <w:rPr>
          <w:lang w:val="fr-FR"/>
        </w:rPr>
        <w:t>.</w:t>
      </w:r>
      <w:r>
        <w:rPr>
          <w:lang w:val="fr-FR"/>
        </w:rPr>
        <w:t xml:space="preserve"> L’utilisation de peintures pénétrantes permet de détecter de petites fissures techniques (de 1 à 5 mm) qui seraient passées inaperçues lors de l’inspection visuelle</w:t>
      </w:r>
      <w:r w:rsidR="00402B6E" w:rsidRPr="00402B6E">
        <w:rPr>
          <w:lang w:val="fr-FR"/>
        </w:rPr>
        <w:t>.</w:t>
      </w:r>
      <w:r>
        <w:rPr>
          <w:lang w:val="fr-FR"/>
        </w:rPr>
        <w:t xml:space="preserve"> Étant donné que le Règlement ONU n</w:t>
      </w:r>
      <w:r>
        <w:rPr>
          <w:vertAlign w:val="superscript"/>
          <w:lang w:val="fr-FR"/>
        </w:rPr>
        <w:t>o</w:t>
      </w:r>
      <w:r w:rsidR="00402B6E" w:rsidRPr="00402B6E">
        <w:rPr>
          <w:lang w:val="fr-FR"/>
        </w:rPr>
        <w:t> </w:t>
      </w:r>
      <w:r>
        <w:rPr>
          <w:lang w:val="fr-FR"/>
        </w:rPr>
        <w:t>124 ne définit pas de méthodes uniformes pour détecter les fissures, des produits non conformes risquent d’être mis sur le marché</w:t>
      </w:r>
      <w:r w:rsidR="00402B6E" w:rsidRPr="00402B6E">
        <w:rPr>
          <w:lang w:val="fr-FR"/>
        </w:rPr>
        <w:t>.</w:t>
      </w:r>
      <w:r>
        <w:rPr>
          <w:lang w:val="fr-FR"/>
        </w:rPr>
        <w:t xml:space="preserve"> L’indication d’une méthode de détection permettrait donc d’apporter plus de clarté, bien que n’importe quelle méthode de détection des défauts qui peut être appliquée à la roue et qui a la sensibilité appropriée puisse être utilisée et décrite dans le procès-verbal d’essai</w:t>
      </w:r>
      <w:r w:rsidR="00402B6E" w:rsidRPr="00402B6E">
        <w:rPr>
          <w:lang w:val="fr-FR"/>
        </w:rPr>
        <w:t>.</w:t>
      </w:r>
    </w:p>
    <w:p w14:paraId="0CBAF844" w14:textId="77777777" w:rsidR="00C34C1B" w:rsidRPr="00C70EBC" w:rsidRDefault="00C34C1B" w:rsidP="00C34C1B">
      <w:pPr>
        <w:pStyle w:val="H4G"/>
        <w:spacing w:before="0" w:line="240" w:lineRule="atLeast"/>
        <w:jc w:val="both"/>
      </w:pPr>
      <w:r>
        <w:rPr>
          <w:lang w:val="fr-FR"/>
        </w:rPr>
        <w:tab/>
      </w:r>
      <w:r>
        <w:rPr>
          <w:lang w:val="fr-FR"/>
        </w:rPr>
        <w:tab/>
      </w:r>
      <w:r>
        <w:rPr>
          <w:lang w:val="fr-FR"/>
        </w:rPr>
        <w:tab/>
      </w:r>
      <w:r>
        <w:rPr>
          <w:iCs/>
          <w:lang w:val="fr-FR"/>
        </w:rPr>
        <w:t>Annexe 7, paragraphe 3, tableau et annexe 8, paragraphe 3, tableau et paragraphe 5</w:t>
      </w:r>
      <w:r>
        <w:rPr>
          <w:lang w:val="fr-FR"/>
        </w:rPr>
        <w:t xml:space="preserve"> </w:t>
      </w:r>
    </w:p>
    <w:p w14:paraId="63ECE8BB" w14:textId="121F46C5" w:rsidR="00C34C1B" w:rsidRDefault="00C34C1B" w:rsidP="00C34C1B">
      <w:pPr>
        <w:pStyle w:val="SingleTxtG"/>
        <w:rPr>
          <w:lang w:val="fr-FR"/>
        </w:rPr>
      </w:pPr>
      <w:r>
        <w:rPr>
          <w:lang w:val="fr-FR"/>
        </w:rPr>
        <w:t>11</w:t>
      </w:r>
      <w:r w:rsidR="00402B6E" w:rsidRPr="00402B6E">
        <w:rPr>
          <w:lang w:val="fr-FR"/>
        </w:rPr>
        <w:t>.</w:t>
      </w:r>
      <w:r>
        <w:rPr>
          <w:lang w:val="fr-FR"/>
        </w:rPr>
        <w:tab/>
        <w:t>Étant donné que les fuites d’air figurent parmi les critères d’acceptation des tableaux des annexes</w:t>
      </w:r>
      <w:r w:rsidR="00713553">
        <w:rPr>
          <w:lang w:val="fr-FR"/>
        </w:rPr>
        <w:t> </w:t>
      </w:r>
      <w:r>
        <w:rPr>
          <w:lang w:val="fr-FR"/>
        </w:rPr>
        <w:t>7 et 8, la proposition vise à préciser que les fuites d’air causées par la détérioration du pneumatique pendant l’essai ne doivent pas être prises en compte dans le cadre de l’évaluation des résultats</w:t>
      </w:r>
      <w:r w:rsidR="00402B6E" w:rsidRPr="00402B6E">
        <w:rPr>
          <w:lang w:val="fr-FR"/>
        </w:rPr>
        <w:t>.</w:t>
      </w:r>
      <w:r>
        <w:rPr>
          <w:lang w:val="fr-FR"/>
        </w:rPr>
        <w:t xml:space="preserve"> La proposition vise à lever toute incertitude quant à l’interprétation des résultats</w:t>
      </w:r>
      <w:r w:rsidR="00402B6E" w:rsidRPr="00402B6E">
        <w:rPr>
          <w:lang w:val="fr-FR"/>
        </w:rPr>
        <w:t>.</w:t>
      </w:r>
      <w:r>
        <w:rPr>
          <w:lang w:val="fr-FR"/>
        </w:rPr>
        <w:t xml:space="preserve"> Pour cela, il est nécessaire de déterminer la cause de la baisse de pression du pneumatique</w:t>
      </w:r>
      <w:r w:rsidR="00402B6E" w:rsidRPr="00402B6E">
        <w:rPr>
          <w:lang w:val="fr-FR"/>
        </w:rPr>
        <w:t>.</w:t>
      </w:r>
      <w:r>
        <w:rPr>
          <w:lang w:val="fr-FR"/>
        </w:rPr>
        <w:t xml:space="preserve"> Si celle-ci a été causée par la détérioration du pneumatique, cela n’a pas d’incidence sur l’acceptation</w:t>
      </w:r>
      <w:r w:rsidR="00402B6E" w:rsidRPr="00402B6E">
        <w:rPr>
          <w:lang w:val="fr-FR"/>
        </w:rPr>
        <w:t>.</w:t>
      </w:r>
    </w:p>
    <w:p w14:paraId="07EFD648" w14:textId="676A5B04" w:rsidR="00C34C1B" w:rsidRPr="00C34C1B" w:rsidRDefault="00C34C1B" w:rsidP="00C34C1B">
      <w:pPr>
        <w:pStyle w:val="SingleTxtG"/>
        <w:spacing w:before="240" w:after="0"/>
        <w:jc w:val="center"/>
        <w:rPr>
          <w:u w:val="single"/>
        </w:rPr>
      </w:pPr>
      <w:r>
        <w:tab/>
      </w:r>
      <w:r>
        <w:rPr>
          <w:u w:val="single"/>
        </w:rPr>
        <w:tab/>
      </w:r>
      <w:r>
        <w:rPr>
          <w:u w:val="single"/>
        </w:rPr>
        <w:tab/>
      </w:r>
      <w:r>
        <w:rPr>
          <w:u w:val="single"/>
        </w:rPr>
        <w:tab/>
      </w:r>
    </w:p>
    <w:sectPr w:rsidR="00C34C1B" w:rsidRPr="00C34C1B" w:rsidSect="00C34C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E835" w14:textId="77777777" w:rsidR="003A7B4C" w:rsidRDefault="003A7B4C" w:rsidP="00F95C08">
      <w:pPr>
        <w:spacing w:line="240" w:lineRule="auto"/>
      </w:pPr>
    </w:p>
  </w:endnote>
  <w:endnote w:type="continuationSeparator" w:id="0">
    <w:p w14:paraId="123E049B" w14:textId="77777777" w:rsidR="003A7B4C" w:rsidRPr="00AC3823" w:rsidRDefault="003A7B4C" w:rsidP="00AC3823">
      <w:pPr>
        <w:pStyle w:val="Pieddepage"/>
      </w:pPr>
    </w:p>
  </w:endnote>
  <w:endnote w:type="continuationNotice" w:id="1">
    <w:p w14:paraId="67134AC5" w14:textId="77777777" w:rsidR="003A7B4C" w:rsidRDefault="003A7B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045" w14:textId="35C500C1" w:rsidR="00C34C1B" w:rsidRPr="00C34C1B" w:rsidRDefault="00C34C1B" w:rsidP="00C34C1B">
    <w:pPr>
      <w:pStyle w:val="Pieddepage"/>
      <w:tabs>
        <w:tab w:val="right" w:pos="9638"/>
      </w:tabs>
    </w:pPr>
    <w:r w:rsidRPr="00C34C1B">
      <w:rPr>
        <w:b/>
        <w:sz w:val="18"/>
      </w:rPr>
      <w:fldChar w:fldCharType="begin"/>
    </w:r>
    <w:r w:rsidRPr="00C34C1B">
      <w:rPr>
        <w:b/>
        <w:sz w:val="18"/>
      </w:rPr>
      <w:instrText xml:space="preserve"> PAGE  \* MERGEFORMAT </w:instrText>
    </w:r>
    <w:r w:rsidRPr="00C34C1B">
      <w:rPr>
        <w:b/>
        <w:sz w:val="18"/>
      </w:rPr>
      <w:fldChar w:fldCharType="separate"/>
    </w:r>
    <w:r w:rsidRPr="00C34C1B">
      <w:rPr>
        <w:b/>
        <w:noProof/>
        <w:sz w:val="18"/>
      </w:rPr>
      <w:t>2</w:t>
    </w:r>
    <w:r w:rsidRPr="00C34C1B">
      <w:rPr>
        <w:b/>
        <w:sz w:val="18"/>
      </w:rPr>
      <w:fldChar w:fldCharType="end"/>
    </w:r>
    <w:r>
      <w:rPr>
        <w:b/>
        <w:sz w:val="18"/>
      </w:rPr>
      <w:tab/>
    </w:r>
    <w:r>
      <w:t>GE</w:t>
    </w:r>
    <w:r w:rsidR="00402B6E" w:rsidRPr="00402B6E">
      <w:t>.</w:t>
    </w:r>
    <w:r>
      <w:t>23-23032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A11D" w14:textId="558B1056" w:rsidR="00C34C1B" w:rsidRPr="00C34C1B" w:rsidRDefault="00C34C1B" w:rsidP="00C34C1B">
    <w:pPr>
      <w:pStyle w:val="Pieddepage"/>
      <w:tabs>
        <w:tab w:val="right" w:pos="9638"/>
      </w:tabs>
      <w:rPr>
        <w:b/>
        <w:sz w:val="18"/>
      </w:rPr>
    </w:pPr>
    <w:r>
      <w:t>GE</w:t>
    </w:r>
    <w:r w:rsidR="00402B6E" w:rsidRPr="00402B6E">
      <w:t>.</w:t>
    </w:r>
    <w:r>
      <w:t>23-23032</w:t>
    </w:r>
    <w:r>
      <w:tab/>
    </w:r>
    <w:r w:rsidRPr="00C34C1B">
      <w:rPr>
        <w:b/>
        <w:sz w:val="18"/>
      </w:rPr>
      <w:fldChar w:fldCharType="begin"/>
    </w:r>
    <w:r w:rsidRPr="00C34C1B">
      <w:rPr>
        <w:b/>
        <w:sz w:val="18"/>
      </w:rPr>
      <w:instrText xml:space="preserve"> PAGE  \* MERGEFORMAT </w:instrText>
    </w:r>
    <w:r w:rsidRPr="00C34C1B">
      <w:rPr>
        <w:b/>
        <w:sz w:val="18"/>
      </w:rPr>
      <w:fldChar w:fldCharType="separate"/>
    </w:r>
    <w:r w:rsidRPr="00C34C1B">
      <w:rPr>
        <w:b/>
        <w:noProof/>
        <w:sz w:val="18"/>
      </w:rPr>
      <w:t>3</w:t>
    </w:r>
    <w:r w:rsidRPr="00C34C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C346" w14:textId="0D70EE08" w:rsidR="007F20FA" w:rsidRPr="00C34C1B" w:rsidRDefault="00C34C1B" w:rsidP="00C34C1B">
    <w:pPr>
      <w:pStyle w:val="Pieddepage"/>
      <w:spacing w:before="120"/>
      <w:rPr>
        <w:sz w:val="20"/>
      </w:rPr>
    </w:pPr>
    <w:r>
      <w:rPr>
        <w:sz w:val="20"/>
      </w:rPr>
      <w:t>GE</w:t>
    </w:r>
    <w:r w:rsidR="00402B6E" w:rsidRPr="00402B6E">
      <w:rPr>
        <w:sz w:val="20"/>
      </w:rPr>
      <w:t>.</w:t>
    </w:r>
    <w:r w:rsidR="007F20FA">
      <w:rPr>
        <w:noProof/>
        <w:lang w:eastAsia="fr-CH"/>
      </w:rPr>
      <w:drawing>
        <wp:anchor distT="0" distB="0" distL="114300" distR="114300" simplePos="0" relativeHeight="251659264" behindDoc="0" locked="0" layoutInCell="1" allowOverlap="0" wp14:anchorId="2B2A8E94" wp14:editId="1D0F1B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23-23032  (F)</w:t>
    </w:r>
    <w:r>
      <w:rPr>
        <w:noProof/>
        <w:sz w:val="20"/>
      </w:rPr>
      <w:drawing>
        <wp:anchor distT="0" distB="0" distL="114300" distR="114300" simplePos="0" relativeHeight="251660288" behindDoc="0" locked="0" layoutInCell="1" allowOverlap="1" wp14:anchorId="45E41D0E" wp14:editId="6F1CC1D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240124    240124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136D" w14:textId="77777777" w:rsidR="003A7B4C" w:rsidRPr="00AC3823" w:rsidRDefault="003A7B4C" w:rsidP="00AC3823">
      <w:pPr>
        <w:pStyle w:val="Pieddepage"/>
        <w:tabs>
          <w:tab w:val="right" w:pos="2155"/>
        </w:tabs>
        <w:spacing w:after="80" w:line="240" w:lineRule="atLeast"/>
        <w:ind w:left="680"/>
        <w:rPr>
          <w:u w:val="single"/>
        </w:rPr>
      </w:pPr>
      <w:r>
        <w:rPr>
          <w:u w:val="single"/>
        </w:rPr>
        <w:tab/>
      </w:r>
    </w:p>
  </w:footnote>
  <w:footnote w:type="continuationSeparator" w:id="0">
    <w:p w14:paraId="25F8A5ED" w14:textId="77777777" w:rsidR="003A7B4C" w:rsidRPr="00AC3823" w:rsidRDefault="003A7B4C" w:rsidP="00AC3823">
      <w:pPr>
        <w:pStyle w:val="Pieddepage"/>
        <w:tabs>
          <w:tab w:val="right" w:pos="2155"/>
        </w:tabs>
        <w:spacing w:after="80" w:line="240" w:lineRule="atLeast"/>
        <w:ind w:left="680"/>
        <w:rPr>
          <w:u w:val="single"/>
        </w:rPr>
      </w:pPr>
      <w:r>
        <w:rPr>
          <w:u w:val="single"/>
        </w:rPr>
        <w:tab/>
      </w:r>
    </w:p>
  </w:footnote>
  <w:footnote w:type="continuationNotice" w:id="1">
    <w:p w14:paraId="21655ADE" w14:textId="77777777" w:rsidR="003A7B4C" w:rsidRPr="00AC3823" w:rsidRDefault="003A7B4C">
      <w:pPr>
        <w:spacing w:line="240" w:lineRule="auto"/>
        <w:rPr>
          <w:sz w:val="2"/>
          <w:szCs w:val="2"/>
        </w:rPr>
      </w:pPr>
    </w:p>
  </w:footnote>
  <w:footnote w:id="2">
    <w:p w14:paraId="593485DE" w14:textId="3C21AC35" w:rsidR="00C34C1B" w:rsidRDefault="00C34C1B" w:rsidP="00C34C1B">
      <w:pPr>
        <w:pStyle w:val="Notedebasdepage"/>
        <w:rPr>
          <w:lang w:val="fr-FR"/>
        </w:rPr>
      </w:pPr>
      <w:r w:rsidRPr="00C34C1B">
        <w:rPr>
          <w:sz w:val="20"/>
          <w:szCs w:val="22"/>
          <w:lang w:val="fr-FR"/>
        </w:rPr>
        <w:tab/>
        <w:t>*</w:t>
      </w:r>
      <w:r w:rsidRPr="00C34C1B">
        <w:rPr>
          <w:sz w:val="20"/>
          <w:szCs w:val="22"/>
          <w:lang w:val="fr-FR"/>
        </w:rPr>
        <w:tab/>
      </w:r>
      <w:r>
        <w:rPr>
          <w:lang w:val="fr-FR"/>
        </w:rPr>
        <w:t>Conformément au programme de travail du Comité des transports intérieurs pour 2024 tel qu’il figure dans le projet de budget-programme pour 2024 (A/78/6 (Sect</w:t>
      </w:r>
      <w:r w:rsidR="00402B6E" w:rsidRPr="00402B6E">
        <w:rPr>
          <w:lang w:val="fr-FR"/>
        </w:rPr>
        <w:t>.</w:t>
      </w:r>
      <w:r>
        <w:rPr>
          <w:lang w:val="fr-FR"/>
        </w:rPr>
        <w:t xml:space="preserve"> 20), tableau 20</w:t>
      </w:r>
      <w:r w:rsidR="00402B6E" w:rsidRPr="00402B6E">
        <w:rPr>
          <w:lang w:val="fr-FR"/>
        </w:rPr>
        <w:t>.</w:t>
      </w:r>
      <w:r>
        <w:rPr>
          <w:lang w:val="fr-FR"/>
        </w:rPr>
        <w:t>5), le Forum mondial a pour mission d’élaborer, d’harmoniser et de mettre à jour les Règlements ONU en vue d’améliorer les caractéristiques fonctionnelles des véhicules</w:t>
      </w:r>
      <w:r w:rsidR="00402B6E" w:rsidRPr="00402B6E">
        <w:rPr>
          <w:lang w:val="fr-FR"/>
        </w:rPr>
        <w:t>.</w:t>
      </w:r>
      <w:r>
        <w:rPr>
          <w:lang w:val="fr-FR"/>
        </w:rPr>
        <w:t xml:space="preserve"> Le présent document est soumis en vertu de ce mandat</w:t>
      </w:r>
      <w:r w:rsidR="00402B6E" w:rsidRPr="00402B6E">
        <w:rPr>
          <w:lang w:val="fr-FR"/>
        </w:rPr>
        <w:t>.</w:t>
      </w:r>
    </w:p>
    <w:p w14:paraId="7F1420D7" w14:textId="77777777" w:rsidR="00C34C1B" w:rsidRPr="00EA370C" w:rsidRDefault="00C34C1B" w:rsidP="00C34C1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5AC" w14:textId="0C2AE03D" w:rsidR="00C34C1B" w:rsidRPr="00C34C1B" w:rsidRDefault="00C34C1B">
    <w:pPr>
      <w:pStyle w:val="En-tte"/>
    </w:pPr>
    <w:fldSimple w:instr=" TITLE  \* MERGEFORMAT ">
      <w:r w:rsidR="0051238B">
        <w:t>ECE/TRANS/WP.29/GRBP/2024/16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9E6" w14:textId="0794BC89" w:rsidR="00C34C1B" w:rsidRPr="00C34C1B" w:rsidRDefault="00C34C1B" w:rsidP="00C34C1B">
    <w:pPr>
      <w:pStyle w:val="En-tte"/>
      <w:jc w:val="right"/>
    </w:pPr>
    <w:fldSimple w:instr=" TITLE  \* MERGEFORMAT ">
      <w:r w:rsidR="0051238B">
        <w:t>ECE/TRANS/WP.29/GRBP/2024/16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9D6443"/>
    <w:multiLevelType w:val="hybridMultilevel"/>
    <w:tmpl w:val="C88AEB48"/>
    <w:lvl w:ilvl="0" w:tplc="41164774">
      <w:start w:val="1"/>
      <w:numFmt w:val="bullet"/>
      <w:lvlText w:val="-"/>
      <w:lvlJc w:val="left"/>
      <w:pPr>
        <w:ind w:left="1494" w:hanging="360"/>
      </w:pPr>
      <w:rPr>
        <w:rFonts w:ascii="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14475353">
    <w:abstractNumId w:val="13"/>
  </w:num>
  <w:num w:numId="2" w16cid:durableId="1160653299">
    <w:abstractNumId w:val="11"/>
  </w:num>
  <w:num w:numId="3" w16cid:durableId="1515266366">
    <w:abstractNumId w:val="10"/>
  </w:num>
  <w:num w:numId="4" w16cid:durableId="164367397">
    <w:abstractNumId w:val="8"/>
  </w:num>
  <w:num w:numId="5" w16cid:durableId="854424844">
    <w:abstractNumId w:val="3"/>
  </w:num>
  <w:num w:numId="6" w16cid:durableId="719789459">
    <w:abstractNumId w:val="2"/>
  </w:num>
  <w:num w:numId="7" w16cid:durableId="28066982">
    <w:abstractNumId w:val="1"/>
  </w:num>
  <w:num w:numId="8" w16cid:durableId="1012221089">
    <w:abstractNumId w:val="0"/>
  </w:num>
  <w:num w:numId="9" w16cid:durableId="7102140">
    <w:abstractNumId w:val="9"/>
  </w:num>
  <w:num w:numId="10" w16cid:durableId="2069523847">
    <w:abstractNumId w:val="7"/>
  </w:num>
  <w:num w:numId="11" w16cid:durableId="1931889346">
    <w:abstractNumId w:val="6"/>
  </w:num>
  <w:num w:numId="12" w16cid:durableId="689381391">
    <w:abstractNumId w:val="5"/>
  </w:num>
  <w:num w:numId="13" w16cid:durableId="607539636">
    <w:abstractNumId w:val="4"/>
  </w:num>
  <w:num w:numId="14" w16cid:durableId="1478719424">
    <w:abstractNumId w:val="13"/>
  </w:num>
  <w:num w:numId="15" w16cid:durableId="951977177">
    <w:abstractNumId w:val="11"/>
  </w:num>
  <w:num w:numId="16" w16cid:durableId="1373110648">
    <w:abstractNumId w:val="10"/>
  </w:num>
  <w:num w:numId="17" w16cid:durableId="2010212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4C"/>
    <w:rsid w:val="00017F94"/>
    <w:rsid w:val="00023842"/>
    <w:rsid w:val="000334F9"/>
    <w:rsid w:val="00045FEB"/>
    <w:rsid w:val="0007796D"/>
    <w:rsid w:val="000B7790"/>
    <w:rsid w:val="00111F2F"/>
    <w:rsid w:val="001277DE"/>
    <w:rsid w:val="0014365E"/>
    <w:rsid w:val="00143C66"/>
    <w:rsid w:val="00176178"/>
    <w:rsid w:val="001F525A"/>
    <w:rsid w:val="00201148"/>
    <w:rsid w:val="00223272"/>
    <w:rsid w:val="0024779E"/>
    <w:rsid w:val="00257168"/>
    <w:rsid w:val="002744B8"/>
    <w:rsid w:val="002832AC"/>
    <w:rsid w:val="002D7C93"/>
    <w:rsid w:val="00305801"/>
    <w:rsid w:val="003916DE"/>
    <w:rsid w:val="003A7B4C"/>
    <w:rsid w:val="00402B6E"/>
    <w:rsid w:val="00421996"/>
    <w:rsid w:val="00441C3B"/>
    <w:rsid w:val="00446FE5"/>
    <w:rsid w:val="00452396"/>
    <w:rsid w:val="00477EB2"/>
    <w:rsid w:val="004837D8"/>
    <w:rsid w:val="004E2EED"/>
    <w:rsid w:val="004E468C"/>
    <w:rsid w:val="0051238B"/>
    <w:rsid w:val="005505B7"/>
    <w:rsid w:val="00573BE5"/>
    <w:rsid w:val="00586ED3"/>
    <w:rsid w:val="00596AA9"/>
    <w:rsid w:val="00713553"/>
    <w:rsid w:val="0071601D"/>
    <w:rsid w:val="007A62E6"/>
    <w:rsid w:val="007F20FA"/>
    <w:rsid w:val="0080684C"/>
    <w:rsid w:val="008233ED"/>
    <w:rsid w:val="00871C75"/>
    <w:rsid w:val="008776DC"/>
    <w:rsid w:val="008A53D2"/>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34C1B"/>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142F"/>
  <w15:docId w15:val="{55894212-3399-4595-BDC5-BA6C4A1B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34C1B"/>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C34C1B"/>
    <w:pPr>
      <w:kinsoku/>
      <w:overflowPunct/>
      <w:autoSpaceDE/>
      <w:autoSpaceDN/>
      <w:adjustRightInd/>
      <w:snapToGrid/>
      <w:ind w:left="720"/>
      <w:contextualSpacing/>
    </w:pPr>
    <w:rPr>
      <w:rFonts w:eastAsia="Times New Roman"/>
    </w:rPr>
  </w:style>
  <w:style w:type="paragraph" w:customStyle="1" w:styleId="SingleTxtGR">
    <w:name w:val="_ Single Txt_GR"/>
    <w:basedOn w:val="Normal"/>
    <w:rsid w:val="00C34C1B"/>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a">
    <w:name w:val="Другое_"/>
    <w:basedOn w:val="Policepardfaut"/>
    <w:link w:val="a0"/>
    <w:rsid w:val="00C34C1B"/>
    <w:rPr>
      <w:shd w:val="clear" w:color="auto" w:fill="FFFFFF"/>
    </w:rPr>
  </w:style>
  <w:style w:type="paragraph" w:customStyle="1" w:styleId="a0">
    <w:name w:val="Другое"/>
    <w:basedOn w:val="Normal"/>
    <w:link w:val="a"/>
    <w:rsid w:val="00C34C1B"/>
    <w:pPr>
      <w:widowControl w:val="0"/>
      <w:shd w:val="clear" w:color="auto" w:fill="FFFFFF"/>
      <w:suppressAutoHyphens w:val="0"/>
      <w:kinsoku/>
      <w:overflowPunct/>
      <w:autoSpaceDE/>
      <w:autoSpaceDN/>
      <w:adjustRightInd/>
      <w:snapToGrid/>
      <w:spacing w:after="220" w:line="240" w:lineRule="auto"/>
    </w:pPr>
    <w:rPr>
      <w:rFonts w:asciiTheme="minorHAnsi" w:eastAsia="Times New Roman"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8D3EF-BA8B-4017-A1CF-D1EFADF0979B}"/>
</file>

<file path=customXml/itemProps2.xml><?xml version="1.0" encoding="utf-8"?>
<ds:datastoreItem xmlns:ds="http://schemas.openxmlformats.org/officeDocument/2006/customXml" ds:itemID="{821332A1-2099-4513-9F4A-ADD95C5BF281}"/>
</file>

<file path=docProps/app.xml><?xml version="1.0" encoding="utf-8"?>
<Properties xmlns="http://schemas.openxmlformats.org/officeDocument/2006/extended-properties" xmlns:vt="http://schemas.openxmlformats.org/officeDocument/2006/docPropsVTypes">
  <Template>ECE_TRANS.dotm</Template>
  <TotalTime>1</TotalTime>
  <Pages>6</Pages>
  <Words>2221</Words>
  <Characters>11601</Characters>
  <Application>Microsoft Office Word</Application>
  <DocSecurity>0</DocSecurity>
  <Lines>246</Lines>
  <Paragraphs>111</Paragraphs>
  <ScaleCrop>false</ScaleCrop>
  <HeadingPairs>
    <vt:vector size="2" baseType="variant">
      <vt:variant>
        <vt:lpstr>Titre</vt:lpstr>
      </vt:variant>
      <vt:variant>
        <vt:i4>1</vt:i4>
      </vt:variant>
    </vt:vector>
  </HeadingPairs>
  <TitlesOfParts>
    <vt:vector size="1" baseType="lpstr">
      <vt:lpstr>ECE/TRANS/WP.29/GRBP/2024/16</vt:lpstr>
    </vt:vector>
  </TitlesOfParts>
  <Company>DCM</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ECE/TRANS/WP.29/GRBP/2024/16</dc:title>
  <dc:subject/>
  <dc:creator>Maud DARICHE</dc:creator>
  <cp:keywords/>
  <cp:lastModifiedBy>Maud Dariche</cp:lastModifiedBy>
  <cp:revision>3</cp:revision>
  <cp:lastPrinted>2024-01-24T09:11:00Z</cp:lastPrinted>
  <dcterms:created xsi:type="dcterms:W3CDTF">2024-01-24T09:11:00Z</dcterms:created>
  <dcterms:modified xsi:type="dcterms:W3CDTF">2024-01-24T09:12:00Z</dcterms:modified>
</cp:coreProperties>
</file>