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B583A41" w14:textId="77777777" w:rsidTr="00387CD4">
        <w:trPr>
          <w:trHeight w:hRule="exact" w:val="851"/>
        </w:trPr>
        <w:tc>
          <w:tcPr>
            <w:tcW w:w="142" w:type="dxa"/>
            <w:tcBorders>
              <w:bottom w:val="single" w:sz="4" w:space="0" w:color="auto"/>
            </w:tcBorders>
          </w:tcPr>
          <w:p w14:paraId="1CCE4A5E" w14:textId="77777777" w:rsidR="002D5AAC" w:rsidRDefault="002D5AAC" w:rsidP="00F539B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107B8D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049D40A" w14:textId="5095D7FC" w:rsidR="002D5AAC" w:rsidRDefault="00F539BD" w:rsidP="00F539BD">
            <w:pPr>
              <w:jc w:val="right"/>
            </w:pPr>
            <w:r w:rsidRPr="00F539BD">
              <w:rPr>
                <w:sz w:val="40"/>
              </w:rPr>
              <w:t>ECE</w:t>
            </w:r>
            <w:r>
              <w:t>/TRANS/WP.15/AC.1/2024/17</w:t>
            </w:r>
          </w:p>
        </w:tc>
      </w:tr>
      <w:tr w:rsidR="002D5AAC" w:rsidRPr="00F539BD" w14:paraId="7968FD0E" w14:textId="77777777" w:rsidTr="00387CD4">
        <w:trPr>
          <w:trHeight w:hRule="exact" w:val="2835"/>
        </w:trPr>
        <w:tc>
          <w:tcPr>
            <w:tcW w:w="1280" w:type="dxa"/>
            <w:gridSpan w:val="2"/>
            <w:tcBorders>
              <w:top w:val="single" w:sz="4" w:space="0" w:color="auto"/>
              <w:bottom w:val="single" w:sz="12" w:space="0" w:color="auto"/>
            </w:tcBorders>
          </w:tcPr>
          <w:p w14:paraId="02BFB96B" w14:textId="77777777" w:rsidR="002D5AAC" w:rsidRDefault="002E5067" w:rsidP="00387CD4">
            <w:pPr>
              <w:spacing w:before="120"/>
              <w:jc w:val="center"/>
            </w:pPr>
            <w:r>
              <w:rPr>
                <w:noProof/>
                <w:lang w:val="fr-CH" w:eastAsia="fr-CH"/>
              </w:rPr>
              <w:drawing>
                <wp:inline distT="0" distB="0" distL="0" distR="0" wp14:anchorId="0047C399" wp14:editId="5C2770B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038DD4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A599E1B" w14:textId="77777777" w:rsidR="002D5AAC" w:rsidRDefault="00F539BD" w:rsidP="00387CD4">
            <w:pPr>
              <w:spacing w:before="240"/>
              <w:rPr>
                <w:lang w:val="en-US"/>
              </w:rPr>
            </w:pPr>
            <w:r>
              <w:rPr>
                <w:lang w:val="en-US"/>
              </w:rPr>
              <w:t>Distr.: General</w:t>
            </w:r>
          </w:p>
          <w:p w14:paraId="5E6D8BDD" w14:textId="77777777" w:rsidR="00F539BD" w:rsidRDefault="00F539BD" w:rsidP="00F539BD">
            <w:pPr>
              <w:spacing w:line="240" w:lineRule="exact"/>
              <w:rPr>
                <w:lang w:val="en-US"/>
              </w:rPr>
            </w:pPr>
            <w:r>
              <w:rPr>
                <w:lang w:val="en-US"/>
              </w:rPr>
              <w:t>27 December 2023</w:t>
            </w:r>
          </w:p>
          <w:p w14:paraId="5EA49A3B" w14:textId="77777777" w:rsidR="00F539BD" w:rsidRDefault="00F539BD" w:rsidP="00F539BD">
            <w:pPr>
              <w:spacing w:line="240" w:lineRule="exact"/>
              <w:rPr>
                <w:lang w:val="en-US"/>
              </w:rPr>
            </w:pPr>
            <w:r>
              <w:rPr>
                <w:lang w:val="en-US"/>
              </w:rPr>
              <w:t>Russian</w:t>
            </w:r>
          </w:p>
          <w:p w14:paraId="708D57AA" w14:textId="69945367" w:rsidR="00F539BD" w:rsidRPr="008D53B6" w:rsidRDefault="00F539BD" w:rsidP="00F539BD">
            <w:pPr>
              <w:spacing w:line="240" w:lineRule="exact"/>
              <w:rPr>
                <w:lang w:val="en-US"/>
              </w:rPr>
            </w:pPr>
            <w:r>
              <w:rPr>
                <w:lang w:val="en-US"/>
              </w:rPr>
              <w:t>Original: English</w:t>
            </w:r>
          </w:p>
        </w:tc>
      </w:tr>
    </w:tbl>
    <w:p w14:paraId="4BC0FC4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05041EF" w14:textId="77777777" w:rsidR="00F539BD" w:rsidRPr="002B1762" w:rsidRDefault="00F539BD" w:rsidP="00F539BD">
      <w:pPr>
        <w:spacing w:before="120"/>
        <w:rPr>
          <w:sz w:val="28"/>
          <w:szCs w:val="28"/>
        </w:rPr>
      </w:pPr>
      <w:r w:rsidRPr="002B1762">
        <w:rPr>
          <w:sz w:val="28"/>
          <w:szCs w:val="28"/>
        </w:rPr>
        <w:t>Комитет по внутреннему транспорту</w:t>
      </w:r>
    </w:p>
    <w:p w14:paraId="41FE3562" w14:textId="77777777" w:rsidR="00F539BD" w:rsidRPr="002B1762" w:rsidRDefault="00F539BD" w:rsidP="00F539BD">
      <w:pPr>
        <w:spacing w:before="120"/>
        <w:rPr>
          <w:b/>
          <w:bCs/>
          <w:sz w:val="24"/>
          <w:szCs w:val="24"/>
        </w:rPr>
      </w:pPr>
      <w:r w:rsidRPr="002B1762">
        <w:rPr>
          <w:b/>
          <w:bCs/>
          <w:sz w:val="24"/>
          <w:szCs w:val="24"/>
        </w:rPr>
        <w:t>Рабочая группа по перевозкам опасных грузов</w:t>
      </w:r>
    </w:p>
    <w:p w14:paraId="5052B5FC" w14:textId="655DDB2D" w:rsidR="00F539BD" w:rsidRPr="00960236" w:rsidRDefault="00F539BD" w:rsidP="00F539BD">
      <w:pPr>
        <w:spacing w:before="120"/>
        <w:rPr>
          <w:b/>
        </w:rPr>
      </w:pPr>
      <w:r>
        <w:rPr>
          <w:b/>
          <w:bCs/>
        </w:rPr>
        <w:t xml:space="preserve">Совместное совещание Комиссии экспертов МПОГ </w:t>
      </w:r>
      <w:r w:rsidR="002B1762">
        <w:rPr>
          <w:b/>
          <w:bCs/>
        </w:rPr>
        <w:br/>
      </w:r>
      <w:r>
        <w:rPr>
          <w:b/>
          <w:bCs/>
        </w:rPr>
        <w:t>и Рабочей группы по перевозкам опасных грузов</w:t>
      </w:r>
    </w:p>
    <w:p w14:paraId="101C6608" w14:textId="21A91C86" w:rsidR="00F539BD" w:rsidRDefault="00F539BD" w:rsidP="00F539BD">
      <w:r>
        <w:t>Берн, 25</w:t>
      </w:r>
      <w:r w:rsidR="002B1762">
        <w:rPr>
          <w:lang w:val="en-US"/>
        </w:rPr>
        <w:t>–</w:t>
      </w:r>
      <w:r>
        <w:t>28 марта 2024 года</w:t>
      </w:r>
    </w:p>
    <w:p w14:paraId="2C830072" w14:textId="77777777" w:rsidR="00F539BD" w:rsidRDefault="00F539BD" w:rsidP="00F539BD">
      <w:r>
        <w:t>Пункт 5 b) предварительной повестки дня:</w:t>
      </w:r>
    </w:p>
    <w:p w14:paraId="38B4F074" w14:textId="6FB802B0" w:rsidR="00F539BD" w:rsidRPr="00B6244E" w:rsidRDefault="00F539BD" w:rsidP="00F539BD">
      <w:pPr>
        <w:rPr>
          <w:b/>
          <w:bCs/>
        </w:rPr>
      </w:pPr>
      <w:r w:rsidRPr="00B6244E">
        <w:rPr>
          <w:b/>
          <w:bCs/>
        </w:rPr>
        <w:t xml:space="preserve">Предложения о внесении поправок в МПОГ/ДОПОГ/ВОПОГ: </w:t>
      </w:r>
      <w:r w:rsidR="002B1762">
        <w:rPr>
          <w:b/>
          <w:bCs/>
        </w:rPr>
        <w:br/>
      </w:r>
      <w:r w:rsidRPr="00B6244E">
        <w:rPr>
          <w:b/>
          <w:bCs/>
        </w:rPr>
        <w:t>новые предложения</w:t>
      </w:r>
    </w:p>
    <w:p w14:paraId="10796038" w14:textId="3B62B63C" w:rsidR="00F539BD" w:rsidRPr="000C0070" w:rsidRDefault="00F539BD" w:rsidP="002B1762">
      <w:pPr>
        <w:pStyle w:val="HChG"/>
      </w:pPr>
      <w:r>
        <w:tab/>
      </w:r>
      <w:r>
        <w:tab/>
        <w:t xml:space="preserve">Предложение по внесению поправки в инструкцию </w:t>
      </w:r>
      <w:r w:rsidR="002B1762">
        <w:br/>
      </w:r>
      <w:r>
        <w:t xml:space="preserve">по упаковке P200, содержащуюся в </w:t>
      </w:r>
      <w:r w:rsidRPr="002B1762">
        <w:t>подразделе</w:t>
      </w:r>
      <w:r>
        <w:t xml:space="preserve"> 4.1.4.1 МПОГ/ДОПОГ, позволяющее увеличить интервал между периодическими проверками баллонов для сжиженного нефтяного газа, изготовленных в соответствии </w:t>
      </w:r>
      <w:r w:rsidR="002B1762">
        <w:br/>
      </w:r>
      <w:r>
        <w:t>со стандартом EN 14140, с 10 до 15 лет</w:t>
      </w:r>
    </w:p>
    <w:p w14:paraId="1B6D022A" w14:textId="3574BDF8" w:rsidR="00F539BD" w:rsidRDefault="00F539BD" w:rsidP="00F539BD">
      <w:pPr>
        <w:pStyle w:val="H1G"/>
      </w:pPr>
      <w:r>
        <w:tab/>
      </w:r>
      <w:r>
        <w:tab/>
      </w:r>
      <w:r>
        <w:rPr>
          <w:bCs/>
        </w:rPr>
        <w:t>Передано ассоциацией «Сжиженный газ — Европа»</w:t>
      </w:r>
      <w:r w:rsidR="002B1762" w:rsidRPr="002B1762">
        <w:rPr>
          <w:rStyle w:val="aa"/>
          <w:b w:val="0"/>
          <w:sz w:val="20"/>
          <w:vertAlign w:val="baseline"/>
        </w:rPr>
        <w:footnoteReference w:customMarkFollows="1" w:id="1"/>
        <w:t>*</w:t>
      </w:r>
      <w:r w:rsidR="002B1762" w:rsidRPr="002B1762">
        <w:rPr>
          <w:b w:val="0"/>
          <w:sz w:val="20"/>
          <w:vertAlign w:val="superscript"/>
        </w:rPr>
        <w:t>,</w:t>
      </w:r>
      <w:r w:rsidRPr="00E82BD0">
        <w:rPr>
          <w:rStyle w:val="aa"/>
        </w:rPr>
        <w:t xml:space="preserve"> </w:t>
      </w:r>
      <w:r w:rsidRPr="002B1762">
        <w:rPr>
          <w:rStyle w:val="aa"/>
          <w:b w:val="0"/>
          <w:bCs/>
          <w:sz w:val="20"/>
          <w:vertAlign w:val="baseline"/>
        </w:rPr>
        <w:footnoteReference w:customMarkFollows="1" w:id="2"/>
        <w:t>**</w:t>
      </w:r>
    </w:p>
    <w:tbl>
      <w:tblPr>
        <w:tblStyle w:val="ac"/>
        <w:tblW w:w="0" w:type="auto"/>
        <w:jc w:val="center"/>
        <w:tblLook w:val="05E0" w:firstRow="1" w:lastRow="1" w:firstColumn="1" w:lastColumn="1" w:noHBand="0" w:noVBand="1"/>
      </w:tblPr>
      <w:tblGrid>
        <w:gridCol w:w="9628"/>
      </w:tblGrid>
      <w:tr w:rsidR="00F539BD" w:rsidRPr="00F539BD" w14:paraId="18E330B4" w14:textId="77777777" w:rsidTr="00F539BD">
        <w:trPr>
          <w:jc w:val="center"/>
        </w:trPr>
        <w:tc>
          <w:tcPr>
            <w:tcW w:w="9628" w:type="dxa"/>
            <w:tcBorders>
              <w:bottom w:val="nil"/>
            </w:tcBorders>
          </w:tcPr>
          <w:p w14:paraId="1DDBEB6B" w14:textId="77777777" w:rsidR="00F539BD" w:rsidRPr="00F539BD" w:rsidRDefault="00F539BD" w:rsidP="00850215">
            <w:pPr>
              <w:tabs>
                <w:tab w:val="left" w:pos="255"/>
              </w:tabs>
              <w:spacing w:before="240" w:after="120"/>
              <w:rPr>
                <w:rFonts w:cs="Times New Roman"/>
                <w:sz w:val="24"/>
              </w:rPr>
            </w:pPr>
            <w:r w:rsidRPr="00F539BD">
              <w:rPr>
                <w:rFonts w:cs="Times New Roman"/>
              </w:rPr>
              <w:tab/>
            </w:r>
            <w:r w:rsidRPr="00F539BD">
              <w:rPr>
                <w:rFonts w:cs="Times New Roman"/>
                <w:i/>
                <w:sz w:val="24"/>
              </w:rPr>
              <w:t>Резюме</w:t>
            </w:r>
          </w:p>
        </w:tc>
      </w:tr>
      <w:tr w:rsidR="00F539BD" w:rsidRPr="00F539BD" w14:paraId="74209D97" w14:textId="77777777" w:rsidTr="00F539BD">
        <w:trPr>
          <w:jc w:val="center"/>
        </w:trPr>
        <w:tc>
          <w:tcPr>
            <w:tcW w:w="9628" w:type="dxa"/>
            <w:tcBorders>
              <w:top w:val="nil"/>
              <w:bottom w:val="nil"/>
            </w:tcBorders>
            <w:shd w:val="clear" w:color="auto" w:fill="auto"/>
          </w:tcPr>
          <w:p w14:paraId="0260FC29" w14:textId="4942D2E6" w:rsidR="00F539BD" w:rsidRPr="00F539BD" w:rsidRDefault="00F539BD" w:rsidP="00F539BD">
            <w:pPr>
              <w:pStyle w:val="SingleTxtG"/>
              <w:tabs>
                <w:tab w:val="left" w:pos="3539"/>
              </w:tabs>
              <w:ind w:left="3539" w:hanging="2405"/>
            </w:pPr>
            <w:r w:rsidRPr="00F539BD">
              <w:rPr>
                <w:b/>
                <w:bCs/>
              </w:rPr>
              <w:t>Существо предложения:</w:t>
            </w:r>
            <w:r w:rsidRPr="00F539BD">
              <w:tab/>
              <w:t>Переходная мера, предусмотренная в пункте 1.6.2.9, позволяет компетентному(ым) органу(ам) страны (стран), в которой(ых) осуществляются периодическая проверка и перевозка, разрешать увеличение до</w:t>
            </w:r>
            <w:r w:rsidR="002B1C39">
              <w:t xml:space="preserve"> </w:t>
            </w:r>
            <w:r w:rsidRPr="00F539BD">
              <w:t>15 лет периода между периодическими проверками баллонов для сжиженного нефтяного газа (СНГ), изготовленных в соответствии со стандартом EN 14140 до 1 января 2015 года. Однако в инструкции по упаковке P200</w:t>
            </w:r>
            <w:r w:rsidR="009D4D2C">
              <w:t xml:space="preserve"> (</w:t>
            </w:r>
            <w:r w:rsidRPr="00F539BD">
              <w:t>12)</w:t>
            </w:r>
            <w:r w:rsidR="009D4D2C">
              <w:t xml:space="preserve"> (</w:t>
            </w:r>
            <w:r w:rsidRPr="00F539BD">
              <w:t>1.3</w:t>
            </w:r>
            <w:r w:rsidR="009D4D2C">
              <w:t>)</w:t>
            </w:r>
            <w:r w:rsidRPr="00F539BD">
              <w:t xml:space="preserve">, содержащейся в подразделе 4.1.4.1, EN 14140 не указан в качестве стандарта, в соответствии с которым для баллонов, изготовленных после 1 января 2015 года, период между периодическими проверками можно продлевать с </w:t>
            </w:r>
            <w:r w:rsidR="009D4D2C">
              <w:br/>
            </w:r>
            <w:r w:rsidRPr="00F539BD">
              <w:t>10 до 15 лет.</w:t>
            </w:r>
          </w:p>
          <w:p w14:paraId="5DB665F1" w14:textId="2BC4392D" w:rsidR="00F539BD" w:rsidRPr="00F539BD" w:rsidRDefault="00F539BD" w:rsidP="00F539BD">
            <w:pPr>
              <w:pStyle w:val="SingleTxtG"/>
              <w:tabs>
                <w:tab w:val="left" w:pos="3539"/>
              </w:tabs>
              <w:ind w:left="3539" w:hanging="2405"/>
              <w:rPr>
                <w:bCs/>
              </w:rPr>
            </w:pPr>
            <w:r w:rsidRPr="00F539BD">
              <w:rPr>
                <w:b/>
                <w:bCs/>
              </w:rPr>
              <w:t>Предлагаемое решение:</w:t>
            </w:r>
            <w:r w:rsidRPr="00F539BD">
              <w:tab/>
              <w:t>Поправка к инструкции по упаковке P200</w:t>
            </w:r>
            <w:r w:rsidR="009D4D2C">
              <w:t xml:space="preserve"> (</w:t>
            </w:r>
            <w:r w:rsidRPr="00F539BD">
              <w:t>12)</w:t>
            </w:r>
            <w:r w:rsidR="009D4D2C">
              <w:t xml:space="preserve"> (</w:t>
            </w:r>
            <w:r w:rsidRPr="00F539BD">
              <w:t>1.3</w:t>
            </w:r>
            <w:r w:rsidR="009D4D2C">
              <w:t>)</w:t>
            </w:r>
            <w:r w:rsidRPr="00F539BD">
              <w:t xml:space="preserve">, содержащейся в подразделе 4.1.4.1 МПОГ/ДОПОГ, разрешающая, при условии одобрения национальным компетентным органом, проводить периодические </w:t>
            </w:r>
            <w:r w:rsidRPr="00F539BD">
              <w:lastRenderedPageBreak/>
              <w:t>проверки баллонов для СНГ, изготовленных в соответствии со стандартом EN 14140 после 1 января 2015</w:t>
            </w:r>
            <w:r w:rsidR="009D4D2C">
              <w:t> </w:t>
            </w:r>
            <w:r w:rsidRPr="00F539BD">
              <w:t>года, с интервалом в 15 лет согласно требованиям МПОГ/ДОПОГ в соответствии с техническими правилами, признанными национальным компетентным органом.</w:t>
            </w:r>
          </w:p>
          <w:p w14:paraId="5ED03225" w14:textId="2DAA61AC" w:rsidR="00F539BD" w:rsidRPr="00F539BD" w:rsidRDefault="00F539BD" w:rsidP="00F539BD">
            <w:pPr>
              <w:pStyle w:val="SingleTxtG"/>
              <w:tabs>
                <w:tab w:val="left" w:pos="3539"/>
              </w:tabs>
              <w:ind w:left="3539" w:hanging="2405"/>
            </w:pPr>
            <w:r w:rsidRPr="00F539BD">
              <w:rPr>
                <w:b/>
                <w:bCs/>
              </w:rPr>
              <w:t>Справочные документы:</w:t>
            </w:r>
            <w:r w:rsidRPr="00F539BD">
              <w:tab/>
              <w:t xml:space="preserve">Неофициальные документы INF.14 и INF.47, представленные на сессии Совместного совещания </w:t>
            </w:r>
            <w:r w:rsidR="002B1762">
              <w:br/>
            </w:r>
            <w:r w:rsidRPr="00F539BD">
              <w:t>19</w:t>
            </w:r>
            <w:r w:rsidR="002B1762" w:rsidRPr="002B1762">
              <w:t>–</w:t>
            </w:r>
            <w:r w:rsidRPr="00F539BD">
              <w:t>27 сентября 2023 года ассоциацией «Сжиженный газ</w:t>
            </w:r>
            <w:r w:rsidR="002B1762">
              <w:rPr>
                <w:lang w:val="en-US"/>
              </w:rPr>
              <w:t> </w:t>
            </w:r>
            <w:r w:rsidR="002B1762" w:rsidRPr="002B1762">
              <w:t>—</w:t>
            </w:r>
            <w:r w:rsidRPr="00F539BD">
              <w:t xml:space="preserve"> Европа», и INF.6, представленный на сессии Совместного совещания в марте 2024 года.</w:t>
            </w:r>
          </w:p>
        </w:tc>
      </w:tr>
      <w:tr w:rsidR="00F539BD" w:rsidRPr="00F539BD" w14:paraId="226E3599" w14:textId="77777777" w:rsidTr="00F539BD">
        <w:trPr>
          <w:jc w:val="center"/>
        </w:trPr>
        <w:tc>
          <w:tcPr>
            <w:tcW w:w="9628" w:type="dxa"/>
            <w:tcBorders>
              <w:top w:val="nil"/>
            </w:tcBorders>
          </w:tcPr>
          <w:p w14:paraId="224A9621" w14:textId="77777777" w:rsidR="00F539BD" w:rsidRPr="00F539BD" w:rsidRDefault="00F539BD" w:rsidP="00850215">
            <w:pPr>
              <w:rPr>
                <w:rFonts w:cs="Times New Roman"/>
              </w:rPr>
            </w:pPr>
          </w:p>
        </w:tc>
      </w:tr>
    </w:tbl>
    <w:p w14:paraId="724B3A74" w14:textId="7C71C964" w:rsidR="00F539BD" w:rsidRPr="00F26154" w:rsidRDefault="002B1762" w:rsidP="00F539BD">
      <w:pPr>
        <w:pStyle w:val="HChG"/>
        <w:rPr>
          <w:color w:val="000000" w:themeColor="text1"/>
        </w:rPr>
      </w:pPr>
      <w:r>
        <w:rPr>
          <w:bCs/>
        </w:rPr>
        <w:tab/>
      </w:r>
      <w:r w:rsidR="00F539BD">
        <w:rPr>
          <w:bCs/>
        </w:rPr>
        <w:t>I.</w:t>
      </w:r>
      <w:r w:rsidR="00F539BD">
        <w:tab/>
      </w:r>
      <w:r w:rsidR="00F539BD">
        <w:rPr>
          <w:bCs/>
        </w:rPr>
        <w:t>Справочная информация по итогам сессии Совместного совещания в сентябре 2023 года</w:t>
      </w:r>
    </w:p>
    <w:p w14:paraId="4B0E582B" w14:textId="13546C45" w:rsidR="00F539BD" w:rsidRPr="00F26154" w:rsidRDefault="00F539BD" w:rsidP="00F539BD">
      <w:pPr>
        <w:pStyle w:val="SingleTxtG"/>
        <w:tabs>
          <w:tab w:val="clear" w:pos="1701"/>
          <w:tab w:val="clear" w:pos="2268"/>
          <w:tab w:val="clear" w:pos="2835"/>
          <w:tab w:val="left" w:pos="993"/>
        </w:tabs>
        <w:rPr>
          <w:color w:val="000000" w:themeColor="text1"/>
        </w:rPr>
      </w:pPr>
      <w:r w:rsidRPr="00F26154">
        <w:rPr>
          <w:color w:val="000000" w:themeColor="text1"/>
        </w:rPr>
        <w:t>1.</w:t>
      </w:r>
      <w:r w:rsidRPr="00F26154">
        <w:rPr>
          <w:color w:val="000000" w:themeColor="text1"/>
        </w:rPr>
        <w:tab/>
      </w:r>
      <w:r>
        <w:t xml:space="preserve">В сентябре 2023 года делегат от ассоциации «Сжиженный газ </w:t>
      </w:r>
      <w:r w:rsidR="002B1762" w:rsidRPr="002B1762">
        <w:t>—</w:t>
      </w:r>
      <w:r>
        <w:t xml:space="preserve"> Европа» представил неофициальные документы INF.14 и INF.47. После их должного рассмотрения Совместное совещание обратилось к ассоциации «Сжиженный газ </w:t>
      </w:r>
      <w:r w:rsidR="002B1762" w:rsidRPr="002B1762">
        <w:t>—</w:t>
      </w:r>
      <w:r>
        <w:t xml:space="preserve"> Европа» с просьбой подготовить официальный документ к его сессии в марте 2024</w:t>
      </w:r>
      <w:r w:rsidR="002B1762">
        <w:rPr>
          <w:lang w:val="en-US"/>
        </w:rPr>
        <w:t> </w:t>
      </w:r>
      <w:r>
        <w:t>года с более подробным обоснованием высказанных опасений. Этот документ основан на неофициальных документах INF.14 и INF.47, а также сопровождается неофициальным вспомогательным документом, подготовленным Газотехнологическим институтом (Instituto Tecnológico de Gás) (ГТИ), который является в Португалии аккредитованным сертификационным органом, получившим техническое признание для целей проведения проверок газовых установок и газораспределительных сетей и подстанций (неофициальный документ INF.6). В этом неофициальном документе также содержится более подробная информация о баллонах, изготовленных в соответствии со стандартом EN 14140, находящихся в обращении в Европе, и сведения о предшествующих их наполнению проверке и контроле.</w:t>
      </w:r>
    </w:p>
    <w:p w14:paraId="00595659" w14:textId="77777777" w:rsidR="00F539BD" w:rsidRPr="00F26154" w:rsidRDefault="00F539BD" w:rsidP="00F539BD">
      <w:pPr>
        <w:pStyle w:val="HChG"/>
      </w:pPr>
      <w:r>
        <w:rPr>
          <w:bCs/>
        </w:rPr>
        <w:tab/>
        <w:t>II.</w:t>
      </w:r>
      <w:r>
        <w:tab/>
      </w:r>
      <w:r>
        <w:rPr>
          <w:bCs/>
        </w:rPr>
        <w:t>Предпосылки для запрашиваемых изменений</w:t>
      </w:r>
    </w:p>
    <w:p w14:paraId="7E5236F2" w14:textId="686A28E6" w:rsidR="00F539BD" w:rsidRPr="00F26154" w:rsidRDefault="00F539BD" w:rsidP="00F539BD">
      <w:pPr>
        <w:pStyle w:val="SingleTxtG"/>
      </w:pPr>
      <w:r>
        <w:t>2.</w:t>
      </w:r>
      <w:r>
        <w:tab/>
        <w:t>В издание МПОГ/ДОПОГ 2015 года были внесены поправки, позволяющие увеличить периодичность проводимых проверок некоторых сосудов для газов, перевозимых в соответствии с инструкциями по упаковке Р200, с 10 до 15 лет. В</w:t>
      </w:r>
      <w:r w:rsidR="002B1762">
        <w:rPr>
          <w:lang w:val="en-US"/>
        </w:rPr>
        <w:t> </w:t>
      </w:r>
      <w:r>
        <w:t>пункте 1.6.2.9 действующего издания МПОГ/ДОПОГ</w:t>
      </w:r>
      <w:r w:rsidRPr="008763D2">
        <w:t xml:space="preserve"> </w:t>
      </w:r>
      <w:r>
        <w:t xml:space="preserve">содержится следующая переходная мера, применимая к сосудам под давлением и сосудам для класса 2: </w:t>
      </w:r>
      <w:r w:rsidR="002B1762">
        <w:t>«</w:t>
      </w:r>
      <w:r>
        <w:t>Специальное положение v инструкции по упаковке P200 (10) подраздела 4.1.4.1, применявшейся до 31 декабря 2010 года, может применяться Договаривающимися государствами</w:t>
      </w:r>
      <w:r w:rsidRPr="005A7E7F">
        <w:t xml:space="preserve"> </w:t>
      </w:r>
      <w:r>
        <w:t>МПОГ/Договаривающимися сторонами ДОПОГ к баллонам, изготовленным до 1 января 2015 года</w:t>
      </w:r>
      <w:r w:rsidR="002B1762">
        <w:t>»</w:t>
      </w:r>
      <w:r>
        <w:t>.</w:t>
      </w:r>
    </w:p>
    <w:p w14:paraId="3312DEF9" w14:textId="77777777" w:rsidR="00F539BD" w:rsidRPr="00F26154" w:rsidRDefault="00F539BD" w:rsidP="00F539BD">
      <w:pPr>
        <w:pStyle w:val="SingleTxtG"/>
      </w:pPr>
      <w:r>
        <w:t>3.</w:t>
      </w:r>
      <w:r>
        <w:tab/>
        <w:t xml:space="preserve">Таким образом, к переходной мере в пункте 1.6.2.9 применяется формулировка МПОГ/ДОПОГ 2009 года. В изданиях МПОГ/ДОПОГ 2009 года специальное положение v инструкции по упаковке P200 (10) подраздела 4.1.4.1 сформулировано следующим образом: </w:t>
      </w:r>
    </w:p>
    <w:p w14:paraId="7600BE76" w14:textId="4D346C61" w:rsidR="00F539BD" w:rsidRPr="00F26154" w:rsidRDefault="002B1762" w:rsidP="00F539BD">
      <w:pPr>
        <w:pStyle w:val="SingleTxtG"/>
        <w:ind w:left="1689"/>
        <w:rPr>
          <w:i/>
          <w:iCs/>
        </w:rPr>
      </w:pPr>
      <w:r>
        <w:t>«</w:t>
      </w:r>
      <w:r w:rsidR="00F539BD">
        <w:rPr>
          <w:i/>
          <w:iCs/>
        </w:rPr>
        <w:t>v: Периодичность проведения проверок стальных баллонов может быть увеличена до 15 лет:</w:t>
      </w:r>
    </w:p>
    <w:p w14:paraId="1597A410" w14:textId="77777777" w:rsidR="00F539BD" w:rsidRPr="00F26154" w:rsidRDefault="00F539BD" w:rsidP="00F539BD">
      <w:pPr>
        <w:pStyle w:val="SingleTxtG"/>
        <w:ind w:left="2049" w:hanging="360"/>
        <w:rPr>
          <w:i/>
          <w:iCs/>
        </w:rPr>
      </w:pPr>
      <w:r>
        <w:rPr>
          <w:i/>
          <w:iCs/>
        </w:rPr>
        <w:t>a)</w:t>
      </w:r>
      <w:r>
        <w:tab/>
      </w:r>
      <w:r>
        <w:rPr>
          <w:i/>
          <w:iCs/>
        </w:rPr>
        <w:t>с согласия компетентного органа (компетентных органов) страны (стран), в которой (которых) осуществляются периодическая проверка и перевозка; и</w:t>
      </w:r>
    </w:p>
    <w:p w14:paraId="757DC291" w14:textId="4D5F8D82" w:rsidR="00F539BD" w:rsidRPr="002B1762" w:rsidRDefault="00F539BD" w:rsidP="00F539BD">
      <w:pPr>
        <w:pStyle w:val="SingleTxtG"/>
        <w:ind w:left="2049" w:hanging="360"/>
      </w:pPr>
      <w:r>
        <w:rPr>
          <w:i/>
          <w:iCs/>
        </w:rPr>
        <w:t>b)</w:t>
      </w:r>
      <w:r>
        <w:tab/>
      </w:r>
      <w:r>
        <w:rPr>
          <w:i/>
          <w:iCs/>
        </w:rPr>
        <w:t xml:space="preserve">в соответствии с требованиями технических правил или стандарта, признанных компетентным органом, или стандарта EN 1440:1996 </w:t>
      </w:r>
      <w:r w:rsidR="002B1762" w:rsidRPr="002B1762">
        <w:rPr>
          <w:i/>
          <w:iCs/>
        </w:rPr>
        <w:lastRenderedPageBreak/>
        <w:t>“</w:t>
      </w:r>
      <w:r>
        <w:rPr>
          <w:i/>
          <w:iCs/>
        </w:rPr>
        <w:t>Переносные сварные баллоны многоразового использования для сжиженных нефтяных газов (СНГ) </w:t>
      </w:r>
      <w:r w:rsidR="002B1762" w:rsidRPr="002B1762">
        <w:rPr>
          <w:i/>
          <w:iCs/>
        </w:rPr>
        <w:t>—</w:t>
      </w:r>
      <w:r>
        <w:rPr>
          <w:i/>
          <w:iCs/>
        </w:rPr>
        <w:t xml:space="preserve"> Периодическая проверка</w:t>
      </w:r>
      <w:r w:rsidR="002B1762" w:rsidRPr="002B1762">
        <w:rPr>
          <w:i/>
          <w:iCs/>
        </w:rPr>
        <w:t>”</w:t>
      </w:r>
      <w:r>
        <w:rPr>
          <w:i/>
          <w:iCs/>
        </w:rPr>
        <w:t>.</w:t>
      </w:r>
      <w:r w:rsidR="002B1762">
        <w:t>»</w:t>
      </w:r>
    </w:p>
    <w:p w14:paraId="749E1CD3" w14:textId="55536FE5" w:rsidR="00F539BD" w:rsidRPr="00F26154" w:rsidRDefault="00F539BD" w:rsidP="00F539BD">
      <w:pPr>
        <w:pStyle w:val="SingleTxtG"/>
      </w:pPr>
      <w:r>
        <w:t>4.</w:t>
      </w:r>
      <w:r>
        <w:tab/>
        <w:t>Ссылка на стандарт EN 14140 впервые была дана в изданиях МПОГ/ДОПОГ 2005 года, а также была включена в издания МПОГ/ДОПОГ 2009 года (раздел 6.2.4) (указаны оба стандарта: EN 14140:2003 и EN 14140:2003+A1:2006). В настоящее время ссылка на стандарт EN 14140 содержится в разделе 6.2.4 изданий МПОГ/ДОПОГ 2023</w:t>
      </w:r>
      <w:r w:rsidR="002B1C39">
        <w:t> </w:t>
      </w:r>
      <w:r>
        <w:t>года (последняя версия EN 14140:2014+AC:2015), но интервал между периодическими проверками может быть увеличен до 15 лет только для баллонов, изготовленных до 1 января 2015 года.</w:t>
      </w:r>
    </w:p>
    <w:p w14:paraId="70C4B712" w14:textId="35B2F2DC" w:rsidR="00F539BD" w:rsidRPr="00F26154" w:rsidRDefault="00F539BD" w:rsidP="00F539BD">
      <w:pPr>
        <w:pStyle w:val="SingleTxtG"/>
      </w:pPr>
      <w:r>
        <w:t>5.</w:t>
      </w:r>
      <w:r>
        <w:tab/>
        <w:t>Стандарт EN 14140 был разработан TК 286 ЕКС, т.</w:t>
      </w:r>
      <w:r w:rsidR="00EA0663">
        <w:t> </w:t>
      </w:r>
      <w:r>
        <w:t xml:space="preserve">е. той же группой экспертов, которая разработала стандарт EN 1442 (Переносные сварные стальные баллоны многоразового использования для СНГ </w:t>
      </w:r>
      <w:r w:rsidR="00EA0663">
        <w:t>—</w:t>
      </w:r>
      <w:r>
        <w:t xml:space="preserve"> Конструкция и изготовление). </w:t>
      </w:r>
      <w:r w:rsidR="002B1C39">
        <w:br/>
      </w:r>
      <w:r>
        <w:t>Стандарт EN</w:t>
      </w:r>
      <w:r w:rsidR="002B1C39">
        <w:t> </w:t>
      </w:r>
      <w:r>
        <w:t xml:space="preserve">14140 обеспечивает эквивалентный уровень безопасности и качества по сравнению с баллонами, разработанными и изготовленными в соответствии с EN 1442. EN 14140 </w:t>
      </w:r>
      <w:r w:rsidR="002B1C39">
        <w:t>—</w:t>
      </w:r>
      <w:r>
        <w:t xml:space="preserve"> более жесткий стандарт для традиционных баллонов из углеродистой стали, нежели EN 1442. Стандарт EN 14140 был впервые опубликован в 2003 году и несколько раз совершенствовался путем внесения поправок и исправлений, а также пересмотров, в результате чего появился стандарт EN 14140:2014 + AC:2015, на который дана ссылка в изданиях МПОГ/ДОПОГ 2023 года.</w:t>
      </w:r>
    </w:p>
    <w:p w14:paraId="45B02773" w14:textId="77FD06CE" w:rsidR="00F539BD" w:rsidRPr="00F26154" w:rsidRDefault="00F539BD" w:rsidP="00F539BD">
      <w:pPr>
        <w:pStyle w:val="SingleTxtG"/>
      </w:pPr>
      <w:r>
        <w:t>6.</w:t>
      </w:r>
      <w:r>
        <w:tab/>
        <w:t>Больше половины баллонов, отвечающих стандарту EN 14140 и находящихся в обращении в Европе, поступили в эксплуатацию после 2009 года, и только те из них, которые были изготовлены в период до 1 января 2015 года, могут иметь маркировку</w:t>
      </w:r>
      <w:r w:rsidR="002B1C39">
        <w:t> </w:t>
      </w:r>
      <w:r>
        <w:t xml:space="preserve">P15Y. Для многих баллонов, </w:t>
      </w:r>
      <w:r w:rsidRPr="002E4E97">
        <w:t xml:space="preserve">отвечающих стандарту </w:t>
      </w:r>
      <w:r>
        <w:t>EN 14140, изготовленных в период с 2003 по 2008 год и принадлежащих одному и тому же оператору, интервал между периодическими проверками было разрешено увеличить до 15 лет, и никаких проблем с безопасностью зафиксировано не было. На практике заметной разницы в количестве неисправностей применительно к 10- и 15-летним интервалам между периодическими проверками баллонов, отвечающих стандарту EN</w:t>
      </w:r>
      <w:r w:rsidR="002B1C39">
        <w:t> </w:t>
      </w:r>
      <w:r>
        <w:t>14140, отмечено не было.</w:t>
      </w:r>
    </w:p>
    <w:p w14:paraId="11E62EA3" w14:textId="77777777" w:rsidR="00F539BD" w:rsidRPr="00F26154" w:rsidRDefault="00F539BD" w:rsidP="00F539BD">
      <w:pPr>
        <w:pStyle w:val="SingleTxtG"/>
      </w:pPr>
      <w:r>
        <w:t>7.</w:t>
      </w:r>
      <w:r>
        <w:tab/>
        <w:t xml:space="preserve">Более чем двадцатилетний опыт использования баллонов, отвечающих стандарту EN 14140, не позволил выявить каких-либо признаков более низкого уровня безопасности при их эксплуатации по сравнению с классическими баллонами из углеродистой стали. </w:t>
      </w:r>
    </w:p>
    <w:p w14:paraId="4697DE1C" w14:textId="77777777" w:rsidR="00F539BD" w:rsidRPr="00F26154" w:rsidRDefault="00F539BD" w:rsidP="00F539BD">
      <w:pPr>
        <w:pStyle w:val="HChG"/>
      </w:pPr>
      <w:r>
        <w:rPr>
          <w:bCs/>
        </w:rPr>
        <w:tab/>
        <w:t>III.</w:t>
      </w:r>
      <w:r>
        <w:tab/>
      </w:r>
      <w:r>
        <w:rPr>
          <w:bCs/>
        </w:rPr>
        <w:t>Предшествующая наполнению проверка и контроль баллонов</w:t>
      </w:r>
    </w:p>
    <w:p w14:paraId="4B30A92B" w14:textId="77777777" w:rsidR="00F539BD" w:rsidRPr="00F26154" w:rsidRDefault="00F539BD" w:rsidP="00F539BD">
      <w:pPr>
        <w:pStyle w:val="SingleTxtG"/>
        <w:rPr>
          <w:color w:val="000000" w:themeColor="text1"/>
        </w:rPr>
      </w:pPr>
      <w:r>
        <w:t>8.</w:t>
      </w:r>
      <w:r>
        <w:tab/>
        <w:t xml:space="preserve">Действующим стандартом для проверки баллонов до, во время и после наполнения является EN 1439:2021 (в соответствии с требованиями инструкции по упаковке P200 (12), 2, 2.1, содержащейся в подразделе 4.1.4.1). Согласно этому стандарту, прежде чем баллоны будут приняты для наполнения, они подлежат проверке на наличие выпуклостей, вмятин, порезов, разрывов, трещин, расслоения, отдельных очагов коррозии, локальной коррозии, сплошной коррозии, питтинговой коррозии, полос или каналов коррозии, щелевой коррозии и других повреждений. Существуют особые требования к проверке зоны опорного кольца на наличие повреждений и коррозии. Все внешние поверхности баллона, осматриваемые во время периодической проверки, проверяют также во время наполнения. Баллоны, забракованные во время наполнения из-за перечисленных выше дефектов, либо списываются для утилизации, либо подвергаются ремонту, прежде чем их можно будет вернуть в эксплуатацию. </w:t>
      </w:r>
    </w:p>
    <w:p w14:paraId="24D6BE06" w14:textId="77777777" w:rsidR="00F539BD" w:rsidRPr="00F26154" w:rsidRDefault="00F539BD" w:rsidP="00F539BD">
      <w:pPr>
        <w:pStyle w:val="SingleTxtG"/>
        <w:rPr>
          <w:color w:val="000000" w:themeColor="text1"/>
        </w:rPr>
      </w:pPr>
      <w:r>
        <w:t>9.</w:t>
      </w:r>
      <w:r>
        <w:tab/>
        <w:t xml:space="preserve">Проверка, предусмотренная стандартом EN 16728 в рамках периодических проверок переносных баллонов многоразового использования для СНГ, помимо традиционных сварных и паяных стальных баллонов, имеет более широкий охват по сравнению с указанным в стандарте EN 1440 для переаттестации баллонов из углеродистой стали. В отличие от баллонов, которые подвергаются периодической </w:t>
      </w:r>
      <w:r>
        <w:lastRenderedPageBreak/>
        <w:t>проверке каждые 10 лет, в случае маркировки P15Y процесс проверки при наполнении и переаттестации контролируется проверяющим органом.</w:t>
      </w:r>
    </w:p>
    <w:p w14:paraId="5D44B921" w14:textId="4A681A78" w:rsidR="00F539BD" w:rsidRPr="00F26154" w:rsidRDefault="00F539BD" w:rsidP="00F539BD">
      <w:pPr>
        <w:pStyle w:val="SingleTxtG"/>
        <w:rPr>
          <w:color w:val="000000" w:themeColor="text1"/>
        </w:rPr>
      </w:pPr>
      <w:r>
        <w:t>10.</w:t>
      </w:r>
      <w:r>
        <w:tab/>
        <w:t>СНГ, качество которого отвечает требованиям инструкции по упаковке</w:t>
      </w:r>
      <w:r w:rsidR="006C105A">
        <w:t> </w:t>
      </w:r>
      <w:r>
        <w:t>P200</w:t>
      </w:r>
      <w:r w:rsidR="002B1C39">
        <w:t> </w:t>
      </w:r>
      <w:r w:rsidR="006C105A">
        <w:t>(</w:t>
      </w:r>
      <w:r>
        <w:t>12)</w:t>
      </w:r>
      <w:r w:rsidR="002B1C39">
        <w:t> </w:t>
      </w:r>
      <w:r w:rsidR="006C105A">
        <w:t>(</w:t>
      </w:r>
      <w:r>
        <w:t>2.5), содержащейся в подразделе 4.1.4.1, не вызывает внутренней коррозии стальных баллонов.</w:t>
      </w:r>
    </w:p>
    <w:p w14:paraId="307F15BC" w14:textId="77777777" w:rsidR="00F539BD" w:rsidRPr="00F26154" w:rsidRDefault="00F539BD" w:rsidP="00F539BD">
      <w:pPr>
        <w:pStyle w:val="HChG"/>
      </w:pPr>
      <w:r>
        <w:rPr>
          <w:bCs/>
        </w:rPr>
        <w:tab/>
        <w:t>IV.</w:t>
      </w:r>
      <w:r>
        <w:tab/>
      </w:r>
      <w:r>
        <w:rPr>
          <w:bCs/>
        </w:rPr>
        <w:t>Проект предложения</w:t>
      </w:r>
    </w:p>
    <w:p w14:paraId="1671929C" w14:textId="37D4485D" w:rsidR="00F539BD" w:rsidRPr="00F26154" w:rsidRDefault="00F539BD" w:rsidP="00F539BD">
      <w:pPr>
        <w:pStyle w:val="SingleTxtG"/>
      </w:pPr>
      <w:r>
        <w:t>11.</w:t>
      </w:r>
      <w:r>
        <w:tab/>
        <w:t xml:space="preserve">Изменить текст инструкции по упаковке P200 </w:t>
      </w:r>
      <w:r w:rsidR="006C105A">
        <w:t>(</w:t>
      </w:r>
      <w:r>
        <w:t xml:space="preserve">12) </w:t>
      </w:r>
      <w:r w:rsidR="006C105A">
        <w:t>(</w:t>
      </w:r>
      <w:r>
        <w:t>1.3), содержащейся в подразделе 4.1.4.1, следующим образом (новый текст выделен жирным шрифтом и подчеркнут):</w:t>
      </w:r>
    </w:p>
    <w:p w14:paraId="1E121ED3" w14:textId="2EC73B88" w:rsidR="00F539BD" w:rsidRPr="00C92633" w:rsidRDefault="002B1C39" w:rsidP="00F539BD">
      <w:pPr>
        <w:spacing w:after="120"/>
        <w:ind w:left="1701" w:right="1134"/>
        <w:jc w:val="both"/>
      </w:pPr>
      <w:r>
        <w:t>«</w:t>
      </w:r>
      <w:r w:rsidR="00F539BD">
        <w:t>1.3</w:t>
      </w:r>
      <w:r w:rsidR="00F539BD">
        <w:tab/>
        <w:t>Баллоны, изготовленные начиная с 1 января 1999 года, должны быть изготовлены в соответствии со следующими стандартами:</w:t>
      </w:r>
    </w:p>
    <w:p w14:paraId="38354850" w14:textId="28C6100A" w:rsidR="00F539BD" w:rsidRPr="00F26154" w:rsidRDefault="00677D34" w:rsidP="00F539BD">
      <w:pPr>
        <w:pStyle w:val="af3"/>
        <w:spacing w:after="120" w:line="259" w:lineRule="auto"/>
        <w:ind w:left="1701" w:right="1134"/>
        <w:jc w:val="both"/>
        <w:rPr>
          <w:rFonts w:asciiTheme="majorBidi" w:hAnsiTheme="majorBidi" w:cstheme="majorBidi"/>
          <w:sz w:val="20"/>
          <w:szCs w:val="20"/>
          <w:lang w:val="ru-RU"/>
        </w:rPr>
      </w:pPr>
      <w:r>
        <w:rPr>
          <w:rFonts w:asciiTheme="majorBidi" w:hAnsiTheme="majorBidi" w:cstheme="majorBidi"/>
          <w:sz w:val="20"/>
          <w:szCs w:val="20"/>
          <w:lang w:val="ru-RU"/>
        </w:rPr>
        <w:t>–</w:t>
      </w:r>
      <w:r>
        <w:rPr>
          <w:rFonts w:asciiTheme="majorBidi" w:hAnsiTheme="majorBidi" w:cstheme="majorBidi"/>
          <w:sz w:val="20"/>
          <w:szCs w:val="20"/>
          <w:lang w:val="ru-RU"/>
        </w:rPr>
        <w:tab/>
      </w:r>
      <w:r w:rsidR="00F539BD" w:rsidRPr="00C92633">
        <w:rPr>
          <w:rFonts w:asciiTheme="majorBidi" w:hAnsiTheme="majorBidi" w:cstheme="majorBidi"/>
          <w:sz w:val="20"/>
          <w:szCs w:val="20"/>
          <w:lang w:val="ru-RU"/>
        </w:rPr>
        <w:t>EN 1442; или</w:t>
      </w:r>
    </w:p>
    <w:p w14:paraId="6F23FFB9" w14:textId="4D2EF743" w:rsidR="00F539BD" w:rsidRPr="00F26154" w:rsidRDefault="00677D34" w:rsidP="00677D34">
      <w:pPr>
        <w:pStyle w:val="af3"/>
        <w:tabs>
          <w:tab w:val="left" w:pos="2268"/>
        </w:tabs>
        <w:spacing w:after="120" w:line="259" w:lineRule="auto"/>
        <w:ind w:left="1701" w:right="1134"/>
        <w:jc w:val="both"/>
        <w:rPr>
          <w:rFonts w:asciiTheme="majorBidi" w:hAnsiTheme="majorBidi" w:cstheme="majorBidi"/>
          <w:b/>
          <w:bCs/>
          <w:sz w:val="20"/>
          <w:szCs w:val="20"/>
          <w:u w:val="single"/>
          <w:lang w:val="ru-RU"/>
        </w:rPr>
      </w:pPr>
      <w:r w:rsidRPr="00677D34">
        <w:rPr>
          <w:rFonts w:asciiTheme="majorBidi" w:hAnsiTheme="majorBidi" w:cstheme="majorBidi"/>
          <w:b/>
          <w:bCs/>
          <w:sz w:val="20"/>
          <w:szCs w:val="20"/>
          <w:lang w:val="ru-RU"/>
        </w:rPr>
        <w:t>–</w:t>
      </w:r>
      <w:r w:rsidRPr="00677D34">
        <w:rPr>
          <w:rFonts w:asciiTheme="majorBidi" w:hAnsiTheme="majorBidi" w:cstheme="majorBidi"/>
          <w:b/>
          <w:bCs/>
          <w:sz w:val="20"/>
          <w:szCs w:val="20"/>
          <w:lang w:val="ru-RU"/>
        </w:rPr>
        <w:tab/>
      </w:r>
      <w:r w:rsidR="00F539BD" w:rsidRPr="006F63B9">
        <w:rPr>
          <w:rFonts w:asciiTheme="majorBidi" w:hAnsiTheme="majorBidi" w:cstheme="majorBidi"/>
          <w:b/>
          <w:bCs/>
          <w:sz w:val="20"/>
          <w:szCs w:val="20"/>
          <w:u w:val="single"/>
          <w:lang w:val="ru-RU"/>
        </w:rPr>
        <w:t>EN 14140;</w:t>
      </w:r>
      <w:r w:rsidR="00F539BD" w:rsidRPr="006F63B9">
        <w:rPr>
          <w:rFonts w:asciiTheme="majorBidi" w:hAnsiTheme="majorBidi" w:cstheme="majorBidi"/>
          <w:sz w:val="20"/>
          <w:szCs w:val="20"/>
          <w:u w:val="single"/>
          <w:lang w:val="ru-RU"/>
        </w:rPr>
        <w:t xml:space="preserve"> </w:t>
      </w:r>
      <w:r w:rsidR="00F539BD" w:rsidRPr="006F63B9">
        <w:rPr>
          <w:rFonts w:asciiTheme="majorBidi" w:hAnsiTheme="majorBidi" w:cstheme="majorBidi"/>
          <w:b/>
          <w:bCs/>
          <w:sz w:val="20"/>
          <w:szCs w:val="20"/>
          <w:u w:val="single"/>
          <w:lang w:val="ru-RU"/>
        </w:rPr>
        <w:t>или</w:t>
      </w:r>
    </w:p>
    <w:p w14:paraId="5316542B" w14:textId="6560D16F" w:rsidR="00F539BD" w:rsidRPr="00F26154" w:rsidRDefault="00677D34" w:rsidP="00F539BD">
      <w:pPr>
        <w:pStyle w:val="af3"/>
        <w:spacing w:after="120" w:line="259" w:lineRule="auto"/>
        <w:ind w:left="1701" w:right="1134"/>
        <w:jc w:val="both"/>
        <w:rPr>
          <w:rFonts w:asciiTheme="majorBidi" w:hAnsiTheme="majorBidi" w:cstheme="majorBidi"/>
          <w:sz w:val="20"/>
          <w:szCs w:val="20"/>
          <w:lang w:val="ru-RU"/>
        </w:rPr>
      </w:pPr>
      <w:r>
        <w:rPr>
          <w:rFonts w:asciiTheme="majorBidi" w:hAnsiTheme="majorBidi" w:cstheme="majorBidi"/>
          <w:sz w:val="20"/>
          <w:szCs w:val="20"/>
          <w:lang w:val="ru-RU"/>
        </w:rPr>
        <w:t>–</w:t>
      </w:r>
      <w:r>
        <w:rPr>
          <w:rFonts w:asciiTheme="majorBidi" w:hAnsiTheme="majorBidi" w:cstheme="majorBidi"/>
          <w:sz w:val="20"/>
          <w:szCs w:val="20"/>
          <w:lang w:val="ru-RU"/>
        </w:rPr>
        <w:tab/>
      </w:r>
      <w:r w:rsidR="00F539BD" w:rsidRPr="00C92633">
        <w:rPr>
          <w:rFonts w:asciiTheme="majorBidi" w:hAnsiTheme="majorBidi" w:cstheme="majorBidi"/>
          <w:sz w:val="20"/>
          <w:szCs w:val="20"/>
          <w:lang w:val="ru-RU"/>
        </w:rPr>
        <w:t>EN 13222-1; или</w:t>
      </w:r>
    </w:p>
    <w:p w14:paraId="1AA7C81F" w14:textId="4E4F8E54" w:rsidR="00F539BD" w:rsidRPr="00F26154" w:rsidRDefault="00F539BD" w:rsidP="00F539BD">
      <w:pPr>
        <w:pStyle w:val="af3"/>
        <w:spacing w:after="120" w:line="259" w:lineRule="auto"/>
        <w:ind w:left="1701" w:right="1134"/>
        <w:jc w:val="both"/>
        <w:rPr>
          <w:rFonts w:asciiTheme="majorBidi" w:hAnsiTheme="majorBidi" w:cstheme="majorBidi"/>
          <w:sz w:val="20"/>
          <w:szCs w:val="20"/>
          <w:lang w:val="ru-RU"/>
        </w:rPr>
      </w:pPr>
      <w:r w:rsidRPr="00C92633">
        <w:rPr>
          <w:rFonts w:asciiTheme="majorBidi" w:hAnsiTheme="majorBidi" w:cstheme="majorBidi"/>
          <w:sz w:val="20"/>
          <w:szCs w:val="20"/>
          <w:lang w:val="ru-RU"/>
        </w:rPr>
        <w:t xml:space="preserve">– </w:t>
      </w:r>
      <w:r w:rsidR="00677D34">
        <w:rPr>
          <w:rFonts w:asciiTheme="majorBidi" w:hAnsiTheme="majorBidi" w:cstheme="majorBidi"/>
          <w:sz w:val="20"/>
          <w:szCs w:val="20"/>
          <w:lang w:val="ru-RU"/>
        </w:rPr>
        <w:tab/>
      </w:r>
      <w:r w:rsidRPr="00C92633">
        <w:rPr>
          <w:rFonts w:asciiTheme="majorBidi" w:hAnsiTheme="majorBidi" w:cstheme="majorBidi"/>
          <w:sz w:val="20"/>
          <w:szCs w:val="20"/>
          <w:lang w:val="ru-RU"/>
        </w:rPr>
        <w:t>пунктами 1–3 приложения I к Директиве 84/527/EEC</w:t>
      </w:r>
      <w:r w:rsidRPr="00C92633">
        <w:rPr>
          <w:rFonts w:asciiTheme="majorBidi" w:hAnsiTheme="majorBidi" w:cstheme="majorBidi"/>
          <w:sz w:val="20"/>
          <w:szCs w:val="20"/>
          <w:vertAlign w:val="superscript"/>
          <w:lang w:val="ru-RU"/>
        </w:rPr>
        <w:t>a</w:t>
      </w:r>
      <w:r w:rsidRPr="00C92633">
        <w:rPr>
          <w:rFonts w:asciiTheme="majorBidi" w:hAnsiTheme="majorBidi" w:cstheme="majorBidi"/>
          <w:sz w:val="20"/>
          <w:szCs w:val="20"/>
          <w:lang w:val="ru-RU"/>
        </w:rPr>
        <w:t xml:space="preserve"> Совета,</w:t>
      </w:r>
    </w:p>
    <w:p w14:paraId="31B50037" w14:textId="77777777" w:rsidR="00F539BD" w:rsidRPr="00F26154" w:rsidRDefault="00F539BD" w:rsidP="00F539BD">
      <w:pPr>
        <w:spacing w:after="120"/>
        <w:ind w:left="1701" w:right="1134"/>
        <w:jc w:val="both"/>
      </w:pPr>
      <w:r>
        <w:t>в зависимости от конкретного случая, в соответствии с таблицей, содержащейся в разделе 6.2.4.</w:t>
      </w:r>
    </w:p>
    <w:p w14:paraId="07D6053E" w14:textId="5D1401C8" w:rsidR="00F539BD" w:rsidRPr="00F26154" w:rsidRDefault="00F539BD" w:rsidP="00F539BD">
      <w:pPr>
        <w:spacing w:after="120"/>
        <w:ind w:left="1701" w:right="1134"/>
        <w:jc w:val="both"/>
      </w:pPr>
      <w:r>
        <w:t xml:space="preserve">Для других баллонов, изготовленных до 1 января 2009 года согласно требованиям МПОГ/ДОПОГ в соответствии с техническими правилами, признанными национальным компетентным органом, может допускаться </w:t>
      </w:r>
      <w:r w:rsidR="002B1C39">
        <w:br/>
      </w:r>
      <w:r>
        <w:t>15-летняя периодичность, если по уровню безопасности они равноценны баллонам, соответствующим положениям МПОГ/ДОПОГ, применявшимся в момент направления заявки</w:t>
      </w:r>
      <w:r w:rsidR="002B1C39">
        <w:t>»</w:t>
      </w:r>
      <w:r>
        <w:t>.</w:t>
      </w:r>
    </w:p>
    <w:p w14:paraId="3893C509" w14:textId="77777777" w:rsidR="00F539BD" w:rsidRPr="00F26154" w:rsidRDefault="00F539BD" w:rsidP="00F539BD">
      <w:pPr>
        <w:spacing w:before="240"/>
        <w:jc w:val="center"/>
        <w:rPr>
          <w:u w:val="single"/>
        </w:rPr>
      </w:pPr>
      <w:r w:rsidRPr="00F26154">
        <w:rPr>
          <w:u w:val="single"/>
        </w:rPr>
        <w:tab/>
      </w:r>
      <w:r w:rsidRPr="00F26154">
        <w:rPr>
          <w:u w:val="single"/>
        </w:rPr>
        <w:tab/>
      </w:r>
      <w:r w:rsidRPr="00F26154">
        <w:rPr>
          <w:u w:val="single"/>
        </w:rPr>
        <w:tab/>
      </w:r>
    </w:p>
    <w:p w14:paraId="3F442C00" w14:textId="77777777" w:rsidR="00E12C5F" w:rsidRPr="008D53B6" w:rsidRDefault="00E12C5F" w:rsidP="00D9145B"/>
    <w:sectPr w:rsidR="00E12C5F" w:rsidRPr="008D53B6" w:rsidSect="00F539B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F2C1" w14:textId="77777777" w:rsidR="002329BB" w:rsidRPr="00A312BC" w:rsidRDefault="002329BB" w:rsidP="00A312BC"/>
  </w:endnote>
  <w:endnote w:type="continuationSeparator" w:id="0">
    <w:p w14:paraId="2058CAC8" w14:textId="77777777" w:rsidR="002329BB" w:rsidRPr="00A312BC" w:rsidRDefault="002329B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4159" w14:textId="50D08F4F" w:rsidR="00F539BD" w:rsidRPr="00F539BD" w:rsidRDefault="00F539BD">
    <w:pPr>
      <w:pStyle w:val="a8"/>
    </w:pPr>
    <w:r w:rsidRPr="00F539BD">
      <w:rPr>
        <w:b/>
        <w:sz w:val="18"/>
      </w:rPr>
      <w:fldChar w:fldCharType="begin"/>
    </w:r>
    <w:r w:rsidRPr="00F539BD">
      <w:rPr>
        <w:b/>
        <w:sz w:val="18"/>
      </w:rPr>
      <w:instrText xml:space="preserve"> PAGE  \* MERGEFORMAT </w:instrText>
    </w:r>
    <w:r w:rsidRPr="00F539BD">
      <w:rPr>
        <w:b/>
        <w:sz w:val="18"/>
      </w:rPr>
      <w:fldChar w:fldCharType="separate"/>
    </w:r>
    <w:r w:rsidRPr="00F539BD">
      <w:rPr>
        <w:b/>
        <w:noProof/>
        <w:sz w:val="18"/>
      </w:rPr>
      <w:t>2</w:t>
    </w:r>
    <w:r w:rsidRPr="00F539BD">
      <w:rPr>
        <w:b/>
        <w:sz w:val="18"/>
      </w:rPr>
      <w:fldChar w:fldCharType="end"/>
    </w:r>
    <w:r>
      <w:rPr>
        <w:b/>
        <w:sz w:val="18"/>
      </w:rPr>
      <w:tab/>
    </w:r>
    <w:r>
      <w:t>GE.23-26145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8995" w14:textId="438B1C2E" w:rsidR="00F539BD" w:rsidRPr="00F539BD" w:rsidRDefault="00F539BD" w:rsidP="00F539BD">
    <w:pPr>
      <w:pStyle w:val="a8"/>
      <w:tabs>
        <w:tab w:val="clear" w:pos="9639"/>
        <w:tab w:val="right" w:pos="9638"/>
      </w:tabs>
      <w:rPr>
        <w:b/>
        <w:sz w:val="18"/>
      </w:rPr>
    </w:pPr>
    <w:r>
      <w:t>GE.23-26145</w:t>
    </w:r>
    <w:r>
      <w:tab/>
    </w:r>
    <w:r w:rsidRPr="00F539BD">
      <w:rPr>
        <w:b/>
        <w:sz w:val="18"/>
      </w:rPr>
      <w:fldChar w:fldCharType="begin"/>
    </w:r>
    <w:r w:rsidRPr="00F539BD">
      <w:rPr>
        <w:b/>
        <w:sz w:val="18"/>
      </w:rPr>
      <w:instrText xml:space="preserve"> PAGE  \* MERGEFORMAT </w:instrText>
    </w:r>
    <w:r w:rsidRPr="00F539BD">
      <w:rPr>
        <w:b/>
        <w:sz w:val="18"/>
      </w:rPr>
      <w:fldChar w:fldCharType="separate"/>
    </w:r>
    <w:r w:rsidRPr="00F539BD">
      <w:rPr>
        <w:b/>
        <w:noProof/>
        <w:sz w:val="18"/>
      </w:rPr>
      <w:t>3</w:t>
    </w:r>
    <w:r w:rsidRPr="00F539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49B4" w14:textId="7C9A5963" w:rsidR="00042B72" w:rsidRPr="002B1762" w:rsidRDefault="00F539BD" w:rsidP="00F539B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11BBD4F" wp14:editId="20BC32F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23-26145  (R)</w:t>
    </w:r>
    <w:r>
      <w:rPr>
        <w:noProof/>
      </w:rPr>
      <w:drawing>
        <wp:anchor distT="0" distB="0" distL="114300" distR="114300" simplePos="0" relativeHeight="251659264" behindDoc="0" locked="0" layoutInCell="1" allowOverlap="1" wp14:anchorId="1661501D" wp14:editId="6F7FE20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1762">
      <w:rPr>
        <w:lang w:val="en-US"/>
      </w:rPr>
      <w:t xml:space="preserve">   260124   </w:t>
    </w:r>
    <w:r w:rsidR="002B1762">
      <w:rPr>
        <w:lang w:val="en-US"/>
      </w:rPr>
      <w:t>260124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F5CB" w14:textId="77777777" w:rsidR="002329BB" w:rsidRPr="001075E9" w:rsidRDefault="002329BB" w:rsidP="001075E9">
      <w:pPr>
        <w:tabs>
          <w:tab w:val="right" w:pos="2155"/>
        </w:tabs>
        <w:spacing w:after="80" w:line="240" w:lineRule="auto"/>
        <w:ind w:left="680"/>
        <w:rPr>
          <w:u w:val="single"/>
        </w:rPr>
      </w:pPr>
      <w:r>
        <w:rPr>
          <w:u w:val="single"/>
        </w:rPr>
        <w:tab/>
      </w:r>
    </w:p>
  </w:footnote>
  <w:footnote w:type="continuationSeparator" w:id="0">
    <w:p w14:paraId="600C7F44" w14:textId="77777777" w:rsidR="002329BB" w:rsidRDefault="002329BB" w:rsidP="00407B78">
      <w:pPr>
        <w:tabs>
          <w:tab w:val="right" w:pos="2155"/>
        </w:tabs>
        <w:spacing w:after="80"/>
        <w:ind w:left="680"/>
        <w:rPr>
          <w:u w:val="single"/>
        </w:rPr>
      </w:pPr>
      <w:r>
        <w:rPr>
          <w:u w:val="single"/>
        </w:rPr>
        <w:tab/>
      </w:r>
    </w:p>
  </w:footnote>
  <w:footnote w:id="1">
    <w:p w14:paraId="79B24D55" w14:textId="336FC628" w:rsidR="002B1762" w:rsidRPr="002B1762" w:rsidRDefault="002B1762">
      <w:pPr>
        <w:pStyle w:val="ad"/>
        <w:rPr>
          <w:sz w:val="20"/>
          <w:lang w:val="en-US"/>
        </w:rPr>
      </w:pPr>
      <w:r>
        <w:tab/>
      </w:r>
      <w:r w:rsidRPr="002B1762">
        <w:rPr>
          <w:rStyle w:val="aa"/>
          <w:sz w:val="20"/>
          <w:vertAlign w:val="baseline"/>
        </w:rPr>
        <w:t>*</w:t>
      </w:r>
      <w:r w:rsidRPr="002B1762">
        <w:rPr>
          <w:rStyle w:val="aa"/>
          <w:vertAlign w:val="baseline"/>
        </w:rPr>
        <w:tab/>
      </w:r>
      <w:r>
        <w:t>A/78/6 (разд. 20), таблица 20.5.</w:t>
      </w:r>
    </w:p>
  </w:footnote>
  <w:footnote w:id="2">
    <w:p w14:paraId="42FC3FAB" w14:textId="77777777" w:rsidR="00F539BD" w:rsidRPr="00E244BE" w:rsidRDefault="00F539BD" w:rsidP="00F539BD">
      <w:pPr>
        <w:pStyle w:val="ad"/>
      </w:pPr>
      <w:r>
        <w:tab/>
      </w:r>
      <w:r w:rsidRPr="002B1762">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OTIF/RID/RC/2024/17.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83" w14:textId="10F49710" w:rsidR="00F539BD" w:rsidRPr="00F539BD" w:rsidRDefault="00F539BD">
    <w:pPr>
      <w:pStyle w:val="a5"/>
    </w:pPr>
    <w:fldSimple w:instr=" TITLE  \* MERGEFORMAT ">
      <w:r w:rsidR="002B3748">
        <w:t>ECE/TRANS/WP.15/AC.1/2024/17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D049" w14:textId="37FDE182" w:rsidR="00F539BD" w:rsidRPr="00F539BD" w:rsidRDefault="00F539BD" w:rsidP="00F539BD">
    <w:pPr>
      <w:pStyle w:val="a5"/>
      <w:jc w:val="right"/>
    </w:pPr>
    <w:fldSimple w:instr=" TITLE  \* MERGEFORMAT ">
      <w:r w:rsidR="002B3748">
        <w:t>ECE/TRANS/WP.15/AC.1/2024/17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170363017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BB"/>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329BB"/>
    <w:rsid w:val="00255343"/>
    <w:rsid w:val="0027151D"/>
    <w:rsid w:val="002A2EFC"/>
    <w:rsid w:val="002B0106"/>
    <w:rsid w:val="002B1762"/>
    <w:rsid w:val="002B1C39"/>
    <w:rsid w:val="002B3748"/>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77D34"/>
    <w:rsid w:val="00680D03"/>
    <w:rsid w:val="00681A10"/>
    <w:rsid w:val="006A1ED8"/>
    <w:rsid w:val="006C105A"/>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4D2C"/>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0663"/>
    <w:rsid w:val="00EA2C9F"/>
    <w:rsid w:val="00EA420E"/>
    <w:rsid w:val="00ED0BDA"/>
    <w:rsid w:val="00EE142A"/>
    <w:rsid w:val="00EF1360"/>
    <w:rsid w:val="00EF3220"/>
    <w:rsid w:val="00F2523A"/>
    <w:rsid w:val="00F43903"/>
    <w:rsid w:val="00F539BD"/>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E5F6A"/>
  <w15:docId w15:val="{5E7F5791-145B-4CBD-A0AA-5C3B16F9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uiPriority w:val="99"/>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a"/>
    <w:qFormat/>
    <w:rsid w:val="00F539BD"/>
    <w:pPr>
      <w:numPr>
        <w:numId w:val="22"/>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customStyle="1" w:styleId="HChGChar">
    <w:name w:val="_ H _Ch_G Char"/>
    <w:link w:val="HChG"/>
    <w:qFormat/>
    <w:rsid w:val="00F539BD"/>
    <w:rPr>
      <w:b/>
      <w:sz w:val="28"/>
      <w:lang w:val="ru-RU" w:eastAsia="ru-RU"/>
    </w:rPr>
  </w:style>
  <w:style w:type="character" w:customStyle="1" w:styleId="H1GChar">
    <w:name w:val="_ H_1_G Char"/>
    <w:link w:val="H1G"/>
    <w:uiPriority w:val="99"/>
    <w:qFormat/>
    <w:rsid w:val="00F539BD"/>
    <w:rPr>
      <w:b/>
      <w:sz w:val="24"/>
      <w:lang w:val="ru-RU" w:eastAsia="ru-RU"/>
    </w:rPr>
  </w:style>
  <w:style w:type="character" w:customStyle="1" w:styleId="SingleTxtGChar">
    <w:name w:val="_ Single Txt_G Char"/>
    <w:link w:val="SingleTxtG"/>
    <w:rsid w:val="00F539BD"/>
    <w:rPr>
      <w:lang w:val="ru-RU" w:eastAsia="en-US"/>
    </w:rPr>
  </w:style>
  <w:style w:type="paragraph" w:styleId="af3">
    <w:name w:val="List Paragraph"/>
    <w:basedOn w:val="a"/>
    <w:uiPriority w:val="34"/>
    <w:qFormat/>
    <w:rsid w:val="00F539BD"/>
    <w:pPr>
      <w:suppressAutoHyphens w:val="0"/>
      <w:spacing w:after="200" w:line="276" w:lineRule="auto"/>
      <w:ind w:left="720"/>
      <w:contextualSpacing/>
    </w:pPr>
    <w:rPr>
      <w:rFonts w:ascii="Calibri" w:eastAsia="Times New Roman" w:hAnsi="Calibri" w:cs="Times New Roman"/>
      <w:color w:val="00000A"/>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39919-743D-4AB8-B11A-2F20A2894FD8}"/>
</file>

<file path=customXml/itemProps2.xml><?xml version="1.0" encoding="utf-8"?>
<ds:datastoreItem xmlns:ds="http://schemas.openxmlformats.org/officeDocument/2006/customXml" ds:itemID="{C7B87DB4-6FDE-4DB0-ABFF-D30C91927CF8}"/>
</file>

<file path=docProps/app.xml><?xml version="1.0" encoding="utf-8"?>
<Properties xmlns="http://schemas.openxmlformats.org/officeDocument/2006/extended-properties" xmlns:vt="http://schemas.openxmlformats.org/officeDocument/2006/docPropsVTypes">
  <Template>ECE.dotm</Template>
  <TotalTime>2</TotalTime>
  <Pages>4</Pages>
  <Words>1237</Words>
  <Characters>8196</Characters>
  <Application>Microsoft Office Word</Application>
  <DocSecurity>0</DocSecurity>
  <Lines>171</Lines>
  <Paragraphs>45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ECE/TRANS/WP.15/AC.1/2024/17</vt:lpstr>
      <vt:lpstr>A/</vt:lpstr>
      <vt:lpstr>A/</vt:lpstr>
    </vt:vector>
  </TitlesOfParts>
  <Company>DCM</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ECE/TRANS/WP.15/AC.1/2024/17</dc:title>
  <dc:subject/>
  <dc:creator>Anna BLAGODATSKIKH</dc:creator>
  <cp:keywords/>
  <cp:lastModifiedBy>Anna Blagodatskikh</cp:lastModifiedBy>
  <cp:revision>3</cp:revision>
  <cp:lastPrinted>2024-01-26T09:11:00Z</cp:lastPrinted>
  <dcterms:created xsi:type="dcterms:W3CDTF">2024-01-26T09:11:00Z</dcterms:created>
  <dcterms:modified xsi:type="dcterms:W3CDTF">2024-01-26T09:12:00Z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