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897583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F5A7B7" w14:textId="77777777" w:rsidR="002D5AAC" w:rsidRDefault="002D5AAC" w:rsidP="00720C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2FCF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41E267" w14:textId="308F32CB" w:rsidR="002D5AAC" w:rsidRDefault="00720C86" w:rsidP="00720C86">
            <w:pPr>
              <w:jc w:val="right"/>
            </w:pPr>
            <w:r w:rsidRPr="00720C86">
              <w:rPr>
                <w:sz w:val="40"/>
              </w:rPr>
              <w:t>ECE</w:t>
            </w:r>
            <w:r>
              <w:t>/TRANS/WP.15/AC.1/2024/8</w:t>
            </w:r>
          </w:p>
        </w:tc>
      </w:tr>
      <w:tr w:rsidR="002D5AAC" w:rsidRPr="00720C86" w14:paraId="07C045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211F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30F3A1" wp14:editId="26FF32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C867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238FFB" w14:textId="77777777" w:rsidR="002D5AAC" w:rsidRDefault="00720C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31386A" w14:textId="77777777" w:rsidR="00720C86" w:rsidRDefault="00720C86" w:rsidP="00720C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2023</w:t>
            </w:r>
          </w:p>
          <w:p w14:paraId="77CF18D8" w14:textId="77777777" w:rsidR="00720C86" w:rsidRDefault="00720C86" w:rsidP="00720C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41AE16" w14:textId="129A50D2" w:rsidR="00720C86" w:rsidRPr="008D53B6" w:rsidRDefault="00720C86" w:rsidP="00720C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64871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1D1E72" w14:textId="77777777" w:rsidR="00720C86" w:rsidRPr="00CC4F49" w:rsidRDefault="00720C86" w:rsidP="00720C86">
      <w:pPr>
        <w:spacing w:before="120"/>
        <w:rPr>
          <w:sz w:val="28"/>
          <w:szCs w:val="28"/>
        </w:rPr>
      </w:pPr>
      <w:r w:rsidRPr="00CC4F49">
        <w:rPr>
          <w:sz w:val="28"/>
          <w:szCs w:val="28"/>
        </w:rPr>
        <w:t>Комитет по внутреннему транспорту</w:t>
      </w:r>
    </w:p>
    <w:p w14:paraId="3725EA4F" w14:textId="77777777" w:rsidR="00720C86" w:rsidRPr="00CC4F49" w:rsidRDefault="00720C86" w:rsidP="00720C86">
      <w:pPr>
        <w:spacing w:before="120"/>
        <w:rPr>
          <w:b/>
          <w:bCs/>
          <w:sz w:val="24"/>
          <w:szCs w:val="24"/>
        </w:rPr>
      </w:pPr>
      <w:r w:rsidRPr="00CC4F49">
        <w:rPr>
          <w:b/>
          <w:bCs/>
          <w:sz w:val="24"/>
          <w:szCs w:val="24"/>
        </w:rPr>
        <w:t>Рабочая группа по перевозкам опасных грузов</w:t>
      </w:r>
    </w:p>
    <w:p w14:paraId="449AABF2" w14:textId="7240634A" w:rsidR="00720C86" w:rsidRPr="00960236" w:rsidRDefault="00720C86" w:rsidP="00720C86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CC3352F" w14:textId="49743C54" w:rsidR="00720C86" w:rsidRDefault="00720C86" w:rsidP="00720C86">
      <w:r>
        <w:t>Берн, 25</w:t>
      </w:r>
      <w:bookmarkStart w:id="0" w:name="_Hlk38450922"/>
      <w:r w:rsidR="005D176B" w:rsidRPr="001510AD">
        <w:rPr>
          <w:lang w:val="en-US"/>
        </w:rPr>
        <w:t>–</w:t>
      </w:r>
      <w:bookmarkEnd w:id="0"/>
      <w:r>
        <w:t>28 марта 2024 года</w:t>
      </w:r>
    </w:p>
    <w:p w14:paraId="67DC36D8" w14:textId="77777777" w:rsidR="00720C86" w:rsidRDefault="00720C86" w:rsidP="00720C86">
      <w:r>
        <w:t>Пункт 5 b) предварительной повестки дня</w:t>
      </w:r>
    </w:p>
    <w:p w14:paraId="0630F688" w14:textId="77777777" w:rsidR="00720C86" w:rsidRDefault="00720C86" w:rsidP="00720C86">
      <w:pPr>
        <w:rPr>
          <w:b/>
        </w:rPr>
      </w:pPr>
      <w:r>
        <w:rPr>
          <w:b/>
          <w:bCs/>
        </w:rPr>
        <w:t>Предложения о внесении поправок в МПОГ/ДОПОГ/ВОПОГ:</w:t>
      </w:r>
      <w:r>
        <w:t xml:space="preserve"> </w:t>
      </w:r>
    </w:p>
    <w:p w14:paraId="1F6E6EC3" w14:textId="77777777" w:rsidR="00720C86" w:rsidRDefault="00720C86" w:rsidP="00720C86">
      <w:pPr>
        <w:rPr>
          <w:b/>
        </w:rPr>
      </w:pPr>
      <w:r>
        <w:rPr>
          <w:b/>
          <w:bCs/>
        </w:rPr>
        <w:t>новые предложения</w:t>
      </w:r>
    </w:p>
    <w:p w14:paraId="6A9C00E2" w14:textId="78F1B599" w:rsidR="00720C86" w:rsidRDefault="00720C86" w:rsidP="00720C86">
      <w:pPr>
        <w:pStyle w:val="HChG"/>
        <w:rPr>
          <w:rFonts w:eastAsia="Arial Unicode MS"/>
        </w:rPr>
      </w:pPr>
      <w:r>
        <w:tab/>
      </w:r>
      <w:r>
        <w:tab/>
      </w:r>
      <w:r>
        <w:rPr>
          <w:bCs/>
        </w:rPr>
        <w:t>Новые переходные меры для переносных цистерн в</w:t>
      </w:r>
      <w:r w:rsidRPr="00D560E7">
        <w:rPr>
          <w:lang w:val="en-US"/>
        </w:rPr>
        <w:t> </w:t>
      </w:r>
      <w:r>
        <w:rPr>
          <w:bCs/>
        </w:rPr>
        <w:t>главе</w:t>
      </w:r>
      <w:r w:rsidRPr="00D560E7">
        <w:rPr>
          <w:lang w:val="en-US"/>
        </w:rPr>
        <w:t> </w:t>
      </w:r>
      <w:r>
        <w:rPr>
          <w:bCs/>
        </w:rPr>
        <w:t>6.7</w:t>
      </w:r>
    </w:p>
    <w:p w14:paraId="7DDADA54" w14:textId="6045EE3B" w:rsidR="00720C86" w:rsidRDefault="00720C86" w:rsidP="00720C86">
      <w:pPr>
        <w:pStyle w:val="H1G"/>
      </w:pPr>
      <w:r>
        <w:tab/>
      </w:r>
      <w:r>
        <w:tab/>
      </w:r>
      <w:r>
        <w:tab/>
      </w:r>
      <w:r>
        <w:rPr>
          <w:bCs/>
        </w:rPr>
        <w:t>Передано правительством Испании и Европейской ассоциацией по</w:t>
      </w:r>
      <w:r w:rsidRPr="00D560E7">
        <w:rPr>
          <w:lang w:val="en-US"/>
        </w:rPr>
        <w:t> </w:t>
      </w:r>
      <w:r>
        <w:rPr>
          <w:bCs/>
        </w:rPr>
        <w:t>промышленным газам (ЕАПГ)</w:t>
      </w:r>
      <w:r w:rsidRPr="00720C86">
        <w:rPr>
          <w:rStyle w:val="aa"/>
          <w:b w:val="0"/>
          <w:bCs/>
          <w:vertAlign w:val="baseline"/>
        </w:rPr>
        <w:footnoteReference w:customMarkFollows="1" w:id="1"/>
        <w:t>*</w:t>
      </w:r>
      <w:r w:rsidRPr="00720C86">
        <w:rPr>
          <w:b w:val="0"/>
          <w:bCs/>
        </w:rPr>
        <w:t xml:space="preserve"> </w:t>
      </w:r>
      <w:r w:rsidRPr="00720C86">
        <w:rPr>
          <w:rStyle w:val="aa"/>
          <w:b w:val="0"/>
          <w:bCs/>
          <w:vertAlign w:val="baseline"/>
        </w:rPr>
        <w:footnoteReference w:customMarkFollows="1" w:id="2"/>
        <w:t>**</w:t>
      </w:r>
    </w:p>
    <w:p w14:paraId="4FF6CEDD" w14:textId="77777777" w:rsidR="00720C86" w:rsidRPr="008D0719" w:rsidRDefault="00720C86" w:rsidP="00720C86">
      <w:pPr>
        <w:pStyle w:val="HChG"/>
        <w:ind w:left="1215" w:hanging="855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4A6AC1FC" w14:textId="7305F941" w:rsidR="00720C86" w:rsidRDefault="00720C86" w:rsidP="00720C86">
      <w:pPr>
        <w:pStyle w:val="SingleTxtG"/>
      </w:pPr>
      <w:r>
        <w:t>1.</w:t>
      </w:r>
      <w:r>
        <w:tab/>
        <w:t xml:space="preserve">В документе ECE/TRANS/WP.15/AC.1/2023/23/Add.1, представленном Совместному совещанию на сессии в сентябре 2023 года, Специальная рабочая группа по согласованию МПОГ/ДОПОГ/ВОПОГ с Рекомендациями Организации Объединенных Наций по перевозке опасных грузов предложила внести в МПОГ/ДОПОГ/ВОПОГ изменения, касающиеся использования терминов </w:t>
      </w:r>
      <w:r w:rsidRPr="00720C86">
        <w:t>«</w:t>
      </w:r>
      <w:r>
        <w:t>степень наполнения</w:t>
      </w:r>
      <w:r w:rsidRPr="00720C86">
        <w:t>»</w:t>
      </w:r>
      <w:r>
        <w:t xml:space="preserve"> и </w:t>
      </w:r>
      <w:r w:rsidRPr="00720C86">
        <w:t>«</w:t>
      </w:r>
      <w:r>
        <w:t>коэффициент наполнения</w:t>
      </w:r>
      <w:r w:rsidRPr="00720C86">
        <w:t>»</w:t>
      </w:r>
      <w:r>
        <w:t>.</w:t>
      </w:r>
    </w:p>
    <w:p w14:paraId="7CA0C83F" w14:textId="77777777" w:rsidR="00720C86" w:rsidRDefault="00720C86" w:rsidP="00720C86">
      <w:pPr>
        <w:pStyle w:val="SingleTxtG"/>
      </w:pPr>
      <w:r>
        <w:t>2.</w:t>
      </w:r>
      <w:r>
        <w:tab/>
        <w:t>Хотя ЕАПГ согласилась с предложенными изменениями, был допущен недосмотр в отношении необходимых переходных мер.</w:t>
      </w:r>
    </w:p>
    <w:p w14:paraId="3F2F01B6" w14:textId="5F604CFE" w:rsidR="00720C86" w:rsidRDefault="00720C86" w:rsidP="00720C86">
      <w:pPr>
        <w:pStyle w:val="SingleTxtG"/>
      </w:pPr>
      <w:r>
        <w:t>3.</w:t>
      </w:r>
      <w:r>
        <w:tab/>
        <w:t xml:space="preserve">Поправки к подпункту 6.7.4.15.1 i) </w:t>
      </w:r>
      <w:proofErr w:type="spellStart"/>
      <w:r>
        <w:t>iv</w:t>
      </w:r>
      <w:proofErr w:type="spellEnd"/>
      <w:r>
        <w:t xml:space="preserve">) потребуют внесения изменений в надписи на табличках, прикрепленных к существующим переносным цистернах, а именно замены слов </w:t>
      </w:r>
      <w:r w:rsidRPr="00720C86">
        <w:t>«</w:t>
      </w:r>
      <w:r>
        <w:t>Степень наполнения</w:t>
      </w:r>
      <w:r w:rsidRPr="00720C86">
        <w:t>»</w:t>
      </w:r>
      <w:r>
        <w:t xml:space="preserve"> словами </w:t>
      </w:r>
      <w:r w:rsidR="00CC4F49" w:rsidRPr="00720C86">
        <w:t>«</w:t>
      </w:r>
      <w:r>
        <w:t>Максимально допустимая масса закачанного газа</w:t>
      </w:r>
      <w:r w:rsidR="00CC4F49" w:rsidRPr="00720C86">
        <w:t>»</w:t>
      </w:r>
      <w:r>
        <w:t>; см. рис. ниже.</w:t>
      </w:r>
    </w:p>
    <w:p w14:paraId="7CB00CEA" w14:textId="14163054" w:rsidR="00720C86" w:rsidRDefault="00CC4F49" w:rsidP="00720C86">
      <w:pPr>
        <w:pStyle w:val="SingleTxtG"/>
        <w:ind w:left="14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A61C" wp14:editId="779B2225">
                <wp:simplePos x="0" y="0"/>
                <wp:positionH relativeFrom="column">
                  <wp:posOffset>3756660</wp:posOffset>
                </wp:positionH>
                <wp:positionV relativeFrom="paragraph">
                  <wp:posOffset>240563</wp:posOffset>
                </wp:positionV>
                <wp:extent cx="800100" cy="9525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05F2EB" id="Ellipse 4" o:spid="_x0000_s1026" style="position:absolute;margin-left:295.8pt;margin-top:18.95pt;width:63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" filled="f" strokecolor="red" strokeweight="2pt"/>
            </w:pict>
          </mc:Fallback>
        </mc:AlternateContent>
      </w:r>
      <w:r w:rsidR="00720C86">
        <w:rPr>
          <w:noProof/>
        </w:rPr>
        <w:drawing>
          <wp:inline distT="0" distB="0" distL="0" distR="0" wp14:anchorId="46A13705" wp14:editId="31C89C73">
            <wp:extent cx="3599815" cy="21526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9166"/>
                    <a:stretch/>
                  </pic:blipFill>
                  <pic:spPr bwMode="auto">
                    <a:xfrm>
                      <a:off x="0" y="0"/>
                      <a:ext cx="3600000" cy="215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C5BAE" w14:textId="77777777" w:rsidR="00720C86" w:rsidRDefault="00720C86" w:rsidP="00720C86">
      <w:pPr>
        <w:pStyle w:val="SingleTxtG"/>
      </w:pPr>
      <w:r>
        <w:t>4.</w:t>
      </w:r>
      <w:r>
        <w:tab/>
        <w:t>В большинстве случаев на существующих табличках цистерн недостаточно места, и необходимо будет прикреплять новые таблички в сотрудничестве с нотифицированным органом.</w:t>
      </w:r>
    </w:p>
    <w:p w14:paraId="6E85E0A0" w14:textId="77777777" w:rsidR="00720C86" w:rsidRDefault="00720C86" w:rsidP="00720C86">
      <w:pPr>
        <w:pStyle w:val="SingleTxtG"/>
      </w:pPr>
      <w:r>
        <w:t>5.</w:t>
      </w:r>
      <w:r>
        <w:tab/>
        <w:t>В случае некоторых переносных цистерн, уже находящихся в эксплуатации, изготовитель прекратил осуществление своей деятельности, что делает изготовление новой таблички для цистерны проблематичным.</w:t>
      </w:r>
    </w:p>
    <w:p w14:paraId="21073FBB" w14:textId="6F964BF3" w:rsidR="00720C86" w:rsidRDefault="00720C86" w:rsidP="00720C86">
      <w:pPr>
        <w:pStyle w:val="SingleTxtG"/>
      </w:pPr>
      <w:r>
        <w:t>6.</w:t>
      </w:r>
      <w:r>
        <w:tab/>
        <w:t>Даже если на существующих табличках цистерн достаточно места, отразить эти изменения на всех находящихся в эксплуатации переносных цистернах до 1 июля 2025</w:t>
      </w:r>
      <w:r w:rsidRPr="00D560E7">
        <w:rPr>
          <w:lang w:val="en-US"/>
        </w:rPr>
        <w:t> </w:t>
      </w:r>
      <w:r>
        <w:t>года будет невозможно. Переносные цистерны используются по всему миру и, возможно, окажутся в цехе, где есть возможности для изменения надписи на табличке, только при следующей периодической или промежуточной проверке оборудования.</w:t>
      </w:r>
    </w:p>
    <w:p w14:paraId="2E24A819" w14:textId="77777777" w:rsidR="00720C86" w:rsidRPr="007B6447" w:rsidRDefault="00720C86" w:rsidP="00720C86">
      <w:pPr>
        <w:pStyle w:val="SingleTxtG"/>
      </w:pPr>
      <w:r>
        <w:t>7.</w:t>
      </w:r>
      <w:r>
        <w:tab/>
        <w:t>На недавно состоявшейся шестьдесят третьей сессии Подкомитет экспертов по перевозке опасных грузов принял в этой связи переходную меру, предложенную в неофициальном документе INF.54 (шестьдесят третья сессия). Приведенное ниже предложение направлено на решение этого вопроса и согласование МПОГ/ДОПОГ/ВОПОГ с принятым текстом.</w:t>
      </w:r>
    </w:p>
    <w:p w14:paraId="4F51A5A4" w14:textId="77777777" w:rsidR="00720C86" w:rsidRPr="008D0719" w:rsidRDefault="00720C86" w:rsidP="00720C8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0A4C6743" w14:textId="77777777" w:rsidR="00720C86" w:rsidRPr="004D4833" w:rsidRDefault="00720C86" w:rsidP="00720C86">
      <w:pPr>
        <w:pStyle w:val="SingleTxtG"/>
      </w:pPr>
      <w:r>
        <w:t>8.</w:t>
      </w:r>
      <w:r>
        <w:tab/>
        <w:t>Включить в пункт 1.6.4 новую переходную меру (выделена подчеркиванием) следующего содержания:</w:t>
      </w:r>
    </w:p>
    <w:p w14:paraId="30223149" w14:textId="0E1DF7FB" w:rsidR="00720C86" w:rsidRPr="00720C86" w:rsidRDefault="00720C86" w:rsidP="00720C86">
      <w:pPr>
        <w:pStyle w:val="af3"/>
        <w:ind w:left="2268" w:right="1134" w:hanging="1134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  <w:lang w:val="ru-RU"/>
        </w:rPr>
      </w:pPr>
      <w:r w:rsidRPr="00720C86">
        <w:rPr>
          <w:lang w:val="ru-RU"/>
        </w:rPr>
        <w:t>«</w:t>
      </w:r>
      <w:r w:rsidRPr="00CE2424">
        <w:rPr>
          <w:rFonts w:asciiTheme="majorBidi" w:hAnsiTheme="majorBidi" w:cstheme="majorBidi"/>
          <w:u w:val="single"/>
          <w:lang w:val="ru-RU"/>
        </w:rPr>
        <w:t>1.6.4.XX</w:t>
      </w:r>
      <w:r w:rsidRPr="00CE2424">
        <w:rPr>
          <w:rFonts w:asciiTheme="majorBidi" w:hAnsiTheme="majorBidi" w:cstheme="majorBidi"/>
          <w:u w:val="single"/>
          <w:lang w:val="ru-RU"/>
        </w:rPr>
        <w:tab/>
      </w:r>
      <w:r w:rsidRPr="00CE2424">
        <w:rPr>
          <w:rFonts w:asciiTheme="majorBidi" w:hAnsiTheme="majorBidi" w:cstheme="majorBidi"/>
          <w:u w:val="single"/>
          <w:lang w:val="ru-RU"/>
        </w:rPr>
        <w:tab/>
        <w:t>Переносные цистерны, изготовленные до 1 января 2027 года в</w:t>
      </w:r>
      <w:r w:rsidRPr="00D560E7">
        <w:rPr>
          <w:lang w:val="en-US"/>
        </w:rPr>
        <w:t> </w:t>
      </w:r>
      <w:r w:rsidRPr="00CE2424">
        <w:rPr>
          <w:rFonts w:asciiTheme="majorBidi" w:hAnsiTheme="majorBidi" w:cstheme="majorBidi"/>
          <w:u w:val="single"/>
          <w:lang w:val="ru-RU"/>
        </w:rPr>
        <w:t>соответствии с требованиями, действ</w:t>
      </w:r>
      <w:r>
        <w:rPr>
          <w:rFonts w:asciiTheme="majorBidi" w:hAnsiTheme="majorBidi" w:cstheme="majorBidi"/>
          <w:u w:val="single"/>
          <w:lang w:val="ru-RU"/>
        </w:rPr>
        <w:t>ующ</w:t>
      </w:r>
      <w:r w:rsidRPr="00CE2424">
        <w:rPr>
          <w:rFonts w:asciiTheme="majorBidi" w:hAnsiTheme="majorBidi" w:cstheme="majorBidi"/>
          <w:u w:val="single"/>
          <w:lang w:val="ru-RU"/>
        </w:rPr>
        <w:t>ими до 31 декабря 2024</w:t>
      </w:r>
      <w:r w:rsidRPr="00D560E7">
        <w:rPr>
          <w:lang w:val="en-US"/>
        </w:rPr>
        <w:t> </w:t>
      </w:r>
      <w:r w:rsidRPr="00CE2424">
        <w:rPr>
          <w:rFonts w:asciiTheme="majorBidi" w:hAnsiTheme="majorBidi" w:cstheme="majorBidi"/>
          <w:u w:val="single"/>
          <w:lang w:val="ru-RU"/>
        </w:rPr>
        <w:t>года, но не отвечающие, однако, требованиям подпункта</w:t>
      </w:r>
      <w:r w:rsidRPr="00D560E7">
        <w:rPr>
          <w:lang w:val="en-US"/>
        </w:rPr>
        <w:t> </w:t>
      </w:r>
      <w:r w:rsidRPr="00CE2424">
        <w:rPr>
          <w:rFonts w:asciiTheme="majorBidi" w:hAnsiTheme="majorBidi" w:cstheme="majorBidi"/>
          <w:u w:val="single"/>
          <w:lang w:val="ru-RU"/>
        </w:rPr>
        <w:t xml:space="preserve">6.7.4.15.1 i) </w:t>
      </w:r>
      <w:proofErr w:type="spellStart"/>
      <w:r w:rsidRPr="00CE2424">
        <w:rPr>
          <w:rFonts w:asciiTheme="majorBidi" w:hAnsiTheme="majorBidi" w:cstheme="majorBidi"/>
          <w:u w:val="single"/>
          <w:lang w:val="ru-RU"/>
        </w:rPr>
        <w:t>iv</w:t>
      </w:r>
      <w:proofErr w:type="spellEnd"/>
      <w:r w:rsidRPr="00CE2424">
        <w:rPr>
          <w:rFonts w:asciiTheme="majorBidi" w:hAnsiTheme="majorBidi" w:cstheme="majorBidi"/>
          <w:u w:val="single"/>
          <w:lang w:val="ru-RU"/>
        </w:rPr>
        <w:t>), применяемым с 1 января 2025 года, могут по-прежнему эксплуатироваться</w:t>
      </w:r>
      <w:r w:rsidRPr="00720C86">
        <w:rPr>
          <w:lang w:val="ru-RU"/>
        </w:rPr>
        <w:t>»</w:t>
      </w:r>
      <w:r w:rsidRPr="00720C86">
        <w:rPr>
          <w:lang w:val="ru-RU"/>
        </w:rPr>
        <w:t>.</w:t>
      </w:r>
    </w:p>
    <w:p w14:paraId="2AC97CFC" w14:textId="77777777" w:rsidR="00720C86" w:rsidRPr="008D0719" w:rsidRDefault="00720C86" w:rsidP="00720C86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0ECCA39F" w14:textId="5A9036D7" w:rsidR="00720C86" w:rsidRDefault="00720C86" w:rsidP="00720C86">
      <w:pPr>
        <w:pStyle w:val="SingleTxtG"/>
      </w:pPr>
      <w:r>
        <w:t>9.</w:t>
      </w:r>
      <w:r>
        <w:tab/>
        <w:t xml:space="preserve">Изменения, предложенные в отношении </w:t>
      </w:r>
      <w:r w:rsidRPr="00720C86">
        <w:t>«</w:t>
      </w:r>
      <w:r>
        <w:t>степени наполнения</w:t>
      </w:r>
      <w:r w:rsidRPr="00720C86">
        <w:t>»</w:t>
      </w:r>
      <w:r>
        <w:t>, не имеют последствий для безопасности.</w:t>
      </w:r>
    </w:p>
    <w:p w14:paraId="5BADB698" w14:textId="77777777" w:rsidR="00720C86" w:rsidRDefault="00720C86" w:rsidP="00720C86">
      <w:pPr>
        <w:pStyle w:val="SingleTxtG"/>
      </w:pPr>
      <w:r>
        <w:t>10.</w:t>
      </w:r>
      <w:r>
        <w:tab/>
        <w:t>Необходимость внесения изменений в надписи на табличках или замены существующих табличек цистерн станет неоправданно тяжелым бременем для операторов этого оборудования.</w:t>
      </w:r>
    </w:p>
    <w:p w14:paraId="3242C906" w14:textId="77777777" w:rsidR="00720C86" w:rsidRDefault="00720C86" w:rsidP="00720C86">
      <w:pPr>
        <w:pStyle w:val="SingleTxtG"/>
      </w:pPr>
      <w:r>
        <w:t>11.</w:t>
      </w:r>
      <w:r>
        <w:tab/>
        <w:t>Если изготовитель используемых переносных цистерн прекратил деятельность, то реализовать необходимые изменения станет еще труднее.</w:t>
      </w:r>
    </w:p>
    <w:p w14:paraId="197DAAAE" w14:textId="1BBEDD8A" w:rsidR="00E12C5F" w:rsidRPr="00720C86" w:rsidRDefault="00720C86" w:rsidP="00720C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20C86" w:rsidSect="00720C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2905" w14:textId="77777777" w:rsidR="003C482A" w:rsidRPr="00A312BC" w:rsidRDefault="003C482A" w:rsidP="00A312BC"/>
  </w:endnote>
  <w:endnote w:type="continuationSeparator" w:id="0">
    <w:p w14:paraId="4318BD4B" w14:textId="77777777" w:rsidR="003C482A" w:rsidRPr="00A312BC" w:rsidRDefault="003C48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0881" w14:textId="45644CCA" w:rsidR="00720C86" w:rsidRPr="00720C86" w:rsidRDefault="00720C86">
    <w:pPr>
      <w:pStyle w:val="a8"/>
    </w:pPr>
    <w:r w:rsidRPr="00720C86">
      <w:rPr>
        <w:b/>
        <w:sz w:val="18"/>
      </w:rPr>
      <w:fldChar w:fldCharType="begin"/>
    </w:r>
    <w:r w:rsidRPr="00720C86">
      <w:rPr>
        <w:b/>
        <w:sz w:val="18"/>
      </w:rPr>
      <w:instrText xml:space="preserve"> PAGE  \* MERGEFORMAT </w:instrText>
    </w:r>
    <w:r w:rsidRPr="00720C86">
      <w:rPr>
        <w:b/>
        <w:sz w:val="18"/>
      </w:rPr>
      <w:fldChar w:fldCharType="separate"/>
    </w:r>
    <w:r w:rsidRPr="00720C86">
      <w:rPr>
        <w:b/>
        <w:noProof/>
        <w:sz w:val="18"/>
      </w:rPr>
      <w:t>2</w:t>
    </w:r>
    <w:r w:rsidRPr="00720C86">
      <w:rPr>
        <w:b/>
        <w:sz w:val="18"/>
      </w:rPr>
      <w:fldChar w:fldCharType="end"/>
    </w:r>
    <w:r>
      <w:rPr>
        <w:b/>
        <w:sz w:val="18"/>
      </w:rPr>
      <w:tab/>
    </w:r>
    <w:r>
      <w:t>GE.23-25422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C7F" w14:textId="24AADB6E" w:rsidR="00720C86" w:rsidRPr="00720C86" w:rsidRDefault="00720C86" w:rsidP="00720C86">
    <w:pPr>
      <w:pStyle w:val="a8"/>
      <w:tabs>
        <w:tab w:val="clear" w:pos="9639"/>
        <w:tab w:val="right" w:pos="9638"/>
      </w:tabs>
      <w:rPr>
        <w:b/>
        <w:sz w:val="18"/>
      </w:rPr>
    </w:pPr>
    <w:r>
      <w:t>GE.23-25422</w:t>
    </w:r>
    <w:r>
      <w:tab/>
    </w:r>
    <w:r w:rsidRPr="00720C86">
      <w:rPr>
        <w:b/>
        <w:sz w:val="18"/>
      </w:rPr>
      <w:fldChar w:fldCharType="begin"/>
    </w:r>
    <w:r w:rsidRPr="00720C86">
      <w:rPr>
        <w:b/>
        <w:sz w:val="18"/>
      </w:rPr>
      <w:instrText xml:space="preserve"> PAGE  \* MERGEFORMAT </w:instrText>
    </w:r>
    <w:r w:rsidRPr="00720C86">
      <w:rPr>
        <w:b/>
        <w:sz w:val="18"/>
      </w:rPr>
      <w:fldChar w:fldCharType="separate"/>
    </w:r>
    <w:r w:rsidRPr="00720C86">
      <w:rPr>
        <w:b/>
        <w:noProof/>
        <w:sz w:val="18"/>
      </w:rPr>
      <w:t>3</w:t>
    </w:r>
    <w:r w:rsidRPr="00720C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E5F0" w14:textId="2C835748" w:rsidR="00042B72" w:rsidRPr="00720C86" w:rsidRDefault="00720C86" w:rsidP="00720C8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8902EB" wp14:editId="6A795A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23-25422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FDBCF0" wp14:editId="56985C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110124  110124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7E68" w14:textId="77777777" w:rsidR="003C482A" w:rsidRPr="001075E9" w:rsidRDefault="003C48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4E0AB3" w14:textId="77777777" w:rsidR="003C482A" w:rsidRDefault="003C48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26B540" w14:textId="77777777" w:rsidR="00720C86" w:rsidRPr="004D0366" w:rsidRDefault="00720C86" w:rsidP="00720C86">
      <w:pPr>
        <w:pStyle w:val="ad"/>
      </w:pPr>
      <w:r>
        <w:tab/>
      </w:r>
      <w:r w:rsidRPr="00720C86">
        <w:t>*</w:t>
      </w:r>
      <w:r>
        <w:tab/>
        <w:t xml:space="preserve"> A/78/6 (разд. 20), таблица 20.5.</w:t>
      </w:r>
    </w:p>
  </w:footnote>
  <w:footnote w:id="2">
    <w:p w14:paraId="0004516A" w14:textId="77777777" w:rsidR="00720C86" w:rsidRPr="006031F9" w:rsidRDefault="00720C86" w:rsidP="00720C86">
      <w:pPr>
        <w:pStyle w:val="ad"/>
      </w:pPr>
      <w:r>
        <w:tab/>
      </w:r>
      <w:r w:rsidRPr="00720C86">
        <w:t>**</w:t>
      </w:r>
      <w:r>
        <w:tab/>
        <w:t xml:space="preserve"> Распространено Межправительственной организацией по международным железнодорожным перевозкам (ОТИФ) под условным обозначением OTIF/RID/RC/2024/8.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32F" w14:textId="5F7AAE6A" w:rsidR="00720C86" w:rsidRPr="00720C86" w:rsidRDefault="00720C86">
    <w:pPr>
      <w:pStyle w:val="a5"/>
    </w:pPr>
    <w:fldSimple w:instr=" TITLE  \* MERGEFORMAT ">
      <w:r w:rsidR="004944C8">
        <w:t>ECE/TRANS/WP.15/AC.1/2024/8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AA5" w14:textId="196DF621" w:rsidR="00720C86" w:rsidRPr="00720C86" w:rsidRDefault="00720C86" w:rsidP="00720C86">
    <w:pPr>
      <w:pStyle w:val="a5"/>
      <w:jc w:val="right"/>
    </w:pPr>
    <w:fldSimple w:instr=" TITLE  \* MERGEFORMAT ">
      <w:r w:rsidR="004944C8">
        <w:t>ECE/TRANS/WP.15/AC.1/2024/8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2A"/>
    <w:rsid w:val="00033EE1"/>
    <w:rsid w:val="00042B72"/>
    <w:rsid w:val="000558BD"/>
    <w:rsid w:val="000B57E7"/>
    <w:rsid w:val="000B6373"/>
    <w:rsid w:val="000E4E5B"/>
    <w:rsid w:val="000F09DF"/>
    <w:rsid w:val="000F61B2"/>
    <w:rsid w:val="00104D30"/>
    <w:rsid w:val="001075E9"/>
    <w:rsid w:val="0014152F"/>
    <w:rsid w:val="00142E1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82A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44C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76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C8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4F4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65581"/>
  <w15:docId w15:val="{3EBCA339-290E-46AA-B965-18C046EB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20C86"/>
    <w:rPr>
      <w:lang w:val="ru-RU" w:eastAsia="en-US"/>
    </w:rPr>
  </w:style>
  <w:style w:type="paragraph" w:styleId="af3">
    <w:name w:val="List Paragraph"/>
    <w:basedOn w:val="a"/>
    <w:uiPriority w:val="34"/>
    <w:qFormat/>
    <w:rsid w:val="00720C86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55B6B-3D1D-483B-A039-0DC316911FE2}"/>
</file>

<file path=customXml/itemProps2.xml><?xml version="1.0" encoding="utf-8"?>
<ds:datastoreItem xmlns:ds="http://schemas.openxmlformats.org/officeDocument/2006/customXml" ds:itemID="{ED1BACA7-7B7E-45FB-B8FE-7CC6858E5D1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337</Words>
  <Characters>3005</Characters>
  <Application>Microsoft Office Word</Application>
  <DocSecurity>0</DocSecurity>
  <Lines>273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ECE/TRANS/WP.15/AC.1/2024/8</vt:lpstr>
      <vt:lpstr>A/</vt:lpstr>
      <vt:lpstr>A/</vt:lpstr>
    </vt:vector>
  </TitlesOfParts>
  <Company>DCM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ECE/TRANS/WP.15/AC.1/2024/8</dc:title>
  <dc:subject/>
  <dc:creator>Tatiana CHVETS</dc:creator>
  <cp:keywords/>
  <cp:lastModifiedBy>Tatiana Chvets</cp:lastModifiedBy>
  <cp:revision>3</cp:revision>
  <cp:lastPrinted>2024-01-11T16:04:00Z</cp:lastPrinted>
  <dcterms:created xsi:type="dcterms:W3CDTF">2024-01-11T16:04:00Z</dcterms:created>
  <dcterms:modified xsi:type="dcterms:W3CDTF">2024-01-11T16:04:00Z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