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83DD0AF" w14:textId="77777777" w:rsidTr="005316B0">
        <w:trPr>
          <w:trHeight w:hRule="exact" w:val="851"/>
        </w:trPr>
        <w:tc>
          <w:tcPr>
            <w:tcW w:w="1276" w:type="dxa"/>
            <w:tcBorders>
              <w:bottom w:val="single" w:sz="4" w:space="0" w:color="auto"/>
            </w:tcBorders>
          </w:tcPr>
          <w:p w14:paraId="3323084C" w14:textId="2F9F7636" w:rsidR="001433FD" w:rsidRPr="00DB58B5" w:rsidRDefault="005B7C05" w:rsidP="0001207F">
            <w:r>
              <w:t xml:space="preserve"> </w:t>
            </w:r>
          </w:p>
        </w:tc>
        <w:tc>
          <w:tcPr>
            <w:tcW w:w="2268" w:type="dxa"/>
            <w:tcBorders>
              <w:bottom w:val="single" w:sz="4" w:space="0" w:color="auto"/>
            </w:tcBorders>
            <w:vAlign w:val="bottom"/>
          </w:tcPr>
          <w:p w14:paraId="62022885" w14:textId="77777777" w:rsidR="001433FD" w:rsidRPr="00DB58B5" w:rsidRDefault="001433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D95927" w14:textId="3B1379C8" w:rsidR="001433FD" w:rsidRPr="00DB58B5" w:rsidRDefault="002B4EE5" w:rsidP="002B4EE5">
            <w:pPr>
              <w:jc w:val="right"/>
            </w:pPr>
            <w:r w:rsidRPr="002B4EE5">
              <w:rPr>
                <w:sz w:val="40"/>
              </w:rPr>
              <w:t>ECE</w:t>
            </w:r>
            <w:r>
              <w:t>/TRANS/WP</w:t>
            </w:r>
            <w:r w:rsidR="00027DDD">
              <w:t>.</w:t>
            </w:r>
            <w:r>
              <w:t>15/AC</w:t>
            </w:r>
            <w:r w:rsidR="00027DDD">
              <w:t>.</w:t>
            </w:r>
            <w:r>
              <w:t>1/170</w:t>
            </w:r>
          </w:p>
        </w:tc>
      </w:tr>
      <w:tr w:rsidR="001433FD" w:rsidRPr="00DB58B5" w14:paraId="3758791A" w14:textId="77777777">
        <w:trPr>
          <w:trHeight w:hRule="exact" w:val="2835"/>
        </w:trPr>
        <w:tc>
          <w:tcPr>
            <w:tcW w:w="1276" w:type="dxa"/>
            <w:tcBorders>
              <w:top w:val="single" w:sz="4" w:space="0" w:color="auto"/>
              <w:bottom w:val="single" w:sz="12" w:space="0" w:color="auto"/>
            </w:tcBorders>
          </w:tcPr>
          <w:p w14:paraId="367BA729" w14:textId="77777777" w:rsidR="001433FD" w:rsidRPr="00DB58B5" w:rsidRDefault="001433FD">
            <w:pPr>
              <w:spacing w:before="120"/>
              <w:jc w:val="center"/>
            </w:pPr>
            <w:r>
              <w:rPr>
                <w:noProof/>
                <w:lang w:eastAsia="fr-CH"/>
              </w:rPr>
              <w:drawing>
                <wp:inline distT="0" distB="0" distL="0" distR="0" wp14:anchorId="78EE8AB7" wp14:editId="724C8504">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C8A4B7" w14:textId="77777777" w:rsidR="001433FD" w:rsidRPr="00740562" w:rsidRDefault="001433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3CBA2" w14:textId="77777777" w:rsidR="0001207F" w:rsidRDefault="002B4EE5" w:rsidP="002B4EE5">
            <w:pPr>
              <w:spacing w:before="240" w:line="240" w:lineRule="exact"/>
            </w:pPr>
            <w:proofErr w:type="spellStart"/>
            <w:r>
              <w:t>Distr</w:t>
            </w:r>
            <w:proofErr w:type="spellEnd"/>
            <w:r>
              <w:t>. générale</w:t>
            </w:r>
          </w:p>
          <w:p w14:paraId="4B87E6CF" w14:textId="7C0140B8" w:rsidR="002B4EE5" w:rsidRDefault="0002235B" w:rsidP="002B4EE5">
            <w:pPr>
              <w:spacing w:line="240" w:lineRule="exact"/>
            </w:pPr>
            <w:r>
              <w:t>1</w:t>
            </w:r>
            <w:r w:rsidR="00FB1120">
              <w:t>7</w:t>
            </w:r>
            <w:r w:rsidR="002B4EE5">
              <w:t xml:space="preserve"> octobre 2023</w:t>
            </w:r>
          </w:p>
          <w:p w14:paraId="37AE6ED6" w14:textId="2C14DCA8" w:rsidR="002B4EE5" w:rsidRPr="00B05569" w:rsidRDefault="00B15573" w:rsidP="002B4EE5">
            <w:pPr>
              <w:spacing w:line="240" w:lineRule="exact"/>
            </w:pPr>
            <w:r w:rsidRPr="00B05569">
              <w:t>Français</w:t>
            </w:r>
          </w:p>
          <w:p w14:paraId="39DEE734" w14:textId="4A6A80CB" w:rsidR="002B4EE5" w:rsidRPr="00DB58B5" w:rsidRDefault="002B4EE5" w:rsidP="002B4EE5">
            <w:pPr>
              <w:spacing w:line="240" w:lineRule="exact"/>
            </w:pPr>
            <w:r w:rsidRPr="00B05569">
              <w:t xml:space="preserve">Original : </w:t>
            </w:r>
            <w:r w:rsidR="00474C59" w:rsidRPr="00B05569">
              <w:t>anglais</w:t>
            </w:r>
            <w:r w:rsidR="006E13B9">
              <w:t xml:space="preserve"> et français</w:t>
            </w:r>
          </w:p>
        </w:tc>
      </w:tr>
    </w:tbl>
    <w:p w14:paraId="1B202EA8" w14:textId="77777777" w:rsidR="002B4EE5" w:rsidRDefault="002B4EE5" w:rsidP="00FD1581">
      <w:pPr>
        <w:spacing w:before="120"/>
        <w:rPr>
          <w:b/>
          <w:sz w:val="28"/>
          <w:szCs w:val="28"/>
        </w:rPr>
      </w:pPr>
      <w:r w:rsidRPr="00883605">
        <w:rPr>
          <w:b/>
          <w:sz w:val="28"/>
          <w:szCs w:val="28"/>
        </w:rPr>
        <w:t>Commission économique pour l’Europe</w:t>
      </w:r>
    </w:p>
    <w:p w14:paraId="3CAA9FB9" w14:textId="77777777" w:rsidR="002B4EE5" w:rsidRPr="008A7BD0" w:rsidRDefault="002B4EE5" w:rsidP="00FD1581">
      <w:pPr>
        <w:spacing w:before="120"/>
        <w:rPr>
          <w:sz w:val="28"/>
          <w:szCs w:val="28"/>
          <w:lang w:val="fr-CA"/>
        </w:rPr>
      </w:pPr>
      <w:r w:rsidRPr="008A7BD0">
        <w:rPr>
          <w:sz w:val="28"/>
          <w:szCs w:val="28"/>
          <w:lang w:val="fr-CA"/>
        </w:rPr>
        <w:t>Comité des transports intérieurs</w:t>
      </w:r>
    </w:p>
    <w:p w14:paraId="78BE5AFD" w14:textId="77777777" w:rsidR="002B4EE5" w:rsidRPr="008A7BD0" w:rsidRDefault="002B4EE5"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39B5937F" w14:textId="77777777" w:rsidR="002B4EE5" w:rsidRPr="008A7BD0" w:rsidRDefault="002B4EE5"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582AB1A9" w14:textId="51E510D2" w:rsidR="00C1626B" w:rsidRDefault="006E0014" w:rsidP="006E0014">
      <w:pPr>
        <w:pStyle w:val="HChG"/>
      </w:pPr>
      <w:r>
        <w:tab/>
      </w:r>
      <w:r>
        <w:tab/>
      </w:r>
      <w:bookmarkStart w:id="0" w:name="_Toc147830507"/>
      <w:bookmarkStart w:id="1" w:name="_Toc147845933"/>
      <w:bookmarkStart w:id="2" w:name="_Toc148357319"/>
      <w:bookmarkStart w:id="3" w:name="_Toc148358383"/>
      <w:r w:rsidR="00797129">
        <w:t>Rapport de la Réunion commune de la Commission d’experts du RID et du Groupe de travail des transports de marchandises dangereuses sur sa session d’automne 202</w:t>
      </w:r>
      <w:r>
        <w:t>3</w:t>
      </w:r>
      <w:bookmarkEnd w:id="0"/>
      <w:bookmarkEnd w:id="1"/>
      <w:bookmarkEnd w:id="2"/>
      <w:bookmarkEnd w:id="3"/>
    </w:p>
    <w:p w14:paraId="51F745DD" w14:textId="1CFBE5EF" w:rsidR="00FE7123" w:rsidRDefault="00FE7123" w:rsidP="00FE7123">
      <w:pPr>
        <w:pStyle w:val="SingleTxtG"/>
      </w:pPr>
      <w:r>
        <w:t xml:space="preserve">tenue à Genève du </w:t>
      </w:r>
      <w:r w:rsidR="00C04B5E">
        <w:t>19</w:t>
      </w:r>
      <w:r>
        <w:t xml:space="preserve"> au </w:t>
      </w:r>
      <w:r w:rsidR="00C04B5E">
        <w:t>27</w:t>
      </w:r>
      <w:r>
        <w:t xml:space="preserve"> septembre 202</w:t>
      </w:r>
      <w:r w:rsidR="00C04B5E">
        <w:t>3</w:t>
      </w:r>
    </w:p>
    <w:p w14:paraId="1CAB0622" w14:textId="77777777" w:rsidR="00870691" w:rsidRPr="00ED4CEA" w:rsidRDefault="00870691" w:rsidP="006E5E26">
      <w:pPr>
        <w:spacing w:after="120"/>
        <w:rPr>
          <w:sz w:val="28"/>
        </w:rPr>
      </w:pPr>
      <w:r w:rsidRPr="00ED4CEA">
        <w:rPr>
          <w:sz w:val="28"/>
        </w:rPr>
        <w:t>Table des matières</w:t>
      </w:r>
    </w:p>
    <w:p w14:paraId="3ADC9A15" w14:textId="77777777" w:rsidR="008A3F64" w:rsidRPr="004821C5" w:rsidRDefault="008A3F64" w:rsidP="008A3F64">
      <w:pPr>
        <w:tabs>
          <w:tab w:val="right" w:pos="8929"/>
          <w:tab w:val="right" w:pos="9638"/>
        </w:tabs>
        <w:spacing w:after="120"/>
        <w:ind w:left="283"/>
        <w:rPr>
          <w:i/>
          <w:sz w:val="18"/>
        </w:rPr>
      </w:pPr>
      <w:r w:rsidRPr="004821C5">
        <w:rPr>
          <w:i/>
          <w:sz w:val="18"/>
        </w:rPr>
        <w:tab/>
        <w:t>Paragraphes</w:t>
      </w:r>
      <w:r w:rsidRPr="004821C5">
        <w:rPr>
          <w:i/>
          <w:sz w:val="18"/>
        </w:rPr>
        <w:tab/>
        <w:t>Page</w:t>
      </w:r>
    </w:p>
    <w:p w14:paraId="3C0FE1E2" w14:textId="3B1D254A" w:rsidR="008A3F64" w:rsidRDefault="008A3F64" w:rsidP="008A3F64">
      <w:pPr>
        <w:tabs>
          <w:tab w:val="right" w:pos="850"/>
          <w:tab w:val="right" w:leader="dot" w:pos="7654"/>
          <w:tab w:val="right" w:pos="8929"/>
          <w:tab w:val="right" w:pos="9638"/>
        </w:tabs>
        <w:spacing w:after="120"/>
        <w:ind w:left="1134" w:hanging="1134"/>
      </w:pPr>
      <w:r>
        <w:tab/>
        <w:t>I.</w:t>
      </w:r>
      <w:r>
        <w:tab/>
      </w:r>
      <w:r w:rsidRPr="00323C47">
        <w:t>Participation</w:t>
      </w:r>
      <w:r>
        <w:tab/>
      </w:r>
      <w:r>
        <w:tab/>
        <w:t>1</w:t>
      </w:r>
      <w:r w:rsidR="00F6262F">
        <w:t>-4</w:t>
      </w:r>
      <w:r>
        <w:tab/>
      </w:r>
      <w:r w:rsidR="00697F64">
        <w:t>4</w:t>
      </w:r>
    </w:p>
    <w:p w14:paraId="47C6DF6B" w14:textId="25149C59" w:rsidR="004C2C01" w:rsidRPr="004C2C01" w:rsidRDefault="008144CB" w:rsidP="002E4CAB">
      <w:pPr>
        <w:tabs>
          <w:tab w:val="right" w:pos="850"/>
          <w:tab w:val="right" w:leader="dot" w:pos="7654"/>
          <w:tab w:val="right" w:pos="8929"/>
          <w:tab w:val="right" w:pos="9638"/>
        </w:tabs>
        <w:spacing w:after="120"/>
        <w:ind w:left="1134" w:hanging="1134"/>
      </w:pPr>
      <w:r>
        <w:tab/>
      </w:r>
      <w:r w:rsidR="002E4CAB" w:rsidRPr="004C2C01">
        <w:t>II.</w:t>
      </w:r>
      <w:r w:rsidR="002E4CAB">
        <w:tab/>
      </w:r>
      <w:r w:rsidR="004C2C01" w:rsidRPr="004C2C01">
        <w:t>Questions d’organisation</w:t>
      </w:r>
      <w:r w:rsidR="004C2C01">
        <w:tab/>
      </w:r>
      <w:r w:rsidR="00876913">
        <w:tab/>
      </w:r>
      <w:r w:rsidR="00697F64">
        <w:t>5-8</w:t>
      </w:r>
      <w:r w:rsidR="00876913">
        <w:tab/>
      </w:r>
      <w:r w:rsidR="00697F64">
        <w:t>4</w:t>
      </w:r>
    </w:p>
    <w:p w14:paraId="3375D7B3" w14:textId="35FFF212" w:rsidR="004C2C01" w:rsidRPr="004C2C01" w:rsidRDefault="007B2550" w:rsidP="004C2C01">
      <w:pPr>
        <w:tabs>
          <w:tab w:val="right" w:pos="850"/>
          <w:tab w:val="right" w:leader="dot" w:pos="7654"/>
          <w:tab w:val="right" w:pos="8929"/>
          <w:tab w:val="right" w:pos="9638"/>
        </w:tabs>
        <w:spacing w:after="120"/>
        <w:ind w:left="1134" w:hanging="1134"/>
      </w:pPr>
      <w:r>
        <w:tab/>
      </w:r>
      <w:r w:rsidR="004C2C01" w:rsidRPr="004C2C01">
        <w:t>III.</w:t>
      </w:r>
      <w:r w:rsidR="004C2C01" w:rsidRPr="004C2C01">
        <w:tab/>
        <w:t>Adoption de l’ordre du jour (point 1 de l’ordre du jour)</w:t>
      </w:r>
      <w:r w:rsidR="004C2C01">
        <w:tab/>
      </w:r>
      <w:r w:rsidR="00876913">
        <w:tab/>
      </w:r>
      <w:r w:rsidR="00697F64">
        <w:t>9</w:t>
      </w:r>
      <w:r w:rsidR="00876913">
        <w:tab/>
      </w:r>
      <w:r w:rsidR="001846CB">
        <w:rPr>
          <w:noProof/>
        </w:rPr>
        <w:t>5</w:t>
      </w:r>
    </w:p>
    <w:p w14:paraId="4AE0C0F9" w14:textId="449A2AAC" w:rsidR="004C2C01" w:rsidRPr="004C2C01" w:rsidRDefault="007B2550" w:rsidP="004C2C01">
      <w:pPr>
        <w:tabs>
          <w:tab w:val="right" w:pos="850"/>
          <w:tab w:val="right" w:leader="dot" w:pos="7654"/>
          <w:tab w:val="right" w:pos="8929"/>
          <w:tab w:val="right" w:pos="9638"/>
        </w:tabs>
        <w:spacing w:after="120"/>
        <w:ind w:left="1134" w:hanging="1134"/>
      </w:pPr>
      <w:r>
        <w:tab/>
      </w:r>
      <w:r w:rsidR="004C2C01" w:rsidRPr="004C2C01">
        <w:t>IV.</w:t>
      </w:r>
      <w:r w:rsidR="004C2C01" w:rsidRPr="004C2C01">
        <w:tab/>
        <w:t>Citernes (point 2 de l’ordre du jour)</w:t>
      </w:r>
      <w:r w:rsidR="004C2C01">
        <w:tab/>
      </w:r>
      <w:r w:rsidR="00876913">
        <w:tab/>
      </w:r>
      <w:r w:rsidR="006E2E26">
        <w:t>10-19</w:t>
      </w:r>
      <w:r w:rsidR="00876913">
        <w:tab/>
      </w:r>
      <w:r w:rsidR="001846CB">
        <w:rPr>
          <w:noProof/>
        </w:rPr>
        <w:t>5</w:t>
      </w:r>
    </w:p>
    <w:p w14:paraId="2B57ED38" w14:textId="543425A5" w:rsidR="004C2C01" w:rsidRPr="004C2C01" w:rsidRDefault="007B2550" w:rsidP="007B2550">
      <w:pPr>
        <w:tabs>
          <w:tab w:val="right" w:pos="850"/>
          <w:tab w:val="left" w:pos="1560"/>
          <w:tab w:val="right" w:leader="dot" w:pos="7654"/>
          <w:tab w:val="right" w:pos="8929"/>
          <w:tab w:val="right" w:pos="9638"/>
        </w:tabs>
        <w:spacing w:after="120"/>
        <w:ind w:left="1134" w:hanging="1134"/>
      </w:pPr>
      <w:r>
        <w:tab/>
      </w:r>
      <w:r>
        <w:tab/>
      </w:r>
      <w:r w:rsidR="004C2C01" w:rsidRPr="004C2C01">
        <w:t>Rapport du Groupe de travail des citernes</w:t>
      </w:r>
      <w:r w:rsidR="004C2C01">
        <w:tab/>
      </w:r>
      <w:r w:rsidR="00CE7C8A">
        <w:tab/>
      </w:r>
      <w:r w:rsidR="00A23850">
        <w:t>12-19</w:t>
      </w:r>
      <w:r w:rsidR="00CE7C8A">
        <w:tab/>
      </w:r>
      <w:r w:rsidR="001846CB">
        <w:rPr>
          <w:noProof/>
        </w:rPr>
        <w:t>6</w:t>
      </w:r>
    </w:p>
    <w:p w14:paraId="6734523C" w14:textId="426975E7" w:rsidR="004C2C01" w:rsidRPr="004C2C01" w:rsidRDefault="00580D85" w:rsidP="004C2C01">
      <w:pPr>
        <w:tabs>
          <w:tab w:val="right" w:pos="850"/>
          <w:tab w:val="right" w:leader="dot" w:pos="7654"/>
          <w:tab w:val="right" w:pos="8929"/>
          <w:tab w:val="right" w:pos="9638"/>
        </w:tabs>
        <w:spacing w:after="120"/>
        <w:ind w:left="1134" w:hanging="1134"/>
      </w:pPr>
      <w:r>
        <w:tab/>
      </w:r>
      <w:r w:rsidR="004C2C01" w:rsidRPr="004C2C01">
        <w:t>V.</w:t>
      </w:r>
      <w:r w:rsidR="004C2C01" w:rsidRPr="004C2C01">
        <w:tab/>
        <w:t>Normes (point 3 de l’ordre du jour)</w:t>
      </w:r>
      <w:r w:rsidR="004C2C01">
        <w:tab/>
      </w:r>
      <w:r>
        <w:tab/>
        <w:t>20-22</w:t>
      </w:r>
      <w:r>
        <w:tab/>
      </w:r>
      <w:r w:rsidR="001846CB">
        <w:rPr>
          <w:noProof/>
        </w:rPr>
        <w:t>6</w:t>
      </w:r>
    </w:p>
    <w:p w14:paraId="5D43C048" w14:textId="0CDB6543" w:rsidR="004C2C01" w:rsidRDefault="00580D85" w:rsidP="004C2C01">
      <w:pPr>
        <w:tabs>
          <w:tab w:val="right" w:pos="850"/>
          <w:tab w:val="right" w:leader="dot" w:pos="7654"/>
          <w:tab w:val="right" w:pos="8929"/>
          <w:tab w:val="right" w:pos="9638"/>
        </w:tabs>
        <w:spacing w:after="120"/>
        <w:ind w:left="1134" w:hanging="1134"/>
        <w:rPr>
          <w:rFonts w:asciiTheme="minorHAnsi" w:eastAsiaTheme="minorEastAsia" w:hAnsiTheme="minorHAnsi" w:cstheme="minorBidi"/>
          <w:noProof/>
          <w:sz w:val="22"/>
          <w:szCs w:val="22"/>
        </w:rPr>
      </w:pPr>
      <w:r>
        <w:tab/>
      </w:r>
      <w:r>
        <w:tab/>
      </w:r>
      <w:r w:rsidR="004C2C01" w:rsidRPr="004C2C01">
        <w:t xml:space="preserve">Informations sur les activités du Groupe de travail des </w:t>
      </w:r>
      <w:proofErr w:type="spellStart"/>
      <w:r w:rsidR="004C2C01" w:rsidRPr="004C2C01">
        <w:t>norm</w:t>
      </w:r>
      <w:proofErr w:type="spellEnd"/>
      <w:r w:rsidR="004C2C01" w:rsidRPr="00FF46BE">
        <w:rPr>
          <w:noProof/>
          <w:lang w:val="fr-FR"/>
        </w:rPr>
        <w:t>es</w:t>
      </w:r>
      <w:r>
        <w:rPr>
          <w:noProof/>
          <w:lang w:val="fr-FR"/>
        </w:rPr>
        <w:tab/>
      </w:r>
      <w:r>
        <w:rPr>
          <w:noProof/>
          <w:lang w:val="fr-FR"/>
        </w:rPr>
        <w:tab/>
      </w:r>
      <w:r w:rsidR="004E73B3">
        <w:t>20-22</w:t>
      </w:r>
      <w:r w:rsidR="004C2C01">
        <w:rPr>
          <w:noProof/>
        </w:rPr>
        <w:tab/>
      </w:r>
      <w:r w:rsidR="001846CB">
        <w:rPr>
          <w:noProof/>
        </w:rPr>
        <w:t>6</w:t>
      </w:r>
    </w:p>
    <w:p w14:paraId="0B3466FF" w14:textId="619B2DB6" w:rsidR="004C2C01" w:rsidRPr="004C2C01" w:rsidRDefault="00451423" w:rsidP="004C2C01">
      <w:pPr>
        <w:tabs>
          <w:tab w:val="right" w:pos="850"/>
          <w:tab w:val="right" w:leader="dot" w:pos="7654"/>
          <w:tab w:val="right" w:pos="8929"/>
          <w:tab w:val="right" w:pos="9638"/>
        </w:tabs>
        <w:spacing w:after="120"/>
        <w:ind w:left="1134" w:hanging="1134"/>
      </w:pPr>
      <w:r>
        <w:rPr>
          <w:noProof/>
          <w:lang w:val="fr-FR"/>
        </w:rPr>
        <w:tab/>
      </w:r>
      <w:r w:rsidR="004C2C01" w:rsidRPr="00FF46BE">
        <w:rPr>
          <w:noProof/>
          <w:lang w:val="fr-FR"/>
        </w:rPr>
        <w:t>VI.</w:t>
      </w:r>
      <w:r w:rsidR="004C2C01">
        <w:rPr>
          <w:rFonts w:asciiTheme="minorHAnsi" w:eastAsiaTheme="minorEastAsia" w:hAnsiTheme="minorHAnsi" w:cstheme="minorBidi"/>
          <w:noProof/>
          <w:sz w:val="22"/>
          <w:szCs w:val="22"/>
        </w:rPr>
        <w:tab/>
      </w:r>
      <w:r w:rsidR="004C2C01" w:rsidRPr="00FF46BE">
        <w:rPr>
          <w:noProof/>
          <w:lang w:val="fr-FR"/>
        </w:rPr>
        <w:t>Harmonisation avec les Recommandations relatives</w:t>
      </w:r>
      <w:r w:rsidR="006C3892">
        <w:rPr>
          <w:noProof/>
          <w:lang w:val="fr-FR"/>
        </w:rPr>
        <w:t xml:space="preserve"> </w:t>
      </w:r>
      <w:r w:rsidR="004C2C01" w:rsidRPr="00FF46BE">
        <w:rPr>
          <w:noProof/>
          <w:lang w:val="fr-FR"/>
        </w:rPr>
        <w:t>au transport des marchandises</w:t>
      </w:r>
      <w:r w:rsidR="002D6540">
        <w:rPr>
          <w:noProof/>
          <w:lang w:val="fr-FR"/>
        </w:rPr>
        <w:br/>
      </w:r>
      <w:r w:rsidR="004C2C01" w:rsidRPr="00FF46BE">
        <w:rPr>
          <w:noProof/>
          <w:lang w:val="fr-FR"/>
        </w:rPr>
        <w:t>dangereus</w:t>
      </w:r>
      <w:r w:rsidR="004C2C01" w:rsidRPr="004C2C01">
        <w:t>es</w:t>
      </w:r>
      <w:r w:rsidR="002D6540">
        <w:t xml:space="preserve"> </w:t>
      </w:r>
      <w:r w:rsidR="004C2C01" w:rsidRPr="004C2C01">
        <w:t>(point 4 de l’ordre du jour)</w:t>
      </w:r>
      <w:r w:rsidR="004C2C01">
        <w:tab/>
      </w:r>
      <w:r>
        <w:tab/>
      </w:r>
      <w:r w:rsidR="002E7028">
        <w:t>23</w:t>
      </w:r>
      <w:r>
        <w:tab/>
      </w:r>
      <w:r w:rsidR="001846CB">
        <w:rPr>
          <w:noProof/>
        </w:rPr>
        <w:t>7</w:t>
      </w:r>
    </w:p>
    <w:p w14:paraId="745FFA22" w14:textId="24091CD5" w:rsidR="004C2C01" w:rsidRPr="004C2C01" w:rsidRDefault="00451423" w:rsidP="004C2C01">
      <w:pPr>
        <w:tabs>
          <w:tab w:val="right" w:pos="850"/>
          <w:tab w:val="right" w:leader="dot" w:pos="7654"/>
          <w:tab w:val="right" w:pos="8929"/>
          <w:tab w:val="right" w:pos="9638"/>
        </w:tabs>
        <w:spacing w:after="120"/>
        <w:ind w:left="1134" w:hanging="1134"/>
      </w:pPr>
      <w:r>
        <w:tab/>
      </w:r>
      <w:r>
        <w:tab/>
      </w:r>
      <w:r w:rsidR="004C2C01" w:rsidRPr="004C2C01">
        <w:t>Rapport du Groupe de travail spécial de l’harmonisation</w:t>
      </w:r>
      <w:r w:rsidR="006C3892">
        <w:t xml:space="preserve"> </w:t>
      </w:r>
      <w:r w:rsidR="004C2C01" w:rsidRPr="004C2C01">
        <w:t>des Règlements</w:t>
      </w:r>
      <w:r w:rsidR="002D6540">
        <w:br/>
      </w:r>
      <w:r w:rsidR="004C2C01" w:rsidRPr="004C2C01">
        <w:t>RID/ADR/ADN avec les Recommandations</w:t>
      </w:r>
      <w:r w:rsidR="006C3892">
        <w:t xml:space="preserve"> </w:t>
      </w:r>
      <w:r w:rsidR="004C2C01" w:rsidRPr="004C2C01">
        <w:t>de l’ONU relatives au transport des marchandises</w:t>
      </w:r>
      <w:r w:rsidR="002D6540">
        <w:t xml:space="preserve"> </w:t>
      </w:r>
      <w:r w:rsidR="004C2C01" w:rsidRPr="004C2C01">
        <w:t>dangereuses</w:t>
      </w:r>
      <w:r w:rsidR="004C2C01">
        <w:tab/>
      </w:r>
      <w:r w:rsidR="002D6540">
        <w:tab/>
      </w:r>
      <w:r w:rsidR="004D47BD">
        <w:t>23</w:t>
      </w:r>
      <w:r>
        <w:tab/>
      </w:r>
      <w:r w:rsidR="001846CB">
        <w:rPr>
          <w:noProof/>
        </w:rPr>
        <w:t>7</w:t>
      </w:r>
    </w:p>
    <w:p w14:paraId="210BDEB8" w14:textId="5F472E78" w:rsidR="004C2C01" w:rsidRPr="004C2C01" w:rsidRDefault="004D47BD" w:rsidP="004C2C01">
      <w:pPr>
        <w:tabs>
          <w:tab w:val="right" w:pos="850"/>
          <w:tab w:val="right" w:leader="dot" w:pos="7654"/>
          <w:tab w:val="right" w:pos="8929"/>
          <w:tab w:val="right" w:pos="9638"/>
        </w:tabs>
        <w:spacing w:after="120"/>
        <w:ind w:left="1134" w:hanging="1134"/>
      </w:pPr>
      <w:r>
        <w:tab/>
      </w:r>
      <w:r w:rsidR="004C2C01" w:rsidRPr="004C2C01">
        <w:t>VII.</w:t>
      </w:r>
      <w:r w:rsidR="004C2C01" w:rsidRPr="004C2C01">
        <w:tab/>
        <w:t>Propositions d’amendements au RID, à l’ADR et à l’ADN</w:t>
      </w:r>
      <w:r w:rsidR="00B057DE">
        <w:br/>
      </w:r>
      <w:r w:rsidR="004C2C01" w:rsidRPr="004C2C01">
        <w:t>(point 5 de l’ordre du jour)</w:t>
      </w:r>
      <w:r w:rsidR="004C2C01">
        <w:tab/>
      </w:r>
      <w:r w:rsidR="00B057DE">
        <w:tab/>
      </w:r>
      <w:r w:rsidR="008E69C9">
        <w:t>24-52</w:t>
      </w:r>
      <w:r>
        <w:tab/>
      </w:r>
      <w:r w:rsidR="001846CB">
        <w:rPr>
          <w:noProof/>
        </w:rPr>
        <w:t>7</w:t>
      </w:r>
    </w:p>
    <w:p w14:paraId="5F6BEFC4" w14:textId="63CE0FC1" w:rsidR="004C2C01" w:rsidRPr="004C2C01" w:rsidRDefault="008E69C9" w:rsidP="001C506E">
      <w:pPr>
        <w:tabs>
          <w:tab w:val="right" w:pos="850"/>
          <w:tab w:val="left" w:pos="1560"/>
          <w:tab w:val="right" w:leader="dot" w:pos="7654"/>
          <w:tab w:val="right" w:pos="8929"/>
          <w:tab w:val="right" w:pos="9638"/>
        </w:tabs>
        <w:spacing w:after="120"/>
        <w:ind w:left="1134" w:hanging="1134"/>
      </w:pPr>
      <w:r>
        <w:tab/>
      </w:r>
      <w:r>
        <w:tab/>
      </w:r>
      <w:r w:rsidR="004C2C01" w:rsidRPr="004C2C01">
        <w:t>A.</w:t>
      </w:r>
      <w:r w:rsidR="001C506E">
        <w:tab/>
      </w:r>
      <w:r w:rsidR="004C2C01" w:rsidRPr="004C2C01">
        <w:t>Questions en suspens</w:t>
      </w:r>
      <w:r w:rsidR="004C2C01">
        <w:tab/>
      </w:r>
      <w:r w:rsidR="001C506E">
        <w:tab/>
      </w:r>
      <w:r w:rsidR="00897BBA">
        <w:t>24-40</w:t>
      </w:r>
      <w:r w:rsidR="001C506E">
        <w:tab/>
      </w:r>
      <w:r w:rsidR="001846CB">
        <w:rPr>
          <w:noProof/>
        </w:rPr>
        <w:t>7</w:t>
      </w:r>
    </w:p>
    <w:p w14:paraId="4ADA1183" w14:textId="618B4281" w:rsidR="004C2C01" w:rsidRDefault="00987AD4" w:rsidP="009337F3">
      <w:pPr>
        <w:tabs>
          <w:tab w:val="left" w:pos="1560"/>
          <w:tab w:val="left" w:pos="1985"/>
          <w:tab w:val="right" w:leader="dot" w:pos="7654"/>
          <w:tab w:val="right" w:pos="8929"/>
          <w:tab w:val="right" w:pos="9638"/>
        </w:tabs>
        <w:spacing w:after="120"/>
        <w:ind w:left="1985" w:hanging="1843"/>
        <w:rPr>
          <w:rFonts w:asciiTheme="minorHAnsi" w:eastAsiaTheme="minorEastAsia" w:hAnsiTheme="minorHAnsi" w:cstheme="minorBidi"/>
          <w:noProof/>
          <w:sz w:val="22"/>
          <w:szCs w:val="22"/>
        </w:rPr>
      </w:pPr>
      <w:r>
        <w:tab/>
      </w:r>
      <w:r w:rsidR="004C2C01" w:rsidRPr="004C2C01">
        <w:t>1.</w:t>
      </w:r>
      <w:r w:rsidR="00D74A54">
        <w:tab/>
      </w:r>
      <w:r w:rsidR="004C2C01" w:rsidRPr="004C2C01">
        <w:t>Clarification des règles applicables au placardage des bennes amovibles</w:t>
      </w:r>
      <w:r w:rsidR="00D2657B">
        <w:br/>
      </w:r>
      <w:r w:rsidR="004C2C01" w:rsidRPr="004C2C01">
        <w:t>utilisées</w:t>
      </w:r>
      <w:r w:rsidR="00D2657B">
        <w:t xml:space="preserve"> </w:t>
      </w:r>
      <w:r w:rsidR="004C2C01" w:rsidRPr="004C2C01">
        <w:t>pour le transport de marchandises dangereuses en vrac</w:t>
      </w:r>
      <w:r w:rsidR="004C2C01">
        <w:tab/>
      </w:r>
      <w:r>
        <w:tab/>
      </w:r>
      <w:r w:rsidR="009D489E">
        <w:t>24</w:t>
      </w:r>
      <w:r>
        <w:tab/>
      </w:r>
      <w:r w:rsidR="001846CB">
        <w:rPr>
          <w:noProof/>
        </w:rPr>
        <w:t>7</w:t>
      </w:r>
    </w:p>
    <w:p w14:paraId="2ADEAA3B" w14:textId="5896C6C6" w:rsidR="004C2C01" w:rsidRPr="004C2C01" w:rsidRDefault="00E32E8E" w:rsidP="009337F3">
      <w:pPr>
        <w:tabs>
          <w:tab w:val="left" w:pos="1560"/>
          <w:tab w:val="left" w:pos="1985"/>
          <w:tab w:val="right" w:leader="dot" w:pos="7654"/>
          <w:tab w:val="right" w:pos="8929"/>
          <w:tab w:val="right" w:pos="9638"/>
        </w:tabs>
        <w:spacing w:after="120"/>
        <w:ind w:left="1985" w:hanging="1843"/>
      </w:pPr>
      <w:r>
        <w:rPr>
          <w:noProof/>
          <w:lang w:val="fr-FR"/>
        </w:rPr>
        <w:tab/>
      </w:r>
      <w:r w:rsidR="004C2C01" w:rsidRPr="00FF46BE">
        <w:rPr>
          <w:noProof/>
          <w:lang w:val="fr-FR"/>
        </w:rPr>
        <w:t>2.</w:t>
      </w:r>
      <w:r w:rsidR="00D74A54">
        <w:rPr>
          <w:rFonts w:asciiTheme="minorHAnsi" w:eastAsiaTheme="minorEastAsia" w:hAnsiTheme="minorHAnsi" w:cstheme="minorBidi"/>
          <w:noProof/>
          <w:sz w:val="22"/>
          <w:szCs w:val="22"/>
        </w:rPr>
        <w:tab/>
      </w:r>
      <w:r w:rsidR="004C2C01" w:rsidRPr="00987AD4">
        <w:t>Informations</w:t>
      </w:r>
      <w:r w:rsidR="004C2C01" w:rsidRPr="00FF46BE">
        <w:rPr>
          <w:noProof/>
          <w:lang w:val="fr-FR"/>
        </w:rPr>
        <w:t xml:space="preserve"> relatives à la quantité transportée figurant dans le document</w:t>
      </w:r>
      <w:r w:rsidR="00661912">
        <w:rPr>
          <w:noProof/>
          <w:lang w:val="fr-FR"/>
        </w:rPr>
        <w:br/>
      </w:r>
      <w:r w:rsidR="004C2C01" w:rsidRPr="00FF46BE">
        <w:rPr>
          <w:noProof/>
          <w:lang w:val="fr-FR"/>
        </w:rPr>
        <w:t>de transport confor</w:t>
      </w:r>
      <w:proofErr w:type="spellStart"/>
      <w:r w:rsidR="004C2C01" w:rsidRPr="004C2C01">
        <w:t>mément</w:t>
      </w:r>
      <w:proofErr w:type="spellEnd"/>
      <w:r w:rsidR="004C2C01" w:rsidRPr="004C2C01">
        <w:t xml:space="preserve"> au 5.4.1.1.3.2</w:t>
      </w:r>
      <w:r w:rsidR="004C2C01">
        <w:tab/>
      </w:r>
      <w:r w:rsidR="00D85164">
        <w:tab/>
      </w:r>
      <w:r w:rsidR="0051174E">
        <w:t>25</w:t>
      </w:r>
      <w:r w:rsidR="00D74A54">
        <w:tab/>
      </w:r>
      <w:r w:rsidR="001846CB">
        <w:rPr>
          <w:noProof/>
        </w:rPr>
        <w:t>8</w:t>
      </w:r>
    </w:p>
    <w:p w14:paraId="3B355288" w14:textId="25FAD00F" w:rsidR="004C2C01" w:rsidRPr="004C2C01" w:rsidRDefault="00F1086D" w:rsidP="00B50675">
      <w:pPr>
        <w:keepNext/>
        <w:tabs>
          <w:tab w:val="left" w:pos="1560"/>
          <w:tab w:val="left" w:pos="1985"/>
          <w:tab w:val="right" w:leader="dot" w:pos="7654"/>
          <w:tab w:val="right" w:pos="8929"/>
          <w:tab w:val="right" w:pos="9638"/>
        </w:tabs>
        <w:spacing w:after="120"/>
        <w:ind w:left="1985" w:hanging="1843"/>
      </w:pPr>
      <w:r>
        <w:lastRenderedPageBreak/>
        <w:tab/>
      </w:r>
      <w:r w:rsidR="004C2C01" w:rsidRPr="004C2C01">
        <w:t>3</w:t>
      </w:r>
      <w:r>
        <w:t>.</w:t>
      </w:r>
      <w:r w:rsidR="00D74A54">
        <w:tab/>
      </w:r>
      <w:r w:rsidRPr="004C2C01">
        <w:t>Transport en vrac d’emballages vides, non nettoyés selon le 7.3.1.1</w:t>
      </w:r>
      <w:r w:rsidR="004C2C01" w:rsidRPr="004C2C01">
        <w:tab/>
      </w:r>
      <w:r w:rsidR="004C2C01">
        <w:tab/>
      </w:r>
      <w:r w:rsidR="00E60AA0">
        <w:t>26</w:t>
      </w:r>
      <w:r w:rsidR="00013D6A">
        <w:tab/>
      </w:r>
      <w:r w:rsidR="001846CB">
        <w:rPr>
          <w:noProof/>
        </w:rPr>
        <w:t>8</w:t>
      </w:r>
    </w:p>
    <w:p w14:paraId="07ABEE9F" w14:textId="343CFABE" w:rsidR="004C2C01" w:rsidRPr="004C2C01" w:rsidRDefault="00013D6A" w:rsidP="009337F3">
      <w:pPr>
        <w:tabs>
          <w:tab w:val="left" w:pos="1560"/>
          <w:tab w:val="left" w:pos="1985"/>
          <w:tab w:val="right" w:leader="dot" w:pos="7654"/>
          <w:tab w:val="right" w:pos="8929"/>
          <w:tab w:val="right" w:pos="9638"/>
        </w:tabs>
        <w:spacing w:after="120"/>
        <w:ind w:left="1985" w:hanging="1843"/>
      </w:pPr>
      <w:r>
        <w:tab/>
      </w:r>
      <w:r w:rsidR="004C2C01" w:rsidRPr="004C2C01">
        <w:t>4.</w:t>
      </w:r>
      <w:r w:rsidR="00D74A54">
        <w:tab/>
      </w:r>
      <w:r w:rsidR="004C2C01" w:rsidRPr="004C2C01">
        <w:t>5.4.0.1 Documentation : documents de transport</w:t>
      </w:r>
      <w:r w:rsidR="004C2C01">
        <w:tab/>
      </w:r>
      <w:r w:rsidR="003414F4">
        <w:tab/>
      </w:r>
      <w:r w:rsidR="000137E3">
        <w:t>27</w:t>
      </w:r>
      <w:r w:rsidR="003414F4">
        <w:tab/>
      </w:r>
      <w:r w:rsidR="001846CB">
        <w:rPr>
          <w:noProof/>
        </w:rPr>
        <w:t>8</w:t>
      </w:r>
    </w:p>
    <w:p w14:paraId="69EDFA9D" w14:textId="66DBCE05" w:rsidR="004C2C01" w:rsidRPr="004C2C01" w:rsidRDefault="000137E3" w:rsidP="009337F3">
      <w:pPr>
        <w:tabs>
          <w:tab w:val="left" w:pos="1560"/>
          <w:tab w:val="left" w:pos="1985"/>
          <w:tab w:val="right" w:leader="dot" w:pos="7654"/>
          <w:tab w:val="right" w:pos="8929"/>
          <w:tab w:val="right" w:pos="9638"/>
        </w:tabs>
        <w:spacing w:after="120"/>
        <w:ind w:left="1985" w:hanging="1843"/>
      </w:pPr>
      <w:r>
        <w:tab/>
      </w:r>
      <w:r w:rsidR="004C2C01" w:rsidRPr="004C2C01">
        <w:t>5.</w:t>
      </w:r>
      <w:r w:rsidR="004C2C01" w:rsidRPr="004C2C01">
        <w:tab/>
        <w:t xml:space="preserve">Application de la disposition spéciale 376 aux batteries au lithium </w:t>
      </w:r>
      <w:r w:rsidR="003D73B1">
        <w:br/>
      </w:r>
      <w:r w:rsidR="004C2C01" w:rsidRPr="004C2C01">
        <w:t>gravement endommagées</w:t>
      </w:r>
      <w:r w:rsidR="004C2C01">
        <w:tab/>
      </w:r>
      <w:r w:rsidR="003D73B1">
        <w:tab/>
      </w:r>
      <w:r w:rsidR="001846CB">
        <w:t>28-29</w:t>
      </w:r>
      <w:r w:rsidR="001146FA">
        <w:tab/>
      </w:r>
      <w:r w:rsidR="001846CB">
        <w:rPr>
          <w:noProof/>
        </w:rPr>
        <w:t>8</w:t>
      </w:r>
    </w:p>
    <w:p w14:paraId="69B4435B" w14:textId="0487907C" w:rsidR="004C2C01" w:rsidRPr="004C2C01" w:rsidRDefault="003D73B1" w:rsidP="009337F3">
      <w:pPr>
        <w:tabs>
          <w:tab w:val="left" w:pos="1560"/>
          <w:tab w:val="left" w:pos="1985"/>
          <w:tab w:val="right" w:leader="dot" w:pos="7654"/>
          <w:tab w:val="right" w:pos="8929"/>
          <w:tab w:val="right" w:pos="9638"/>
        </w:tabs>
        <w:spacing w:after="120"/>
        <w:ind w:left="1985" w:hanging="1843"/>
      </w:pPr>
      <w:r>
        <w:tab/>
      </w:r>
      <w:r w:rsidR="004C2C01" w:rsidRPr="004C2C01">
        <w:t>6.</w:t>
      </w:r>
      <w:r w:rsidR="004C2C01" w:rsidRPr="004C2C01">
        <w:tab/>
        <w:t>Compatibilité chimique des emballages en matières plastiques contenant</w:t>
      </w:r>
      <w:r>
        <w:br/>
      </w:r>
      <w:r w:rsidR="004C2C01" w:rsidRPr="004C2C01">
        <w:t>des déchets liquides</w:t>
      </w:r>
      <w:r w:rsidR="004C2C01">
        <w:tab/>
      </w:r>
      <w:r w:rsidR="001146FA">
        <w:tab/>
      </w:r>
      <w:r w:rsidR="001846CB">
        <w:t>30-31</w:t>
      </w:r>
      <w:r w:rsidR="001146FA">
        <w:tab/>
      </w:r>
      <w:r w:rsidR="001846CB">
        <w:rPr>
          <w:noProof/>
        </w:rPr>
        <w:t>9</w:t>
      </w:r>
    </w:p>
    <w:p w14:paraId="4388F098" w14:textId="730F628E" w:rsidR="004C2C01" w:rsidRPr="004C2C01" w:rsidRDefault="003D73B1" w:rsidP="009337F3">
      <w:pPr>
        <w:tabs>
          <w:tab w:val="left" w:pos="1560"/>
          <w:tab w:val="left" w:pos="1985"/>
          <w:tab w:val="right" w:leader="dot" w:pos="7654"/>
          <w:tab w:val="right" w:pos="8929"/>
          <w:tab w:val="right" w:pos="9638"/>
        </w:tabs>
        <w:spacing w:after="120"/>
        <w:ind w:left="1985" w:hanging="1843"/>
      </w:pPr>
      <w:r>
        <w:tab/>
      </w:r>
      <w:r w:rsidR="004C2C01" w:rsidRPr="004C2C01">
        <w:t>7.</w:t>
      </w:r>
      <w:r w:rsidR="004C2C01" w:rsidRPr="004C2C01">
        <w:tab/>
        <w:t xml:space="preserve">Clarification des règles applicables au placardage des wagons/véhicules </w:t>
      </w:r>
      <w:r w:rsidR="009337F3">
        <w:br/>
      </w:r>
      <w:r w:rsidR="004C2C01" w:rsidRPr="004C2C01">
        <w:t>pour vrac</w:t>
      </w:r>
      <w:r w:rsidR="004C2C01">
        <w:tab/>
      </w:r>
      <w:r w:rsidR="001146FA">
        <w:tab/>
      </w:r>
      <w:r w:rsidR="001846CB">
        <w:t>32</w:t>
      </w:r>
      <w:r w:rsidR="009337F3">
        <w:tab/>
      </w:r>
      <w:r w:rsidR="001846CB">
        <w:rPr>
          <w:noProof/>
        </w:rPr>
        <w:t>9</w:t>
      </w:r>
    </w:p>
    <w:p w14:paraId="7782DEB1" w14:textId="2F528E51" w:rsidR="004C2C01" w:rsidRPr="004C2C01" w:rsidRDefault="001146FA" w:rsidP="009337F3">
      <w:pPr>
        <w:tabs>
          <w:tab w:val="left" w:pos="1560"/>
          <w:tab w:val="left" w:pos="1985"/>
          <w:tab w:val="right" w:leader="dot" w:pos="7654"/>
          <w:tab w:val="right" w:pos="8929"/>
          <w:tab w:val="right" w:pos="9638"/>
        </w:tabs>
        <w:spacing w:after="120"/>
        <w:ind w:left="1985" w:hanging="1843"/>
      </w:pPr>
      <w:r>
        <w:tab/>
      </w:r>
      <w:r w:rsidR="004C2C01" w:rsidRPr="004C2C01">
        <w:t>8.</w:t>
      </w:r>
      <w:r w:rsidR="004C2C01" w:rsidRPr="004C2C01">
        <w:tab/>
        <w:t xml:space="preserve">Livraison du dernier kilomètre et définitions des termes « conteneur de </w:t>
      </w:r>
      <w:r>
        <w:br/>
      </w:r>
      <w:r w:rsidR="004C2C01" w:rsidRPr="004C2C01">
        <w:t>groupage »</w:t>
      </w:r>
      <w:r w:rsidR="006C3892">
        <w:t xml:space="preserve"> </w:t>
      </w:r>
      <w:r w:rsidR="004C2C01" w:rsidRPr="004C2C01">
        <w:t>et « suremballage »</w:t>
      </w:r>
      <w:r w:rsidR="004C2C01">
        <w:tab/>
      </w:r>
      <w:r>
        <w:tab/>
      </w:r>
      <w:r w:rsidR="001846CB">
        <w:t>33-35</w:t>
      </w:r>
      <w:r>
        <w:tab/>
      </w:r>
      <w:r w:rsidR="001846CB">
        <w:rPr>
          <w:noProof/>
        </w:rPr>
        <w:t>9</w:t>
      </w:r>
    </w:p>
    <w:p w14:paraId="72A62695" w14:textId="613F4D69" w:rsidR="004C2C01" w:rsidRPr="004C2C01" w:rsidRDefault="001146FA" w:rsidP="009337F3">
      <w:pPr>
        <w:tabs>
          <w:tab w:val="left" w:pos="1560"/>
          <w:tab w:val="left" w:pos="1985"/>
          <w:tab w:val="right" w:leader="dot" w:pos="7654"/>
          <w:tab w:val="right" w:pos="8929"/>
          <w:tab w:val="right" w:pos="9638"/>
        </w:tabs>
        <w:spacing w:after="120"/>
        <w:ind w:left="1985" w:hanging="1843"/>
      </w:pPr>
      <w:r>
        <w:tab/>
      </w:r>
      <w:r w:rsidR="004C2C01" w:rsidRPr="004C2C01">
        <w:t>9.</w:t>
      </w:r>
      <w:r w:rsidR="004C2C01" w:rsidRPr="004C2C01">
        <w:tab/>
        <w:t xml:space="preserve">Transport en vrac de catégories spécifiques de déchets contenant de </w:t>
      </w:r>
      <w:r w:rsidR="009337F3">
        <w:br/>
      </w:r>
      <w:r w:rsidR="004C2C01" w:rsidRPr="004C2C01">
        <w:t>l’amiante (Nos ONU 2590 et 2212)</w:t>
      </w:r>
      <w:r w:rsidR="004C2C01">
        <w:tab/>
      </w:r>
      <w:r>
        <w:tab/>
      </w:r>
      <w:r w:rsidR="001846CB">
        <w:t>36</w:t>
      </w:r>
      <w:r>
        <w:tab/>
      </w:r>
      <w:r w:rsidR="001846CB">
        <w:rPr>
          <w:noProof/>
        </w:rPr>
        <w:t>9</w:t>
      </w:r>
    </w:p>
    <w:p w14:paraId="6B230CC0" w14:textId="3377BF5D" w:rsidR="004C2C01" w:rsidRPr="004C2C01" w:rsidRDefault="009337F3" w:rsidP="009337F3">
      <w:pPr>
        <w:tabs>
          <w:tab w:val="left" w:pos="1560"/>
          <w:tab w:val="left" w:pos="1985"/>
          <w:tab w:val="right" w:leader="dot" w:pos="7654"/>
          <w:tab w:val="right" w:pos="8929"/>
          <w:tab w:val="right" w:pos="9638"/>
        </w:tabs>
        <w:spacing w:after="120"/>
        <w:ind w:left="1985" w:hanging="1843"/>
      </w:pPr>
      <w:r>
        <w:tab/>
      </w:r>
      <w:r w:rsidR="004C2C01" w:rsidRPr="004C2C01">
        <w:t>10.</w:t>
      </w:r>
      <w:r w:rsidR="004C2C01" w:rsidRPr="004C2C01">
        <w:tab/>
        <w:t>Transport de déchets dans des emballages intérieurs placés</w:t>
      </w:r>
      <w:r w:rsidR="006C3892">
        <w:t xml:space="preserve"> </w:t>
      </w:r>
      <w:r w:rsidR="004C2C01" w:rsidRPr="004C2C01">
        <w:t xml:space="preserve">dans un </w:t>
      </w:r>
      <w:r>
        <w:br/>
      </w:r>
      <w:r w:rsidR="004C2C01" w:rsidRPr="004C2C01">
        <w:t>même emballage extérieur</w:t>
      </w:r>
      <w:r w:rsidR="004C2C01">
        <w:tab/>
      </w:r>
      <w:r>
        <w:tab/>
      </w:r>
      <w:r w:rsidR="001846CB">
        <w:t>37-38</w:t>
      </w:r>
      <w:r>
        <w:tab/>
      </w:r>
      <w:r w:rsidR="001846CB">
        <w:rPr>
          <w:noProof/>
        </w:rPr>
        <w:t>10</w:t>
      </w:r>
    </w:p>
    <w:p w14:paraId="3AAD0DDF" w14:textId="52CFF7A3" w:rsidR="004C2C01" w:rsidRPr="004C2C01" w:rsidRDefault="009337F3" w:rsidP="009337F3">
      <w:pPr>
        <w:tabs>
          <w:tab w:val="left" w:pos="1560"/>
          <w:tab w:val="left" w:pos="1985"/>
          <w:tab w:val="right" w:leader="dot" w:pos="7654"/>
          <w:tab w:val="right" w:pos="8929"/>
          <w:tab w:val="right" w:pos="9638"/>
        </w:tabs>
        <w:spacing w:after="120"/>
        <w:ind w:left="1985" w:hanging="1843"/>
      </w:pPr>
      <w:r>
        <w:tab/>
      </w:r>
      <w:r w:rsidR="004C2C01" w:rsidRPr="004C2C01">
        <w:t>11.</w:t>
      </w:r>
      <w:r w:rsidR="004C2C01" w:rsidRPr="004C2C01">
        <w:tab/>
        <w:t xml:space="preserve">Marchandises dangereuses contenues dans des machines, des appareils </w:t>
      </w:r>
      <w:r>
        <w:br/>
      </w:r>
      <w:r w:rsidR="004C2C01" w:rsidRPr="004C2C01">
        <w:t xml:space="preserve">ou des objets : expiration de la mesure transitoire énoncée au 1.6.1.46 </w:t>
      </w:r>
      <w:r>
        <w:br/>
      </w:r>
      <w:r w:rsidR="004C2C01" w:rsidRPr="004C2C01">
        <w:t>du RID et de l’ADR</w:t>
      </w:r>
      <w:r w:rsidR="004C2C01">
        <w:tab/>
      </w:r>
      <w:r>
        <w:tab/>
      </w:r>
      <w:r w:rsidR="001846CB">
        <w:t>39-40</w:t>
      </w:r>
      <w:r>
        <w:tab/>
      </w:r>
      <w:r w:rsidR="001846CB">
        <w:rPr>
          <w:noProof/>
        </w:rPr>
        <w:t>10</w:t>
      </w:r>
    </w:p>
    <w:p w14:paraId="1BFA020D" w14:textId="1E2AA1D2" w:rsidR="004C2C01" w:rsidRPr="004C2C01" w:rsidRDefault="009337F3" w:rsidP="006A2907">
      <w:pPr>
        <w:tabs>
          <w:tab w:val="right" w:pos="850"/>
          <w:tab w:val="left" w:pos="1560"/>
          <w:tab w:val="right" w:leader="dot" w:pos="7654"/>
          <w:tab w:val="right" w:pos="8929"/>
          <w:tab w:val="right" w:pos="9638"/>
        </w:tabs>
        <w:spacing w:after="120"/>
        <w:ind w:left="1134" w:hanging="1134"/>
      </w:pPr>
      <w:r>
        <w:tab/>
      </w:r>
      <w:r w:rsidR="006A2907">
        <w:tab/>
      </w:r>
      <w:r w:rsidR="004C2C01" w:rsidRPr="00614149">
        <w:t>B.</w:t>
      </w:r>
      <w:r w:rsidR="004C2C01" w:rsidRPr="00614149">
        <w:tab/>
        <w:t>Nouvelles propositions</w:t>
      </w:r>
      <w:r w:rsidR="004C2C01">
        <w:tab/>
      </w:r>
      <w:r>
        <w:tab/>
      </w:r>
      <w:r w:rsidR="00F32C74">
        <w:t>41-52</w:t>
      </w:r>
      <w:r>
        <w:tab/>
      </w:r>
      <w:r w:rsidR="001846CB">
        <w:rPr>
          <w:noProof/>
        </w:rPr>
        <w:t>10</w:t>
      </w:r>
    </w:p>
    <w:p w14:paraId="612D5EA0" w14:textId="43AFBC32" w:rsidR="004C2C01" w:rsidRPr="004C2C01" w:rsidRDefault="009337F3" w:rsidP="006A2907">
      <w:pPr>
        <w:tabs>
          <w:tab w:val="left" w:pos="1560"/>
          <w:tab w:val="left" w:pos="1985"/>
          <w:tab w:val="right" w:leader="dot" w:pos="7654"/>
          <w:tab w:val="right" w:pos="8929"/>
          <w:tab w:val="right" w:pos="9638"/>
        </w:tabs>
        <w:spacing w:after="120"/>
        <w:ind w:left="1985" w:hanging="1843"/>
      </w:pPr>
      <w:r>
        <w:tab/>
      </w:r>
      <w:r w:rsidR="004C2C01" w:rsidRPr="004C2C01">
        <w:t>1.</w:t>
      </w:r>
      <w:r w:rsidR="006A2907">
        <w:tab/>
      </w:r>
      <w:r w:rsidR="004C2C01" w:rsidRPr="004C2C01">
        <w:t>Numéros d’identification du danger 78 et 87</w:t>
      </w:r>
      <w:r w:rsidR="004C2C01">
        <w:tab/>
      </w:r>
      <w:r w:rsidR="006A2907">
        <w:tab/>
      </w:r>
      <w:r w:rsidR="0078742E">
        <w:t>41</w:t>
      </w:r>
      <w:r w:rsidR="006A2907">
        <w:tab/>
      </w:r>
      <w:r w:rsidR="001846CB">
        <w:rPr>
          <w:noProof/>
        </w:rPr>
        <w:t>10</w:t>
      </w:r>
    </w:p>
    <w:p w14:paraId="2493F8EB" w14:textId="538C43D5"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2.</w:t>
      </w:r>
      <w:r w:rsidR="004C2C01" w:rsidRPr="004C2C01">
        <w:tab/>
        <w:t xml:space="preserve">Examen des conseillers à la sécurité pour le transport de marchandises </w:t>
      </w:r>
      <w:r>
        <w:br/>
      </w:r>
      <w:r w:rsidR="004C2C01" w:rsidRPr="004C2C01">
        <w:t>dangereuses</w:t>
      </w:r>
      <w:r w:rsidR="004C2C01">
        <w:tab/>
      </w:r>
      <w:r>
        <w:tab/>
      </w:r>
      <w:r w:rsidR="0078742E">
        <w:t>42</w:t>
      </w:r>
      <w:r>
        <w:tab/>
      </w:r>
      <w:r w:rsidR="001846CB">
        <w:rPr>
          <w:noProof/>
        </w:rPr>
        <w:t>10</w:t>
      </w:r>
    </w:p>
    <w:p w14:paraId="5BC10C36" w14:textId="5E27DA2C"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3.</w:t>
      </w:r>
      <w:r w:rsidR="004C2C01" w:rsidRPr="004C2C01">
        <w:tab/>
        <w:t>Mise à l’épreuve des emballages et des GRV munis d’un évent</w:t>
      </w:r>
      <w:r w:rsidR="004C2C01">
        <w:tab/>
      </w:r>
      <w:r>
        <w:tab/>
      </w:r>
      <w:r w:rsidR="0078742E">
        <w:t>43</w:t>
      </w:r>
      <w:r>
        <w:tab/>
      </w:r>
      <w:r w:rsidR="001846CB">
        <w:rPr>
          <w:noProof/>
        </w:rPr>
        <w:t>10</w:t>
      </w:r>
    </w:p>
    <w:p w14:paraId="17FE6057" w14:textId="7F202AFA" w:rsidR="004C2C01" w:rsidRPr="006A2907"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4.</w:t>
      </w:r>
      <w:r w:rsidR="004C2C01" w:rsidRPr="004C2C01">
        <w:tab/>
        <w:t>Amendements au tableau A, à la disposition spéciale 645 et au 5.4.1.2.1 g)</w:t>
      </w:r>
      <w:r>
        <w:tab/>
      </w:r>
      <w:r w:rsidR="008A661B">
        <w:t>44</w:t>
      </w:r>
      <w:r w:rsidR="004C2C01">
        <w:tab/>
      </w:r>
      <w:r w:rsidR="001846CB">
        <w:rPr>
          <w:noProof/>
        </w:rPr>
        <w:t>10</w:t>
      </w:r>
    </w:p>
    <w:p w14:paraId="14C2B297" w14:textId="3A755AC7"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6A2907">
        <w:t>5.</w:t>
      </w:r>
      <w:r w:rsidR="004C2C01" w:rsidRPr="006A2907">
        <w:tab/>
        <w:t>Mesures transitoires</w:t>
      </w:r>
      <w:r w:rsidR="004C2C01">
        <w:tab/>
      </w:r>
      <w:r>
        <w:tab/>
      </w:r>
      <w:r w:rsidR="00872E54">
        <w:t>45</w:t>
      </w:r>
      <w:r w:rsidR="00EC353F">
        <w:tab/>
      </w:r>
      <w:r w:rsidR="001846CB">
        <w:rPr>
          <w:noProof/>
        </w:rPr>
        <w:t>11</w:t>
      </w:r>
    </w:p>
    <w:p w14:paraId="0C49FB30" w14:textId="43B979C9" w:rsidR="004C2C01" w:rsidRPr="004C2C01" w:rsidRDefault="006A2907" w:rsidP="006A2907">
      <w:pPr>
        <w:tabs>
          <w:tab w:val="left" w:pos="1560"/>
          <w:tab w:val="left" w:pos="1985"/>
          <w:tab w:val="right" w:leader="dot" w:pos="7654"/>
          <w:tab w:val="right" w:pos="8929"/>
          <w:tab w:val="right" w:pos="9638"/>
        </w:tabs>
        <w:spacing w:after="120"/>
        <w:ind w:left="1985" w:hanging="1843"/>
      </w:pPr>
      <w:r>
        <w:tab/>
      </w:r>
      <w:r w:rsidR="004C2C01" w:rsidRPr="004C2C01">
        <w:t>6.</w:t>
      </w:r>
      <w:r w:rsidR="004C2C01" w:rsidRPr="004C2C01">
        <w:tab/>
        <w:t xml:space="preserve">Périodicité des épreuves pour les véhicules-batteries remplis </w:t>
      </w:r>
      <w:r>
        <w:br/>
      </w:r>
      <w:r w:rsidR="004C2C01" w:rsidRPr="004C2C01">
        <w:t>conformément à l’instruction d’emballage P200</w:t>
      </w:r>
      <w:r w:rsidR="004C2C01">
        <w:tab/>
      </w:r>
      <w:r w:rsidR="00EC353F">
        <w:tab/>
      </w:r>
      <w:r w:rsidR="00872E54">
        <w:t>46</w:t>
      </w:r>
      <w:r>
        <w:tab/>
      </w:r>
      <w:r w:rsidR="001846CB">
        <w:rPr>
          <w:noProof/>
        </w:rPr>
        <w:t>11</w:t>
      </w:r>
    </w:p>
    <w:p w14:paraId="0D3619FC" w14:textId="7AA92669" w:rsidR="004C2C01" w:rsidRPr="004C2C01" w:rsidRDefault="00EC353F" w:rsidP="006A2907">
      <w:pPr>
        <w:tabs>
          <w:tab w:val="left" w:pos="1560"/>
          <w:tab w:val="left" w:pos="1985"/>
          <w:tab w:val="right" w:leader="dot" w:pos="7654"/>
          <w:tab w:val="right" w:pos="8929"/>
          <w:tab w:val="right" w:pos="9638"/>
        </w:tabs>
        <w:spacing w:after="120"/>
        <w:ind w:left="1985" w:hanging="1843"/>
      </w:pPr>
      <w:r>
        <w:tab/>
      </w:r>
      <w:r w:rsidR="004C2C01" w:rsidRPr="004C2C01">
        <w:t>7.</w:t>
      </w:r>
      <w:r w:rsidR="004C2C01" w:rsidRPr="004C2C01">
        <w:tab/>
        <w:t xml:space="preserve">Diagramme prêtant à confusion dans l’instruction d’emballage P200, </w:t>
      </w:r>
      <w:r>
        <w:br/>
      </w:r>
      <w:r w:rsidR="004C2C01" w:rsidRPr="004C2C01">
        <w:t>à la fin du 4.1.4.1</w:t>
      </w:r>
      <w:r w:rsidR="004C2C01">
        <w:tab/>
      </w:r>
      <w:r>
        <w:tab/>
      </w:r>
      <w:r w:rsidR="00872E54">
        <w:t>47-48</w:t>
      </w:r>
      <w:r>
        <w:tab/>
      </w:r>
      <w:r w:rsidR="001846CB">
        <w:rPr>
          <w:noProof/>
        </w:rPr>
        <w:t>11</w:t>
      </w:r>
    </w:p>
    <w:p w14:paraId="6F8F9F34" w14:textId="09521103" w:rsidR="004C2C01" w:rsidRPr="004C2C01" w:rsidRDefault="00EC353F" w:rsidP="006A2907">
      <w:pPr>
        <w:tabs>
          <w:tab w:val="left" w:pos="1560"/>
          <w:tab w:val="left" w:pos="1985"/>
          <w:tab w:val="right" w:leader="dot" w:pos="7654"/>
          <w:tab w:val="right" w:pos="8929"/>
          <w:tab w:val="right" w:pos="9638"/>
        </w:tabs>
        <w:spacing w:after="120"/>
        <w:ind w:left="1985" w:hanging="1843"/>
      </w:pPr>
      <w:r>
        <w:tab/>
      </w:r>
      <w:r w:rsidR="004C2C01" w:rsidRPr="004C2C01">
        <w:t>8.</w:t>
      </w:r>
      <w:r w:rsidR="004C2C01" w:rsidRPr="004C2C01">
        <w:tab/>
        <w:t>Définition de la contenance maximale</w:t>
      </w:r>
      <w:r w:rsidR="004C2C01">
        <w:tab/>
      </w:r>
      <w:r>
        <w:tab/>
      </w:r>
      <w:r w:rsidR="00872E54">
        <w:t>49</w:t>
      </w:r>
      <w:r>
        <w:tab/>
      </w:r>
      <w:r w:rsidR="001846CB">
        <w:rPr>
          <w:noProof/>
        </w:rPr>
        <w:t>11</w:t>
      </w:r>
    </w:p>
    <w:p w14:paraId="73DB72BE" w14:textId="30C0B4D8" w:rsidR="004C2C01" w:rsidRPr="004C2C01" w:rsidRDefault="00EC353F" w:rsidP="006A2907">
      <w:pPr>
        <w:tabs>
          <w:tab w:val="left" w:pos="1560"/>
          <w:tab w:val="left" w:pos="1985"/>
          <w:tab w:val="right" w:leader="dot" w:pos="7654"/>
          <w:tab w:val="right" w:pos="8929"/>
          <w:tab w:val="right" w:pos="9638"/>
        </w:tabs>
        <w:spacing w:after="120"/>
        <w:ind w:left="1985" w:hanging="1843"/>
      </w:pPr>
      <w:r>
        <w:tab/>
      </w:r>
      <w:r w:rsidR="004C2C01" w:rsidRPr="004C2C01">
        <w:t>9.</w:t>
      </w:r>
      <w:r w:rsidR="004C2C01" w:rsidRPr="004C2C01">
        <w:tab/>
        <w:t xml:space="preserve">RID et ADR : Suppression du code-citerne L10CH pour le No ONU </w:t>
      </w:r>
      <w:r>
        <w:br/>
      </w:r>
      <w:r w:rsidR="00DF5F7F" w:rsidRPr="004C2C01">
        <w:t>3550</w:t>
      </w:r>
      <w:r w:rsidR="00DF5F7F">
        <w:t xml:space="preserve"> </w:t>
      </w:r>
      <w:r w:rsidR="004C2C01" w:rsidRPr="004C2C01">
        <w:t xml:space="preserve">POUDRE DE DIHYDROXIDE DE COBALT ayant une teneur </w:t>
      </w:r>
      <w:r>
        <w:br/>
      </w:r>
      <w:r w:rsidR="00DF5F7F" w:rsidRPr="004C2C01">
        <w:t xml:space="preserve">en </w:t>
      </w:r>
      <w:r w:rsidR="004C2C01" w:rsidRPr="004C2C01">
        <w:t>particules respirables supérieure ou égale à 10 %</w:t>
      </w:r>
      <w:r w:rsidR="004C2C01">
        <w:tab/>
      </w:r>
      <w:r>
        <w:tab/>
      </w:r>
      <w:r w:rsidR="00872E54">
        <w:t>50</w:t>
      </w:r>
      <w:r>
        <w:tab/>
      </w:r>
      <w:r w:rsidR="001846CB">
        <w:rPr>
          <w:noProof/>
        </w:rPr>
        <w:t>11</w:t>
      </w:r>
    </w:p>
    <w:p w14:paraId="44CDCFBF" w14:textId="440A88D1" w:rsidR="004C2C01" w:rsidRPr="004C2C01" w:rsidRDefault="00DF5F7F" w:rsidP="006A2907">
      <w:pPr>
        <w:tabs>
          <w:tab w:val="left" w:pos="1560"/>
          <w:tab w:val="left" w:pos="1985"/>
          <w:tab w:val="right" w:leader="dot" w:pos="7654"/>
          <w:tab w:val="right" w:pos="8929"/>
          <w:tab w:val="right" w:pos="9638"/>
        </w:tabs>
        <w:spacing w:after="120"/>
        <w:ind w:left="1985" w:hanging="1843"/>
      </w:pPr>
      <w:r>
        <w:tab/>
      </w:r>
      <w:r w:rsidR="004C2C01" w:rsidRPr="004C2C01">
        <w:t>10.</w:t>
      </w:r>
      <w:r w:rsidR="004C2C01" w:rsidRPr="004C2C01">
        <w:tab/>
        <w:t xml:space="preserve">Proposition d’amendement à l’instruction d’emballage P200 au 4.1.4.1 </w:t>
      </w:r>
      <w:r w:rsidR="00EC353F">
        <w:br/>
      </w:r>
      <w:r w:rsidR="004C2C01" w:rsidRPr="004C2C01">
        <w:t xml:space="preserve">du RID et de l’ADR, afin de porter de 10 à 15 ans l’intervalle entre </w:t>
      </w:r>
      <w:r>
        <w:br/>
      </w:r>
      <w:r w:rsidR="004C2C01" w:rsidRPr="004C2C01">
        <w:t xml:space="preserve">les contrôles périodiques des bouteilles pour GPL fabriquées selon </w:t>
      </w:r>
      <w:r>
        <w:br/>
      </w:r>
      <w:r w:rsidR="004C2C01" w:rsidRPr="004C2C01">
        <w:t>la norme EN 14140</w:t>
      </w:r>
      <w:r w:rsidR="004C2C01">
        <w:tab/>
      </w:r>
      <w:r>
        <w:tab/>
      </w:r>
      <w:r w:rsidR="00614149">
        <w:t>51-52</w:t>
      </w:r>
      <w:r>
        <w:tab/>
      </w:r>
      <w:r w:rsidR="001846CB">
        <w:rPr>
          <w:noProof/>
        </w:rPr>
        <w:t>12</w:t>
      </w:r>
    </w:p>
    <w:p w14:paraId="26A79B72" w14:textId="3B6DF975" w:rsidR="004C2C01" w:rsidRPr="004C2C01" w:rsidRDefault="00DF5F7F" w:rsidP="004C2C01">
      <w:pPr>
        <w:tabs>
          <w:tab w:val="right" w:pos="850"/>
          <w:tab w:val="right" w:leader="dot" w:pos="7654"/>
          <w:tab w:val="right" w:pos="8929"/>
          <w:tab w:val="right" w:pos="9638"/>
        </w:tabs>
        <w:spacing w:after="120"/>
        <w:ind w:left="1134" w:hanging="1134"/>
      </w:pPr>
      <w:r>
        <w:tab/>
      </w:r>
      <w:r w:rsidR="004C2C01" w:rsidRPr="004C2C01">
        <w:t>VIII.</w:t>
      </w:r>
      <w:r w:rsidR="004C2C01" w:rsidRPr="004C2C01">
        <w:tab/>
        <w:t>Interprétation du RID, de l’ADR et de l’ADN</w:t>
      </w:r>
      <w:r w:rsidR="006C3892">
        <w:t xml:space="preserve"> </w:t>
      </w:r>
      <w:r w:rsidR="004C2C01" w:rsidRPr="004C2C01">
        <w:t>(point 6 de l’ordre du jour)</w:t>
      </w:r>
      <w:r w:rsidR="004C2C01">
        <w:tab/>
      </w:r>
      <w:r>
        <w:tab/>
      </w:r>
      <w:r w:rsidR="009D65AA">
        <w:t>53-56</w:t>
      </w:r>
      <w:r>
        <w:tab/>
      </w:r>
      <w:r w:rsidR="001846CB">
        <w:rPr>
          <w:noProof/>
        </w:rPr>
        <w:t>12</w:t>
      </w:r>
    </w:p>
    <w:p w14:paraId="07031BB7" w14:textId="430ADD0F" w:rsidR="004C2C01" w:rsidRPr="004C2C01" w:rsidRDefault="00DF5F7F" w:rsidP="006D0671">
      <w:pPr>
        <w:tabs>
          <w:tab w:val="right" w:pos="850"/>
          <w:tab w:val="left" w:pos="1134"/>
          <w:tab w:val="left" w:pos="1560"/>
          <w:tab w:val="right" w:leader="dot" w:pos="7654"/>
          <w:tab w:val="right" w:pos="8929"/>
          <w:tab w:val="right" w:pos="9638"/>
        </w:tabs>
        <w:spacing w:after="120"/>
        <w:ind w:left="1560" w:hanging="1560"/>
      </w:pPr>
      <w:r>
        <w:tab/>
      </w:r>
      <w:r>
        <w:tab/>
      </w:r>
      <w:r w:rsidR="004C2C01" w:rsidRPr="004C2C01">
        <w:t>A.</w:t>
      </w:r>
      <w:r w:rsidR="004C2C01" w:rsidRPr="004C2C01">
        <w:tab/>
        <w:t>Agrément de grands récipients pour vrac modifiés</w:t>
      </w:r>
      <w:r w:rsidR="004C2C01">
        <w:tab/>
      </w:r>
      <w:r>
        <w:tab/>
      </w:r>
      <w:r w:rsidR="00B9719F">
        <w:t>53</w:t>
      </w:r>
      <w:r>
        <w:tab/>
      </w:r>
      <w:r w:rsidR="001846CB">
        <w:rPr>
          <w:noProof/>
        </w:rPr>
        <w:t>12</w:t>
      </w:r>
    </w:p>
    <w:p w14:paraId="1D4AF0E8" w14:textId="1A3BCCDE" w:rsidR="004C2C01" w:rsidRPr="004C2C01" w:rsidRDefault="00DF5F7F" w:rsidP="00487C72">
      <w:pPr>
        <w:tabs>
          <w:tab w:val="right" w:pos="850"/>
          <w:tab w:val="left" w:pos="1134"/>
          <w:tab w:val="left" w:pos="1560"/>
          <w:tab w:val="right" w:leader="dot" w:pos="7654"/>
          <w:tab w:val="right" w:pos="8929"/>
          <w:tab w:val="right" w:pos="9638"/>
        </w:tabs>
        <w:spacing w:after="120"/>
        <w:ind w:left="1560" w:hanging="1560"/>
      </w:pPr>
      <w:r>
        <w:tab/>
      </w:r>
      <w:r w:rsidR="00487C72">
        <w:tab/>
      </w:r>
      <w:r w:rsidR="004C2C01" w:rsidRPr="004C2C01">
        <w:t>B.</w:t>
      </w:r>
      <w:r w:rsidR="004C2C01" w:rsidRPr="004C2C01">
        <w:tab/>
        <w:t>Retrait du certificat de formation de conseiller à la sécurité</w:t>
      </w:r>
      <w:r w:rsidR="006C3892">
        <w:t xml:space="preserve"> </w:t>
      </w:r>
      <w:r w:rsidR="004C2C01" w:rsidRPr="004C2C01">
        <w:t xml:space="preserve">pour le transport de </w:t>
      </w:r>
      <w:r>
        <w:br/>
      </w:r>
      <w:r w:rsidR="004C2C01" w:rsidRPr="004C2C01">
        <w:t>marchandises dangereuses</w:t>
      </w:r>
      <w:r w:rsidR="004C2C01">
        <w:tab/>
      </w:r>
      <w:r>
        <w:tab/>
      </w:r>
      <w:r w:rsidR="00B743C4">
        <w:t>54</w:t>
      </w:r>
      <w:r>
        <w:tab/>
      </w:r>
      <w:r w:rsidR="001846CB">
        <w:rPr>
          <w:noProof/>
        </w:rPr>
        <w:t>12</w:t>
      </w:r>
    </w:p>
    <w:p w14:paraId="5F08BB50" w14:textId="3F77690F" w:rsidR="004C2C01" w:rsidRDefault="00DF5F7F" w:rsidP="006D0671">
      <w:pPr>
        <w:tabs>
          <w:tab w:val="right" w:pos="850"/>
          <w:tab w:val="left" w:pos="1134"/>
          <w:tab w:val="left" w:pos="1560"/>
          <w:tab w:val="right" w:leader="dot" w:pos="7654"/>
          <w:tab w:val="right" w:pos="8929"/>
          <w:tab w:val="right" w:pos="9638"/>
        </w:tabs>
        <w:spacing w:after="120"/>
        <w:ind w:left="1560" w:hanging="1560"/>
        <w:rPr>
          <w:rFonts w:asciiTheme="minorHAnsi" w:eastAsiaTheme="minorEastAsia" w:hAnsiTheme="minorHAnsi" w:cstheme="minorBidi"/>
          <w:noProof/>
          <w:sz w:val="22"/>
          <w:szCs w:val="22"/>
        </w:rPr>
      </w:pPr>
      <w:r>
        <w:tab/>
      </w:r>
      <w:r w:rsidR="006D0671">
        <w:tab/>
      </w:r>
      <w:r w:rsidR="004C2C01" w:rsidRPr="004C2C01">
        <w:t>C.</w:t>
      </w:r>
      <w:r w:rsidR="004C2C01" w:rsidRPr="004C2C01">
        <w:tab/>
        <w:t>Interprétation du numéro ONU 3509 dans le cas du transport de fûts</w:t>
      </w:r>
      <w:r w:rsidR="006C3892">
        <w:t xml:space="preserve"> </w:t>
      </w:r>
      <w:r w:rsidR="004C2C01" w:rsidRPr="004C2C01">
        <w:t xml:space="preserve">ou de </w:t>
      </w:r>
      <w:r>
        <w:br/>
      </w:r>
      <w:r w:rsidR="004C2C01" w:rsidRPr="004C2C01">
        <w:t>grands récipients</w:t>
      </w:r>
      <w:r w:rsidR="004C2C01" w:rsidRPr="00FF46BE">
        <w:rPr>
          <w:noProof/>
          <w:lang w:val="fr-FR"/>
        </w:rPr>
        <w:t xml:space="preserve"> pour vrac</w:t>
      </w:r>
      <w:r w:rsidR="004C2C01">
        <w:rPr>
          <w:noProof/>
        </w:rPr>
        <w:tab/>
      </w:r>
      <w:r w:rsidR="00487C72">
        <w:rPr>
          <w:noProof/>
        </w:rPr>
        <w:tab/>
      </w:r>
      <w:r w:rsidR="00B743C4">
        <w:rPr>
          <w:noProof/>
        </w:rPr>
        <w:t>55</w:t>
      </w:r>
      <w:r w:rsidR="00487C72">
        <w:rPr>
          <w:noProof/>
        </w:rPr>
        <w:tab/>
      </w:r>
      <w:r w:rsidR="001846CB">
        <w:rPr>
          <w:noProof/>
        </w:rPr>
        <w:t>12</w:t>
      </w:r>
    </w:p>
    <w:p w14:paraId="6D06CD64" w14:textId="60CB6568" w:rsidR="004C2C01" w:rsidRPr="004C2C01" w:rsidRDefault="00DF5F7F" w:rsidP="008118F7">
      <w:pPr>
        <w:tabs>
          <w:tab w:val="right" w:pos="850"/>
          <w:tab w:val="left" w:pos="1134"/>
          <w:tab w:val="left" w:pos="1560"/>
          <w:tab w:val="right" w:leader="dot" w:pos="7654"/>
          <w:tab w:val="right" w:pos="8929"/>
          <w:tab w:val="right" w:pos="9638"/>
        </w:tabs>
        <w:spacing w:after="120"/>
        <w:ind w:left="1560" w:hanging="1560"/>
      </w:pPr>
      <w:r>
        <w:rPr>
          <w:noProof/>
          <w:lang w:val="fr-FR"/>
        </w:rPr>
        <w:tab/>
      </w:r>
      <w:r w:rsidR="006D0671">
        <w:rPr>
          <w:noProof/>
          <w:lang w:val="fr-FR"/>
        </w:rPr>
        <w:tab/>
      </w:r>
      <w:r w:rsidR="004C2C01" w:rsidRPr="00FF46BE">
        <w:rPr>
          <w:noProof/>
          <w:lang w:val="fr-FR"/>
        </w:rPr>
        <w:t>D.</w:t>
      </w:r>
      <w:r w:rsidR="004C2C01">
        <w:rPr>
          <w:rFonts w:asciiTheme="minorHAnsi" w:eastAsiaTheme="minorEastAsia" w:hAnsiTheme="minorHAnsi" w:cstheme="minorBidi"/>
          <w:noProof/>
          <w:sz w:val="22"/>
          <w:szCs w:val="22"/>
        </w:rPr>
        <w:tab/>
      </w:r>
      <w:r w:rsidR="004C2C01" w:rsidRPr="00DF5F7F">
        <w:t>Informations</w:t>
      </w:r>
      <w:r w:rsidR="004C2C01" w:rsidRPr="00FF46BE">
        <w:rPr>
          <w:noProof/>
          <w:lang w:val="fr-FR"/>
        </w:rPr>
        <w:t xml:space="preserve"> relatives à la quantité estimée de déchets transportée figurant dans </w:t>
      </w:r>
      <w:r w:rsidR="00487C72">
        <w:rPr>
          <w:noProof/>
          <w:lang w:val="fr-FR"/>
        </w:rPr>
        <w:br/>
      </w:r>
      <w:r w:rsidR="004C2C01" w:rsidRPr="00FF46BE">
        <w:rPr>
          <w:noProof/>
          <w:lang w:val="fr-FR"/>
        </w:rPr>
        <w:t>le document de tra</w:t>
      </w:r>
      <w:proofErr w:type="spellStart"/>
      <w:r w:rsidR="004C2C01" w:rsidRPr="004C2C01">
        <w:t>nsport</w:t>
      </w:r>
      <w:proofErr w:type="spellEnd"/>
      <w:r w:rsidR="004C2C01" w:rsidRPr="004C2C01">
        <w:t xml:space="preserve"> conformément au 5.4.1.1.3.2</w:t>
      </w:r>
      <w:r w:rsidR="004C2C01">
        <w:tab/>
      </w:r>
      <w:r w:rsidR="00487C72">
        <w:tab/>
      </w:r>
      <w:r w:rsidR="00B743C4">
        <w:t>56</w:t>
      </w:r>
      <w:r w:rsidR="00487C72">
        <w:tab/>
      </w:r>
      <w:r w:rsidR="001846CB">
        <w:rPr>
          <w:noProof/>
        </w:rPr>
        <w:t>12</w:t>
      </w:r>
    </w:p>
    <w:p w14:paraId="390273A8" w14:textId="7E4EEB0F" w:rsidR="004C2C01" w:rsidRPr="004C2C01" w:rsidRDefault="00487C72" w:rsidP="004C2C01">
      <w:pPr>
        <w:tabs>
          <w:tab w:val="right" w:pos="850"/>
          <w:tab w:val="right" w:leader="dot" w:pos="7654"/>
          <w:tab w:val="right" w:pos="8929"/>
          <w:tab w:val="right" w:pos="9638"/>
        </w:tabs>
        <w:spacing w:after="120"/>
        <w:ind w:left="1134" w:hanging="1134"/>
      </w:pPr>
      <w:r>
        <w:tab/>
      </w:r>
      <w:r w:rsidR="004C2C01" w:rsidRPr="004C2C01">
        <w:t>IX.</w:t>
      </w:r>
      <w:r w:rsidR="004C2C01" w:rsidRPr="004C2C01">
        <w:tab/>
        <w:t>Rapports des groupes de travail informels</w:t>
      </w:r>
      <w:r w:rsidR="006C3892">
        <w:t xml:space="preserve"> </w:t>
      </w:r>
      <w:r w:rsidR="004C2C01" w:rsidRPr="004C2C01">
        <w:t>(point 7 de l’ordre du jour)</w:t>
      </w:r>
      <w:r w:rsidR="004C2C01">
        <w:tab/>
      </w:r>
      <w:r>
        <w:tab/>
      </w:r>
      <w:r w:rsidR="00721B47">
        <w:t>57-59</w:t>
      </w:r>
      <w:r>
        <w:tab/>
      </w:r>
      <w:r w:rsidR="001846CB">
        <w:rPr>
          <w:noProof/>
        </w:rPr>
        <w:t>13</w:t>
      </w:r>
    </w:p>
    <w:p w14:paraId="2E1BD776" w14:textId="09374516" w:rsidR="004C2C01" w:rsidRPr="004C2C01" w:rsidRDefault="00487C72" w:rsidP="008118F7">
      <w:pPr>
        <w:tabs>
          <w:tab w:val="right" w:pos="850"/>
          <w:tab w:val="left" w:pos="1134"/>
          <w:tab w:val="left" w:pos="1560"/>
          <w:tab w:val="right" w:leader="dot" w:pos="7654"/>
          <w:tab w:val="right" w:pos="8929"/>
          <w:tab w:val="right" w:pos="9638"/>
        </w:tabs>
        <w:spacing w:after="120"/>
        <w:ind w:left="1560" w:hanging="1560"/>
      </w:pPr>
      <w:r>
        <w:lastRenderedPageBreak/>
        <w:tab/>
      </w:r>
      <w:r w:rsidR="008118F7">
        <w:tab/>
      </w:r>
      <w:r w:rsidR="004C2C01" w:rsidRPr="004C2C01">
        <w:t>A.</w:t>
      </w:r>
      <w:r w:rsidR="004C2C01" w:rsidRPr="004C2C01">
        <w:tab/>
        <w:t xml:space="preserve">Groupe de travail informel de la réduction du risque de vaporisation </w:t>
      </w:r>
      <w:r w:rsidR="008118F7">
        <w:br/>
      </w:r>
      <w:r w:rsidR="004C2C01" w:rsidRPr="004C2C01">
        <w:t>explosive d’un liquide porté à ébullition (BLEVE)</w:t>
      </w:r>
      <w:r w:rsidR="004C2C01">
        <w:tab/>
      </w:r>
      <w:r w:rsidR="008118F7">
        <w:tab/>
      </w:r>
      <w:r w:rsidR="002027B3">
        <w:t>57</w:t>
      </w:r>
      <w:r w:rsidR="008118F7">
        <w:tab/>
      </w:r>
      <w:r w:rsidR="001846CB">
        <w:rPr>
          <w:noProof/>
        </w:rPr>
        <w:t>13</w:t>
      </w:r>
    </w:p>
    <w:p w14:paraId="7D25A520" w14:textId="7114B6C0" w:rsidR="004C2C01" w:rsidRPr="004C2C01" w:rsidRDefault="008118F7" w:rsidP="008118F7">
      <w:pPr>
        <w:tabs>
          <w:tab w:val="right" w:pos="850"/>
          <w:tab w:val="left" w:pos="1134"/>
          <w:tab w:val="left" w:pos="1560"/>
          <w:tab w:val="right" w:leader="dot" w:pos="7654"/>
          <w:tab w:val="right" w:pos="8929"/>
          <w:tab w:val="right" w:pos="9638"/>
        </w:tabs>
        <w:spacing w:after="120"/>
        <w:ind w:left="1560" w:hanging="1419"/>
      </w:pPr>
      <w:r>
        <w:tab/>
      </w:r>
      <w:r>
        <w:tab/>
      </w:r>
      <w:r w:rsidR="004C2C01" w:rsidRPr="004C2C01">
        <w:t>B.</w:t>
      </w:r>
      <w:r w:rsidR="004C2C01" w:rsidRPr="004C2C01">
        <w:tab/>
        <w:t xml:space="preserve">Rapport sur la deuxième réunion du groupe de travail informel de </w:t>
      </w:r>
      <w:r>
        <w:br/>
      </w:r>
      <w:r w:rsidR="004C2C01" w:rsidRPr="004C2C01">
        <w:t>l’apprentissage en ligne</w:t>
      </w:r>
      <w:r w:rsidR="004C2C01">
        <w:tab/>
      </w:r>
      <w:r>
        <w:tab/>
      </w:r>
      <w:r w:rsidR="002027B3">
        <w:t>58</w:t>
      </w:r>
      <w:r>
        <w:tab/>
      </w:r>
      <w:r w:rsidR="001846CB">
        <w:rPr>
          <w:noProof/>
        </w:rPr>
        <w:t>13</w:t>
      </w:r>
    </w:p>
    <w:p w14:paraId="283CC5F8" w14:textId="76F264D3" w:rsidR="004C2C01" w:rsidRPr="004C2C01" w:rsidRDefault="008118F7" w:rsidP="008118F7">
      <w:pPr>
        <w:tabs>
          <w:tab w:val="right" w:pos="850"/>
          <w:tab w:val="left" w:pos="1134"/>
          <w:tab w:val="left" w:pos="1560"/>
          <w:tab w:val="right" w:leader="dot" w:pos="7654"/>
          <w:tab w:val="right" w:pos="8929"/>
          <w:tab w:val="right" w:pos="9638"/>
        </w:tabs>
        <w:spacing w:after="120"/>
        <w:ind w:left="1560" w:hanging="1560"/>
      </w:pPr>
      <w:r>
        <w:tab/>
      </w:r>
      <w:r>
        <w:tab/>
      </w:r>
      <w:r w:rsidR="004C2C01" w:rsidRPr="004C2C01">
        <w:t>C.</w:t>
      </w:r>
      <w:r w:rsidR="004C2C01" w:rsidRPr="004C2C01">
        <w:tab/>
        <w:t>Rapport du groupe de travail informel des références</w:t>
      </w:r>
      <w:r w:rsidR="006C3892">
        <w:t xml:space="preserve"> </w:t>
      </w:r>
      <w:r w:rsidR="004C2C01" w:rsidRPr="004C2C01">
        <w:t>aux autorités compétentes</w:t>
      </w:r>
      <w:r w:rsidR="004C2C01">
        <w:tab/>
      </w:r>
      <w:r w:rsidR="002027B3">
        <w:t>59</w:t>
      </w:r>
      <w:r>
        <w:tab/>
      </w:r>
      <w:r w:rsidR="001846CB">
        <w:rPr>
          <w:noProof/>
        </w:rPr>
        <w:t>13</w:t>
      </w:r>
    </w:p>
    <w:p w14:paraId="3E8392FC" w14:textId="7319F495"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w:t>
      </w:r>
      <w:r w:rsidR="004C2C01" w:rsidRPr="004C2C01">
        <w:tab/>
        <w:t>Accidents et gestion des risques (point 8 de l’ordre du jour)</w:t>
      </w:r>
      <w:r w:rsidR="004C2C01">
        <w:tab/>
      </w:r>
      <w:r>
        <w:tab/>
      </w:r>
      <w:r w:rsidR="002027B3">
        <w:t>60</w:t>
      </w:r>
      <w:r>
        <w:tab/>
      </w:r>
      <w:r w:rsidR="001846CB">
        <w:rPr>
          <w:noProof/>
        </w:rPr>
        <w:t>13</w:t>
      </w:r>
    </w:p>
    <w:p w14:paraId="58AAA9DB" w14:textId="05021D59"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w:t>
      </w:r>
      <w:r w:rsidR="004C2C01" w:rsidRPr="004C2C01">
        <w:tab/>
        <w:t>Programme de développement durable à l’horizon 2030 (point 9 de l’ordre du jour)</w:t>
      </w:r>
      <w:r w:rsidR="004C2C01">
        <w:tab/>
      </w:r>
      <w:r w:rsidR="00450BF2">
        <w:t>61-65</w:t>
      </w:r>
      <w:r>
        <w:tab/>
      </w:r>
      <w:r w:rsidR="001846CB">
        <w:rPr>
          <w:noProof/>
        </w:rPr>
        <w:t>14</w:t>
      </w:r>
    </w:p>
    <w:p w14:paraId="26432E5F" w14:textId="6FF61D3F"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XII.</w:t>
      </w:r>
      <w:r w:rsidR="004C2C01" w:rsidRPr="004C2C01">
        <w:tab/>
        <w:t>Élection du Bureau pour 2024 (point 10 de l’ordre du jour)</w:t>
      </w:r>
      <w:r w:rsidR="004C2C01">
        <w:tab/>
      </w:r>
      <w:r>
        <w:tab/>
      </w:r>
      <w:r w:rsidR="004061C1">
        <w:t>66</w:t>
      </w:r>
      <w:r w:rsidR="00EE7FEA">
        <w:tab/>
      </w:r>
      <w:r w:rsidR="001846CB">
        <w:rPr>
          <w:noProof/>
        </w:rPr>
        <w:t>14</w:t>
      </w:r>
    </w:p>
    <w:p w14:paraId="7A56B6FE" w14:textId="526E572D"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XIII.</w:t>
      </w:r>
      <w:r w:rsidR="004C2C01" w:rsidRPr="004C2C01">
        <w:tab/>
        <w:t>Travaux futurs (point 11 de l’ordre du jour)</w:t>
      </w:r>
      <w:r w:rsidR="004C2C01">
        <w:tab/>
      </w:r>
      <w:r>
        <w:tab/>
      </w:r>
      <w:r w:rsidR="004061C1">
        <w:t>67</w:t>
      </w:r>
      <w:r w:rsidR="00EE7FEA">
        <w:tab/>
      </w:r>
      <w:r w:rsidR="001846CB">
        <w:rPr>
          <w:noProof/>
        </w:rPr>
        <w:t>14</w:t>
      </w:r>
    </w:p>
    <w:p w14:paraId="6BB72F39" w14:textId="3CBA78A1"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XIV.</w:t>
      </w:r>
      <w:r w:rsidR="004C2C01" w:rsidRPr="004C2C01">
        <w:tab/>
        <w:t>Questions diverses (point 12 de l’ordre du jour)</w:t>
      </w:r>
      <w:r w:rsidR="004C2C01">
        <w:tab/>
      </w:r>
      <w:r>
        <w:tab/>
      </w:r>
      <w:r w:rsidR="004061C1">
        <w:t>68-</w:t>
      </w:r>
      <w:r w:rsidR="00BE1B05">
        <w:t>70</w:t>
      </w:r>
      <w:r w:rsidR="00EE7FEA">
        <w:tab/>
      </w:r>
      <w:r w:rsidR="001846CB">
        <w:rPr>
          <w:noProof/>
        </w:rPr>
        <w:t>14</w:t>
      </w:r>
    </w:p>
    <w:p w14:paraId="6D9B8EC5" w14:textId="15AAF6B9" w:rsidR="004C2C01" w:rsidRDefault="008118F7" w:rsidP="008118F7">
      <w:pPr>
        <w:tabs>
          <w:tab w:val="right" w:pos="850"/>
          <w:tab w:val="left" w:pos="1134"/>
          <w:tab w:val="left" w:pos="1560"/>
          <w:tab w:val="right" w:leader="dot" w:pos="7654"/>
          <w:tab w:val="right" w:pos="8929"/>
          <w:tab w:val="right" w:pos="9638"/>
        </w:tabs>
        <w:spacing w:after="120"/>
        <w:ind w:left="1560" w:hanging="1560"/>
        <w:rPr>
          <w:rFonts w:asciiTheme="minorHAnsi" w:eastAsiaTheme="minorEastAsia" w:hAnsiTheme="minorHAnsi" w:cstheme="minorBidi"/>
          <w:noProof/>
          <w:sz w:val="22"/>
          <w:szCs w:val="22"/>
        </w:rPr>
      </w:pPr>
      <w:r>
        <w:tab/>
      </w:r>
      <w:r>
        <w:tab/>
      </w:r>
      <w:r w:rsidR="004C2C01" w:rsidRPr="004C2C01">
        <w:t>A.</w:t>
      </w:r>
      <w:r w:rsidR="004C2C01" w:rsidRPr="004C2C01">
        <w:tab/>
        <w:t>Directives pour l’utilisation du 5.4.0.2 dans le RID, l’ADR et l’ADN</w:t>
      </w:r>
      <w:r w:rsidR="004C2C01">
        <w:tab/>
      </w:r>
      <w:r>
        <w:tab/>
      </w:r>
      <w:r w:rsidR="004061C1">
        <w:t>68</w:t>
      </w:r>
      <w:r w:rsidR="00EE7FEA">
        <w:tab/>
      </w:r>
      <w:r w:rsidR="001846CB">
        <w:rPr>
          <w:noProof/>
        </w:rPr>
        <w:t>14</w:t>
      </w:r>
    </w:p>
    <w:p w14:paraId="03C11F85" w14:textId="47859F93" w:rsidR="004C2C01" w:rsidRPr="004C2C01" w:rsidRDefault="008118F7" w:rsidP="008118F7">
      <w:pPr>
        <w:tabs>
          <w:tab w:val="right" w:pos="850"/>
          <w:tab w:val="left" w:pos="1134"/>
          <w:tab w:val="left" w:pos="1560"/>
          <w:tab w:val="right" w:leader="dot" w:pos="7654"/>
          <w:tab w:val="right" w:pos="8929"/>
          <w:tab w:val="right" w:pos="9638"/>
        </w:tabs>
        <w:spacing w:after="120"/>
        <w:ind w:left="1560" w:hanging="1560"/>
      </w:pPr>
      <w:r>
        <w:rPr>
          <w:noProof/>
          <w:lang w:val="fr-FR"/>
        </w:rPr>
        <w:tab/>
      </w:r>
      <w:r>
        <w:rPr>
          <w:noProof/>
          <w:lang w:val="fr-FR"/>
        </w:rPr>
        <w:tab/>
      </w:r>
      <w:r w:rsidR="004C2C01" w:rsidRPr="00FF46BE">
        <w:rPr>
          <w:noProof/>
          <w:lang w:val="fr-FR"/>
        </w:rPr>
        <w:t>B.</w:t>
      </w:r>
      <w:r w:rsidR="004C2C01">
        <w:rPr>
          <w:rFonts w:asciiTheme="minorHAnsi" w:eastAsiaTheme="minorEastAsia" w:hAnsiTheme="minorHAnsi" w:cstheme="minorBidi"/>
          <w:noProof/>
          <w:sz w:val="22"/>
          <w:szCs w:val="22"/>
        </w:rPr>
        <w:tab/>
      </w:r>
      <w:r w:rsidR="004C2C01" w:rsidRPr="008118F7">
        <w:t>Hommages</w:t>
      </w:r>
      <w:r w:rsidR="004C2C01" w:rsidRPr="00FF46BE">
        <w:rPr>
          <w:noProof/>
          <w:lang w:val="fr-FR"/>
        </w:rPr>
        <w:t xml:space="preserve"> à MM. C. Pfauvadel (France) et J.-G. Heintz (UIC)</w:t>
      </w:r>
      <w:r w:rsidR="004C2C01">
        <w:rPr>
          <w:noProof/>
        </w:rPr>
        <w:tab/>
      </w:r>
      <w:r>
        <w:rPr>
          <w:noProof/>
        </w:rPr>
        <w:tab/>
      </w:r>
      <w:r w:rsidR="00D361A2">
        <w:rPr>
          <w:noProof/>
        </w:rPr>
        <w:t>69-70</w:t>
      </w:r>
      <w:r w:rsidR="00EE7FEA">
        <w:rPr>
          <w:noProof/>
        </w:rPr>
        <w:tab/>
      </w:r>
      <w:r w:rsidR="001846CB">
        <w:rPr>
          <w:noProof/>
        </w:rPr>
        <w:t>15</w:t>
      </w:r>
    </w:p>
    <w:p w14:paraId="22E2DFD9" w14:textId="6AD56C3E" w:rsidR="004C2C01" w:rsidRPr="004C2C01" w:rsidRDefault="008118F7" w:rsidP="004C2C01">
      <w:pPr>
        <w:tabs>
          <w:tab w:val="right" w:pos="850"/>
          <w:tab w:val="right" w:leader="dot" w:pos="7654"/>
          <w:tab w:val="right" w:pos="8929"/>
          <w:tab w:val="right" w:pos="9638"/>
        </w:tabs>
        <w:spacing w:after="120"/>
        <w:ind w:left="1134" w:hanging="1134"/>
      </w:pPr>
      <w:r>
        <w:tab/>
      </w:r>
      <w:r w:rsidR="004C2C01" w:rsidRPr="004C2C01">
        <w:t>XV.</w:t>
      </w:r>
      <w:r w:rsidR="004C2C01" w:rsidRPr="004C2C01">
        <w:tab/>
        <w:t>Adoption du rapport (point 13 de l’ordre du jour)</w:t>
      </w:r>
      <w:r w:rsidR="004C2C01">
        <w:tab/>
      </w:r>
      <w:r>
        <w:tab/>
      </w:r>
      <w:r w:rsidR="00D361A2">
        <w:t>71</w:t>
      </w:r>
      <w:r w:rsidR="00EE7FEA">
        <w:tab/>
      </w:r>
      <w:r w:rsidR="001846CB">
        <w:rPr>
          <w:noProof/>
        </w:rPr>
        <w:t>15</w:t>
      </w:r>
    </w:p>
    <w:p w14:paraId="31FC6FDF" w14:textId="7FA6D61C" w:rsidR="00101C02" w:rsidRDefault="00101C02" w:rsidP="004C2C01">
      <w:pPr>
        <w:tabs>
          <w:tab w:val="right" w:pos="850"/>
          <w:tab w:val="right" w:leader="dot" w:pos="7654"/>
          <w:tab w:val="right" w:pos="8929"/>
          <w:tab w:val="right" w:pos="9638"/>
        </w:tabs>
        <w:spacing w:after="120"/>
        <w:ind w:left="1134" w:hanging="1134"/>
      </w:pPr>
      <w:r>
        <w:t>Annexes</w:t>
      </w:r>
    </w:p>
    <w:p w14:paraId="7931C279" w14:textId="577AB391" w:rsidR="004C2C01" w:rsidRPr="004C2C01" w:rsidRDefault="00EE7FEA" w:rsidP="00B057DE">
      <w:pPr>
        <w:tabs>
          <w:tab w:val="right" w:pos="850"/>
          <w:tab w:val="right" w:leader="dot" w:pos="8931"/>
          <w:tab w:val="right" w:pos="9638"/>
        </w:tabs>
        <w:spacing w:after="120"/>
        <w:ind w:left="1134" w:hanging="1134"/>
      </w:pPr>
      <w:r>
        <w:tab/>
        <w:t>I.</w:t>
      </w:r>
      <w:r>
        <w:tab/>
      </w:r>
      <w:r w:rsidR="004C2C01">
        <w:t>Rapport du Groupe de travail des citernes</w:t>
      </w:r>
      <w:r w:rsidR="004C2C01">
        <w:tab/>
      </w:r>
      <w:r>
        <w:tab/>
      </w:r>
      <w:r w:rsidR="001846CB">
        <w:rPr>
          <w:noProof/>
        </w:rPr>
        <w:t>16</w:t>
      </w:r>
    </w:p>
    <w:p w14:paraId="04FE9E43" w14:textId="1190A352" w:rsidR="004C2C01" w:rsidRPr="004C2C01" w:rsidRDefault="00AC5306" w:rsidP="00AC5306">
      <w:pPr>
        <w:tabs>
          <w:tab w:val="right" w:pos="850"/>
          <w:tab w:val="right" w:leader="dot" w:pos="7654"/>
          <w:tab w:val="right" w:pos="8929"/>
          <w:tab w:val="right" w:pos="9638"/>
        </w:tabs>
        <w:spacing w:after="120"/>
        <w:ind w:left="1134" w:hanging="1134"/>
      </w:pPr>
      <w:r>
        <w:tab/>
      </w:r>
      <w:r w:rsidR="004C2C01" w:rsidRPr="004C2C01">
        <w:t>II</w:t>
      </w:r>
      <w:r w:rsidR="004C2C01">
        <w:tab/>
      </w:r>
      <w:r w:rsidRPr="004C2C01">
        <w:t>Projet d’amendements au RID, à l’ADR et à l’ADN pour entrée en vigueur le 1er janvier 2025</w:t>
      </w:r>
      <w:r>
        <w:tab/>
      </w:r>
      <w:r>
        <w:tab/>
      </w:r>
      <w:r w:rsidR="001846CB">
        <w:rPr>
          <w:noProof/>
        </w:rPr>
        <w:t>17</w:t>
      </w:r>
    </w:p>
    <w:p w14:paraId="45596DF6" w14:textId="4BAD10E3" w:rsidR="004C2C01" w:rsidRPr="004C2C01" w:rsidRDefault="00441B4A" w:rsidP="00AC5306">
      <w:pPr>
        <w:tabs>
          <w:tab w:val="right" w:pos="850"/>
          <w:tab w:val="left" w:pos="1134"/>
          <w:tab w:val="left" w:pos="1559"/>
          <w:tab w:val="left" w:pos="1984"/>
          <w:tab w:val="left" w:leader="dot" w:pos="8929"/>
          <w:tab w:val="right" w:pos="9638"/>
        </w:tabs>
        <w:spacing w:after="120"/>
        <w:ind w:left="1134" w:hanging="1134"/>
      </w:pPr>
      <w:r>
        <w:tab/>
      </w:r>
      <w:r w:rsidR="004C2C01" w:rsidRPr="004C2C01">
        <w:t>III</w:t>
      </w:r>
      <w:r w:rsidR="004C2C01">
        <w:tab/>
      </w:r>
      <w:r w:rsidR="004C2C01" w:rsidRPr="004C2C01">
        <w:t xml:space="preserve">Projet d’amendements au RID, à l’ADR et à l’ADN pour entrée en vigueur le 1er janvier 2025 </w:t>
      </w:r>
      <w:r w:rsidR="00AC5306">
        <w:br/>
      </w:r>
      <w:r w:rsidR="004C2C01" w:rsidRPr="004C2C01">
        <w:t xml:space="preserve">pour examen et finalisation par la Commission d’experts du RID, le Groupe de travail des </w:t>
      </w:r>
      <w:r w:rsidR="00AC5306">
        <w:br/>
      </w:r>
      <w:r w:rsidR="004C2C01" w:rsidRPr="004C2C01">
        <w:t>transports de marchandises dangereuses et le Comité de sécurité de l’ADN</w:t>
      </w:r>
      <w:r w:rsidR="004C2C01">
        <w:tab/>
      </w:r>
      <w:r w:rsidR="00AC5306">
        <w:tab/>
      </w:r>
      <w:r w:rsidR="001846CB">
        <w:rPr>
          <w:noProof/>
        </w:rPr>
        <w:t>26</w:t>
      </w:r>
    </w:p>
    <w:p w14:paraId="52F43758" w14:textId="36F661D9" w:rsidR="00B05569" w:rsidRDefault="00B05569" w:rsidP="00F876A1">
      <w:pPr>
        <w:tabs>
          <w:tab w:val="right" w:pos="850"/>
          <w:tab w:val="right" w:leader="dot" w:pos="7654"/>
          <w:tab w:val="right" w:pos="8929"/>
          <w:tab w:val="right" w:pos="9638"/>
        </w:tabs>
        <w:spacing w:after="120"/>
        <w:ind w:left="1134" w:hanging="1134"/>
      </w:pPr>
      <w:r>
        <w:br w:type="page"/>
      </w:r>
    </w:p>
    <w:p w14:paraId="711FB5C6" w14:textId="77777777" w:rsidR="008571D0" w:rsidRPr="000B19C3" w:rsidRDefault="008571D0" w:rsidP="008571D0">
      <w:pPr>
        <w:pStyle w:val="HChG"/>
        <w:spacing w:before="320" w:after="200"/>
      </w:pPr>
      <w:r>
        <w:rPr>
          <w:lang w:val="fr-FR"/>
        </w:rPr>
        <w:lastRenderedPageBreak/>
        <w:tab/>
      </w:r>
      <w:r>
        <w:rPr>
          <w:lang w:val="fr-FR"/>
        </w:rPr>
        <w:tab/>
      </w:r>
      <w:bookmarkStart w:id="4" w:name="_Toc147830508"/>
      <w:bookmarkStart w:id="5" w:name="_Toc147845934"/>
      <w:bookmarkStart w:id="6" w:name="_Toc148357320"/>
      <w:bookmarkStart w:id="7" w:name="_Toc148358384"/>
      <w:r>
        <w:rPr>
          <w:lang w:val="fr-FR"/>
        </w:rPr>
        <w:t>Projet de rapport</w:t>
      </w:r>
      <w:bookmarkEnd w:id="4"/>
      <w:bookmarkEnd w:id="5"/>
      <w:bookmarkEnd w:id="6"/>
      <w:bookmarkEnd w:id="7"/>
    </w:p>
    <w:p w14:paraId="688D6F14" w14:textId="77777777" w:rsidR="008571D0" w:rsidRPr="000B19C3" w:rsidRDefault="008571D0" w:rsidP="008571D0">
      <w:pPr>
        <w:pStyle w:val="HChG"/>
        <w:spacing w:before="320" w:after="200"/>
      </w:pPr>
      <w:r>
        <w:rPr>
          <w:lang w:val="fr-FR"/>
        </w:rPr>
        <w:tab/>
      </w:r>
      <w:bookmarkStart w:id="8" w:name="_Toc147830509"/>
      <w:bookmarkStart w:id="9" w:name="_Toc147845935"/>
      <w:bookmarkStart w:id="10" w:name="_Toc148357321"/>
      <w:bookmarkStart w:id="11" w:name="_Toc148358385"/>
      <w:r>
        <w:rPr>
          <w:lang w:val="fr-FR"/>
        </w:rPr>
        <w:t>I.</w:t>
      </w:r>
      <w:r>
        <w:rPr>
          <w:lang w:val="fr-FR"/>
        </w:rPr>
        <w:tab/>
        <w:t>Participation</w:t>
      </w:r>
      <w:bookmarkEnd w:id="8"/>
      <w:bookmarkEnd w:id="9"/>
      <w:bookmarkEnd w:id="10"/>
      <w:bookmarkEnd w:id="11"/>
    </w:p>
    <w:p w14:paraId="14EB3FBD" w14:textId="77777777" w:rsidR="008571D0" w:rsidRPr="000B19C3" w:rsidRDefault="008571D0" w:rsidP="008571D0">
      <w:pPr>
        <w:pStyle w:val="SingleTxtG"/>
        <w:spacing w:line="238" w:lineRule="atLeast"/>
      </w:pPr>
      <w:r>
        <w:rPr>
          <w:lang w:val="fr-FR"/>
        </w:rPr>
        <w:t>1.</w:t>
      </w:r>
      <w:r>
        <w:rPr>
          <w:lang w:val="fr-FR"/>
        </w:rPr>
        <w:tab/>
        <w:t>La Réunion commune de la Commission d’experts du RID et du Groupe de travail des transports de marchandises dangereuses de la Commission économique pour l’Europe a tenu une session à Genève du 19 au 27 septembre 2023, sous la présidence de M. C. </w:t>
      </w:r>
      <w:proofErr w:type="spellStart"/>
      <w:r>
        <w:rPr>
          <w:lang w:val="fr-FR"/>
        </w:rPr>
        <w:t>Pfauvadel</w:t>
      </w:r>
      <w:proofErr w:type="spellEnd"/>
      <w:r>
        <w:rPr>
          <w:lang w:val="fr-FR"/>
        </w:rPr>
        <w:t xml:space="preserve"> (France) et la vice-présidence de </w:t>
      </w:r>
      <w:r w:rsidRPr="008B059B">
        <w:rPr>
          <w:lang w:val="fr-FR"/>
        </w:rPr>
        <w:t>M</w:t>
      </w:r>
      <w:r w:rsidRPr="008B059B">
        <w:rPr>
          <w:vertAlign w:val="superscript"/>
          <w:lang w:val="fr-FR"/>
        </w:rPr>
        <w:t>me</w:t>
      </w:r>
      <w:r w:rsidRPr="008B059B">
        <w:rPr>
          <w:lang w:val="fr-FR"/>
        </w:rPr>
        <w:t> </w:t>
      </w:r>
      <w:r>
        <w:rPr>
          <w:lang w:val="fr-FR"/>
        </w:rPr>
        <w:t>S. García Wolfrum (Espagne).</w:t>
      </w:r>
    </w:p>
    <w:p w14:paraId="1FF8F799" w14:textId="2A0626FF" w:rsidR="008571D0" w:rsidRPr="000B19C3" w:rsidRDefault="008571D0" w:rsidP="008571D0">
      <w:pPr>
        <w:pStyle w:val="SingleTxtG"/>
        <w:spacing w:line="238" w:lineRule="atLeast"/>
      </w:pPr>
      <w:r>
        <w:rPr>
          <w:lang w:val="fr-FR"/>
        </w:rPr>
        <w:t>2.</w:t>
      </w:r>
      <w:r>
        <w:rPr>
          <w:lang w:val="fr-FR"/>
        </w:rPr>
        <w:tab/>
        <w:t>Conformément à l’alinéa a) de l’article 1 du Règlement intérieur de la Réunion commune (ECE/TRANS/WP.15/AC.1/112/Add.2), des représentantes et représentants des pays ci-après ont participé de plein droit à la session : Allemagne, Autriche, Belgique, Danemark, Espagne, Fédération de Russie, Finlande, France, Irlande, Italie, Lettonie, Luxembourg, Norvège, Pays-Bas, Pologne, Portugal, Royaume</w:t>
      </w:r>
      <w:r>
        <w:rPr>
          <w:lang w:val="fr-FR"/>
        </w:rPr>
        <w:noBreakHyphen/>
        <w:t xml:space="preserve">Uni, </w:t>
      </w:r>
      <w:r w:rsidR="00044810" w:rsidRPr="00044810">
        <w:rPr>
          <w:lang w:val="fr-FR"/>
        </w:rPr>
        <w:t>Slovaquie</w:t>
      </w:r>
      <w:r>
        <w:rPr>
          <w:lang w:val="fr-FR"/>
        </w:rPr>
        <w:t xml:space="preserve">, Suède, Suisse, Tchéquie et </w:t>
      </w:r>
      <w:r w:rsidR="00A97805" w:rsidRPr="00495E83">
        <w:t>Türkiye</w:t>
      </w:r>
      <w:r>
        <w:rPr>
          <w:lang w:val="fr-FR"/>
        </w:rPr>
        <w:t>.</w:t>
      </w:r>
    </w:p>
    <w:p w14:paraId="588E0E88" w14:textId="2A899855" w:rsidR="007D7928" w:rsidRPr="00942042" w:rsidRDefault="007D7928" w:rsidP="007D7928">
      <w:pPr>
        <w:pStyle w:val="SingleTxtG"/>
      </w:pPr>
      <w:r w:rsidRPr="00942042">
        <w:t>3.</w:t>
      </w:r>
      <w:r w:rsidRPr="00942042">
        <w:tab/>
      </w:r>
      <w:r w:rsidR="00A646AE" w:rsidRPr="00A646AE">
        <w:t>Conformément à la règle 1 (b) du règlement intérieur, le Zimbabwe était représenté à titre consultatif</w:t>
      </w:r>
      <w:r w:rsidRPr="00F73475">
        <w:t>.</w:t>
      </w:r>
    </w:p>
    <w:p w14:paraId="2D3F7C6E" w14:textId="7BA5BAA2" w:rsidR="008571D0" w:rsidRPr="000B19C3" w:rsidRDefault="005746F3" w:rsidP="008571D0">
      <w:pPr>
        <w:pStyle w:val="SingleTxtG"/>
        <w:keepNext/>
        <w:spacing w:line="238" w:lineRule="atLeast"/>
      </w:pPr>
      <w:r>
        <w:rPr>
          <w:lang w:val="fr-FR"/>
        </w:rPr>
        <w:t>4</w:t>
      </w:r>
      <w:r w:rsidR="008571D0">
        <w:rPr>
          <w:lang w:val="fr-FR"/>
        </w:rPr>
        <w:t>.</w:t>
      </w:r>
      <w:r w:rsidR="008571D0">
        <w:rPr>
          <w:lang w:val="fr-FR"/>
        </w:rPr>
        <w:tab/>
        <w:t>Conformément aux alinéas c) et d) de l’article 1 du Règlement intérieur, les organisations ci-après étaient représentées à titre consultatif :</w:t>
      </w:r>
    </w:p>
    <w:p w14:paraId="77954540" w14:textId="77777777" w:rsidR="008571D0" w:rsidRPr="000B19C3" w:rsidRDefault="008571D0" w:rsidP="008571D0">
      <w:pPr>
        <w:pStyle w:val="SingleTxtG"/>
        <w:spacing w:line="238" w:lineRule="atLeast"/>
        <w:ind w:firstLine="567"/>
      </w:pPr>
      <w:r>
        <w:rPr>
          <w:lang w:val="fr-FR"/>
        </w:rPr>
        <w:t>a)</w:t>
      </w:r>
      <w:r>
        <w:rPr>
          <w:lang w:val="fr-FR"/>
        </w:rPr>
        <w:tab/>
        <w:t>L’Union européenne (Commission européenne et Agence de l’Union européenne pour les chemins de fer) ;</w:t>
      </w:r>
    </w:p>
    <w:p w14:paraId="348E986B" w14:textId="1FF5DD2D" w:rsidR="008571D0" w:rsidRPr="000B19C3" w:rsidRDefault="008571D0" w:rsidP="008571D0">
      <w:pPr>
        <w:pStyle w:val="SingleTxtG"/>
        <w:spacing w:line="238" w:lineRule="atLeast"/>
        <w:ind w:firstLine="567"/>
      </w:pPr>
      <w:r>
        <w:rPr>
          <w:lang w:val="fr-FR"/>
        </w:rPr>
        <w:t>b)</w:t>
      </w:r>
      <w:r>
        <w:rPr>
          <w:lang w:val="fr-FR"/>
        </w:rPr>
        <w:tab/>
        <w:t>Les organisations non gouvernementales internationales suivantes </w:t>
      </w:r>
      <w:r w:rsidRPr="00800140">
        <w:rPr>
          <w:lang w:val="fr-FR"/>
        </w:rPr>
        <w:t xml:space="preserve">: Council on Safe Transportation of </w:t>
      </w:r>
      <w:proofErr w:type="spellStart"/>
      <w:r w:rsidRPr="00800140">
        <w:rPr>
          <w:lang w:val="fr-FR"/>
        </w:rPr>
        <w:t>Hazardous</w:t>
      </w:r>
      <w:proofErr w:type="spellEnd"/>
      <w:r w:rsidRPr="00800140">
        <w:rPr>
          <w:lang w:val="fr-FR"/>
        </w:rPr>
        <w:t xml:space="preserve"> Articles (COSTHA), International Association of Dangerous </w:t>
      </w:r>
      <w:proofErr w:type="spellStart"/>
      <w:r w:rsidRPr="00800140">
        <w:rPr>
          <w:lang w:val="fr-FR"/>
        </w:rPr>
        <w:t>Goods</w:t>
      </w:r>
      <w:proofErr w:type="spellEnd"/>
      <w:r w:rsidRPr="00800140">
        <w:rPr>
          <w:lang w:val="fr-FR"/>
        </w:rPr>
        <w:t xml:space="preserve"> </w:t>
      </w:r>
      <w:proofErr w:type="spellStart"/>
      <w:r w:rsidRPr="00800140">
        <w:rPr>
          <w:lang w:val="fr-FR"/>
        </w:rPr>
        <w:t>Safety</w:t>
      </w:r>
      <w:proofErr w:type="spellEnd"/>
      <w:r w:rsidRPr="00800140">
        <w:rPr>
          <w:lang w:val="fr-FR"/>
        </w:rPr>
        <w:t xml:space="preserve"> </w:t>
      </w:r>
      <w:proofErr w:type="spellStart"/>
      <w:r w:rsidRPr="00800140">
        <w:rPr>
          <w:lang w:val="fr-FR"/>
        </w:rPr>
        <w:t>Advisers</w:t>
      </w:r>
      <w:proofErr w:type="spellEnd"/>
      <w:r w:rsidRPr="00800140">
        <w:rPr>
          <w:lang w:val="fr-FR"/>
        </w:rPr>
        <w:t xml:space="preserve"> (IASA), </w:t>
      </w:r>
      <w:proofErr w:type="spellStart"/>
      <w:r w:rsidRPr="00800140">
        <w:rPr>
          <w:lang w:val="fr-FR"/>
        </w:rPr>
        <w:t>European</w:t>
      </w:r>
      <w:proofErr w:type="spellEnd"/>
      <w:r w:rsidRPr="00800140">
        <w:rPr>
          <w:lang w:val="fr-FR"/>
        </w:rPr>
        <w:t xml:space="preserve"> Chemical </w:t>
      </w:r>
      <w:proofErr w:type="spellStart"/>
      <w:r w:rsidRPr="00800140">
        <w:rPr>
          <w:lang w:val="fr-FR"/>
        </w:rPr>
        <w:t>Industry</w:t>
      </w:r>
      <w:proofErr w:type="spellEnd"/>
      <w:r w:rsidRPr="00800140">
        <w:rPr>
          <w:lang w:val="fr-FR"/>
        </w:rPr>
        <w:t xml:space="preserve"> Council (</w:t>
      </w:r>
      <w:proofErr w:type="spellStart"/>
      <w:r w:rsidRPr="00800140">
        <w:rPr>
          <w:lang w:val="fr-FR"/>
        </w:rPr>
        <w:t>Cefic</w:t>
      </w:r>
      <w:proofErr w:type="spellEnd"/>
      <w:r w:rsidRPr="00800140">
        <w:rPr>
          <w:lang w:val="fr-FR"/>
        </w:rPr>
        <w:t xml:space="preserve">), Comité européen de normalisation (CEN), Conférence européenne des négociants en combustibles et carburants (CENCC), Conseil européen de l’industrie des peintures, des encres d’imprimerie et des couleurs d’art (CEPE), Association européenne des gaz industriels (EIGA), </w:t>
      </w:r>
      <w:proofErr w:type="spellStart"/>
      <w:r w:rsidRPr="00800140">
        <w:rPr>
          <w:lang w:val="fr-FR"/>
        </w:rPr>
        <w:t>European</w:t>
      </w:r>
      <w:proofErr w:type="spellEnd"/>
      <w:r w:rsidRPr="00800140">
        <w:rPr>
          <w:lang w:val="fr-FR"/>
        </w:rPr>
        <w:t xml:space="preserve"> </w:t>
      </w:r>
      <w:proofErr w:type="spellStart"/>
      <w:r w:rsidRPr="00800140">
        <w:rPr>
          <w:lang w:val="fr-FR"/>
        </w:rPr>
        <w:t>Recycling</w:t>
      </w:r>
      <w:proofErr w:type="spellEnd"/>
      <w:r w:rsidRPr="00800140">
        <w:rPr>
          <w:lang w:val="fr-FR"/>
        </w:rPr>
        <w:t xml:space="preserve"> Industries’ </w:t>
      </w:r>
      <w:proofErr w:type="spellStart"/>
      <w:r w:rsidRPr="00800140">
        <w:rPr>
          <w:lang w:val="fr-FR"/>
        </w:rPr>
        <w:t>Confederation</w:t>
      </w:r>
      <w:proofErr w:type="spellEnd"/>
      <w:r w:rsidRPr="00800140">
        <w:rPr>
          <w:lang w:val="fr-FR"/>
        </w:rPr>
        <w:t xml:space="preserve"> (</w:t>
      </w:r>
      <w:proofErr w:type="spellStart"/>
      <w:r w:rsidRPr="00800140">
        <w:rPr>
          <w:lang w:val="fr-FR"/>
        </w:rPr>
        <w:t>EuRIC</w:t>
      </w:r>
      <w:proofErr w:type="spellEnd"/>
      <w:r w:rsidRPr="00800140">
        <w:rPr>
          <w:lang w:val="fr-FR"/>
        </w:rPr>
        <w:t xml:space="preserve">), Fuels Europe, Association internationale de la construction de carrosseries et de remorques (CLCCR), International Dangerous </w:t>
      </w:r>
      <w:proofErr w:type="spellStart"/>
      <w:r w:rsidRPr="00800140">
        <w:rPr>
          <w:lang w:val="fr-FR"/>
        </w:rPr>
        <w:t>Goods</w:t>
      </w:r>
      <w:proofErr w:type="spellEnd"/>
      <w:r w:rsidRPr="00800140">
        <w:rPr>
          <w:lang w:val="fr-FR"/>
        </w:rPr>
        <w:t xml:space="preserve"> and Containers Association (IDGCA), Organisation internationale des constructeurs d’automobiles (OICA), Union internationale des transports routiers (IRU), International </w:t>
      </w:r>
      <w:proofErr w:type="spellStart"/>
      <w:r w:rsidRPr="00800140">
        <w:rPr>
          <w:lang w:val="fr-FR"/>
        </w:rPr>
        <w:t>Confederation</w:t>
      </w:r>
      <w:proofErr w:type="spellEnd"/>
      <w:r w:rsidRPr="00800140">
        <w:rPr>
          <w:lang w:val="fr-FR"/>
        </w:rPr>
        <w:t xml:space="preserve"> of Container </w:t>
      </w:r>
      <w:proofErr w:type="spellStart"/>
      <w:r w:rsidRPr="00800140">
        <w:rPr>
          <w:lang w:val="fr-FR"/>
        </w:rPr>
        <w:t>Reconditioners</w:t>
      </w:r>
      <w:proofErr w:type="spellEnd"/>
      <w:r w:rsidRPr="00800140">
        <w:rPr>
          <w:lang w:val="fr-FR"/>
        </w:rPr>
        <w:t xml:space="preserve"> (ICCR), International Tank Container </w:t>
      </w:r>
      <w:proofErr w:type="spellStart"/>
      <w:r w:rsidRPr="00800140">
        <w:rPr>
          <w:lang w:val="fr-FR"/>
        </w:rPr>
        <w:t>Organization</w:t>
      </w:r>
      <w:proofErr w:type="spellEnd"/>
      <w:r w:rsidRPr="00800140">
        <w:rPr>
          <w:lang w:val="fr-FR"/>
        </w:rPr>
        <w:t xml:space="preserve"> (ITCO), </w:t>
      </w:r>
      <w:proofErr w:type="spellStart"/>
      <w:r w:rsidRPr="00800140">
        <w:rPr>
          <w:lang w:val="fr-FR"/>
        </w:rPr>
        <w:t>Liquid</w:t>
      </w:r>
      <w:proofErr w:type="spellEnd"/>
      <w:r w:rsidRPr="00800140">
        <w:rPr>
          <w:lang w:val="fr-FR"/>
        </w:rPr>
        <w:t xml:space="preserve"> Gas Europe (</w:t>
      </w:r>
      <w:proofErr w:type="spellStart"/>
      <w:r w:rsidRPr="00800140">
        <w:rPr>
          <w:lang w:val="fr-FR"/>
        </w:rPr>
        <w:t>European</w:t>
      </w:r>
      <w:proofErr w:type="spellEnd"/>
      <w:r w:rsidRPr="00800140">
        <w:rPr>
          <w:lang w:val="fr-FR"/>
        </w:rPr>
        <w:t xml:space="preserve"> LPG Association), World LPG Association, International Union of Wagon </w:t>
      </w:r>
      <w:proofErr w:type="spellStart"/>
      <w:r w:rsidRPr="00800140">
        <w:rPr>
          <w:lang w:val="fr-FR"/>
        </w:rPr>
        <w:t>Keepers</w:t>
      </w:r>
      <w:proofErr w:type="spellEnd"/>
      <w:r w:rsidRPr="00800140">
        <w:rPr>
          <w:lang w:val="fr-FR"/>
        </w:rPr>
        <w:t xml:space="preserve"> (UIP) et Union internationale des chemins de fer (UIC).</w:t>
      </w:r>
    </w:p>
    <w:p w14:paraId="5D7A1790" w14:textId="77777777" w:rsidR="008571D0" w:rsidRPr="000B19C3" w:rsidRDefault="008571D0" w:rsidP="008571D0">
      <w:pPr>
        <w:pStyle w:val="HChG"/>
      </w:pPr>
      <w:r>
        <w:rPr>
          <w:lang w:val="fr-FR"/>
        </w:rPr>
        <w:tab/>
      </w:r>
      <w:bookmarkStart w:id="12" w:name="_Toc147830510"/>
      <w:bookmarkStart w:id="13" w:name="_Toc147845936"/>
      <w:bookmarkStart w:id="14" w:name="_Toc148357322"/>
      <w:bookmarkStart w:id="15" w:name="_Toc148358386"/>
      <w:r>
        <w:rPr>
          <w:lang w:val="fr-FR"/>
        </w:rPr>
        <w:t>II.</w:t>
      </w:r>
      <w:r>
        <w:rPr>
          <w:lang w:val="fr-FR"/>
        </w:rPr>
        <w:tab/>
        <w:t>Questions d’organisation</w:t>
      </w:r>
      <w:bookmarkEnd w:id="12"/>
      <w:bookmarkEnd w:id="13"/>
      <w:bookmarkEnd w:id="14"/>
      <w:bookmarkEnd w:id="15"/>
    </w:p>
    <w:p w14:paraId="2FE6CF39" w14:textId="3632D8CC" w:rsidR="008571D0" w:rsidRPr="000B19C3" w:rsidRDefault="005746F3" w:rsidP="008571D0">
      <w:pPr>
        <w:pStyle w:val="SingleTxtG"/>
      </w:pPr>
      <w:r>
        <w:rPr>
          <w:lang w:val="fr-FR"/>
        </w:rPr>
        <w:t>5</w:t>
      </w:r>
      <w:r w:rsidR="008571D0">
        <w:rPr>
          <w:lang w:val="fr-FR"/>
        </w:rPr>
        <w:t>.</w:t>
      </w:r>
      <w:r w:rsidR="008571D0">
        <w:rPr>
          <w:lang w:val="fr-FR"/>
        </w:rPr>
        <w:tab/>
        <w:t xml:space="preserve">Les effets de la pandémie de COVID-19 ayant été surmontés, la Réunion commune a de nouveau organisé une session sous la forme de séances en présentiel uniquement, en suivant le calendrier proposé dans le document informel INF.3/Rev.1. </w:t>
      </w:r>
    </w:p>
    <w:p w14:paraId="44A8845D" w14:textId="57B3CE98" w:rsidR="008571D0" w:rsidRPr="00817466" w:rsidRDefault="005746F3" w:rsidP="008571D0">
      <w:pPr>
        <w:pStyle w:val="SingleTxtG"/>
      </w:pPr>
      <w:r>
        <w:rPr>
          <w:lang w:val="fr-FR"/>
        </w:rPr>
        <w:t>6</w:t>
      </w:r>
      <w:r w:rsidR="008571D0">
        <w:rPr>
          <w:lang w:val="fr-FR"/>
        </w:rPr>
        <w:t>.</w:t>
      </w:r>
      <w:r w:rsidR="008571D0">
        <w:rPr>
          <w:lang w:val="fr-FR"/>
        </w:rPr>
        <w:tab/>
        <w:t xml:space="preserve">La Réunion commune a noté que la Section de la sécurité et de la sûreté avait entrepris des démarches aux fins de la délivrance de badges numériques, ce qui contribuerait à améliorer la procédure pour les représentantes et représentants. On trouvera de plus amples informations sur la délivrance de badges numériques à l’adresse suivante : </w:t>
      </w:r>
      <w:hyperlink r:id="rId12" w:history="1">
        <w:r w:rsidR="008571D0" w:rsidRPr="00817466">
          <w:rPr>
            <w:rStyle w:val="Lienhypertexte"/>
            <w:color w:val="auto"/>
            <w:lang w:val="fr-FR"/>
          </w:rPr>
          <w:t xml:space="preserve">https://unece.org/ </w:t>
        </w:r>
        <w:proofErr w:type="spellStart"/>
        <w:r w:rsidR="008571D0" w:rsidRPr="00817466">
          <w:rPr>
            <w:rStyle w:val="Lienhypertexte"/>
            <w:color w:val="auto"/>
            <w:lang w:val="fr-FR"/>
          </w:rPr>
          <w:t>practical</w:t>
        </w:r>
        <w:proofErr w:type="spellEnd"/>
        <w:r w:rsidR="008571D0" w:rsidRPr="00817466">
          <w:rPr>
            <w:rStyle w:val="Lienhypertexte"/>
            <w:color w:val="auto"/>
            <w:lang w:val="fr-FR"/>
          </w:rPr>
          <w:t>-information-</w:t>
        </w:r>
        <w:proofErr w:type="spellStart"/>
        <w:r w:rsidR="008571D0" w:rsidRPr="00817466">
          <w:rPr>
            <w:rStyle w:val="Lienhypertexte"/>
            <w:color w:val="auto"/>
            <w:lang w:val="fr-FR"/>
          </w:rPr>
          <w:t>delegates</w:t>
        </w:r>
        <w:proofErr w:type="spellEnd"/>
      </w:hyperlink>
      <w:r w:rsidR="008571D0" w:rsidRPr="00817466">
        <w:rPr>
          <w:lang w:val="fr-FR"/>
        </w:rPr>
        <w:t>.</w:t>
      </w:r>
    </w:p>
    <w:p w14:paraId="0FEAC8A4" w14:textId="280977CF" w:rsidR="008571D0" w:rsidRPr="000B19C3" w:rsidRDefault="005746F3" w:rsidP="008571D0">
      <w:pPr>
        <w:pStyle w:val="SingleTxtG"/>
      </w:pPr>
      <w:r>
        <w:rPr>
          <w:lang w:val="fr-FR"/>
        </w:rPr>
        <w:t>7</w:t>
      </w:r>
      <w:r w:rsidR="008571D0">
        <w:rPr>
          <w:lang w:val="fr-FR"/>
        </w:rPr>
        <w:t>.</w:t>
      </w:r>
      <w:r w:rsidR="008571D0">
        <w:rPr>
          <w:lang w:val="fr-FR"/>
        </w:rPr>
        <w:tab/>
        <w:t xml:space="preserve">En raison du grand nombre de documents officiels soumis au secrétariat, les documents soumis en français au titre du point 5 de l’ordre du jour n’ont pas pu être traduits en anglais en temps utile. La Réunion commune s’est </w:t>
      </w:r>
      <w:proofErr w:type="gramStart"/>
      <w:r w:rsidR="008571D0">
        <w:rPr>
          <w:lang w:val="fr-FR"/>
        </w:rPr>
        <w:t>dite</w:t>
      </w:r>
      <w:proofErr w:type="gramEnd"/>
      <w:r w:rsidR="008571D0">
        <w:rPr>
          <w:lang w:val="fr-FR"/>
        </w:rPr>
        <w:t xml:space="preserve"> déçue que les traductions anglaises aient été mises à disposition tardivement.</w:t>
      </w:r>
    </w:p>
    <w:p w14:paraId="3D2001C9" w14:textId="0E460AD5" w:rsidR="008571D0" w:rsidRPr="000B19C3" w:rsidRDefault="005746F3" w:rsidP="008571D0">
      <w:pPr>
        <w:pStyle w:val="SingleTxtG"/>
      </w:pPr>
      <w:r>
        <w:rPr>
          <w:lang w:val="fr-FR"/>
        </w:rPr>
        <w:t>8</w:t>
      </w:r>
      <w:r w:rsidR="008571D0">
        <w:rPr>
          <w:lang w:val="fr-FR"/>
        </w:rPr>
        <w:t>.</w:t>
      </w:r>
      <w:r w:rsidR="008571D0">
        <w:rPr>
          <w:lang w:val="fr-FR"/>
        </w:rPr>
        <w:tab/>
        <w:t>Afin d’éviter les problèmes de prévision à l’avenir, la Réunion commune a décidé que le secrétariat enverrait un courrier électronique à toutes les délégations 15 semaines avant chaque session pour leur demander des informations sur le nombre de documents officiels qu’elles envisageaient de soumettre dans les délais impartis et la langue dans laquelle ces documents seraient établis.</w:t>
      </w:r>
    </w:p>
    <w:p w14:paraId="0FF15D6E" w14:textId="77777777" w:rsidR="008571D0" w:rsidRPr="000B19C3" w:rsidRDefault="008571D0" w:rsidP="008571D0">
      <w:pPr>
        <w:pStyle w:val="HChG"/>
      </w:pPr>
      <w:r>
        <w:rPr>
          <w:lang w:val="fr-FR"/>
        </w:rPr>
        <w:lastRenderedPageBreak/>
        <w:tab/>
      </w:r>
      <w:bookmarkStart w:id="16" w:name="_Toc147830511"/>
      <w:bookmarkStart w:id="17" w:name="_Toc147845937"/>
      <w:bookmarkStart w:id="18" w:name="_Toc148357323"/>
      <w:bookmarkStart w:id="19" w:name="_Toc148358387"/>
      <w:r>
        <w:rPr>
          <w:lang w:val="fr-FR"/>
        </w:rPr>
        <w:t>III.</w:t>
      </w:r>
      <w:r>
        <w:rPr>
          <w:lang w:val="fr-FR"/>
        </w:rPr>
        <w:tab/>
        <w:t>Adoption de l’ordre du jour (point 1 de l’ordre du jour)</w:t>
      </w:r>
      <w:bookmarkEnd w:id="16"/>
      <w:bookmarkEnd w:id="17"/>
      <w:bookmarkEnd w:id="18"/>
      <w:bookmarkEnd w:id="19"/>
    </w:p>
    <w:p w14:paraId="3999FD88" w14:textId="0E52C617" w:rsidR="008571D0" w:rsidRPr="006C3892" w:rsidRDefault="008571D0" w:rsidP="008571D0">
      <w:pPr>
        <w:pStyle w:val="SingleTxtG"/>
        <w:spacing w:after="0"/>
        <w:ind w:left="3402" w:hanging="2268"/>
      </w:pPr>
      <w:r>
        <w:rPr>
          <w:i/>
          <w:iCs/>
          <w:lang w:val="fr-FR"/>
        </w:rPr>
        <w:t xml:space="preserve">Documents </w:t>
      </w:r>
      <w:r w:rsidRPr="008902D9">
        <w:rPr>
          <w:lang w:val="fr-FR"/>
        </w:rPr>
        <w:t>:</w:t>
      </w:r>
      <w:r>
        <w:rPr>
          <w:lang w:val="fr-FR"/>
        </w:rPr>
        <w:tab/>
      </w:r>
      <w:r w:rsidR="00817466">
        <w:rPr>
          <w:lang w:val="fr-FR"/>
        </w:rPr>
        <w:tab/>
      </w:r>
      <w:r w:rsidR="00817466">
        <w:rPr>
          <w:lang w:val="fr-FR"/>
        </w:rPr>
        <w:tab/>
      </w:r>
      <w:r>
        <w:rPr>
          <w:lang w:val="fr-FR"/>
        </w:rPr>
        <w:t>ECE/TRANS/WP.15/AC.1/169</w:t>
      </w:r>
      <w:r>
        <w:rPr>
          <w:lang w:val="fr-FR"/>
        </w:rPr>
        <w:br/>
      </w:r>
      <w:r>
        <w:rPr>
          <w:lang w:val="fr-FR"/>
        </w:rPr>
        <w:tab/>
      </w:r>
      <w:r w:rsidRPr="006C3892">
        <w:t>ECE/TRANS/WP.15/AC.1/169/Add.1</w:t>
      </w:r>
    </w:p>
    <w:p w14:paraId="63A02990" w14:textId="77777777" w:rsidR="008571D0" w:rsidRPr="000B19C3" w:rsidRDefault="008571D0" w:rsidP="008571D0">
      <w:pPr>
        <w:pStyle w:val="SingleTxtG"/>
        <w:rPr>
          <w:iCs/>
        </w:rPr>
      </w:pPr>
      <w:r>
        <w:rPr>
          <w:i/>
          <w:iCs/>
          <w:lang w:val="fr-FR"/>
        </w:rPr>
        <w:t xml:space="preserve">Documents informels </w:t>
      </w:r>
      <w:r w:rsidRPr="008902D9">
        <w:rPr>
          <w:lang w:val="fr-FR"/>
        </w:rPr>
        <w:t>:</w:t>
      </w:r>
      <w:r>
        <w:rPr>
          <w:lang w:val="fr-FR"/>
        </w:rPr>
        <w:t xml:space="preserve"> </w:t>
      </w:r>
      <w:r>
        <w:rPr>
          <w:lang w:val="fr-FR"/>
        </w:rPr>
        <w:tab/>
        <w:t>INF.1, INF.2 et INF.3/Rev.1 (Secrétariat)</w:t>
      </w:r>
    </w:p>
    <w:p w14:paraId="12676D61" w14:textId="301A3D8F" w:rsidR="008571D0" w:rsidRPr="000B19C3" w:rsidRDefault="005746F3" w:rsidP="008571D0">
      <w:pPr>
        <w:pStyle w:val="SingleTxtG"/>
      </w:pPr>
      <w:r>
        <w:rPr>
          <w:lang w:val="fr-FR"/>
        </w:rPr>
        <w:t>9</w:t>
      </w:r>
      <w:r w:rsidR="008571D0">
        <w:rPr>
          <w:lang w:val="fr-FR"/>
        </w:rPr>
        <w:t>.</w:t>
      </w:r>
      <w:r w:rsidR="008571D0">
        <w:rPr>
          <w:lang w:val="fr-FR"/>
        </w:rPr>
        <w:tab/>
        <w:t>La Réunion commune a adopté l’ordre du jour proposé par le secrétariat dans les documents ECE/TRANS/WP.15/AC.1/169 et Add.1 tels qu’actualisés par le document informel INF.2, après l’avoir modifié afin de prendre en compte les documents informels INF.1 à INF.</w:t>
      </w:r>
      <w:r w:rsidR="00D240A4">
        <w:rPr>
          <w:lang w:val="fr-FR"/>
        </w:rPr>
        <w:t>47</w:t>
      </w:r>
      <w:r w:rsidR="008571D0">
        <w:rPr>
          <w:lang w:val="fr-FR"/>
        </w:rPr>
        <w:t>.</w:t>
      </w:r>
    </w:p>
    <w:p w14:paraId="24DBE394" w14:textId="77777777" w:rsidR="008571D0" w:rsidRPr="000B19C3" w:rsidRDefault="008571D0" w:rsidP="008571D0">
      <w:pPr>
        <w:pStyle w:val="HChG"/>
      </w:pPr>
      <w:r>
        <w:rPr>
          <w:bCs/>
          <w:lang w:val="fr-FR"/>
        </w:rPr>
        <w:tab/>
      </w:r>
      <w:bookmarkStart w:id="20" w:name="_Toc147830512"/>
      <w:bookmarkStart w:id="21" w:name="_Toc147845938"/>
      <w:bookmarkStart w:id="22" w:name="_Toc148357324"/>
      <w:bookmarkStart w:id="23" w:name="_Toc148358388"/>
      <w:r>
        <w:rPr>
          <w:bCs/>
          <w:lang w:val="fr-FR"/>
        </w:rPr>
        <w:t>IV.</w:t>
      </w:r>
      <w:r>
        <w:rPr>
          <w:lang w:val="fr-FR"/>
        </w:rPr>
        <w:tab/>
      </w:r>
      <w:r>
        <w:rPr>
          <w:bCs/>
          <w:lang w:val="fr-FR"/>
        </w:rPr>
        <w:t>Citernes (point 2 de l’ordre du jour)</w:t>
      </w:r>
      <w:bookmarkEnd w:id="20"/>
      <w:bookmarkEnd w:id="21"/>
      <w:bookmarkEnd w:id="22"/>
      <w:bookmarkEnd w:id="23"/>
    </w:p>
    <w:p w14:paraId="22B6673B" w14:textId="496423DD" w:rsidR="008571D0" w:rsidRPr="000B19C3" w:rsidRDefault="008571D0" w:rsidP="00901BB0">
      <w:pPr>
        <w:pStyle w:val="SingleTxtG"/>
        <w:spacing w:after="0"/>
        <w:ind w:left="3402" w:hanging="2268"/>
        <w:jc w:val="left"/>
      </w:pPr>
      <w:r>
        <w:rPr>
          <w:i/>
          <w:iCs/>
          <w:lang w:val="fr-FR"/>
        </w:rPr>
        <w:t xml:space="preserve">Documents </w:t>
      </w:r>
      <w:r w:rsidRPr="008902D9">
        <w:rPr>
          <w:lang w:val="fr-FR"/>
        </w:rPr>
        <w:t>:</w:t>
      </w:r>
      <w:r>
        <w:rPr>
          <w:lang w:val="fr-FR"/>
        </w:rPr>
        <w:tab/>
      </w:r>
      <w:r w:rsidR="00D240A4">
        <w:rPr>
          <w:lang w:val="fr-FR"/>
        </w:rPr>
        <w:tab/>
      </w:r>
      <w:r w:rsidR="00D240A4">
        <w:rPr>
          <w:lang w:val="fr-FR"/>
        </w:rPr>
        <w:tab/>
      </w:r>
      <w:r>
        <w:rPr>
          <w:lang w:val="fr-FR"/>
        </w:rPr>
        <w:t>ECE/TRANS/WP.15/AC.1/2023/23 et Add.1 (Secrétariat)</w:t>
      </w:r>
      <w:r>
        <w:rPr>
          <w:lang w:val="fr-FR"/>
        </w:rPr>
        <w:br/>
      </w:r>
      <w:r w:rsidRPr="0096323C">
        <w:t>ECE/TRANS/WP.15/AC.1/2023/26 (UIC)</w:t>
      </w:r>
      <w:r w:rsidRPr="0096323C">
        <w:br/>
      </w:r>
      <w:r>
        <w:rPr>
          <w:lang w:val="fr-FR"/>
        </w:rPr>
        <w:t>ECE/TRANS/WP.15/AC.1/2023/27 (Pays-Bas)</w:t>
      </w:r>
      <w:r>
        <w:br/>
      </w:r>
      <w:r>
        <w:rPr>
          <w:lang w:val="fr-FR"/>
        </w:rPr>
        <w:t>ECE/TRANS/WP.15/AC.1/2023/28 (Pays-Bas)</w:t>
      </w:r>
      <w:r>
        <w:br/>
      </w:r>
      <w:r>
        <w:rPr>
          <w:lang w:val="fr-FR"/>
        </w:rPr>
        <w:t>ECE/TRANS/WP.15/AC.1/2023/29 (Pays-Bas)</w:t>
      </w:r>
      <w:r>
        <w:rPr>
          <w:lang w:val="fr-FR"/>
        </w:rPr>
        <w:br/>
        <w:t>ECE/TRANS/WP.15/AC.1/2023/30 (Pays-Bas)</w:t>
      </w:r>
      <w:r>
        <w:br/>
      </w:r>
      <w:r>
        <w:rPr>
          <w:lang w:val="fr-FR"/>
        </w:rPr>
        <w:t>ECE/TRANS/WP.15/AC.1/2023/33 (EIGA, ECMA)</w:t>
      </w:r>
      <w:r>
        <w:rPr>
          <w:lang w:val="fr-FR"/>
        </w:rPr>
        <w:br/>
        <w:t>ECE/TRANS/WP.15/AC.1/2023/35 (Belgique)</w:t>
      </w:r>
      <w:r>
        <w:rPr>
          <w:lang w:val="fr-FR"/>
        </w:rPr>
        <w:br/>
        <w:t>ECE/TRANS/WP.15/AC.1/2023/37 (Belgique)</w:t>
      </w:r>
      <w:r>
        <w:rPr>
          <w:lang w:val="fr-FR"/>
        </w:rPr>
        <w:br/>
        <w:t>ECE/TRANS/WP.15/AC.1/2023/46 (France)</w:t>
      </w:r>
      <w:r>
        <w:rPr>
          <w:lang w:val="fr-FR"/>
        </w:rPr>
        <w:br/>
        <w:t>ECE/TRANS/WP.15/AC.1/2023/52 (France)</w:t>
      </w:r>
      <w:r>
        <w:rPr>
          <w:lang w:val="fr-FR"/>
        </w:rPr>
        <w:br/>
        <w:t>ECE/TRANS/WP.15/AC.1/2023/53 (France)</w:t>
      </w:r>
      <w:r>
        <w:rPr>
          <w:lang w:val="fr-FR"/>
        </w:rPr>
        <w:br/>
        <w:t>ECE/TRANS/WP.15/AC.1/2023/54 (France)</w:t>
      </w:r>
      <w:r>
        <w:rPr>
          <w:lang w:val="fr-FR"/>
        </w:rPr>
        <w:br/>
        <w:t>ECE/TRANS/WP.15/AC.1/168, annexe II (Secrétariat)</w:t>
      </w:r>
      <w:r>
        <w:rPr>
          <w:lang w:val="fr-FR"/>
        </w:rPr>
        <w:br/>
        <w:t>ECE/TRANS/WP.15/AC.1/168/Add.1 (Rapport du Groupe de travail des citernes)</w:t>
      </w:r>
    </w:p>
    <w:p w14:paraId="4AA2FA54" w14:textId="0BC546DC" w:rsidR="008571D0" w:rsidRPr="000B19C3" w:rsidRDefault="008571D0" w:rsidP="00901BB0">
      <w:pPr>
        <w:pStyle w:val="SingleTxtG"/>
        <w:ind w:left="3402" w:hanging="2268"/>
        <w:jc w:val="left"/>
      </w:pPr>
      <w:r>
        <w:rPr>
          <w:i/>
          <w:iCs/>
          <w:lang w:val="fr-FR"/>
        </w:rPr>
        <w:t xml:space="preserve">Documents informels </w:t>
      </w:r>
      <w:r w:rsidRPr="00F45BB2">
        <w:rPr>
          <w:lang w:val="fr-FR"/>
        </w:rPr>
        <w:t>:</w:t>
      </w:r>
      <w:r>
        <w:rPr>
          <w:lang w:val="fr-FR"/>
        </w:rPr>
        <w:tab/>
        <w:t>INF.4 (Allemagne)</w:t>
      </w:r>
      <w:r>
        <w:rPr>
          <w:lang w:val="fr-FR"/>
        </w:rPr>
        <w:br/>
        <w:t>INF.5 (UIP)</w:t>
      </w:r>
      <w:r>
        <w:rPr>
          <w:lang w:val="fr-FR"/>
        </w:rPr>
        <w:br/>
        <w:t>INF.7 (Allemagne)</w:t>
      </w:r>
      <w:r>
        <w:rPr>
          <w:lang w:val="fr-FR"/>
        </w:rPr>
        <w:br/>
        <w:t xml:space="preserve">INF.10 </w:t>
      </w:r>
      <w:r w:rsidR="00BF2CF5">
        <w:rPr>
          <w:lang w:val="fr-FR"/>
        </w:rPr>
        <w:t>et INF.</w:t>
      </w:r>
      <w:r w:rsidR="00EF476E">
        <w:rPr>
          <w:lang w:val="fr-FR"/>
        </w:rPr>
        <w:t xml:space="preserve">11 </w:t>
      </w:r>
      <w:r>
        <w:rPr>
          <w:lang w:val="fr-FR"/>
        </w:rPr>
        <w:t>(Pays-Bas)</w:t>
      </w:r>
      <w:r>
        <w:rPr>
          <w:lang w:val="fr-FR"/>
        </w:rPr>
        <w:br/>
        <w:t>INF.12 (ITCO)</w:t>
      </w:r>
      <w:r>
        <w:rPr>
          <w:lang w:val="fr-FR"/>
        </w:rPr>
        <w:br/>
        <w:t>INF.18</w:t>
      </w:r>
      <w:r w:rsidR="00EF476E">
        <w:rPr>
          <w:lang w:val="fr-FR"/>
        </w:rPr>
        <w:t xml:space="preserve"> et INF.</w:t>
      </w:r>
      <w:r w:rsidR="00980071">
        <w:rPr>
          <w:lang w:val="fr-FR"/>
        </w:rPr>
        <w:t>19</w:t>
      </w:r>
      <w:r w:rsidR="006C3892">
        <w:rPr>
          <w:lang w:val="fr-FR"/>
        </w:rPr>
        <w:t xml:space="preserve"> </w:t>
      </w:r>
      <w:r>
        <w:rPr>
          <w:lang w:val="fr-FR"/>
        </w:rPr>
        <w:t>(France)</w:t>
      </w:r>
      <w:r>
        <w:rPr>
          <w:lang w:val="fr-FR"/>
        </w:rPr>
        <w:br/>
        <w:t xml:space="preserve">INF.20 </w:t>
      </w:r>
      <w:r w:rsidR="004567BF">
        <w:rPr>
          <w:lang w:val="fr-FR"/>
        </w:rPr>
        <w:t xml:space="preserve">et INF.21 </w:t>
      </w:r>
      <w:r>
        <w:rPr>
          <w:lang w:val="fr-FR"/>
        </w:rPr>
        <w:t>(Pologne)</w:t>
      </w:r>
      <w:r>
        <w:rPr>
          <w:lang w:val="fr-FR"/>
        </w:rPr>
        <w:br/>
        <w:t>INF.23</w:t>
      </w:r>
      <w:r w:rsidR="0097614A">
        <w:rPr>
          <w:lang w:val="fr-FR"/>
        </w:rPr>
        <w:t xml:space="preserve"> (CEN)</w:t>
      </w:r>
      <w:r w:rsidR="00E43A81">
        <w:rPr>
          <w:lang w:val="fr-FR"/>
        </w:rPr>
        <w:br/>
        <w:t>INF</w:t>
      </w:r>
      <w:r w:rsidR="0097614A">
        <w:rPr>
          <w:lang w:val="fr-FR"/>
        </w:rPr>
        <w:t>.24</w:t>
      </w:r>
      <w:r>
        <w:rPr>
          <w:lang w:val="fr-FR"/>
        </w:rPr>
        <w:t xml:space="preserve"> (EIGA)</w:t>
      </w:r>
      <w:r>
        <w:rPr>
          <w:lang w:val="fr-FR"/>
        </w:rPr>
        <w:br/>
        <w:t>INF.27 (Allemagne)</w:t>
      </w:r>
      <w:r w:rsidR="004B5DA2">
        <w:rPr>
          <w:lang w:val="fr-FR"/>
        </w:rPr>
        <w:br/>
        <w:t>INF.</w:t>
      </w:r>
      <w:r w:rsidR="00F05016">
        <w:rPr>
          <w:lang w:val="fr-FR"/>
        </w:rPr>
        <w:t>28 et INF.</w:t>
      </w:r>
      <w:r w:rsidR="004B5DA2">
        <w:rPr>
          <w:lang w:val="fr-FR"/>
        </w:rPr>
        <w:t>29 (France)</w:t>
      </w:r>
    </w:p>
    <w:p w14:paraId="696A55AF" w14:textId="59D7BDC2" w:rsidR="008571D0" w:rsidRPr="000B19C3" w:rsidRDefault="005746F3" w:rsidP="008571D0">
      <w:pPr>
        <w:pStyle w:val="SingleTxtG"/>
      </w:pPr>
      <w:r>
        <w:rPr>
          <w:lang w:val="fr-FR"/>
        </w:rPr>
        <w:t>10</w:t>
      </w:r>
      <w:r w:rsidR="008571D0">
        <w:rPr>
          <w:lang w:val="fr-FR"/>
        </w:rPr>
        <w:t>.</w:t>
      </w:r>
      <w:r w:rsidR="008571D0">
        <w:rPr>
          <w:lang w:val="fr-FR"/>
        </w:rPr>
        <w:tab/>
        <w:t xml:space="preserve">Après une introduction en séance plénière, l’examen des documents relevant du point 2 de l’ordre du jour (à l’exception du document ECE/TRANS/WP.15/AC.1/2023/27) a été confié au Groupe de travail des citernes, qui s’est réuni du 19 au </w:t>
      </w:r>
      <w:r w:rsidR="004B5DA2">
        <w:rPr>
          <w:lang w:val="fr-FR"/>
        </w:rPr>
        <w:t xml:space="preserve">21 </w:t>
      </w:r>
      <w:r w:rsidR="008571D0">
        <w:rPr>
          <w:lang w:val="fr-FR"/>
        </w:rPr>
        <w:t>septembre 2023 sous la présidence de M. A. Bale (Royaume-Uni).</w:t>
      </w:r>
    </w:p>
    <w:p w14:paraId="4748D6C5" w14:textId="7C53D7C1" w:rsidR="00B05569" w:rsidRDefault="008571D0" w:rsidP="008571D0">
      <w:pPr>
        <w:pStyle w:val="SingleTxtG"/>
        <w:rPr>
          <w:lang w:val="fr-FR"/>
        </w:rPr>
      </w:pPr>
      <w:r>
        <w:rPr>
          <w:lang w:val="fr-FR"/>
        </w:rPr>
        <w:t>1</w:t>
      </w:r>
      <w:r w:rsidR="005746F3">
        <w:rPr>
          <w:lang w:val="fr-FR"/>
        </w:rPr>
        <w:t>1</w:t>
      </w:r>
      <w:r>
        <w:rPr>
          <w:lang w:val="fr-FR"/>
        </w:rPr>
        <w:t>.</w:t>
      </w:r>
      <w:r>
        <w:rPr>
          <w:lang w:val="fr-FR"/>
        </w:rPr>
        <w:tab/>
        <w:t xml:space="preserve"> S’agissant du document ECE/TRANS/WP.15/AC.1/2023/27, la Réunion commune a confirmé que le transport de denrées alimentaires, d’autres objets de consommation et d’aliments pour animaux dans des citernes, des conteneurs ou des récipients servant ou ayant servi au transport de marchandises dangereuses était interdit dans l’Union européenne, conformément au Règlement (CE) </w:t>
      </w:r>
      <w:r w:rsidRPr="00DD12B2">
        <w:rPr>
          <w:rFonts w:eastAsia="MS Mincho"/>
          <w:lang w:val="fr-FR"/>
        </w:rPr>
        <w:t>n</w:t>
      </w:r>
      <w:r w:rsidRPr="00DD12B2">
        <w:rPr>
          <w:rFonts w:eastAsia="MS Mincho"/>
          <w:vertAlign w:val="superscript"/>
          <w:lang w:val="fr-FR"/>
        </w:rPr>
        <w:t>o</w:t>
      </w:r>
      <w:r>
        <w:rPr>
          <w:lang w:val="fr-FR"/>
        </w:rPr>
        <w:t xml:space="preserve"> 852/2004. Il a toutefois été relevé </w:t>
      </w:r>
      <w:r w:rsidR="00143E32">
        <w:rPr>
          <w:lang w:val="fr-FR"/>
        </w:rPr>
        <w:t>que le transport de telles denrées dans des conteneurs ou des grands récipients pour vrac précédemment utilisés pour le transport de marchandises dangereuse n’était pas interdit en principe par le RID, l’ADR ou l’ADN, mais soumis à des restrictions</w:t>
      </w:r>
      <w:r>
        <w:rPr>
          <w:lang w:val="fr-FR"/>
        </w:rPr>
        <w:t>. La Réunion commune a admis qu’il fallait harmoniser les dispositions pertinentes du RID, de l’ADR et de l’ADN afin que l’hygiène des denrées alimentaires soit également assurée dans les pays non membres de l’Union européenne. Elle a, en outre, estimé qu’il fallait envisager la possibilité de réutiliser ou de réaffecter les citernes ou les conteneurs utilisés pour le transport des marchandises dangereuses. Le représentant des Pays-Bas a offert d’établir une nouvelle proposition tenant compte des observations reçues pour examen à une future session.</w:t>
      </w:r>
    </w:p>
    <w:p w14:paraId="6DB57F02" w14:textId="676C3021" w:rsidR="00E350FC" w:rsidRPr="00F50E9D" w:rsidRDefault="00E350FC" w:rsidP="00E350FC">
      <w:pPr>
        <w:pStyle w:val="H1G"/>
        <w:rPr>
          <w:lang w:val="fr-FR"/>
        </w:rPr>
      </w:pPr>
      <w:r>
        <w:rPr>
          <w:lang w:val="fr-FR"/>
        </w:rPr>
        <w:lastRenderedPageBreak/>
        <w:tab/>
      </w:r>
      <w:bookmarkStart w:id="24" w:name="_Toc147830513"/>
      <w:bookmarkStart w:id="25" w:name="_Toc147845939"/>
      <w:bookmarkStart w:id="26" w:name="_Toc148357325"/>
      <w:bookmarkStart w:id="27" w:name="_Toc148358389"/>
      <w:r w:rsidR="00CE7C8A">
        <w:rPr>
          <w:lang w:val="fr-FR"/>
        </w:rPr>
        <w:tab/>
      </w:r>
      <w:r w:rsidRPr="00F50E9D">
        <w:rPr>
          <w:lang w:val="fr-FR"/>
        </w:rPr>
        <w:t>Rapport du Groupe de travail des citernes</w:t>
      </w:r>
      <w:bookmarkEnd w:id="24"/>
      <w:bookmarkEnd w:id="25"/>
      <w:bookmarkEnd w:id="26"/>
      <w:bookmarkEnd w:id="27"/>
    </w:p>
    <w:p w14:paraId="66D65CE5" w14:textId="0542F95F" w:rsidR="00E350FC" w:rsidRPr="00F50E9D" w:rsidRDefault="00E350FC" w:rsidP="00901BB0">
      <w:pPr>
        <w:pStyle w:val="SingleTxtG"/>
        <w:tabs>
          <w:tab w:val="clear" w:pos="2835"/>
          <w:tab w:val="left" w:pos="3402"/>
        </w:tabs>
        <w:spacing w:after="0"/>
        <w:jc w:val="left"/>
        <w:rPr>
          <w:lang w:val="fr-FR"/>
        </w:rPr>
      </w:pPr>
      <w:r w:rsidRPr="00F50E9D">
        <w:rPr>
          <w:i/>
          <w:iCs/>
          <w:lang w:val="fr-FR"/>
        </w:rPr>
        <w:t xml:space="preserve">Document informel </w:t>
      </w:r>
      <w:r w:rsidRPr="005223A8">
        <w:rPr>
          <w:lang w:val="fr-FR"/>
        </w:rPr>
        <w:t>:</w:t>
      </w:r>
      <w:r w:rsidRPr="00F50E9D">
        <w:rPr>
          <w:lang w:val="fr-FR"/>
        </w:rPr>
        <w:tab/>
      </w:r>
      <w:r w:rsidR="00901BB0">
        <w:rPr>
          <w:lang w:val="fr-FR"/>
        </w:rPr>
        <w:tab/>
      </w:r>
      <w:r w:rsidRPr="00F50E9D">
        <w:rPr>
          <w:lang w:val="fr-FR"/>
        </w:rPr>
        <w:t>INF.46 (Rapport du Groupe de travail des citernes)</w:t>
      </w:r>
    </w:p>
    <w:p w14:paraId="48B6B00E" w14:textId="4DB27241" w:rsidR="00E350FC" w:rsidRPr="00F50E9D" w:rsidRDefault="005746F3" w:rsidP="00E350FC">
      <w:pPr>
        <w:pStyle w:val="SingleTxtG"/>
        <w:spacing w:before="120"/>
        <w:rPr>
          <w:lang w:val="fr-FR"/>
        </w:rPr>
      </w:pPr>
      <w:r>
        <w:rPr>
          <w:lang w:val="fr-FR"/>
        </w:rPr>
        <w:t>1</w:t>
      </w:r>
      <w:r w:rsidR="00FE0EC9">
        <w:rPr>
          <w:lang w:val="fr-FR"/>
        </w:rPr>
        <w:t>2</w:t>
      </w:r>
      <w:r w:rsidR="00E350FC" w:rsidRPr="00F50E9D">
        <w:rPr>
          <w:lang w:val="fr-FR"/>
        </w:rPr>
        <w:t>.</w:t>
      </w:r>
      <w:r w:rsidR="00E350FC" w:rsidRPr="00F50E9D">
        <w:rPr>
          <w:lang w:val="fr-FR"/>
        </w:rPr>
        <w:tab/>
        <w:t>La Réunion commune a pris note des résultats des travaux menés par le Groupe de travail des citernes, dont le rapport contenu dans le document informel INF.46 est reproduit à l</w:t>
      </w:r>
      <w:r w:rsidR="00E350FC">
        <w:rPr>
          <w:lang w:val="fr-FR"/>
        </w:rPr>
        <w:t>’</w:t>
      </w:r>
      <w:r w:rsidR="00E350FC" w:rsidRPr="00F50E9D">
        <w:rPr>
          <w:lang w:val="fr-FR"/>
        </w:rPr>
        <w:t xml:space="preserve">annexe </w:t>
      </w:r>
      <w:r w:rsidR="000F5B42">
        <w:rPr>
          <w:lang w:val="fr-FR"/>
        </w:rPr>
        <w:t>I</w:t>
      </w:r>
      <w:r w:rsidR="00E350FC" w:rsidRPr="00F50E9D">
        <w:rPr>
          <w:lang w:val="fr-FR"/>
        </w:rPr>
        <w:t>, publiée en tant qu</w:t>
      </w:r>
      <w:r w:rsidR="00E350FC">
        <w:rPr>
          <w:lang w:val="fr-FR"/>
        </w:rPr>
        <w:t>’</w:t>
      </w:r>
      <w:r w:rsidR="00E350FC" w:rsidRPr="00F50E9D">
        <w:rPr>
          <w:lang w:val="fr-FR"/>
        </w:rPr>
        <w:t>additif 1 au présent rapport. Elle a adopté les propositions</w:t>
      </w:r>
      <w:r w:rsidR="00E350FC">
        <w:rPr>
          <w:lang w:val="fr-FR"/>
        </w:rPr>
        <w:t> </w:t>
      </w:r>
      <w:r w:rsidR="00E350FC" w:rsidRPr="00F50E9D">
        <w:rPr>
          <w:lang w:val="fr-FR"/>
        </w:rPr>
        <w:t>1 à 16</w:t>
      </w:r>
      <w:r w:rsidR="00E350FC">
        <w:rPr>
          <w:lang w:val="fr-FR"/>
        </w:rPr>
        <w:t>, l</w:t>
      </w:r>
      <w:r w:rsidR="00C34AA8">
        <w:rPr>
          <w:lang w:val="fr-FR"/>
        </w:rPr>
        <w:t>a</w:t>
      </w:r>
      <w:r w:rsidR="00E350FC">
        <w:rPr>
          <w:lang w:val="fr-FR"/>
        </w:rPr>
        <w:t xml:space="preserve"> </w:t>
      </w:r>
      <w:r w:rsidR="00E350FC" w:rsidRPr="00F50E9D">
        <w:rPr>
          <w:lang w:val="fr-FR"/>
        </w:rPr>
        <w:t xml:space="preserve">proposition 6 </w:t>
      </w:r>
      <w:r w:rsidR="00E350FC">
        <w:rPr>
          <w:lang w:val="fr-FR"/>
        </w:rPr>
        <w:t xml:space="preserve">étant maintenue </w:t>
      </w:r>
      <w:r w:rsidR="00E350FC" w:rsidRPr="00F50E9D">
        <w:rPr>
          <w:lang w:val="fr-FR"/>
        </w:rPr>
        <w:t>entre crochets</w:t>
      </w:r>
      <w:r w:rsidR="00E350FC">
        <w:rPr>
          <w:lang w:val="fr-FR"/>
        </w:rPr>
        <w:t xml:space="preserve"> comme expliqué au </w:t>
      </w:r>
      <w:r w:rsidR="00E350FC" w:rsidRPr="00F50E9D">
        <w:rPr>
          <w:lang w:val="fr-FR"/>
        </w:rPr>
        <w:t xml:space="preserve">paragraphe </w:t>
      </w:r>
      <w:r w:rsidR="00DD1140">
        <w:rPr>
          <w:lang w:val="fr-FR"/>
        </w:rPr>
        <w:t>1</w:t>
      </w:r>
      <w:r w:rsidR="00FE0EC9">
        <w:rPr>
          <w:lang w:val="fr-FR"/>
        </w:rPr>
        <w:t>3</w:t>
      </w:r>
      <w:r w:rsidR="00E350FC" w:rsidRPr="00F50E9D">
        <w:rPr>
          <w:lang w:val="fr-FR"/>
        </w:rPr>
        <w:t xml:space="preserve"> ci-dessous (voir annexe</w:t>
      </w:r>
      <w:r w:rsidR="0048548F">
        <w:rPr>
          <w:lang w:val="fr-FR"/>
        </w:rPr>
        <w:t xml:space="preserve"> II</w:t>
      </w:r>
      <w:r w:rsidR="00E350FC" w:rsidRPr="00F50E9D">
        <w:rPr>
          <w:lang w:val="fr-FR"/>
        </w:rPr>
        <w:t>).</w:t>
      </w:r>
    </w:p>
    <w:p w14:paraId="238CF463" w14:textId="51D607E5" w:rsidR="00E350FC" w:rsidRPr="00F50E9D" w:rsidRDefault="005746F3" w:rsidP="00E350FC">
      <w:pPr>
        <w:pStyle w:val="SingleTxtG"/>
        <w:spacing w:line="240" w:lineRule="auto"/>
        <w:rPr>
          <w:lang w:val="fr-FR"/>
        </w:rPr>
      </w:pPr>
      <w:r>
        <w:rPr>
          <w:lang w:val="fr-FR"/>
        </w:rPr>
        <w:t>1</w:t>
      </w:r>
      <w:r w:rsidR="00FE0EC9">
        <w:rPr>
          <w:lang w:val="fr-FR"/>
        </w:rPr>
        <w:t>3</w:t>
      </w:r>
      <w:r w:rsidR="00E350FC" w:rsidRPr="00F50E9D">
        <w:rPr>
          <w:lang w:val="fr-FR"/>
        </w:rPr>
        <w:t>.</w:t>
      </w:r>
      <w:r w:rsidR="00E350FC" w:rsidRPr="00F50E9D">
        <w:rPr>
          <w:lang w:val="fr-FR"/>
        </w:rPr>
        <w:tab/>
        <w:t xml:space="preserve">En ce qui concerne la proposition 6, la Réunion commune </w:t>
      </w:r>
      <w:r w:rsidR="00E350FC">
        <w:rPr>
          <w:lang w:val="fr-FR"/>
        </w:rPr>
        <w:t>a estimé</w:t>
      </w:r>
      <w:r w:rsidR="00E350FC" w:rsidRPr="00F50E9D">
        <w:rPr>
          <w:lang w:val="fr-FR"/>
        </w:rPr>
        <w:t xml:space="preserve"> que le texte proposé n</w:t>
      </w:r>
      <w:r w:rsidR="00E350FC">
        <w:rPr>
          <w:lang w:val="fr-FR"/>
        </w:rPr>
        <w:t>’</w:t>
      </w:r>
      <w:r w:rsidR="00E350FC" w:rsidRPr="00F50E9D">
        <w:rPr>
          <w:lang w:val="fr-FR"/>
        </w:rPr>
        <w:t>était pas suffisamment clair et qu</w:t>
      </w:r>
      <w:r w:rsidR="00E350FC">
        <w:rPr>
          <w:lang w:val="fr-FR"/>
        </w:rPr>
        <w:t>’</w:t>
      </w:r>
      <w:r w:rsidR="00E350FC" w:rsidRPr="00F50E9D">
        <w:rPr>
          <w:lang w:val="fr-FR"/>
        </w:rPr>
        <w:t>il fallait préciser si une autorité compétente pouvait s</w:t>
      </w:r>
      <w:r w:rsidR="00E350FC">
        <w:rPr>
          <w:lang w:val="fr-FR"/>
        </w:rPr>
        <w:t>’</w:t>
      </w:r>
      <w:r w:rsidR="00E350FC" w:rsidRPr="00F50E9D">
        <w:rPr>
          <w:lang w:val="fr-FR"/>
        </w:rPr>
        <w:t xml:space="preserve">acquitter des tâches elle-même, y compris dans le cas où elle aurait agréé, reconnu ou désigné un organisme de contrôle. </w:t>
      </w:r>
    </w:p>
    <w:p w14:paraId="718831A2" w14:textId="1AF9C5B1" w:rsidR="00E350FC" w:rsidRPr="00F50E9D" w:rsidRDefault="005746F3" w:rsidP="00E350FC">
      <w:pPr>
        <w:pStyle w:val="SingleTxtG"/>
        <w:spacing w:line="240" w:lineRule="auto"/>
        <w:rPr>
          <w:lang w:val="fr-FR"/>
        </w:rPr>
      </w:pPr>
      <w:r>
        <w:rPr>
          <w:lang w:val="fr-FR"/>
        </w:rPr>
        <w:t>1</w:t>
      </w:r>
      <w:r w:rsidR="00FE0EC9">
        <w:rPr>
          <w:lang w:val="fr-FR"/>
        </w:rPr>
        <w:t>4</w:t>
      </w:r>
      <w:r w:rsidR="00E350FC" w:rsidRPr="00F50E9D">
        <w:rPr>
          <w:lang w:val="fr-FR"/>
        </w:rPr>
        <w:t>.</w:t>
      </w:r>
      <w:r w:rsidR="00E350FC" w:rsidRPr="00F50E9D">
        <w:rPr>
          <w:lang w:val="fr-FR"/>
        </w:rPr>
        <w:tab/>
        <w:t>En ce qui concerne le point 5, la Réunion commune a relevé que le texte proposé dans le nota ne devait pas nécessairement être répété aux 6.8.3 à 6.8.5, étant donné qu</w:t>
      </w:r>
      <w:r w:rsidR="00E350FC">
        <w:rPr>
          <w:lang w:val="fr-FR"/>
        </w:rPr>
        <w:t>’</w:t>
      </w:r>
      <w:r w:rsidR="00E350FC" w:rsidRPr="00F50E9D">
        <w:rPr>
          <w:lang w:val="fr-FR"/>
        </w:rPr>
        <w:t xml:space="preserve">il figurait déjà au 6.8.1.3. </w:t>
      </w:r>
    </w:p>
    <w:p w14:paraId="3F02D1A0" w14:textId="0750D39E" w:rsidR="00E350FC" w:rsidRPr="00F50E9D" w:rsidRDefault="005746F3" w:rsidP="00E350FC">
      <w:pPr>
        <w:pStyle w:val="SingleTxtG"/>
        <w:spacing w:line="240" w:lineRule="auto"/>
        <w:rPr>
          <w:lang w:val="fr-FR"/>
        </w:rPr>
      </w:pPr>
      <w:r>
        <w:rPr>
          <w:lang w:val="fr-FR"/>
        </w:rPr>
        <w:t>1</w:t>
      </w:r>
      <w:r w:rsidR="00FE0EC9">
        <w:rPr>
          <w:lang w:val="fr-FR"/>
        </w:rPr>
        <w:t>5</w:t>
      </w:r>
      <w:r w:rsidR="00E350FC" w:rsidRPr="00F50E9D">
        <w:rPr>
          <w:lang w:val="fr-FR"/>
        </w:rPr>
        <w:t>.</w:t>
      </w:r>
      <w:r w:rsidR="00E350FC" w:rsidRPr="00F50E9D">
        <w:rPr>
          <w:lang w:val="fr-FR"/>
        </w:rPr>
        <w:tab/>
        <w:t>En ce qui concerne le point 8, la Réunion commune a relevé que le nota ne s</w:t>
      </w:r>
      <w:r w:rsidR="00E350FC">
        <w:rPr>
          <w:lang w:val="fr-FR"/>
        </w:rPr>
        <w:t>’</w:t>
      </w:r>
      <w:r w:rsidR="00E350FC" w:rsidRPr="00F50E9D">
        <w:rPr>
          <w:lang w:val="fr-FR"/>
        </w:rPr>
        <w:t xml:space="preserve">appliquait que dans le cas des conteneurs-citernes utilisés en permanence sur la route. Il a été recommandé que le WP.15 </w:t>
      </w:r>
      <w:r w:rsidR="00A87603">
        <w:rPr>
          <w:lang w:val="fr-FR"/>
        </w:rPr>
        <w:t>prenne</w:t>
      </w:r>
      <w:r w:rsidR="00D956BC">
        <w:rPr>
          <w:lang w:val="fr-FR"/>
        </w:rPr>
        <w:t xml:space="preserve"> une décisio</w:t>
      </w:r>
      <w:r w:rsidR="00AA142D">
        <w:rPr>
          <w:lang w:val="fr-FR"/>
        </w:rPr>
        <w:t>n sur</w:t>
      </w:r>
      <w:r w:rsidR="00D956BC" w:rsidRPr="00F50E9D">
        <w:rPr>
          <w:lang w:val="fr-FR"/>
        </w:rPr>
        <w:t xml:space="preserve"> </w:t>
      </w:r>
      <w:r w:rsidR="00E350FC" w:rsidRPr="00F50E9D">
        <w:rPr>
          <w:lang w:val="fr-FR"/>
        </w:rPr>
        <w:t>cette question à sa prochaine session</w:t>
      </w:r>
      <w:r w:rsidR="00E350FC">
        <w:rPr>
          <w:lang w:val="fr-FR"/>
        </w:rPr>
        <w:t>,</w:t>
      </w:r>
      <w:r w:rsidR="00E350FC" w:rsidRPr="00F50E9D">
        <w:rPr>
          <w:lang w:val="fr-FR"/>
        </w:rPr>
        <w:t xml:space="preserve"> en novembre 2023, sur la base d</w:t>
      </w:r>
      <w:r w:rsidR="00E350FC">
        <w:rPr>
          <w:lang w:val="fr-FR"/>
        </w:rPr>
        <w:t>’</w:t>
      </w:r>
      <w:r w:rsidR="00E350FC" w:rsidRPr="00F50E9D">
        <w:rPr>
          <w:lang w:val="fr-FR"/>
        </w:rPr>
        <w:t>un document informel de la Belgique.</w:t>
      </w:r>
    </w:p>
    <w:p w14:paraId="6A30B1E7" w14:textId="32528B89" w:rsidR="00E350FC" w:rsidRDefault="005746F3" w:rsidP="00E350FC">
      <w:pPr>
        <w:pStyle w:val="SingleTxtG"/>
        <w:spacing w:line="240" w:lineRule="auto"/>
        <w:rPr>
          <w:lang w:val="fr-FR"/>
        </w:rPr>
      </w:pPr>
      <w:r>
        <w:rPr>
          <w:lang w:val="fr-FR"/>
        </w:rPr>
        <w:t>1</w:t>
      </w:r>
      <w:r w:rsidR="00FE0EC9">
        <w:rPr>
          <w:lang w:val="fr-FR"/>
        </w:rPr>
        <w:t>6</w:t>
      </w:r>
      <w:r w:rsidR="00E350FC" w:rsidRPr="00F50E9D">
        <w:rPr>
          <w:lang w:val="fr-FR"/>
        </w:rPr>
        <w:t>.</w:t>
      </w:r>
      <w:r w:rsidR="00E350FC" w:rsidRPr="00F50E9D">
        <w:rPr>
          <w:lang w:val="fr-FR"/>
        </w:rPr>
        <w:tab/>
        <w:t>S</w:t>
      </w:r>
      <w:r w:rsidR="00E350FC">
        <w:rPr>
          <w:lang w:val="fr-FR"/>
        </w:rPr>
        <w:t>’</w:t>
      </w:r>
      <w:r w:rsidR="00E350FC" w:rsidRPr="00F50E9D">
        <w:rPr>
          <w:lang w:val="fr-FR"/>
        </w:rPr>
        <w:t>agissant de la proposition 16</w:t>
      </w:r>
      <w:r w:rsidR="00FD6D3D">
        <w:rPr>
          <w:lang w:val="fr-FR"/>
        </w:rPr>
        <w:t xml:space="preserve"> au point 12</w:t>
      </w:r>
      <w:r w:rsidR="00E350FC" w:rsidRPr="00F50E9D">
        <w:rPr>
          <w:lang w:val="fr-FR"/>
        </w:rPr>
        <w:t xml:space="preserve">, la Réunion commune a invité le </w:t>
      </w:r>
      <w:proofErr w:type="spellStart"/>
      <w:r w:rsidR="00E350FC" w:rsidRPr="00F50E9D">
        <w:rPr>
          <w:lang w:val="fr-FR"/>
        </w:rPr>
        <w:t>Cefic</w:t>
      </w:r>
      <w:proofErr w:type="spellEnd"/>
      <w:r w:rsidR="00E350FC" w:rsidRPr="00F50E9D">
        <w:rPr>
          <w:lang w:val="fr-FR"/>
        </w:rPr>
        <w:t xml:space="preserve"> à vérifier si des mesures transitoires étaient nécessaires en ce qui concerne la suppression du code</w:t>
      </w:r>
      <w:r w:rsidR="00AC04A8">
        <w:rPr>
          <w:lang w:val="fr-FR"/>
        </w:rPr>
        <w:t>-</w:t>
      </w:r>
      <w:r w:rsidR="00E350FC" w:rsidRPr="00F50E9D">
        <w:rPr>
          <w:lang w:val="fr-FR"/>
        </w:rPr>
        <w:t>citerne L10CH de la colonne (12) du tableau A pour le No ONU 3550.</w:t>
      </w:r>
    </w:p>
    <w:p w14:paraId="7BA4207A" w14:textId="23BFCCAE" w:rsidR="007602FC" w:rsidRDefault="005746F3" w:rsidP="00E350FC">
      <w:pPr>
        <w:pStyle w:val="SingleTxtG"/>
        <w:spacing w:line="240" w:lineRule="auto"/>
        <w:rPr>
          <w:lang w:val="fr-FR"/>
        </w:rPr>
      </w:pPr>
      <w:r>
        <w:rPr>
          <w:lang w:val="fr-FR"/>
        </w:rPr>
        <w:t>1</w:t>
      </w:r>
      <w:r w:rsidR="00FE0EC9">
        <w:rPr>
          <w:lang w:val="fr-FR"/>
        </w:rPr>
        <w:t>7</w:t>
      </w:r>
      <w:r w:rsidR="001400BC">
        <w:rPr>
          <w:lang w:val="fr-FR"/>
        </w:rPr>
        <w:t>.</w:t>
      </w:r>
      <w:r w:rsidR="001400BC">
        <w:rPr>
          <w:lang w:val="fr-FR"/>
        </w:rPr>
        <w:tab/>
      </w:r>
      <w:r w:rsidR="001400BC" w:rsidRPr="001400BC">
        <w:rPr>
          <w:lang w:val="fr-FR"/>
        </w:rPr>
        <w:t xml:space="preserve">La Réunion </w:t>
      </w:r>
      <w:r w:rsidR="001400BC">
        <w:rPr>
          <w:lang w:val="fr-FR"/>
        </w:rPr>
        <w:t>commune</w:t>
      </w:r>
      <w:r w:rsidR="001400BC" w:rsidRPr="001400BC">
        <w:rPr>
          <w:lang w:val="fr-FR"/>
        </w:rPr>
        <w:t xml:space="preserve"> a confirmé au point 13 que les robinets à boisseau sphérique selon la norme EN ISO 23826 peuvent être montés sur des wagons</w:t>
      </w:r>
      <w:r w:rsidR="001D76E1">
        <w:rPr>
          <w:lang w:val="fr-FR"/>
        </w:rPr>
        <w:t>-batteries</w:t>
      </w:r>
      <w:r w:rsidR="001400BC" w:rsidRPr="001400BC">
        <w:rPr>
          <w:lang w:val="fr-FR"/>
        </w:rPr>
        <w:t>/véhicules</w:t>
      </w:r>
      <w:r w:rsidR="001D76E1">
        <w:rPr>
          <w:lang w:val="fr-FR"/>
        </w:rPr>
        <w:t>-batteries</w:t>
      </w:r>
      <w:r w:rsidR="001400BC" w:rsidRPr="001400BC">
        <w:rPr>
          <w:lang w:val="fr-FR"/>
        </w:rPr>
        <w:t xml:space="preserve"> ou des conteneurs à gaz à éléments multiples (CGEM).</w:t>
      </w:r>
    </w:p>
    <w:p w14:paraId="4810B439" w14:textId="0A505367" w:rsidR="007602FC" w:rsidRPr="00F50E9D" w:rsidRDefault="00EA7D15" w:rsidP="00E350FC">
      <w:pPr>
        <w:pStyle w:val="SingleTxtG"/>
        <w:spacing w:line="240" w:lineRule="auto"/>
        <w:rPr>
          <w:lang w:val="fr-FR"/>
        </w:rPr>
      </w:pPr>
      <w:r>
        <w:rPr>
          <w:lang w:val="fr-FR"/>
        </w:rPr>
        <w:t>1</w:t>
      </w:r>
      <w:r w:rsidR="00FE0EC9">
        <w:rPr>
          <w:lang w:val="fr-FR"/>
        </w:rPr>
        <w:t>8</w:t>
      </w:r>
      <w:r w:rsidR="007E53E4">
        <w:rPr>
          <w:lang w:val="fr-FR"/>
        </w:rPr>
        <w:t>.</w:t>
      </w:r>
      <w:r w:rsidR="007E53E4">
        <w:rPr>
          <w:lang w:val="fr-FR"/>
        </w:rPr>
        <w:tab/>
      </w:r>
      <w:r w:rsidR="007E53E4" w:rsidRPr="007E53E4">
        <w:rPr>
          <w:lang w:val="fr-FR"/>
        </w:rPr>
        <w:t xml:space="preserve">La Réunion </w:t>
      </w:r>
      <w:r w:rsidR="007E53E4">
        <w:rPr>
          <w:lang w:val="fr-FR"/>
        </w:rPr>
        <w:t>commune</w:t>
      </w:r>
      <w:r w:rsidR="007E53E4" w:rsidRPr="001400BC">
        <w:rPr>
          <w:lang w:val="fr-FR"/>
        </w:rPr>
        <w:t xml:space="preserve"> </w:t>
      </w:r>
      <w:r w:rsidR="007E53E4" w:rsidRPr="007E53E4">
        <w:rPr>
          <w:lang w:val="fr-FR"/>
        </w:rPr>
        <w:t>a confirmé au point 16 que les trois constructions figurant dans le document informel INF.7 étaient autorisées conformément au</w:t>
      </w:r>
      <w:r w:rsidR="00E935E3">
        <w:rPr>
          <w:lang w:val="fr-FR"/>
        </w:rPr>
        <w:t>x</w:t>
      </w:r>
      <w:r w:rsidR="007E53E4" w:rsidRPr="007E53E4">
        <w:rPr>
          <w:lang w:val="fr-FR"/>
        </w:rPr>
        <w:t xml:space="preserve"> </w:t>
      </w:r>
      <w:r w:rsidR="00CF783E">
        <w:rPr>
          <w:lang w:val="fr-FR"/>
        </w:rPr>
        <w:t>r</w:t>
      </w:r>
      <w:r w:rsidR="007E53E4" w:rsidRPr="007E53E4">
        <w:rPr>
          <w:lang w:val="fr-FR"/>
        </w:rPr>
        <w:t>èglement</w:t>
      </w:r>
      <w:r w:rsidR="00E935E3">
        <w:rPr>
          <w:lang w:val="fr-FR"/>
        </w:rPr>
        <w:t>s</w:t>
      </w:r>
      <w:r w:rsidR="007E53E4" w:rsidRPr="007E53E4">
        <w:rPr>
          <w:lang w:val="fr-FR"/>
        </w:rPr>
        <w:t>.</w:t>
      </w:r>
    </w:p>
    <w:p w14:paraId="6925CF65" w14:textId="1636462C" w:rsidR="00E350FC" w:rsidRDefault="00FE0EC9" w:rsidP="00E350FC">
      <w:pPr>
        <w:pStyle w:val="SingleTxtG"/>
        <w:spacing w:line="240" w:lineRule="auto"/>
        <w:rPr>
          <w:lang w:val="fr-FR"/>
        </w:rPr>
      </w:pPr>
      <w:r>
        <w:rPr>
          <w:lang w:val="fr-FR"/>
        </w:rPr>
        <w:t>19</w:t>
      </w:r>
      <w:r w:rsidR="00E350FC" w:rsidRPr="00F50E9D">
        <w:rPr>
          <w:lang w:val="fr-FR"/>
        </w:rPr>
        <w:t>.</w:t>
      </w:r>
      <w:r w:rsidR="00E350FC" w:rsidRPr="00F50E9D">
        <w:rPr>
          <w:lang w:val="fr-FR"/>
        </w:rPr>
        <w:tab/>
      </w:r>
      <w:r w:rsidR="001D76E1">
        <w:rPr>
          <w:lang w:val="fr-FR"/>
        </w:rPr>
        <w:t>L</w:t>
      </w:r>
      <w:r w:rsidR="00E350FC" w:rsidRPr="00F50E9D">
        <w:rPr>
          <w:lang w:val="fr-FR"/>
        </w:rPr>
        <w:t xml:space="preserve">a Réunion commune a confirmé, en ce qui concerne le point 22, que les véhicules-citernes portant le code citerne L4BH </w:t>
      </w:r>
      <w:r w:rsidR="0008623A" w:rsidRPr="0008623A">
        <w:rPr>
          <w:lang w:val="fr-FR"/>
        </w:rPr>
        <w:t xml:space="preserve">et </w:t>
      </w:r>
      <w:r w:rsidR="00667CF8">
        <w:rPr>
          <w:lang w:val="fr-FR"/>
        </w:rPr>
        <w:t>a</w:t>
      </w:r>
      <w:r w:rsidR="00B95703">
        <w:rPr>
          <w:lang w:val="fr-FR"/>
        </w:rPr>
        <w:t>yant</w:t>
      </w:r>
      <w:r w:rsidR="00667CF8">
        <w:rPr>
          <w:lang w:val="fr-FR"/>
        </w:rPr>
        <w:t xml:space="preserve"> </w:t>
      </w:r>
      <w:r w:rsidR="0008623A" w:rsidRPr="0008623A">
        <w:rPr>
          <w:lang w:val="fr-FR"/>
        </w:rPr>
        <w:t xml:space="preserve">une pression de service maximale inférieure à 3 bar </w:t>
      </w:r>
      <w:r w:rsidR="00E350FC" w:rsidRPr="00F50E9D">
        <w:rPr>
          <w:lang w:val="fr-FR"/>
        </w:rPr>
        <w:t xml:space="preserve">étaient autorisés. </w:t>
      </w:r>
      <w:r w:rsidR="00883006" w:rsidRPr="00883006">
        <w:rPr>
          <w:lang w:val="fr-FR"/>
        </w:rPr>
        <w:t xml:space="preserve">Dans ce cas, certaines autorités </w:t>
      </w:r>
      <w:r w:rsidR="000763A9">
        <w:rPr>
          <w:lang w:val="fr-FR"/>
        </w:rPr>
        <w:t>imposaient</w:t>
      </w:r>
      <w:r w:rsidR="00883006" w:rsidRPr="00883006">
        <w:rPr>
          <w:lang w:val="fr-FR"/>
        </w:rPr>
        <w:t xml:space="preserve"> une liste restrictive de </w:t>
      </w:r>
      <w:r w:rsidR="00B95703">
        <w:rPr>
          <w:lang w:val="fr-FR"/>
        </w:rPr>
        <w:t>matières</w:t>
      </w:r>
      <w:r w:rsidR="00883006" w:rsidRPr="00883006">
        <w:rPr>
          <w:lang w:val="fr-FR"/>
        </w:rPr>
        <w:t xml:space="preserve"> alors que d’autres </w:t>
      </w:r>
      <w:r w:rsidR="000763A9">
        <w:rPr>
          <w:lang w:val="fr-FR"/>
        </w:rPr>
        <w:t>ne le faisait pas</w:t>
      </w:r>
      <w:r w:rsidR="00883006" w:rsidRPr="00883006">
        <w:rPr>
          <w:lang w:val="fr-FR"/>
        </w:rPr>
        <w:t xml:space="preserve">. </w:t>
      </w:r>
      <w:r w:rsidR="00E350FC" w:rsidRPr="00F50E9D">
        <w:rPr>
          <w:lang w:val="fr-FR"/>
        </w:rPr>
        <w:t>Faute de temps, le Groupe de travail des citernes a décidé que ce sujet devrait être examiné plus en détail à sa réunion suivante.</w:t>
      </w:r>
    </w:p>
    <w:p w14:paraId="5D2F4538" w14:textId="77777777" w:rsidR="00207397" w:rsidRPr="00F04CF3" w:rsidRDefault="00207397" w:rsidP="00207397">
      <w:pPr>
        <w:pStyle w:val="HChG"/>
        <w:rPr>
          <w:lang w:val="fr-FR"/>
        </w:rPr>
      </w:pPr>
      <w:r>
        <w:rPr>
          <w:lang w:val="fr-FR"/>
        </w:rPr>
        <w:tab/>
      </w:r>
      <w:bookmarkStart w:id="28" w:name="_Toc147830514"/>
      <w:bookmarkStart w:id="29" w:name="_Toc147845940"/>
      <w:bookmarkStart w:id="30" w:name="_Toc148357326"/>
      <w:bookmarkStart w:id="31" w:name="_Toc148358390"/>
      <w:r w:rsidRPr="00F04CF3">
        <w:rPr>
          <w:lang w:val="fr-FR"/>
        </w:rPr>
        <w:t>V.</w:t>
      </w:r>
      <w:r w:rsidRPr="00F04CF3">
        <w:rPr>
          <w:lang w:val="fr-FR"/>
        </w:rPr>
        <w:tab/>
        <w:t>Normes (point 3 de l</w:t>
      </w:r>
      <w:r>
        <w:rPr>
          <w:lang w:val="fr-FR"/>
        </w:rPr>
        <w:t>’</w:t>
      </w:r>
      <w:r w:rsidRPr="00F04CF3">
        <w:rPr>
          <w:lang w:val="fr-FR"/>
        </w:rPr>
        <w:t>ordre du jour)</w:t>
      </w:r>
      <w:bookmarkEnd w:id="28"/>
      <w:bookmarkEnd w:id="29"/>
      <w:bookmarkEnd w:id="30"/>
      <w:bookmarkEnd w:id="31"/>
    </w:p>
    <w:p w14:paraId="797F4F54" w14:textId="137B3880" w:rsidR="00207397" w:rsidRPr="00F04CF3" w:rsidRDefault="00207397" w:rsidP="00207397">
      <w:pPr>
        <w:pStyle w:val="H1G"/>
        <w:rPr>
          <w:lang w:val="fr-FR"/>
        </w:rPr>
      </w:pPr>
      <w:r>
        <w:rPr>
          <w:lang w:val="fr-FR"/>
        </w:rPr>
        <w:tab/>
      </w:r>
      <w:bookmarkStart w:id="32" w:name="_Toc147830515"/>
      <w:bookmarkStart w:id="33" w:name="_Toc147845941"/>
      <w:bookmarkStart w:id="34" w:name="_Toc148357327"/>
      <w:bookmarkStart w:id="35" w:name="_Toc148358391"/>
      <w:r w:rsidRPr="00F04CF3">
        <w:rPr>
          <w:lang w:val="fr-FR"/>
        </w:rPr>
        <w:tab/>
        <w:t>Informations sur les activités du Groupe de travail des normes</w:t>
      </w:r>
      <w:bookmarkEnd w:id="32"/>
      <w:bookmarkEnd w:id="33"/>
      <w:bookmarkEnd w:id="34"/>
      <w:bookmarkEnd w:id="35"/>
    </w:p>
    <w:p w14:paraId="24134F7D" w14:textId="06556C5F" w:rsidR="00207397" w:rsidRPr="00F04CF3" w:rsidRDefault="00207397" w:rsidP="00207397">
      <w:pPr>
        <w:pStyle w:val="SingleTxtG"/>
        <w:tabs>
          <w:tab w:val="clear" w:pos="2835"/>
        </w:tabs>
        <w:spacing w:after="0"/>
        <w:ind w:left="3402" w:hanging="2268"/>
        <w:jc w:val="left"/>
        <w:rPr>
          <w:lang w:val="fr-FR"/>
        </w:rPr>
      </w:pPr>
      <w:r w:rsidRPr="00F04CF3">
        <w:rPr>
          <w:i/>
          <w:iCs/>
          <w:lang w:val="fr-FR"/>
        </w:rPr>
        <w:t>Document </w:t>
      </w:r>
      <w:r w:rsidRPr="00F04CF3">
        <w:rPr>
          <w:lang w:val="fr-FR"/>
        </w:rPr>
        <w:t>:</w:t>
      </w:r>
      <w:r>
        <w:rPr>
          <w:lang w:val="fr-FR"/>
        </w:rPr>
        <w:tab/>
      </w:r>
      <w:r>
        <w:rPr>
          <w:lang w:val="fr-FR"/>
        </w:rPr>
        <w:tab/>
      </w:r>
      <w:r w:rsidRPr="00F04CF3">
        <w:rPr>
          <w:lang w:val="fr-FR"/>
        </w:rPr>
        <w:tab/>
        <w:t>ECE/TRANS/WP.15/AC.1/2023/34 (CEN)</w:t>
      </w:r>
    </w:p>
    <w:p w14:paraId="13DD3F8F" w14:textId="65330908" w:rsidR="00207397" w:rsidRPr="00F04CF3" w:rsidRDefault="00207397" w:rsidP="00207397">
      <w:pPr>
        <w:pStyle w:val="SingleTxtG"/>
        <w:ind w:left="3402" w:hanging="2268"/>
        <w:jc w:val="left"/>
        <w:rPr>
          <w:i/>
          <w:lang w:val="fr-FR"/>
        </w:rPr>
      </w:pPr>
      <w:r w:rsidRPr="00F04CF3">
        <w:rPr>
          <w:i/>
          <w:iCs/>
          <w:lang w:val="fr-FR"/>
        </w:rPr>
        <w:t xml:space="preserve">Documents informels </w:t>
      </w:r>
      <w:r w:rsidRPr="00ED3399">
        <w:rPr>
          <w:lang w:val="fr-FR"/>
        </w:rPr>
        <w:t>:</w:t>
      </w:r>
      <w:r w:rsidRPr="00F04CF3">
        <w:rPr>
          <w:lang w:val="fr-FR"/>
        </w:rPr>
        <w:tab/>
      </w:r>
      <w:r>
        <w:rPr>
          <w:lang w:val="fr-FR"/>
        </w:rPr>
        <w:tab/>
      </w:r>
      <w:r w:rsidRPr="00F04CF3">
        <w:rPr>
          <w:lang w:val="fr-FR"/>
        </w:rPr>
        <w:t>INF.22, INF.23 et INF.30 (CEN)</w:t>
      </w:r>
    </w:p>
    <w:p w14:paraId="29DC1FED" w14:textId="3B2EBF88" w:rsidR="00207397" w:rsidRPr="00F04CF3" w:rsidRDefault="00CC42F6" w:rsidP="0002445D">
      <w:pPr>
        <w:pStyle w:val="SingleTxtG"/>
        <w:rPr>
          <w:lang w:val="fr-FR"/>
        </w:rPr>
      </w:pPr>
      <w:r>
        <w:rPr>
          <w:lang w:val="fr-FR"/>
        </w:rPr>
        <w:t>2</w:t>
      </w:r>
      <w:r w:rsidR="00FE0EC9">
        <w:rPr>
          <w:lang w:val="fr-FR"/>
        </w:rPr>
        <w:t>0</w:t>
      </w:r>
      <w:r w:rsidR="00207397" w:rsidRPr="00F04CF3">
        <w:rPr>
          <w:lang w:val="fr-FR"/>
        </w:rPr>
        <w:t>.</w:t>
      </w:r>
      <w:r w:rsidR="00207397" w:rsidRPr="00F04CF3">
        <w:rPr>
          <w:lang w:val="fr-FR"/>
        </w:rPr>
        <w:tab/>
        <w:t>La Réunion commune a pris note du rapport du Groupe de travail des normes, qui s</w:t>
      </w:r>
      <w:r w:rsidR="00207397">
        <w:rPr>
          <w:lang w:val="fr-FR"/>
        </w:rPr>
        <w:t>’</w:t>
      </w:r>
      <w:r w:rsidR="00207397" w:rsidRPr="00F04CF3">
        <w:rPr>
          <w:lang w:val="fr-FR"/>
        </w:rPr>
        <w:t xml:space="preserve">était réuni à distance le 29 août 2023, et a examiné les amendements proposés dans le document ECE/TRANS/WP.15/AC.1/2023/34 tel que modifié par le document informel INF.23. </w:t>
      </w:r>
    </w:p>
    <w:p w14:paraId="7CC18BCE" w14:textId="5DC1C9AA" w:rsidR="00207397" w:rsidRPr="00F04CF3" w:rsidRDefault="00CC42F6" w:rsidP="0002445D">
      <w:pPr>
        <w:pStyle w:val="SingleTxtG"/>
        <w:rPr>
          <w:lang w:val="fr-FR"/>
        </w:rPr>
      </w:pPr>
      <w:r>
        <w:rPr>
          <w:lang w:val="fr-FR"/>
        </w:rPr>
        <w:t>2</w:t>
      </w:r>
      <w:r w:rsidR="00FE0EC9">
        <w:rPr>
          <w:lang w:val="fr-FR"/>
        </w:rPr>
        <w:t>1</w:t>
      </w:r>
      <w:r w:rsidR="00207397" w:rsidRPr="00F04CF3">
        <w:rPr>
          <w:lang w:val="fr-FR"/>
        </w:rPr>
        <w:t>.</w:t>
      </w:r>
      <w:r w:rsidR="00207397" w:rsidRPr="00F04CF3">
        <w:rPr>
          <w:lang w:val="fr-FR"/>
        </w:rPr>
        <w:tab/>
        <w:t>La Réunion commune a adopté les amendements proposés aux paragraphes 3.1 à 3.4, tels que modifiés</w:t>
      </w:r>
      <w:r w:rsidR="00207397">
        <w:rPr>
          <w:lang w:val="fr-FR"/>
        </w:rPr>
        <w:t xml:space="preserve"> </w:t>
      </w:r>
      <w:r w:rsidR="00207397" w:rsidRPr="00F04CF3">
        <w:rPr>
          <w:lang w:val="fr-FR"/>
        </w:rPr>
        <w:t>(voir l</w:t>
      </w:r>
      <w:r w:rsidR="00207397">
        <w:rPr>
          <w:lang w:val="fr-FR"/>
        </w:rPr>
        <w:t>’</w:t>
      </w:r>
      <w:r w:rsidR="00207397" w:rsidRPr="00F04CF3">
        <w:rPr>
          <w:lang w:val="fr-FR"/>
        </w:rPr>
        <w:t>annexe</w:t>
      </w:r>
      <w:r w:rsidR="0048548F">
        <w:rPr>
          <w:lang w:val="fr-FR"/>
        </w:rPr>
        <w:t xml:space="preserve"> II</w:t>
      </w:r>
      <w:r w:rsidR="00207397" w:rsidRPr="00F04CF3">
        <w:rPr>
          <w:lang w:val="fr-FR"/>
        </w:rPr>
        <w:t>).</w:t>
      </w:r>
    </w:p>
    <w:p w14:paraId="281D4D55" w14:textId="6E626B54" w:rsidR="00207397" w:rsidRPr="00F04CF3" w:rsidRDefault="00CC42F6" w:rsidP="0002445D">
      <w:pPr>
        <w:pStyle w:val="SingleTxtG"/>
        <w:rPr>
          <w:lang w:val="fr-FR"/>
        </w:rPr>
      </w:pPr>
      <w:r>
        <w:rPr>
          <w:lang w:val="fr-FR"/>
        </w:rPr>
        <w:t>2</w:t>
      </w:r>
      <w:r w:rsidR="00FE0EC9">
        <w:rPr>
          <w:lang w:val="fr-FR"/>
        </w:rPr>
        <w:t>2</w:t>
      </w:r>
      <w:r w:rsidR="00207397" w:rsidRPr="00F04CF3">
        <w:rPr>
          <w:lang w:val="fr-FR"/>
        </w:rPr>
        <w:t>.</w:t>
      </w:r>
      <w:r w:rsidR="00207397" w:rsidRPr="00F04CF3">
        <w:rPr>
          <w:lang w:val="fr-FR"/>
        </w:rPr>
        <w:tab/>
        <w:t>En ce qui concerne le document informel INF.30, le représentant du CEN s</w:t>
      </w:r>
      <w:r w:rsidR="00207397">
        <w:rPr>
          <w:lang w:val="fr-FR"/>
        </w:rPr>
        <w:t>’</w:t>
      </w:r>
      <w:r w:rsidR="00207397" w:rsidRPr="00F04CF3">
        <w:rPr>
          <w:lang w:val="fr-FR"/>
        </w:rPr>
        <w:t xml:space="preserve">est porté volontaire pour soumettre un document officiel </w:t>
      </w:r>
      <w:r w:rsidR="00207397">
        <w:rPr>
          <w:lang w:val="fr-FR"/>
        </w:rPr>
        <w:t>contenant</w:t>
      </w:r>
      <w:r w:rsidR="00207397" w:rsidRPr="00F04CF3">
        <w:rPr>
          <w:lang w:val="fr-FR"/>
        </w:rPr>
        <w:t xml:space="preserve"> une liste actualisée des normes à citer dans le RID et l</w:t>
      </w:r>
      <w:r w:rsidR="00207397">
        <w:rPr>
          <w:lang w:val="fr-FR"/>
        </w:rPr>
        <w:t>’</w:t>
      </w:r>
      <w:r w:rsidR="00207397" w:rsidRPr="00F04CF3">
        <w:rPr>
          <w:lang w:val="fr-FR"/>
        </w:rPr>
        <w:t>ADR, pour examen et adoption à la session suivante, en mars 2024.</w:t>
      </w:r>
    </w:p>
    <w:p w14:paraId="072C7426" w14:textId="77777777" w:rsidR="00207397" w:rsidRPr="00F04CF3" w:rsidRDefault="00207397" w:rsidP="00207397">
      <w:pPr>
        <w:pStyle w:val="HChG"/>
        <w:rPr>
          <w:lang w:val="fr-FR"/>
        </w:rPr>
      </w:pPr>
      <w:r>
        <w:rPr>
          <w:lang w:val="fr-FR"/>
        </w:rPr>
        <w:lastRenderedPageBreak/>
        <w:tab/>
      </w:r>
      <w:bookmarkStart w:id="36" w:name="_Toc147830516"/>
      <w:bookmarkStart w:id="37" w:name="_Toc147845942"/>
      <w:bookmarkStart w:id="38" w:name="_Toc148357328"/>
      <w:bookmarkStart w:id="39" w:name="_Toc148358392"/>
      <w:r w:rsidRPr="00F04CF3">
        <w:rPr>
          <w:lang w:val="fr-FR"/>
        </w:rPr>
        <w:t>VI.</w:t>
      </w:r>
      <w:r w:rsidRPr="00F04CF3">
        <w:rPr>
          <w:lang w:val="fr-FR"/>
        </w:rPr>
        <w:tab/>
        <w:t xml:space="preserve">Harmonisation avec les Recommandations relatives </w:t>
      </w:r>
      <w:r>
        <w:rPr>
          <w:lang w:val="fr-FR"/>
        </w:rPr>
        <w:br/>
      </w:r>
      <w:r w:rsidRPr="00F04CF3">
        <w:rPr>
          <w:lang w:val="fr-FR"/>
        </w:rPr>
        <w:t xml:space="preserve">au transport des marchandises dangereuses </w:t>
      </w:r>
      <w:r>
        <w:rPr>
          <w:lang w:val="fr-FR"/>
        </w:rPr>
        <w:br/>
      </w:r>
      <w:r w:rsidRPr="00F04CF3">
        <w:rPr>
          <w:lang w:val="fr-FR"/>
        </w:rPr>
        <w:t>(point 4 de l</w:t>
      </w:r>
      <w:r>
        <w:rPr>
          <w:lang w:val="fr-FR"/>
        </w:rPr>
        <w:t>’</w:t>
      </w:r>
      <w:r w:rsidRPr="00F04CF3">
        <w:rPr>
          <w:lang w:val="fr-FR"/>
        </w:rPr>
        <w:t>ordre du jour)</w:t>
      </w:r>
      <w:bookmarkEnd w:id="36"/>
      <w:bookmarkEnd w:id="37"/>
      <w:bookmarkEnd w:id="38"/>
      <w:bookmarkEnd w:id="39"/>
    </w:p>
    <w:p w14:paraId="4F70871B" w14:textId="6DE8A153" w:rsidR="00207397" w:rsidRPr="00F04CF3" w:rsidRDefault="00207397" w:rsidP="00207397">
      <w:pPr>
        <w:pStyle w:val="H1G"/>
        <w:rPr>
          <w:lang w:val="fr-FR"/>
        </w:rPr>
      </w:pPr>
      <w:r>
        <w:rPr>
          <w:lang w:val="fr-FR"/>
        </w:rPr>
        <w:tab/>
      </w:r>
      <w:bookmarkStart w:id="40" w:name="_Toc147830517"/>
      <w:bookmarkStart w:id="41" w:name="_Toc147845943"/>
      <w:bookmarkStart w:id="42" w:name="_Toc148357329"/>
      <w:bookmarkStart w:id="43" w:name="_Toc148358393"/>
      <w:r w:rsidRPr="00F04CF3">
        <w:rPr>
          <w:lang w:val="fr-FR"/>
        </w:rPr>
        <w:tab/>
        <w:t>Rapport du Groupe de travail spécial de l</w:t>
      </w:r>
      <w:r>
        <w:rPr>
          <w:lang w:val="fr-FR"/>
        </w:rPr>
        <w:t>’</w:t>
      </w:r>
      <w:r w:rsidRPr="00F04CF3">
        <w:rPr>
          <w:lang w:val="fr-FR"/>
        </w:rPr>
        <w:t xml:space="preserve">harmonisation </w:t>
      </w:r>
      <w:r>
        <w:rPr>
          <w:lang w:val="fr-FR"/>
        </w:rPr>
        <w:br/>
      </w:r>
      <w:r w:rsidRPr="00F04CF3">
        <w:rPr>
          <w:lang w:val="fr-FR"/>
        </w:rPr>
        <w:t xml:space="preserve">des Règlements RID/ADR/ADN avec les Recommandations </w:t>
      </w:r>
      <w:r>
        <w:rPr>
          <w:lang w:val="fr-FR"/>
        </w:rPr>
        <w:br/>
      </w:r>
      <w:r w:rsidRPr="00F04CF3">
        <w:rPr>
          <w:lang w:val="fr-FR"/>
        </w:rPr>
        <w:t>de l</w:t>
      </w:r>
      <w:r>
        <w:rPr>
          <w:lang w:val="fr-FR"/>
        </w:rPr>
        <w:t>’</w:t>
      </w:r>
      <w:r w:rsidRPr="00F04CF3">
        <w:rPr>
          <w:lang w:val="fr-FR"/>
        </w:rPr>
        <w:t>ONU relatives au transport des marchandises dangereuses</w:t>
      </w:r>
      <w:bookmarkEnd w:id="40"/>
      <w:bookmarkEnd w:id="41"/>
      <w:bookmarkEnd w:id="42"/>
      <w:bookmarkEnd w:id="43"/>
    </w:p>
    <w:p w14:paraId="2AFC0495" w14:textId="09E2BA4D" w:rsidR="00207397" w:rsidRPr="00F04CF3" w:rsidRDefault="00207397" w:rsidP="00AF201B">
      <w:pPr>
        <w:pStyle w:val="SingleTxtG"/>
        <w:tabs>
          <w:tab w:val="left" w:pos="3402"/>
        </w:tabs>
        <w:spacing w:before="120"/>
        <w:jc w:val="left"/>
        <w:rPr>
          <w:lang w:val="fr-FR"/>
        </w:rPr>
      </w:pPr>
      <w:r w:rsidRPr="00F04CF3">
        <w:rPr>
          <w:i/>
          <w:iCs/>
          <w:lang w:val="fr-FR"/>
        </w:rPr>
        <w:t xml:space="preserve">Documents </w:t>
      </w:r>
      <w:r w:rsidRPr="00F04CF3">
        <w:rPr>
          <w:lang w:val="fr-FR"/>
        </w:rPr>
        <w:t>:</w:t>
      </w:r>
      <w:r w:rsidRPr="00F04CF3">
        <w:rPr>
          <w:lang w:val="fr-FR"/>
        </w:rPr>
        <w:tab/>
      </w:r>
      <w:r w:rsidR="00AF201B">
        <w:rPr>
          <w:lang w:val="fr-FR"/>
        </w:rPr>
        <w:tab/>
      </w:r>
      <w:r w:rsidR="00AF201B">
        <w:rPr>
          <w:lang w:val="fr-FR"/>
        </w:rPr>
        <w:tab/>
      </w:r>
      <w:r w:rsidRPr="00F04CF3">
        <w:rPr>
          <w:lang w:val="fr-FR"/>
        </w:rPr>
        <w:t>ECE/TRANS/WP.15/AC.1/2023/23 et Add.1 (secrétariat)</w:t>
      </w:r>
    </w:p>
    <w:p w14:paraId="21487F94" w14:textId="77777777" w:rsidR="00207397" w:rsidRPr="00F04CF3" w:rsidRDefault="00207397" w:rsidP="00AF201B">
      <w:pPr>
        <w:pStyle w:val="SingleTxtG"/>
        <w:spacing w:after="0"/>
        <w:ind w:left="3402" w:hanging="2268"/>
        <w:jc w:val="left"/>
        <w:rPr>
          <w:lang w:val="fr-FR"/>
        </w:rPr>
      </w:pPr>
      <w:r w:rsidRPr="00F04CF3">
        <w:rPr>
          <w:i/>
          <w:iCs/>
          <w:lang w:val="fr-FR"/>
        </w:rPr>
        <w:t xml:space="preserve">Documents informels </w:t>
      </w:r>
      <w:r w:rsidRPr="00ED3399">
        <w:rPr>
          <w:lang w:val="fr-FR"/>
        </w:rPr>
        <w:t>:</w:t>
      </w:r>
      <w:r w:rsidRPr="00F04CF3">
        <w:rPr>
          <w:lang w:val="fr-FR"/>
        </w:rPr>
        <w:tab/>
        <w:t xml:space="preserve">INF.9 (Espagne) </w:t>
      </w:r>
      <w:r>
        <w:rPr>
          <w:lang w:val="fr-FR"/>
        </w:rPr>
        <w:br/>
      </w:r>
      <w:r w:rsidRPr="00F04CF3">
        <w:rPr>
          <w:lang w:val="fr-FR"/>
        </w:rPr>
        <w:t>INF.16 (secrétariats)</w:t>
      </w:r>
    </w:p>
    <w:p w14:paraId="75531420" w14:textId="3DF1D148" w:rsidR="00207397" w:rsidRPr="00F04CF3" w:rsidRDefault="00CC42F6" w:rsidP="00802A03">
      <w:pPr>
        <w:pStyle w:val="SingleTxtG"/>
        <w:rPr>
          <w:lang w:val="fr-FR"/>
        </w:rPr>
      </w:pPr>
      <w:r>
        <w:rPr>
          <w:lang w:val="fr-FR"/>
        </w:rPr>
        <w:t>2</w:t>
      </w:r>
      <w:r w:rsidR="00FE0EC9">
        <w:rPr>
          <w:lang w:val="fr-FR"/>
        </w:rPr>
        <w:t>3</w:t>
      </w:r>
      <w:r w:rsidR="00207397" w:rsidRPr="00F04CF3">
        <w:rPr>
          <w:lang w:val="fr-FR"/>
        </w:rPr>
        <w:t>.</w:t>
      </w:r>
      <w:r w:rsidR="00207397" w:rsidRPr="00F04CF3">
        <w:rPr>
          <w:lang w:val="fr-FR"/>
        </w:rPr>
        <w:tab/>
        <w:t>La Réunion commune a pris note du rapport soumis par le Groupe de travail spécial (ECE/TRANS/WP.15/AC.1/2023/23 et Add.1), et a examiné un par un les amendements proposés en vue d</w:t>
      </w:r>
      <w:r w:rsidR="00207397">
        <w:rPr>
          <w:lang w:val="fr-FR"/>
        </w:rPr>
        <w:t>’</w:t>
      </w:r>
      <w:r w:rsidR="00207397" w:rsidRPr="00F04CF3">
        <w:rPr>
          <w:lang w:val="fr-FR"/>
        </w:rPr>
        <w:t>une harmonisation avec les dispositions du Règlement type annexé à la vingt-troisième édition révisée des Recommandations relatives au transport des marchandises dangereuses. Compte tenu des décisions prises par le Sous-Comité d</w:t>
      </w:r>
      <w:r w:rsidR="00207397">
        <w:rPr>
          <w:lang w:val="fr-FR"/>
        </w:rPr>
        <w:t>’</w:t>
      </w:r>
      <w:r w:rsidR="00207397" w:rsidRPr="00F04CF3">
        <w:rPr>
          <w:lang w:val="fr-FR"/>
        </w:rPr>
        <w:t>experts du transport des marchandises dangereuses (Sous-Comité TMD) et présentées dans le document informel INF.16, la Réunion commune a adopté les amendements proposés dans le document ECE/TRANS/WP.15/AC.1/2023/23/Add.1, sous réserve de quelques modifications (voir l</w:t>
      </w:r>
      <w:r w:rsidR="00207397">
        <w:rPr>
          <w:lang w:val="fr-FR"/>
        </w:rPr>
        <w:t>’</w:t>
      </w:r>
      <w:r w:rsidR="00207397" w:rsidRPr="00F04CF3">
        <w:rPr>
          <w:lang w:val="fr-FR"/>
        </w:rPr>
        <w:t>annexe</w:t>
      </w:r>
      <w:r w:rsidR="00573928">
        <w:rPr>
          <w:lang w:val="fr-FR"/>
        </w:rPr>
        <w:t> II</w:t>
      </w:r>
      <w:r w:rsidR="00207397" w:rsidRPr="00F04CF3">
        <w:rPr>
          <w:lang w:val="fr-FR"/>
        </w:rPr>
        <w:t>) et des commentaires qui suivent :</w:t>
      </w:r>
    </w:p>
    <w:p w14:paraId="0F37F4C8" w14:textId="77777777" w:rsidR="00207397" w:rsidRPr="00F04CF3" w:rsidRDefault="00207397" w:rsidP="006C79E8">
      <w:pPr>
        <w:pStyle w:val="SingleTxtG"/>
        <w:spacing w:line="238" w:lineRule="atLeast"/>
        <w:ind w:firstLine="567"/>
        <w:rPr>
          <w:lang w:val="fr-FR"/>
        </w:rPr>
      </w:pPr>
      <w:r w:rsidRPr="00F04CF3">
        <w:rPr>
          <w:lang w:val="fr-FR"/>
        </w:rPr>
        <w:t>a)</w:t>
      </w:r>
      <w:r w:rsidRPr="00F04CF3">
        <w:rPr>
          <w:lang w:val="fr-FR"/>
        </w:rPr>
        <w:tab/>
        <w:t>En ce qui concerne la proposition d</w:t>
      </w:r>
      <w:r>
        <w:rPr>
          <w:lang w:val="fr-FR"/>
        </w:rPr>
        <w:t>’</w:t>
      </w:r>
      <w:r w:rsidRPr="00F04CF3">
        <w:rPr>
          <w:lang w:val="fr-FR"/>
        </w:rPr>
        <w:t>amendement au 2.1.5.2, la Réunion commune a préféré conserver le texte en l</w:t>
      </w:r>
      <w:r>
        <w:rPr>
          <w:lang w:val="fr-FR"/>
        </w:rPr>
        <w:t>’</w:t>
      </w:r>
      <w:r w:rsidRPr="00F04CF3">
        <w:rPr>
          <w:lang w:val="fr-FR"/>
        </w:rPr>
        <w:t>état et ne pas adopter les amendements entre crochets, en attendant les résultats des débats que tiendrait le Sous-Comité TMD à sa session suivante</w:t>
      </w:r>
      <w:r>
        <w:rPr>
          <w:lang w:val="fr-FR"/>
        </w:rPr>
        <w:t> ;</w:t>
      </w:r>
    </w:p>
    <w:p w14:paraId="70B65885" w14:textId="0C53AD43" w:rsidR="00207397" w:rsidRPr="00F04CF3" w:rsidRDefault="00207397" w:rsidP="00AF201B">
      <w:pPr>
        <w:pStyle w:val="SingleTxtG"/>
        <w:spacing w:line="238" w:lineRule="atLeast"/>
        <w:ind w:firstLine="567"/>
        <w:rPr>
          <w:lang w:val="fr-FR"/>
        </w:rPr>
      </w:pPr>
      <w:r w:rsidRPr="00F04CF3">
        <w:rPr>
          <w:lang w:val="fr-FR"/>
        </w:rPr>
        <w:t>b)</w:t>
      </w:r>
      <w:r w:rsidRPr="00F04CF3">
        <w:rPr>
          <w:lang w:val="fr-FR"/>
        </w:rPr>
        <w:tab/>
        <w:t xml:space="preserve">En ce qui concerne les amendements proposés </w:t>
      </w:r>
      <w:r w:rsidR="005B0BD2">
        <w:rPr>
          <w:lang w:val="fr-FR"/>
        </w:rPr>
        <w:t>à la section</w:t>
      </w:r>
      <w:r w:rsidRPr="00F04CF3">
        <w:rPr>
          <w:lang w:val="fr-FR"/>
        </w:rPr>
        <w:t xml:space="preserve"> 2.2.9, la Réunion commune est convenue d</w:t>
      </w:r>
      <w:r>
        <w:rPr>
          <w:lang w:val="fr-FR"/>
        </w:rPr>
        <w:t>’</w:t>
      </w:r>
      <w:r w:rsidRPr="00F04CF3">
        <w:rPr>
          <w:lang w:val="fr-FR"/>
        </w:rPr>
        <w:t>apporter une modification supplémentaire au 2.2.9.2 afin d</w:t>
      </w:r>
      <w:r>
        <w:rPr>
          <w:lang w:val="fr-FR"/>
        </w:rPr>
        <w:t>’</w:t>
      </w:r>
      <w:r w:rsidRPr="00F04CF3">
        <w:rPr>
          <w:lang w:val="fr-FR"/>
        </w:rPr>
        <w:t>inclure les batteries au sodium ionique (voir l</w:t>
      </w:r>
      <w:r>
        <w:rPr>
          <w:lang w:val="fr-FR"/>
        </w:rPr>
        <w:t>’</w:t>
      </w:r>
      <w:r w:rsidRPr="00F04CF3">
        <w:rPr>
          <w:lang w:val="fr-FR"/>
        </w:rPr>
        <w:t>annexe</w:t>
      </w:r>
      <w:r w:rsidR="0048548F">
        <w:rPr>
          <w:lang w:val="fr-FR"/>
        </w:rPr>
        <w:t xml:space="preserve"> II</w:t>
      </w:r>
      <w:r w:rsidRPr="00F04CF3">
        <w:rPr>
          <w:lang w:val="fr-FR"/>
        </w:rPr>
        <w:t>)</w:t>
      </w:r>
      <w:r>
        <w:rPr>
          <w:lang w:val="fr-FR"/>
        </w:rPr>
        <w:t> ;</w:t>
      </w:r>
    </w:p>
    <w:p w14:paraId="1E6EEB8B" w14:textId="012AA5CE" w:rsidR="00207397" w:rsidRPr="00F04CF3" w:rsidRDefault="00207397" w:rsidP="00AF201B">
      <w:pPr>
        <w:pStyle w:val="SingleTxtG"/>
        <w:spacing w:line="238" w:lineRule="atLeast"/>
        <w:ind w:firstLine="567"/>
        <w:rPr>
          <w:lang w:val="fr-FR"/>
        </w:rPr>
      </w:pPr>
      <w:r w:rsidRPr="00F04CF3">
        <w:rPr>
          <w:lang w:val="fr-FR"/>
        </w:rPr>
        <w:t>c)</w:t>
      </w:r>
      <w:r w:rsidRPr="00F04CF3">
        <w:rPr>
          <w:lang w:val="fr-FR"/>
        </w:rPr>
        <w:tab/>
        <w:t>En ce qui concerne le tableau A du chapitre 3.2, la Réunion commune a préféré, par prudence, se prononcer en faveur de l</w:t>
      </w:r>
      <w:r>
        <w:rPr>
          <w:lang w:val="fr-FR"/>
        </w:rPr>
        <w:t>’</w:t>
      </w:r>
      <w:r w:rsidRPr="00F04CF3">
        <w:rPr>
          <w:lang w:val="fr-FR"/>
        </w:rPr>
        <w:t>option consistant à ajouter la disposition spéciale MP23 dans la colonne (9b) pour le No ONU 0514 (voir l</w:t>
      </w:r>
      <w:r>
        <w:rPr>
          <w:lang w:val="fr-FR"/>
        </w:rPr>
        <w:t>’</w:t>
      </w:r>
      <w:r w:rsidRPr="00F04CF3">
        <w:rPr>
          <w:lang w:val="fr-FR"/>
        </w:rPr>
        <w:t>annexe</w:t>
      </w:r>
      <w:r w:rsidR="0048548F">
        <w:rPr>
          <w:lang w:val="fr-FR"/>
        </w:rPr>
        <w:t xml:space="preserve"> II</w:t>
      </w:r>
      <w:r w:rsidRPr="00F04CF3">
        <w:rPr>
          <w:lang w:val="fr-FR"/>
        </w:rPr>
        <w:t>). Elle a également décidé d</w:t>
      </w:r>
      <w:r>
        <w:rPr>
          <w:lang w:val="fr-FR"/>
        </w:rPr>
        <w:t>’</w:t>
      </w:r>
      <w:r w:rsidRPr="00F04CF3">
        <w:rPr>
          <w:lang w:val="fr-FR"/>
        </w:rPr>
        <w:t>ajouter la disposition spéciale 677 dans la colonne (6) du tableau A pour les Nos ONU 3551 et 3552, afin de tenir compte d</w:t>
      </w:r>
      <w:r>
        <w:rPr>
          <w:lang w:val="fr-FR"/>
        </w:rPr>
        <w:t>’</w:t>
      </w:r>
      <w:r w:rsidRPr="00F04CF3">
        <w:rPr>
          <w:lang w:val="fr-FR"/>
        </w:rPr>
        <w:t>une décision prise à la session d</w:t>
      </w:r>
      <w:r>
        <w:rPr>
          <w:lang w:val="fr-FR"/>
        </w:rPr>
        <w:t>’</w:t>
      </w:r>
      <w:r w:rsidRPr="00F04CF3">
        <w:rPr>
          <w:lang w:val="fr-FR"/>
        </w:rPr>
        <w:t>automne 2022</w:t>
      </w:r>
      <w:r>
        <w:rPr>
          <w:lang w:val="fr-FR"/>
        </w:rPr>
        <w:t> ;</w:t>
      </w:r>
    </w:p>
    <w:p w14:paraId="204EE57A" w14:textId="77777777" w:rsidR="00207397" w:rsidRDefault="00207397" w:rsidP="00AF201B">
      <w:pPr>
        <w:pStyle w:val="SingleTxtG"/>
        <w:spacing w:line="238" w:lineRule="atLeast"/>
        <w:ind w:firstLine="567"/>
        <w:rPr>
          <w:lang w:val="fr-FR"/>
        </w:rPr>
      </w:pPr>
      <w:r w:rsidRPr="00F04CF3">
        <w:rPr>
          <w:lang w:val="fr-FR"/>
        </w:rPr>
        <w:t>d)</w:t>
      </w:r>
      <w:r w:rsidRPr="00F04CF3">
        <w:rPr>
          <w:lang w:val="fr-FR"/>
        </w:rPr>
        <w:tab/>
        <w:t xml:space="preserve">En ce qui concerne la disposition spéciale 376, la Réunion commune a adopté un amendement supplémentaire visant à inclure les </w:t>
      </w:r>
      <w:r>
        <w:rPr>
          <w:lang w:val="fr-FR"/>
        </w:rPr>
        <w:t>« </w:t>
      </w:r>
      <w:r w:rsidRPr="00F04CF3">
        <w:rPr>
          <w:lang w:val="fr-FR"/>
        </w:rPr>
        <w:t>BATTERIES AU SODIUM IONIQUE ENDOMMAGÉES/DÉFECTUEUSES</w:t>
      </w:r>
      <w:r>
        <w:rPr>
          <w:lang w:val="fr-FR"/>
        </w:rPr>
        <w:t> »</w:t>
      </w:r>
      <w:r w:rsidRPr="00F04CF3">
        <w:rPr>
          <w:lang w:val="fr-FR"/>
        </w:rPr>
        <w:t>. Elle a également adopté un certain nombre d</w:t>
      </w:r>
      <w:r>
        <w:rPr>
          <w:lang w:val="fr-FR"/>
        </w:rPr>
        <w:t>’</w:t>
      </w:r>
      <w:r w:rsidRPr="00F04CF3">
        <w:rPr>
          <w:lang w:val="fr-FR"/>
        </w:rPr>
        <w:t>amendements d</w:t>
      </w:r>
      <w:r>
        <w:rPr>
          <w:lang w:val="fr-FR"/>
        </w:rPr>
        <w:t>’</w:t>
      </w:r>
      <w:r w:rsidRPr="00F04CF3">
        <w:rPr>
          <w:lang w:val="fr-FR"/>
        </w:rPr>
        <w:t>ordre rédactionnel aux dispositions spéciales 400 et 406 qui seront portés à l</w:t>
      </w:r>
      <w:r>
        <w:rPr>
          <w:lang w:val="fr-FR"/>
        </w:rPr>
        <w:t>’</w:t>
      </w:r>
      <w:r w:rsidRPr="00F04CF3">
        <w:rPr>
          <w:lang w:val="fr-FR"/>
        </w:rPr>
        <w:t>attention du Sous-Comité TMD</w:t>
      </w:r>
      <w:r>
        <w:rPr>
          <w:lang w:val="fr-FR"/>
        </w:rPr>
        <w:t> ;</w:t>
      </w:r>
    </w:p>
    <w:p w14:paraId="0DC632B8" w14:textId="77777777" w:rsidR="00207397" w:rsidRDefault="00207397" w:rsidP="00AF201B">
      <w:pPr>
        <w:pStyle w:val="SingleTxtG"/>
        <w:spacing w:line="238" w:lineRule="atLeast"/>
        <w:ind w:firstLine="567"/>
        <w:rPr>
          <w:lang w:val="fr-FR"/>
        </w:rPr>
      </w:pPr>
      <w:r w:rsidRPr="00F04CF3">
        <w:rPr>
          <w:lang w:val="fr-FR"/>
        </w:rPr>
        <w:t>e)</w:t>
      </w:r>
      <w:r w:rsidRPr="00F04CF3">
        <w:rPr>
          <w:lang w:val="fr-FR"/>
        </w:rPr>
        <w:tab/>
        <w:t>Après un échange de vues sur le document informel INF.9, dans lequel il était proposé d</w:t>
      </w:r>
      <w:r>
        <w:rPr>
          <w:lang w:val="fr-FR"/>
        </w:rPr>
        <w:t>’</w:t>
      </w:r>
      <w:r w:rsidRPr="00F04CF3">
        <w:rPr>
          <w:lang w:val="fr-FR"/>
        </w:rPr>
        <w:t>ajouter, au 5.2.1.9.1, une référence à la disposition spéciale 400, la Réunion commune est convenue d</w:t>
      </w:r>
      <w:r>
        <w:rPr>
          <w:lang w:val="fr-FR"/>
        </w:rPr>
        <w:t>’</w:t>
      </w:r>
      <w:r w:rsidRPr="00F04CF3">
        <w:rPr>
          <w:lang w:val="fr-FR"/>
        </w:rPr>
        <w:t>adopter cette proposition et de la porter à l</w:t>
      </w:r>
      <w:r>
        <w:rPr>
          <w:lang w:val="fr-FR"/>
        </w:rPr>
        <w:t>’</w:t>
      </w:r>
      <w:r w:rsidRPr="00F04CF3">
        <w:rPr>
          <w:lang w:val="fr-FR"/>
        </w:rPr>
        <w:t>attention du Sous-Comité TMD.</w:t>
      </w:r>
    </w:p>
    <w:p w14:paraId="4C57550F" w14:textId="77777777" w:rsidR="009224CB" w:rsidRPr="009A651D" w:rsidRDefault="009224CB" w:rsidP="009224CB">
      <w:pPr>
        <w:pStyle w:val="HChG"/>
        <w:rPr>
          <w:lang w:val="fr-FR"/>
        </w:rPr>
      </w:pPr>
      <w:r>
        <w:rPr>
          <w:lang w:val="fr-FR"/>
        </w:rPr>
        <w:tab/>
      </w:r>
      <w:bookmarkStart w:id="44" w:name="_Toc147830518"/>
      <w:bookmarkStart w:id="45" w:name="_Toc147845944"/>
      <w:bookmarkStart w:id="46" w:name="_Toc148357330"/>
      <w:bookmarkStart w:id="47" w:name="_Toc148358394"/>
      <w:r w:rsidRPr="009A651D">
        <w:rPr>
          <w:lang w:val="fr-FR"/>
        </w:rPr>
        <w:t>VII.</w:t>
      </w:r>
      <w:r w:rsidRPr="009A651D">
        <w:rPr>
          <w:lang w:val="fr-FR"/>
        </w:rPr>
        <w:tab/>
        <w:t>Propositions d</w:t>
      </w:r>
      <w:r>
        <w:rPr>
          <w:lang w:val="fr-FR"/>
        </w:rPr>
        <w:t>’</w:t>
      </w:r>
      <w:r w:rsidRPr="009A651D">
        <w:rPr>
          <w:lang w:val="fr-FR"/>
        </w:rPr>
        <w:t>amendements au RID, à l</w:t>
      </w:r>
      <w:r>
        <w:rPr>
          <w:lang w:val="fr-FR"/>
        </w:rPr>
        <w:t>’</w:t>
      </w:r>
      <w:r w:rsidRPr="009A651D">
        <w:rPr>
          <w:lang w:val="fr-FR"/>
        </w:rPr>
        <w:t>ADR et à l</w:t>
      </w:r>
      <w:r>
        <w:rPr>
          <w:lang w:val="fr-FR"/>
        </w:rPr>
        <w:t>’</w:t>
      </w:r>
      <w:r w:rsidRPr="009A651D">
        <w:rPr>
          <w:lang w:val="fr-FR"/>
        </w:rPr>
        <w:t>ADN (point 5 de l</w:t>
      </w:r>
      <w:r>
        <w:rPr>
          <w:lang w:val="fr-FR"/>
        </w:rPr>
        <w:t>’</w:t>
      </w:r>
      <w:r w:rsidRPr="009A651D">
        <w:rPr>
          <w:lang w:val="fr-FR"/>
        </w:rPr>
        <w:t>ordre du jour)</w:t>
      </w:r>
      <w:bookmarkEnd w:id="44"/>
      <w:bookmarkEnd w:id="45"/>
      <w:bookmarkEnd w:id="46"/>
      <w:bookmarkEnd w:id="47"/>
    </w:p>
    <w:p w14:paraId="4D67047A" w14:textId="77777777" w:rsidR="009224CB" w:rsidRPr="009A651D" w:rsidRDefault="009224CB" w:rsidP="009224CB">
      <w:pPr>
        <w:pStyle w:val="H1G"/>
        <w:rPr>
          <w:lang w:val="fr-FR"/>
        </w:rPr>
      </w:pPr>
      <w:r>
        <w:rPr>
          <w:lang w:val="fr-FR"/>
        </w:rPr>
        <w:tab/>
      </w:r>
      <w:bookmarkStart w:id="48" w:name="_Toc147830519"/>
      <w:bookmarkStart w:id="49" w:name="_Toc147845945"/>
      <w:bookmarkStart w:id="50" w:name="_Toc148357331"/>
      <w:bookmarkStart w:id="51" w:name="_Toc148358395"/>
      <w:r w:rsidRPr="009A651D">
        <w:rPr>
          <w:lang w:val="fr-FR"/>
        </w:rPr>
        <w:t>A.</w:t>
      </w:r>
      <w:r w:rsidRPr="009A651D">
        <w:rPr>
          <w:lang w:val="fr-FR"/>
        </w:rPr>
        <w:tab/>
        <w:t>Questions en suspens</w:t>
      </w:r>
      <w:bookmarkEnd w:id="48"/>
      <w:bookmarkEnd w:id="49"/>
      <w:bookmarkEnd w:id="50"/>
      <w:bookmarkEnd w:id="51"/>
    </w:p>
    <w:p w14:paraId="0423A8F8" w14:textId="77777777" w:rsidR="009224CB" w:rsidRPr="009A651D" w:rsidRDefault="009224CB" w:rsidP="009224CB">
      <w:pPr>
        <w:pStyle w:val="H23G"/>
        <w:rPr>
          <w:lang w:val="fr-FR"/>
        </w:rPr>
      </w:pPr>
      <w:r>
        <w:rPr>
          <w:lang w:val="fr-FR"/>
        </w:rPr>
        <w:tab/>
      </w:r>
      <w:bookmarkStart w:id="52" w:name="_Toc147845946"/>
      <w:bookmarkStart w:id="53" w:name="_Toc148357332"/>
      <w:bookmarkStart w:id="54" w:name="_Toc148358396"/>
      <w:r w:rsidRPr="009A651D">
        <w:rPr>
          <w:lang w:val="fr-FR"/>
        </w:rPr>
        <w:t>1.</w:t>
      </w:r>
      <w:r w:rsidRPr="009A651D">
        <w:rPr>
          <w:lang w:val="fr-FR"/>
        </w:rPr>
        <w:tab/>
        <w:t xml:space="preserve">Clarification des règles applicables au placardage des bennes amovibles utilisées </w:t>
      </w:r>
      <w:r>
        <w:rPr>
          <w:lang w:val="fr-FR"/>
        </w:rPr>
        <w:br/>
      </w:r>
      <w:r w:rsidRPr="009A651D">
        <w:rPr>
          <w:lang w:val="fr-FR"/>
        </w:rPr>
        <w:t>pour le transport de marchandises dangereuses en vrac</w:t>
      </w:r>
      <w:bookmarkEnd w:id="52"/>
      <w:bookmarkEnd w:id="53"/>
      <w:bookmarkEnd w:id="54"/>
    </w:p>
    <w:p w14:paraId="6715F41B" w14:textId="5F7B1F0C" w:rsidR="009224CB" w:rsidRPr="009A651D" w:rsidRDefault="009224CB" w:rsidP="009224CB">
      <w:pPr>
        <w:pStyle w:val="SingleTxtG"/>
        <w:ind w:left="3289" w:hanging="2155"/>
        <w:rPr>
          <w:lang w:val="fr-FR"/>
        </w:rPr>
      </w:pPr>
      <w:r w:rsidRPr="009A651D">
        <w:rPr>
          <w:i/>
          <w:iCs/>
          <w:lang w:val="fr-FR"/>
        </w:rPr>
        <w:t>Document </w:t>
      </w:r>
      <w:r w:rsidRPr="009A651D">
        <w:rPr>
          <w:lang w:val="fr-FR"/>
        </w:rPr>
        <w:t>:</w:t>
      </w:r>
      <w:r w:rsidRPr="009A651D">
        <w:rPr>
          <w:lang w:val="fr-FR"/>
        </w:rPr>
        <w:tab/>
      </w:r>
      <w:r w:rsidR="00755958">
        <w:rPr>
          <w:lang w:val="fr-FR"/>
        </w:rPr>
        <w:tab/>
      </w:r>
      <w:r w:rsidR="00755958">
        <w:rPr>
          <w:lang w:val="fr-FR"/>
        </w:rPr>
        <w:tab/>
      </w:r>
      <w:r w:rsidRPr="009A651D">
        <w:rPr>
          <w:lang w:val="fr-FR"/>
        </w:rPr>
        <w:t>ECE/TRANS/WP.15/AC.1/2023/44 (France)</w:t>
      </w:r>
    </w:p>
    <w:p w14:paraId="50428A9F" w14:textId="6DE0ADDE" w:rsidR="009224CB" w:rsidRPr="009A651D" w:rsidRDefault="009224CB" w:rsidP="009224CB">
      <w:pPr>
        <w:pStyle w:val="SingleTxtG"/>
        <w:ind w:left="3289" w:hanging="2155"/>
        <w:rPr>
          <w:lang w:val="fr-FR"/>
        </w:rPr>
      </w:pPr>
      <w:r w:rsidRPr="009A651D">
        <w:rPr>
          <w:i/>
          <w:iCs/>
          <w:lang w:val="fr-FR"/>
        </w:rPr>
        <w:t xml:space="preserve">Document informel </w:t>
      </w:r>
      <w:r w:rsidRPr="009A651D">
        <w:rPr>
          <w:lang w:val="fr-FR"/>
        </w:rPr>
        <w:t>:</w:t>
      </w:r>
      <w:r w:rsidRPr="009A651D">
        <w:rPr>
          <w:lang w:val="fr-FR"/>
        </w:rPr>
        <w:tab/>
      </w:r>
      <w:r w:rsidR="00755958">
        <w:rPr>
          <w:lang w:val="fr-FR"/>
        </w:rPr>
        <w:tab/>
      </w:r>
      <w:r w:rsidRPr="009A651D">
        <w:rPr>
          <w:lang w:val="fr-FR"/>
        </w:rPr>
        <w:t>INF.36 (France)</w:t>
      </w:r>
    </w:p>
    <w:p w14:paraId="23CCD54C" w14:textId="75483A40" w:rsidR="009224CB" w:rsidRPr="009A651D" w:rsidRDefault="00CC42F6" w:rsidP="009224CB">
      <w:pPr>
        <w:pStyle w:val="SingleTxtG"/>
        <w:rPr>
          <w:lang w:val="fr-FR"/>
        </w:rPr>
      </w:pPr>
      <w:r>
        <w:rPr>
          <w:lang w:val="fr-FR"/>
        </w:rPr>
        <w:lastRenderedPageBreak/>
        <w:t>2</w:t>
      </w:r>
      <w:r w:rsidR="00FE0EC9">
        <w:rPr>
          <w:lang w:val="fr-FR"/>
        </w:rPr>
        <w:t>4</w:t>
      </w:r>
      <w:r w:rsidR="009224CB" w:rsidRPr="009A651D">
        <w:rPr>
          <w:lang w:val="fr-FR"/>
        </w:rPr>
        <w:t>.</w:t>
      </w:r>
      <w:r w:rsidR="009224CB" w:rsidRPr="009A651D">
        <w:rPr>
          <w:lang w:val="fr-FR"/>
        </w:rPr>
        <w:tab/>
        <w:t>La plupart des délégations qui ont pris la parole ont appuyé l</w:t>
      </w:r>
      <w:r w:rsidR="009224CB">
        <w:rPr>
          <w:lang w:val="fr-FR"/>
        </w:rPr>
        <w:t>’</w:t>
      </w:r>
      <w:r w:rsidR="009224CB" w:rsidRPr="009A651D">
        <w:rPr>
          <w:lang w:val="fr-FR"/>
        </w:rPr>
        <w:t>amendement au chapitre</w:t>
      </w:r>
      <w:r w:rsidR="009224CB">
        <w:rPr>
          <w:lang w:val="fr-FR"/>
        </w:rPr>
        <w:t> </w:t>
      </w:r>
      <w:r w:rsidR="009224CB" w:rsidRPr="009A651D">
        <w:rPr>
          <w:lang w:val="fr-FR"/>
        </w:rPr>
        <w:t>5.3 formulé dans la proposition 2 du document ECE/TRANS/WP.15/AC.1/2023/44. D</w:t>
      </w:r>
      <w:r w:rsidR="009224CB">
        <w:rPr>
          <w:lang w:val="fr-FR"/>
        </w:rPr>
        <w:t>’</w:t>
      </w:r>
      <w:r w:rsidR="009224CB" w:rsidRPr="009A651D">
        <w:rPr>
          <w:lang w:val="fr-FR"/>
        </w:rPr>
        <w:t>autres délégations préféraient clarifier davantage le texte. Après un échange de vues, la Réunion commune a adopté l</w:t>
      </w:r>
      <w:r w:rsidR="009224CB">
        <w:rPr>
          <w:lang w:val="fr-FR"/>
        </w:rPr>
        <w:t>’</w:t>
      </w:r>
      <w:r w:rsidR="009224CB" w:rsidRPr="009A651D">
        <w:rPr>
          <w:lang w:val="fr-FR"/>
        </w:rPr>
        <w:t>amendement proposé dans le document informel INF.36 (voir annexe</w:t>
      </w:r>
      <w:r w:rsidR="009224CB">
        <w:rPr>
          <w:lang w:val="fr-FR"/>
        </w:rPr>
        <w:t> </w:t>
      </w:r>
      <w:r w:rsidR="0048548F">
        <w:rPr>
          <w:lang w:val="fr-FR"/>
        </w:rPr>
        <w:t>II</w:t>
      </w:r>
      <w:r w:rsidR="009224CB" w:rsidRPr="009A651D">
        <w:rPr>
          <w:lang w:val="fr-FR"/>
        </w:rPr>
        <w:t>).</w:t>
      </w:r>
    </w:p>
    <w:p w14:paraId="041F8ECB" w14:textId="77777777" w:rsidR="009224CB" w:rsidRPr="009A651D" w:rsidRDefault="009224CB" w:rsidP="009224CB">
      <w:pPr>
        <w:pStyle w:val="H23G"/>
        <w:rPr>
          <w:lang w:val="fr-FR"/>
        </w:rPr>
      </w:pPr>
      <w:r>
        <w:rPr>
          <w:lang w:val="fr-FR"/>
        </w:rPr>
        <w:tab/>
      </w:r>
      <w:bookmarkStart w:id="55" w:name="_Toc147845947"/>
      <w:bookmarkStart w:id="56" w:name="_Toc148357333"/>
      <w:bookmarkStart w:id="57" w:name="_Toc148358397"/>
      <w:r w:rsidRPr="009A651D">
        <w:rPr>
          <w:lang w:val="fr-FR"/>
        </w:rPr>
        <w:t>2.</w:t>
      </w:r>
      <w:r w:rsidRPr="009A651D">
        <w:rPr>
          <w:lang w:val="fr-FR"/>
        </w:rPr>
        <w:tab/>
        <w:t xml:space="preserve">Informations relatives à la quantité transportée figurant dans le document </w:t>
      </w:r>
      <w:r>
        <w:rPr>
          <w:lang w:val="fr-FR"/>
        </w:rPr>
        <w:br/>
      </w:r>
      <w:r w:rsidRPr="009A651D">
        <w:rPr>
          <w:lang w:val="fr-FR"/>
        </w:rPr>
        <w:t>de transport conformément au 5.4.1.1.3.2</w:t>
      </w:r>
      <w:bookmarkEnd w:id="55"/>
      <w:bookmarkEnd w:id="56"/>
      <w:bookmarkEnd w:id="57"/>
    </w:p>
    <w:p w14:paraId="49B5AE7A" w14:textId="1E986D29" w:rsidR="009224CB" w:rsidRPr="009A651D" w:rsidRDefault="009224CB" w:rsidP="009224CB">
      <w:pPr>
        <w:pStyle w:val="SingleTxtG"/>
        <w:ind w:left="3289" w:hanging="2155"/>
        <w:rPr>
          <w:lang w:val="fr-FR"/>
        </w:rPr>
      </w:pPr>
      <w:r w:rsidRPr="009A651D">
        <w:rPr>
          <w:i/>
          <w:iCs/>
          <w:lang w:val="fr-FR"/>
        </w:rPr>
        <w:t>Document </w:t>
      </w:r>
      <w:r w:rsidRPr="009A651D">
        <w:rPr>
          <w:lang w:val="fr-FR"/>
        </w:rPr>
        <w:t>:</w:t>
      </w:r>
      <w:r w:rsidRPr="009A651D">
        <w:rPr>
          <w:lang w:val="fr-FR"/>
        </w:rPr>
        <w:tab/>
      </w:r>
      <w:r w:rsidR="00755958">
        <w:rPr>
          <w:lang w:val="fr-FR"/>
        </w:rPr>
        <w:tab/>
      </w:r>
      <w:r w:rsidR="00755958">
        <w:rPr>
          <w:lang w:val="fr-FR"/>
        </w:rPr>
        <w:tab/>
      </w:r>
      <w:r w:rsidRPr="009A651D">
        <w:rPr>
          <w:lang w:val="fr-FR"/>
        </w:rPr>
        <w:t>ECE/TRANS/WP.15/AC.1/2023/48 (Irlande)</w:t>
      </w:r>
    </w:p>
    <w:p w14:paraId="59F36904" w14:textId="7B0B1B78" w:rsidR="009224CB" w:rsidRPr="009A651D" w:rsidRDefault="00A226C0" w:rsidP="009224CB">
      <w:pPr>
        <w:pStyle w:val="SingleTxtG"/>
        <w:rPr>
          <w:lang w:val="fr-FR"/>
        </w:rPr>
      </w:pPr>
      <w:r>
        <w:rPr>
          <w:lang w:val="fr-FR"/>
        </w:rPr>
        <w:t>2</w:t>
      </w:r>
      <w:r w:rsidR="00FE0EC9">
        <w:rPr>
          <w:lang w:val="fr-FR"/>
        </w:rPr>
        <w:t>5</w:t>
      </w:r>
      <w:r w:rsidR="009224CB" w:rsidRPr="009A651D">
        <w:rPr>
          <w:lang w:val="fr-FR"/>
        </w:rPr>
        <w:t>.</w:t>
      </w:r>
      <w:r w:rsidR="009224CB" w:rsidRPr="009A651D">
        <w:rPr>
          <w:lang w:val="fr-FR"/>
        </w:rPr>
        <w:tab/>
        <w:t>La Réunion commune a adopté les amendements au 5.4.1.1.3.2 du RID et de l</w:t>
      </w:r>
      <w:r w:rsidR="009224CB">
        <w:rPr>
          <w:lang w:val="fr-FR"/>
        </w:rPr>
        <w:t>’</w:t>
      </w:r>
      <w:r w:rsidR="009224CB" w:rsidRPr="009A651D">
        <w:rPr>
          <w:lang w:val="fr-FR"/>
        </w:rPr>
        <w:t xml:space="preserve">ADR proposés dans le document ECE/TRANS/WP.15/AC.1/2023/48 (voir annexe </w:t>
      </w:r>
      <w:r w:rsidR="0048548F">
        <w:rPr>
          <w:lang w:val="fr-FR"/>
        </w:rPr>
        <w:t>II</w:t>
      </w:r>
      <w:r w:rsidR="009224CB" w:rsidRPr="009A651D">
        <w:rPr>
          <w:lang w:val="fr-FR"/>
        </w:rPr>
        <w:t>).</w:t>
      </w:r>
    </w:p>
    <w:p w14:paraId="6A10B177" w14:textId="77777777" w:rsidR="009224CB" w:rsidRPr="009A651D" w:rsidRDefault="009224CB" w:rsidP="009224CB">
      <w:pPr>
        <w:pStyle w:val="H23G"/>
        <w:rPr>
          <w:lang w:val="fr-FR"/>
        </w:rPr>
      </w:pPr>
      <w:r>
        <w:rPr>
          <w:lang w:val="fr-FR"/>
        </w:rPr>
        <w:tab/>
      </w:r>
      <w:bookmarkStart w:id="58" w:name="_Toc147845948"/>
      <w:bookmarkStart w:id="59" w:name="_Toc148357334"/>
      <w:bookmarkStart w:id="60" w:name="_Toc148358398"/>
      <w:r w:rsidRPr="009A651D">
        <w:rPr>
          <w:lang w:val="fr-FR"/>
        </w:rPr>
        <w:t>3.</w:t>
      </w:r>
      <w:r w:rsidRPr="009A651D">
        <w:rPr>
          <w:lang w:val="fr-FR"/>
        </w:rPr>
        <w:tab/>
        <w:t>Transport en vrac d</w:t>
      </w:r>
      <w:r>
        <w:rPr>
          <w:lang w:val="fr-FR"/>
        </w:rPr>
        <w:t>’</w:t>
      </w:r>
      <w:r w:rsidRPr="009A651D">
        <w:rPr>
          <w:lang w:val="fr-FR"/>
        </w:rPr>
        <w:t>emballages vides, non nettoyés selon le 7.3.1.1</w:t>
      </w:r>
      <w:bookmarkEnd w:id="58"/>
      <w:bookmarkEnd w:id="59"/>
      <w:bookmarkEnd w:id="60"/>
    </w:p>
    <w:p w14:paraId="1D751B78" w14:textId="227429C9" w:rsidR="009224CB" w:rsidRPr="009A651D" w:rsidRDefault="009224CB" w:rsidP="009224CB">
      <w:pPr>
        <w:pStyle w:val="SingleTxtG"/>
        <w:keepNext/>
        <w:ind w:left="3289" w:hanging="2155"/>
        <w:rPr>
          <w:lang w:val="fr-FR"/>
        </w:rPr>
      </w:pPr>
      <w:r w:rsidRPr="009A651D">
        <w:rPr>
          <w:i/>
          <w:iCs/>
          <w:lang w:val="fr-FR"/>
        </w:rPr>
        <w:t>Document </w:t>
      </w:r>
      <w:r w:rsidRPr="009A651D">
        <w:rPr>
          <w:lang w:val="fr-FR"/>
        </w:rPr>
        <w:t>:</w:t>
      </w:r>
      <w:r w:rsidRPr="009A651D">
        <w:rPr>
          <w:lang w:val="fr-FR"/>
        </w:rPr>
        <w:tab/>
      </w:r>
      <w:r w:rsidR="00755958">
        <w:rPr>
          <w:lang w:val="fr-FR"/>
        </w:rPr>
        <w:tab/>
      </w:r>
      <w:r w:rsidR="00755958">
        <w:rPr>
          <w:lang w:val="fr-FR"/>
        </w:rPr>
        <w:tab/>
      </w:r>
      <w:r w:rsidRPr="009A651D">
        <w:rPr>
          <w:lang w:val="fr-FR"/>
        </w:rPr>
        <w:t>ECE/TRANS/WP.15/AC.1/2023/49 (France)</w:t>
      </w:r>
    </w:p>
    <w:p w14:paraId="30AB7A06" w14:textId="5D73B5B2" w:rsidR="009224CB" w:rsidRPr="009A651D" w:rsidRDefault="009224CB" w:rsidP="009224CB">
      <w:pPr>
        <w:pStyle w:val="SingleTxtG"/>
        <w:keepNext/>
        <w:ind w:left="3289" w:hanging="2155"/>
        <w:rPr>
          <w:lang w:val="fr-FR"/>
        </w:rPr>
      </w:pPr>
      <w:r w:rsidRPr="009A651D">
        <w:rPr>
          <w:i/>
          <w:iCs/>
          <w:lang w:val="fr-FR"/>
        </w:rPr>
        <w:t xml:space="preserve">Document informel </w:t>
      </w:r>
      <w:r w:rsidRPr="009A651D">
        <w:rPr>
          <w:lang w:val="fr-FR"/>
        </w:rPr>
        <w:t>:</w:t>
      </w:r>
      <w:r w:rsidRPr="009A651D">
        <w:rPr>
          <w:lang w:val="fr-FR"/>
        </w:rPr>
        <w:tab/>
      </w:r>
      <w:r w:rsidR="00755958">
        <w:rPr>
          <w:lang w:val="fr-FR"/>
        </w:rPr>
        <w:tab/>
      </w:r>
      <w:r w:rsidRPr="009A651D">
        <w:rPr>
          <w:lang w:val="fr-FR"/>
        </w:rPr>
        <w:t>INF.37 (France)</w:t>
      </w:r>
    </w:p>
    <w:p w14:paraId="3D751132" w14:textId="042D30A7" w:rsidR="009224CB" w:rsidRDefault="00A226C0" w:rsidP="009224CB">
      <w:pPr>
        <w:pStyle w:val="SingleTxtG"/>
        <w:rPr>
          <w:lang w:val="fr-FR"/>
        </w:rPr>
      </w:pPr>
      <w:r>
        <w:rPr>
          <w:lang w:val="fr-FR"/>
        </w:rPr>
        <w:t>2</w:t>
      </w:r>
      <w:r w:rsidR="00FE0EC9">
        <w:rPr>
          <w:lang w:val="fr-FR"/>
        </w:rPr>
        <w:t>6</w:t>
      </w:r>
      <w:r w:rsidR="009224CB" w:rsidRPr="009A651D">
        <w:rPr>
          <w:lang w:val="fr-FR"/>
        </w:rPr>
        <w:t>.</w:t>
      </w:r>
      <w:r w:rsidR="009224CB" w:rsidRPr="009A651D">
        <w:rPr>
          <w:lang w:val="fr-FR"/>
        </w:rPr>
        <w:tab/>
        <w:t>La plupart des représentants qui se sont exprimés ont apporté leur soutien de principe à la proposition de supprimer le 7.3.1.1, considéré comme redondant. Le représentant de l</w:t>
      </w:r>
      <w:r w:rsidR="009224CB">
        <w:rPr>
          <w:lang w:val="fr-FR"/>
        </w:rPr>
        <w:t>’</w:t>
      </w:r>
      <w:r w:rsidR="009224CB" w:rsidRPr="009A651D">
        <w:rPr>
          <w:lang w:val="fr-FR"/>
        </w:rPr>
        <w:t>Allemagne a dit préférer conserver le paragraphe tout en clarifiant son libellé. La Réunion commune a adopté les amendements proposés dans le document informel INF.37 (voir annexe</w:t>
      </w:r>
      <w:r w:rsidR="009224CB">
        <w:rPr>
          <w:lang w:val="fr-FR"/>
        </w:rPr>
        <w:t> </w:t>
      </w:r>
      <w:r w:rsidR="0048548F">
        <w:rPr>
          <w:lang w:val="fr-FR"/>
        </w:rPr>
        <w:t>II</w:t>
      </w:r>
      <w:r w:rsidR="009224CB" w:rsidRPr="009A651D">
        <w:rPr>
          <w:lang w:val="fr-FR"/>
        </w:rPr>
        <w:t>).</w:t>
      </w:r>
    </w:p>
    <w:p w14:paraId="7E8A8E11" w14:textId="77777777" w:rsidR="00456D9E" w:rsidRPr="00942042" w:rsidRDefault="00456D9E" w:rsidP="00456D9E">
      <w:pPr>
        <w:pStyle w:val="H23G"/>
      </w:pPr>
      <w:r>
        <w:rPr>
          <w:lang w:val="fr-FR"/>
        </w:rPr>
        <w:tab/>
      </w:r>
      <w:bookmarkStart w:id="61" w:name="_Toc147845949"/>
      <w:bookmarkStart w:id="62" w:name="_Toc148357335"/>
      <w:bookmarkStart w:id="63" w:name="_Toc148358399"/>
      <w:r>
        <w:rPr>
          <w:lang w:val="fr-FR"/>
        </w:rPr>
        <w:t>4.</w:t>
      </w:r>
      <w:r>
        <w:rPr>
          <w:lang w:val="fr-FR"/>
        </w:rPr>
        <w:tab/>
        <w:t>5.4.0.1 Documentation : documents de transport</w:t>
      </w:r>
      <w:bookmarkEnd w:id="61"/>
      <w:bookmarkEnd w:id="62"/>
      <w:bookmarkEnd w:id="63"/>
    </w:p>
    <w:p w14:paraId="247927C6" w14:textId="49129D11" w:rsidR="00456D9E" w:rsidRPr="00942042" w:rsidRDefault="00456D9E" w:rsidP="00456D9E">
      <w:pPr>
        <w:pStyle w:val="SingleTxtG"/>
        <w:tabs>
          <w:tab w:val="left" w:pos="3402"/>
        </w:tabs>
      </w:pPr>
      <w:r w:rsidRPr="00F529C1">
        <w:rPr>
          <w:i/>
          <w:iCs/>
          <w:lang w:val="fr-FR"/>
        </w:rPr>
        <w:t>Document informel</w:t>
      </w:r>
      <w:r>
        <w:rPr>
          <w:lang w:val="fr-FR"/>
        </w:rPr>
        <w:t> </w:t>
      </w:r>
      <w:r w:rsidRPr="00F529C1">
        <w:rPr>
          <w:i/>
          <w:iCs/>
          <w:lang w:val="fr-FR"/>
        </w:rPr>
        <w:t>:</w:t>
      </w:r>
      <w:r>
        <w:rPr>
          <w:lang w:val="fr-FR"/>
        </w:rPr>
        <w:tab/>
      </w:r>
      <w:r w:rsidR="005578D7">
        <w:rPr>
          <w:lang w:val="fr-FR"/>
        </w:rPr>
        <w:tab/>
      </w:r>
      <w:r>
        <w:rPr>
          <w:lang w:val="fr-FR"/>
        </w:rPr>
        <w:t>INF.6 (IRU)</w:t>
      </w:r>
    </w:p>
    <w:p w14:paraId="56F7ABAC" w14:textId="54B0190F" w:rsidR="00456D9E" w:rsidRDefault="00A226C0" w:rsidP="00456D9E">
      <w:pPr>
        <w:pStyle w:val="SingleTxtG"/>
      </w:pPr>
      <w:r>
        <w:rPr>
          <w:lang w:val="fr-FR"/>
        </w:rPr>
        <w:t>2</w:t>
      </w:r>
      <w:r w:rsidR="00FE0EC9">
        <w:rPr>
          <w:lang w:val="fr-FR"/>
        </w:rPr>
        <w:t>7</w:t>
      </w:r>
      <w:r w:rsidR="00456D9E">
        <w:rPr>
          <w:lang w:val="fr-FR"/>
        </w:rPr>
        <w:t>.</w:t>
      </w:r>
      <w:r w:rsidR="00456D9E">
        <w:rPr>
          <w:lang w:val="fr-FR"/>
        </w:rPr>
        <w:tab/>
        <w:t xml:space="preserve">La Réunion commune a adopté l’option 1 proposée dans le document informel INF.6. Le secrétariat a relevé que le Groupe de travail des transports de marchandises dangereuses (WP.15) avait déjà adopté l’amendement au 5.4.0.1, comme </w:t>
      </w:r>
      <w:proofErr w:type="gramStart"/>
      <w:r w:rsidR="00456D9E">
        <w:rPr>
          <w:lang w:val="fr-FR"/>
        </w:rPr>
        <w:t>suite à</w:t>
      </w:r>
      <w:proofErr w:type="gramEnd"/>
      <w:r w:rsidR="00456D9E">
        <w:rPr>
          <w:lang w:val="fr-FR"/>
        </w:rPr>
        <w:t xml:space="preserve"> l’adoption du projet par la Réunion commune à sa session du printemps 2023. Le représentant de l’IRU a soumis au WP.15 une proposition visant à remplacer cet amendement par un amendement au 5.4.0.2 (ECE/TRANS/WP.15/2023/10). La Réunion commune a invité le groupe de travail permanent de la Commission d’experts du RID à envisager d’apporter des modifications similaires dans le RID.</w:t>
      </w:r>
    </w:p>
    <w:p w14:paraId="7681D008" w14:textId="77777777" w:rsidR="00456D9E" w:rsidRPr="00942042" w:rsidRDefault="00456D9E" w:rsidP="00456D9E">
      <w:pPr>
        <w:pStyle w:val="H23G"/>
      </w:pPr>
      <w:r>
        <w:rPr>
          <w:bCs/>
          <w:lang w:val="fr-FR"/>
        </w:rPr>
        <w:tab/>
      </w:r>
      <w:bookmarkStart w:id="64" w:name="_Toc147845950"/>
      <w:bookmarkStart w:id="65" w:name="_Toc148357336"/>
      <w:bookmarkStart w:id="66" w:name="_Toc148358400"/>
      <w:r>
        <w:rPr>
          <w:bCs/>
          <w:lang w:val="fr-FR"/>
        </w:rPr>
        <w:t>5.</w:t>
      </w:r>
      <w:r>
        <w:rPr>
          <w:lang w:val="fr-FR"/>
        </w:rPr>
        <w:tab/>
      </w:r>
      <w:r>
        <w:rPr>
          <w:bCs/>
          <w:lang w:val="fr-FR"/>
        </w:rPr>
        <w:t xml:space="preserve">Application de la </w:t>
      </w:r>
      <w:r w:rsidRPr="00F529C1">
        <w:rPr>
          <w:lang w:val="fr-FR"/>
        </w:rPr>
        <w:t>disposition</w:t>
      </w:r>
      <w:r>
        <w:rPr>
          <w:bCs/>
          <w:lang w:val="fr-FR"/>
        </w:rPr>
        <w:t xml:space="preserve"> spéciale 376 aux batteries au lithium gravement endommagées</w:t>
      </w:r>
      <w:bookmarkEnd w:id="64"/>
      <w:bookmarkEnd w:id="65"/>
      <w:bookmarkEnd w:id="66"/>
    </w:p>
    <w:p w14:paraId="02AC8255" w14:textId="27128819" w:rsidR="005B2C99" w:rsidRPr="002B0D36" w:rsidRDefault="00456D9E" w:rsidP="000616BA">
      <w:pPr>
        <w:pStyle w:val="SingleTxtG"/>
        <w:tabs>
          <w:tab w:val="clear" w:pos="2835"/>
          <w:tab w:val="left" w:pos="3402"/>
        </w:tabs>
        <w:rPr>
          <w:lang w:val="fr-FR"/>
        </w:rPr>
      </w:pPr>
      <w:r w:rsidRPr="000616BA">
        <w:rPr>
          <w:i/>
          <w:iCs/>
          <w:lang w:val="fr-FR"/>
        </w:rPr>
        <w:t>Document</w:t>
      </w:r>
      <w:r w:rsidR="001757E1" w:rsidRPr="000616BA">
        <w:rPr>
          <w:i/>
          <w:iCs/>
          <w:lang w:val="fr-FR"/>
        </w:rPr>
        <w:t>s</w:t>
      </w:r>
      <w:r w:rsidRPr="000616BA">
        <w:rPr>
          <w:i/>
          <w:iCs/>
          <w:lang w:val="fr-FR"/>
        </w:rPr>
        <w:t xml:space="preserve"> informel</w:t>
      </w:r>
      <w:r w:rsidR="001757E1" w:rsidRPr="001757E1">
        <w:rPr>
          <w:i/>
          <w:iCs/>
          <w:lang w:val="fr-FR"/>
        </w:rPr>
        <w:t xml:space="preserve"> </w:t>
      </w:r>
      <w:r w:rsidRPr="000616BA">
        <w:rPr>
          <w:i/>
          <w:iCs/>
          <w:lang w:val="fr-FR"/>
        </w:rPr>
        <w:t>:</w:t>
      </w:r>
      <w:r>
        <w:rPr>
          <w:lang w:val="fr-FR"/>
        </w:rPr>
        <w:tab/>
      </w:r>
      <w:r w:rsidR="005578D7">
        <w:rPr>
          <w:lang w:val="fr-FR"/>
        </w:rPr>
        <w:tab/>
      </w:r>
      <w:r>
        <w:rPr>
          <w:lang w:val="fr-FR"/>
        </w:rPr>
        <w:t xml:space="preserve">INF.8 </w:t>
      </w:r>
      <w:r w:rsidR="001D6060">
        <w:rPr>
          <w:lang w:val="fr-FR"/>
        </w:rPr>
        <w:t xml:space="preserve">et </w:t>
      </w:r>
      <w:r w:rsidR="005B2C99" w:rsidRPr="002B0D36">
        <w:rPr>
          <w:lang w:val="fr-FR"/>
        </w:rPr>
        <w:t>INF.44 (Belgique)</w:t>
      </w:r>
    </w:p>
    <w:p w14:paraId="193749BD" w14:textId="35EB06E3" w:rsidR="00456D9E" w:rsidRDefault="002572DD" w:rsidP="00456D9E">
      <w:pPr>
        <w:pStyle w:val="SingleTxtG"/>
        <w:rPr>
          <w:lang w:val="fr-FR"/>
        </w:rPr>
      </w:pPr>
      <w:r>
        <w:rPr>
          <w:lang w:val="fr-FR"/>
        </w:rPr>
        <w:t>2</w:t>
      </w:r>
      <w:r w:rsidR="00FE0EC9">
        <w:rPr>
          <w:lang w:val="fr-FR"/>
        </w:rPr>
        <w:t>8</w:t>
      </w:r>
      <w:r w:rsidR="00456D9E">
        <w:rPr>
          <w:lang w:val="fr-FR"/>
        </w:rPr>
        <w:t>.</w:t>
      </w:r>
      <w:r w:rsidR="00456D9E">
        <w:rPr>
          <w:lang w:val="fr-FR"/>
        </w:rPr>
        <w:tab/>
        <w:t xml:space="preserve">La plupart des délégations qui ont pris la parole n’étaient pas favorables à la modification proposée. Certaines préféraient que le libellé de la disposition spéciale 376 soit précisé dans le RID et </w:t>
      </w:r>
      <w:r w:rsidR="00456D9E" w:rsidRPr="00112A5C">
        <w:rPr>
          <w:lang w:val="fr-FR"/>
        </w:rPr>
        <w:t>dans l’ADN tandis</w:t>
      </w:r>
      <w:r w:rsidR="00456D9E">
        <w:rPr>
          <w:lang w:val="fr-FR"/>
        </w:rPr>
        <w:t xml:space="preserve"> que d’autres souhaitaient plutôt préserver la cohérence entre les dispositions applicables aux différents modes de transport intérieur. </w:t>
      </w:r>
      <w:r w:rsidR="00F26BD5" w:rsidRPr="00F26BD5">
        <w:rPr>
          <w:lang w:val="fr-FR"/>
        </w:rPr>
        <w:t xml:space="preserve">Certains délégués ont souligné qu’il n’y avait pas de justification suffisante pour les amendements proposés et que plus d’informations </w:t>
      </w:r>
      <w:r w:rsidR="00DF65D6">
        <w:rPr>
          <w:lang w:val="fr-FR"/>
        </w:rPr>
        <w:t>étaient</w:t>
      </w:r>
      <w:r w:rsidR="00F26BD5" w:rsidRPr="00F26BD5">
        <w:rPr>
          <w:lang w:val="fr-FR"/>
        </w:rPr>
        <w:t xml:space="preserve"> nécessaires pour comprendre les préoccupations.</w:t>
      </w:r>
      <w:r w:rsidR="00F26BD5">
        <w:rPr>
          <w:lang w:val="fr-FR"/>
        </w:rPr>
        <w:t xml:space="preserve"> </w:t>
      </w:r>
      <w:r w:rsidR="00456D9E">
        <w:rPr>
          <w:lang w:val="fr-FR"/>
        </w:rPr>
        <w:t>Le représentant de la Belgique a offert d’établir, si nécessaire, une nouvelle proposition tenant compte des observations reçues, pour examen à une future session.</w:t>
      </w:r>
    </w:p>
    <w:p w14:paraId="3453048C" w14:textId="14740F14" w:rsidR="00742515" w:rsidRPr="002B0D36" w:rsidRDefault="00FE0EC9" w:rsidP="00742515">
      <w:pPr>
        <w:pStyle w:val="SingleTxtG"/>
        <w:rPr>
          <w:lang w:val="fr-FR"/>
        </w:rPr>
      </w:pPr>
      <w:r>
        <w:rPr>
          <w:lang w:val="fr-FR"/>
        </w:rPr>
        <w:t>29</w:t>
      </w:r>
      <w:r w:rsidR="00742515" w:rsidRPr="002B0D36">
        <w:rPr>
          <w:lang w:val="fr-FR"/>
        </w:rPr>
        <w:t>.</w:t>
      </w:r>
      <w:r w:rsidR="00742515" w:rsidRPr="002B0D36">
        <w:rPr>
          <w:lang w:val="fr-FR"/>
        </w:rPr>
        <w:tab/>
        <w:t>À l</w:t>
      </w:r>
      <w:r w:rsidR="00742515">
        <w:rPr>
          <w:lang w:val="fr-FR"/>
        </w:rPr>
        <w:t>’</w:t>
      </w:r>
      <w:r w:rsidR="00742515" w:rsidRPr="002B0D36">
        <w:rPr>
          <w:lang w:val="fr-FR"/>
        </w:rPr>
        <w:t>issue de l</w:t>
      </w:r>
      <w:r w:rsidR="00742515">
        <w:rPr>
          <w:lang w:val="fr-FR"/>
        </w:rPr>
        <w:t>’</w:t>
      </w:r>
      <w:r w:rsidR="00742515" w:rsidRPr="002B0D36">
        <w:rPr>
          <w:lang w:val="fr-FR"/>
        </w:rPr>
        <w:t>examen du document informel INF.44, certains représentants ont estimé que le deuxième paragraphe des amendements proposés pouvait être supprimé et qu</w:t>
      </w:r>
      <w:r w:rsidR="00742515">
        <w:rPr>
          <w:lang w:val="fr-FR"/>
        </w:rPr>
        <w:t>’</w:t>
      </w:r>
      <w:r w:rsidR="00742515" w:rsidRPr="002B0D36">
        <w:rPr>
          <w:lang w:val="fr-FR"/>
        </w:rPr>
        <w:t>il fallait plus de temps pour vérifier soigneusement le nouveau libellé de la disposition spéciale</w:t>
      </w:r>
      <w:r w:rsidR="00742515">
        <w:rPr>
          <w:lang w:val="fr-FR"/>
        </w:rPr>
        <w:t> </w:t>
      </w:r>
      <w:r w:rsidR="00742515" w:rsidRPr="002B0D36">
        <w:rPr>
          <w:lang w:val="fr-FR"/>
        </w:rPr>
        <w:t>376. Le représentant de la Finlande a suggéré de se référer également à l</w:t>
      </w:r>
      <w:r w:rsidR="00742515">
        <w:rPr>
          <w:lang w:val="fr-FR"/>
        </w:rPr>
        <w:t>’</w:t>
      </w:r>
      <w:r w:rsidR="00742515" w:rsidRPr="002B0D36">
        <w:rPr>
          <w:lang w:val="fr-FR"/>
        </w:rPr>
        <w:t>instruction d</w:t>
      </w:r>
      <w:r w:rsidR="00742515">
        <w:rPr>
          <w:lang w:val="fr-FR"/>
        </w:rPr>
        <w:t>’</w:t>
      </w:r>
      <w:r w:rsidR="00742515" w:rsidRPr="002B0D36">
        <w:rPr>
          <w:lang w:val="fr-FR"/>
        </w:rPr>
        <w:t>emballage LP906 afin d</w:t>
      </w:r>
      <w:r w:rsidR="00742515">
        <w:rPr>
          <w:lang w:val="fr-FR"/>
        </w:rPr>
        <w:t>’</w:t>
      </w:r>
      <w:r w:rsidR="00742515" w:rsidRPr="002B0D36">
        <w:rPr>
          <w:lang w:val="fr-FR"/>
        </w:rPr>
        <w:t>améliorer le libellé de l</w:t>
      </w:r>
      <w:r w:rsidR="00742515">
        <w:rPr>
          <w:lang w:val="fr-FR"/>
        </w:rPr>
        <w:t>’</w:t>
      </w:r>
      <w:r w:rsidR="00742515" w:rsidRPr="002B0D36">
        <w:rPr>
          <w:lang w:val="fr-FR"/>
        </w:rPr>
        <w:t>alinéa</w:t>
      </w:r>
      <w:r w:rsidR="00742515">
        <w:rPr>
          <w:lang w:val="fr-FR"/>
        </w:rPr>
        <w:t> </w:t>
      </w:r>
      <w:r w:rsidR="00742515" w:rsidRPr="002B0D36">
        <w:rPr>
          <w:lang w:val="fr-FR"/>
        </w:rPr>
        <w:t xml:space="preserve">f) de la note de bas de page </w:t>
      </w:r>
      <w:r w:rsidR="00742515" w:rsidRPr="002B0D36">
        <w:rPr>
          <w:i/>
          <w:iCs/>
          <w:lang w:val="fr-FR"/>
        </w:rPr>
        <w:t xml:space="preserve">a </w:t>
      </w:r>
      <w:r w:rsidR="00742515" w:rsidRPr="002B0D36">
        <w:rPr>
          <w:lang w:val="fr-FR"/>
        </w:rPr>
        <w:t>du tableau. La</w:t>
      </w:r>
      <w:r w:rsidR="00742515">
        <w:rPr>
          <w:lang w:val="fr-FR"/>
        </w:rPr>
        <w:t> </w:t>
      </w:r>
      <w:r w:rsidR="00742515" w:rsidRPr="002B0D36">
        <w:rPr>
          <w:lang w:val="fr-FR"/>
        </w:rPr>
        <w:t>Réunion commune a décidé de reprendre l</w:t>
      </w:r>
      <w:r w:rsidR="00742515">
        <w:rPr>
          <w:lang w:val="fr-FR"/>
        </w:rPr>
        <w:t>’</w:t>
      </w:r>
      <w:r w:rsidR="00742515" w:rsidRPr="002B0D36">
        <w:rPr>
          <w:lang w:val="fr-FR"/>
        </w:rPr>
        <w:t>examen de cette question à la session suivante, sur la base d</w:t>
      </w:r>
      <w:r w:rsidR="00742515">
        <w:rPr>
          <w:lang w:val="fr-FR"/>
        </w:rPr>
        <w:t>’</w:t>
      </w:r>
      <w:r w:rsidR="00742515" w:rsidRPr="002B0D36">
        <w:rPr>
          <w:lang w:val="fr-FR"/>
        </w:rPr>
        <w:t>un document officiel qui serait soumis par la Belgique.</w:t>
      </w:r>
    </w:p>
    <w:p w14:paraId="388FCB7F" w14:textId="77777777" w:rsidR="005E257E" w:rsidRPr="001C062D" w:rsidRDefault="005E257E" w:rsidP="00800140">
      <w:pPr>
        <w:pStyle w:val="H23G"/>
        <w:rPr>
          <w:lang w:val="fr-FR"/>
        </w:rPr>
      </w:pPr>
      <w:r>
        <w:rPr>
          <w:lang w:val="fr-FR"/>
        </w:rPr>
        <w:lastRenderedPageBreak/>
        <w:tab/>
      </w:r>
      <w:bookmarkStart w:id="67" w:name="_Toc147845951"/>
      <w:bookmarkStart w:id="68" w:name="_Toc148357337"/>
      <w:bookmarkStart w:id="69" w:name="_Toc148358401"/>
      <w:r w:rsidRPr="001C062D">
        <w:rPr>
          <w:lang w:val="fr-FR"/>
        </w:rPr>
        <w:t>6.</w:t>
      </w:r>
      <w:r w:rsidRPr="001C062D">
        <w:rPr>
          <w:lang w:val="fr-FR"/>
        </w:rPr>
        <w:tab/>
        <w:t xml:space="preserve">Compatibilité chimique des emballages en matières plastiques </w:t>
      </w:r>
      <w:r>
        <w:rPr>
          <w:lang w:val="fr-FR"/>
        </w:rPr>
        <w:br/>
      </w:r>
      <w:r w:rsidRPr="001C062D">
        <w:rPr>
          <w:lang w:val="fr-FR"/>
        </w:rPr>
        <w:t>contenant des déchets liquides</w:t>
      </w:r>
      <w:bookmarkEnd w:id="67"/>
      <w:bookmarkEnd w:id="68"/>
      <w:bookmarkEnd w:id="69"/>
    </w:p>
    <w:p w14:paraId="7F7EA5C5" w14:textId="62C26218" w:rsidR="005E257E" w:rsidRPr="001C062D" w:rsidRDefault="005E257E" w:rsidP="00800140">
      <w:pPr>
        <w:pStyle w:val="SingleTxtG"/>
        <w:keepNext/>
        <w:keepLines/>
        <w:tabs>
          <w:tab w:val="left" w:pos="3119"/>
        </w:tabs>
        <w:rPr>
          <w:lang w:val="fr-FR"/>
        </w:rPr>
      </w:pPr>
      <w:r w:rsidRPr="001C062D">
        <w:rPr>
          <w:i/>
          <w:iCs/>
          <w:lang w:val="fr-FR"/>
        </w:rPr>
        <w:t>Document </w:t>
      </w:r>
      <w:r w:rsidRPr="00C3040E">
        <w:rPr>
          <w:i/>
          <w:iCs/>
          <w:lang w:val="fr-FR"/>
        </w:rPr>
        <w:t>:</w:t>
      </w:r>
      <w:r w:rsidRPr="001C062D">
        <w:rPr>
          <w:lang w:val="fr-FR"/>
        </w:rPr>
        <w:tab/>
      </w:r>
      <w:r w:rsidR="00673077">
        <w:rPr>
          <w:lang w:val="fr-FR"/>
        </w:rPr>
        <w:tab/>
      </w:r>
      <w:r w:rsidR="00673077">
        <w:rPr>
          <w:lang w:val="fr-FR"/>
        </w:rPr>
        <w:tab/>
      </w:r>
      <w:r w:rsidR="00673077">
        <w:rPr>
          <w:lang w:val="fr-FR"/>
        </w:rPr>
        <w:tab/>
      </w:r>
      <w:r w:rsidRPr="001C062D">
        <w:rPr>
          <w:lang w:val="fr-FR"/>
        </w:rPr>
        <w:t>ECE/TRANS/WP.15/AC.1/2023/42 (FEAD)</w:t>
      </w:r>
    </w:p>
    <w:p w14:paraId="38AA6037" w14:textId="0CDB11CC" w:rsidR="005E257E" w:rsidRPr="001C062D" w:rsidRDefault="005E257E" w:rsidP="00800140">
      <w:pPr>
        <w:pStyle w:val="SingleTxtG"/>
        <w:keepNext/>
        <w:keepLines/>
        <w:tabs>
          <w:tab w:val="left" w:pos="3119"/>
        </w:tabs>
        <w:rPr>
          <w:lang w:val="fr-FR"/>
        </w:rPr>
      </w:pPr>
      <w:r w:rsidRPr="001C062D">
        <w:rPr>
          <w:i/>
          <w:iCs/>
          <w:lang w:val="fr-FR"/>
        </w:rPr>
        <w:t>Document informel</w:t>
      </w:r>
      <w:r>
        <w:rPr>
          <w:i/>
          <w:iCs/>
          <w:lang w:val="fr-FR"/>
        </w:rPr>
        <w:t> </w:t>
      </w:r>
      <w:r w:rsidRPr="001C062D">
        <w:rPr>
          <w:i/>
          <w:iCs/>
          <w:lang w:val="fr-FR"/>
        </w:rPr>
        <w:t>:</w:t>
      </w:r>
      <w:r w:rsidRPr="001C062D">
        <w:rPr>
          <w:lang w:val="fr-FR"/>
        </w:rPr>
        <w:tab/>
      </w:r>
      <w:r w:rsidR="00673077">
        <w:rPr>
          <w:lang w:val="fr-FR"/>
        </w:rPr>
        <w:tab/>
      </w:r>
      <w:r w:rsidR="00673077">
        <w:rPr>
          <w:lang w:val="fr-FR"/>
        </w:rPr>
        <w:tab/>
      </w:r>
      <w:r w:rsidRPr="001C062D">
        <w:rPr>
          <w:lang w:val="fr-FR"/>
        </w:rPr>
        <w:t>INF.38 (FEAD)</w:t>
      </w:r>
    </w:p>
    <w:p w14:paraId="7B39FC50" w14:textId="43733939" w:rsidR="005E257E" w:rsidRPr="001C062D" w:rsidRDefault="00DA3E7C" w:rsidP="00800140">
      <w:pPr>
        <w:pStyle w:val="SingleTxtG"/>
        <w:keepNext/>
        <w:keepLines/>
        <w:rPr>
          <w:lang w:val="fr-FR"/>
        </w:rPr>
      </w:pPr>
      <w:r>
        <w:rPr>
          <w:lang w:val="fr-FR"/>
        </w:rPr>
        <w:t>30</w:t>
      </w:r>
      <w:r w:rsidR="005E257E" w:rsidRPr="001C062D">
        <w:rPr>
          <w:lang w:val="fr-FR"/>
        </w:rPr>
        <w:t>.</w:t>
      </w:r>
      <w:r w:rsidR="005E257E" w:rsidRPr="001C062D">
        <w:rPr>
          <w:lang w:val="fr-FR"/>
        </w:rPr>
        <w:tab/>
        <w:t>Certaines délégations ont fait part de leurs préoccupations concernant la proposition d</w:t>
      </w:r>
      <w:r w:rsidR="005E257E">
        <w:rPr>
          <w:lang w:val="fr-FR"/>
        </w:rPr>
        <w:t>’</w:t>
      </w:r>
      <w:r w:rsidR="005E257E" w:rsidRPr="001C062D">
        <w:rPr>
          <w:lang w:val="fr-FR"/>
        </w:rPr>
        <w:t>amendement au 4.1.1.21.7, notamment en ce qui concerne le risque d</w:t>
      </w:r>
      <w:r w:rsidR="005E257E">
        <w:rPr>
          <w:lang w:val="fr-FR"/>
        </w:rPr>
        <w:t>’</w:t>
      </w:r>
      <w:r w:rsidR="005E257E" w:rsidRPr="001C062D">
        <w:rPr>
          <w:lang w:val="fr-FR"/>
        </w:rPr>
        <w:t>incompatibilité entre les déchets liquides contenant des substances chimiques et les matières plastiques utilisées pour les emballages. D</w:t>
      </w:r>
      <w:r w:rsidR="005E257E">
        <w:rPr>
          <w:lang w:val="fr-FR"/>
        </w:rPr>
        <w:t>’</w:t>
      </w:r>
      <w:r w:rsidR="005E257E" w:rsidRPr="001C062D">
        <w:rPr>
          <w:lang w:val="fr-FR"/>
        </w:rPr>
        <w:t>autres étaient plutôt favorables à l</w:t>
      </w:r>
      <w:r w:rsidR="005E257E">
        <w:rPr>
          <w:lang w:val="fr-FR"/>
        </w:rPr>
        <w:t>’</w:t>
      </w:r>
      <w:r w:rsidR="005E257E" w:rsidRPr="001C062D">
        <w:rPr>
          <w:lang w:val="fr-FR"/>
        </w:rPr>
        <w:t>ajout d</w:t>
      </w:r>
      <w:r w:rsidR="005E257E">
        <w:rPr>
          <w:lang w:val="fr-FR"/>
        </w:rPr>
        <w:t>’</w:t>
      </w:r>
      <w:r w:rsidR="005E257E" w:rsidRPr="001C062D">
        <w:rPr>
          <w:lang w:val="fr-FR"/>
        </w:rPr>
        <w:t>une limite de temps pour l</w:t>
      </w:r>
      <w:r w:rsidR="005E257E">
        <w:rPr>
          <w:lang w:val="fr-FR"/>
        </w:rPr>
        <w:t>’</w:t>
      </w:r>
      <w:r w:rsidR="005E257E" w:rsidRPr="001C062D">
        <w:rPr>
          <w:lang w:val="fr-FR"/>
        </w:rPr>
        <w:t xml:space="preserve">utilisation de ces emballages en plastique. </w:t>
      </w:r>
    </w:p>
    <w:p w14:paraId="7A917D33" w14:textId="2C6000A1" w:rsidR="005E257E" w:rsidRPr="001C062D" w:rsidRDefault="00DA3E7C" w:rsidP="005E257E">
      <w:pPr>
        <w:pStyle w:val="SingleTxtG"/>
        <w:rPr>
          <w:lang w:val="fr-FR"/>
        </w:rPr>
      </w:pPr>
      <w:r>
        <w:rPr>
          <w:lang w:val="fr-FR"/>
        </w:rPr>
        <w:t>31</w:t>
      </w:r>
      <w:r w:rsidR="005E257E" w:rsidRPr="001C062D">
        <w:rPr>
          <w:lang w:val="fr-FR"/>
        </w:rPr>
        <w:t>.</w:t>
      </w:r>
      <w:r w:rsidR="005E257E" w:rsidRPr="001C062D">
        <w:rPr>
          <w:lang w:val="fr-FR"/>
        </w:rPr>
        <w:tab/>
        <w:t xml:space="preserve">La Réunion commune a adopté les amendements au 4.1.1.21.7 proposés dans le document informel INF.38 (voir annexe </w:t>
      </w:r>
      <w:r w:rsidR="0048548F">
        <w:rPr>
          <w:lang w:val="fr-FR"/>
        </w:rPr>
        <w:t>II</w:t>
      </w:r>
      <w:r w:rsidR="005E257E" w:rsidRPr="001C062D">
        <w:rPr>
          <w:lang w:val="fr-FR"/>
        </w:rPr>
        <w:t>).</w:t>
      </w:r>
    </w:p>
    <w:p w14:paraId="3A7CFC59" w14:textId="77777777" w:rsidR="005E257E" w:rsidRPr="001C062D" w:rsidRDefault="005E257E" w:rsidP="006B02C3">
      <w:pPr>
        <w:pStyle w:val="H23G"/>
        <w:rPr>
          <w:lang w:val="fr-FR"/>
        </w:rPr>
      </w:pPr>
      <w:r>
        <w:rPr>
          <w:lang w:val="fr-FR"/>
        </w:rPr>
        <w:tab/>
      </w:r>
      <w:bookmarkStart w:id="70" w:name="_Toc147845952"/>
      <w:bookmarkStart w:id="71" w:name="_Toc148357338"/>
      <w:bookmarkStart w:id="72" w:name="_Toc148358402"/>
      <w:r w:rsidRPr="0012235F">
        <w:rPr>
          <w:lang w:val="fr-FR"/>
        </w:rPr>
        <w:t>7.</w:t>
      </w:r>
      <w:r w:rsidRPr="001C062D">
        <w:rPr>
          <w:lang w:val="fr-FR"/>
        </w:rPr>
        <w:tab/>
      </w:r>
      <w:r w:rsidRPr="0012235F">
        <w:rPr>
          <w:lang w:val="fr-FR"/>
        </w:rPr>
        <w:t>Clarification des règles applicables au placardage des wagons/véhicules pour vrac</w:t>
      </w:r>
      <w:bookmarkEnd w:id="70"/>
      <w:bookmarkEnd w:id="71"/>
      <w:bookmarkEnd w:id="72"/>
    </w:p>
    <w:p w14:paraId="67E9AEAF" w14:textId="19E6087D" w:rsidR="005E257E" w:rsidRPr="001C062D" w:rsidRDefault="005E257E" w:rsidP="005E257E">
      <w:pPr>
        <w:pStyle w:val="SingleTxtG"/>
        <w:tabs>
          <w:tab w:val="left" w:pos="3119"/>
        </w:tabs>
        <w:rPr>
          <w:lang w:val="fr-FR"/>
        </w:rPr>
      </w:pPr>
      <w:r w:rsidRPr="001C062D">
        <w:rPr>
          <w:i/>
          <w:iCs/>
          <w:lang w:val="fr-FR"/>
        </w:rPr>
        <w:t>Document</w:t>
      </w:r>
      <w:r>
        <w:rPr>
          <w:i/>
          <w:iCs/>
          <w:lang w:val="fr-FR"/>
        </w:rPr>
        <w:t> </w:t>
      </w:r>
      <w:r w:rsidRPr="001C062D">
        <w:rPr>
          <w:i/>
          <w:iCs/>
          <w:lang w:val="fr-FR"/>
        </w:rPr>
        <w:t>:</w:t>
      </w:r>
      <w:r w:rsidRPr="001C062D">
        <w:rPr>
          <w:lang w:val="fr-FR"/>
        </w:rPr>
        <w:tab/>
      </w:r>
      <w:r w:rsidR="00673077">
        <w:rPr>
          <w:lang w:val="fr-FR"/>
        </w:rPr>
        <w:tab/>
      </w:r>
      <w:r w:rsidR="00673077">
        <w:rPr>
          <w:lang w:val="fr-FR"/>
        </w:rPr>
        <w:tab/>
      </w:r>
      <w:r w:rsidR="00673077">
        <w:rPr>
          <w:lang w:val="fr-FR"/>
        </w:rPr>
        <w:tab/>
      </w:r>
      <w:r w:rsidRPr="001C062D">
        <w:rPr>
          <w:lang w:val="fr-FR"/>
        </w:rPr>
        <w:t>ECE/TRANS/WP.15/AC.1/2023/50 (France)</w:t>
      </w:r>
    </w:p>
    <w:p w14:paraId="0ADF4CF0" w14:textId="46267DF3" w:rsidR="005E257E" w:rsidRPr="001C062D" w:rsidRDefault="005E257E" w:rsidP="005E257E">
      <w:pPr>
        <w:pStyle w:val="SingleTxtG"/>
        <w:tabs>
          <w:tab w:val="left" w:pos="3119"/>
        </w:tabs>
        <w:rPr>
          <w:lang w:val="fr-FR"/>
        </w:rPr>
      </w:pPr>
      <w:r w:rsidRPr="001C062D">
        <w:rPr>
          <w:i/>
          <w:iCs/>
          <w:lang w:val="fr-FR"/>
        </w:rPr>
        <w:t>Document informel</w:t>
      </w:r>
      <w:r>
        <w:rPr>
          <w:i/>
          <w:iCs/>
          <w:lang w:val="fr-FR"/>
        </w:rPr>
        <w:t> </w:t>
      </w:r>
      <w:r w:rsidRPr="001C062D">
        <w:rPr>
          <w:i/>
          <w:iCs/>
          <w:lang w:val="fr-FR"/>
        </w:rPr>
        <w:t>:</w:t>
      </w:r>
      <w:r w:rsidRPr="001C062D">
        <w:rPr>
          <w:lang w:val="fr-FR"/>
        </w:rPr>
        <w:tab/>
      </w:r>
      <w:r w:rsidR="00673077">
        <w:rPr>
          <w:lang w:val="fr-FR"/>
        </w:rPr>
        <w:tab/>
      </w:r>
      <w:r w:rsidR="00673077">
        <w:rPr>
          <w:lang w:val="fr-FR"/>
        </w:rPr>
        <w:tab/>
      </w:r>
      <w:r w:rsidRPr="001C062D">
        <w:rPr>
          <w:lang w:val="fr-FR"/>
        </w:rPr>
        <w:t>INF.40 (France)</w:t>
      </w:r>
    </w:p>
    <w:p w14:paraId="3397531A" w14:textId="27A04CC1" w:rsidR="005E257E" w:rsidRDefault="00DA3E7C" w:rsidP="005E257E">
      <w:pPr>
        <w:pStyle w:val="SingleTxtG"/>
        <w:rPr>
          <w:lang w:val="fr-FR"/>
        </w:rPr>
      </w:pPr>
      <w:r>
        <w:rPr>
          <w:lang w:val="fr-FR"/>
        </w:rPr>
        <w:t>32</w:t>
      </w:r>
      <w:r w:rsidR="005E257E" w:rsidRPr="001C062D">
        <w:rPr>
          <w:lang w:val="fr-FR"/>
        </w:rPr>
        <w:t>.</w:t>
      </w:r>
      <w:r w:rsidR="005E257E" w:rsidRPr="001C062D">
        <w:rPr>
          <w:lang w:val="fr-FR"/>
        </w:rPr>
        <w:tab/>
        <w:t>La Réunion commune a pris note du soutien de principe accordé à la proposition d</w:t>
      </w:r>
      <w:r w:rsidR="005E257E">
        <w:rPr>
          <w:lang w:val="fr-FR"/>
        </w:rPr>
        <w:t>’</w:t>
      </w:r>
      <w:r w:rsidR="005E257E" w:rsidRPr="001C062D">
        <w:rPr>
          <w:lang w:val="fr-FR"/>
        </w:rPr>
        <w:t>amendement au 5.3.1.4 du RID et de l</w:t>
      </w:r>
      <w:r w:rsidR="005E257E">
        <w:rPr>
          <w:lang w:val="fr-FR"/>
        </w:rPr>
        <w:t>’</w:t>
      </w:r>
      <w:r w:rsidR="005E257E" w:rsidRPr="001C062D">
        <w:rPr>
          <w:lang w:val="fr-FR"/>
        </w:rPr>
        <w:t xml:space="preserve">ADR. Elle a adopté les amendements proposés dans le document informel INF.40 (voir annexe </w:t>
      </w:r>
      <w:r w:rsidR="0048548F">
        <w:rPr>
          <w:lang w:val="fr-FR"/>
        </w:rPr>
        <w:t>II</w:t>
      </w:r>
      <w:r w:rsidR="005E257E" w:rsidRPr="001C062D">
        <w:rPr>
          <w:lang w:val="fr-FR"/>
        </w:rPr>
        <w:t>).</w:t>
      </w:r>
    </w:p>
    <w:p w14:paraId="3F3E39F2" w14:textId="77777777" w:rsidR="00D958B3" w:rsidRPr="00D06271" w:rsidRDefault="00D958B3" w:rsidP="00D958B3">
      <w:pPr>
        <w:pStyle w:val="H23G"/>
        <w:rPr>
          <w:lang w:val="fr-FR"/>
        </w:rPr>
      </w:pPr>
      <w:r>
        <w:rPr>
          <w:lang w:val="fr-FR"/>
        </w:rPr>
        <w:tab/>
      </w:r>
      <w:bookmarkStart w:id="73" w:name="_Toc147845953"/>
      <w:bookmarkStart w:id="74" w:name="_Toc148357339"/>
      <w:bookmarkStart w:id="75" w:name="_Toc148358403"/>
      <w:r w:rsidRPr="00D06271">
        <w:rPr>
          <w:lang w:val="fr-FR"/>
        </w:rPr>
        <w:t>8.</w:t>
      </w:r>
      <w:r w:rsidRPr="00D06271">
        <w:rPr>
          <w:lang w:val="fr-FR"/>
        </w:rPr>
        <w:tab/>
        <w:t>Livraison du dernier kilomètre et définitions des termes «</w:t>
      </w:r>
      <w:r>
        <w:rPr>
          <w:lang w:val="fr-FR"/>
        </w:rPr>
        <w:t> </w:t>
      </w:r>
      <w:r w:rsidRPr="00D06271">
        <w:rPr>
          <w:lang w:val="fr-FR"/>
        </w:rPr>
        <w:t>conteneur de groupage</w:t>
      </w:r>
      <w:r>
        <w:rPr>
          <w:lang w:val="fr-FR"/>
        </w:rPr>
        <w:t> </w:t>
      </w:r>
      <w:r w:rsidRPr="00D06271">
        <w:rPr>
          <w:lang w:val="fr-FR"/>
        </w:rPr>
        <w:t xml:space="preserve">» </w:t>
      </w:r>
      <w:r>
        <w:rPr>
          <w:lang w:val="fr-FR"/>
        </w:rPr>
        <w:br/>
      </w:r>
      <w:r w:rsidRPr="00D06271">
        <w:rPr>
          <w:lang w:val="fr-FR"/>
        </w:rPr>
        <w:t>et « suremballage »</w:t>
      </w:r>
      <w:bookmarkEnd w:id="73"/>
      <w:bookmarkEnd w:id="74"/>
      <w:bookmarkEnd w:id="75"/>
    </w:p>
    <w:p w14:paraId="5141D6B9" w14:textId="326E8DAD" w:rsidR="00D958B3" w:rsidRPr="00D06271" w:rsidRDefault="00D958B3" w:rsidP="002E2A57">
      <w:pPr>
        <w:pStyle w:val="SingleTxtG"/>
        <w:keepNext/>
        <w:keepLines/>
        <w:ind w:left="3402" w:hanging="2268"/>
        <w:jc w:val="left"/>
        <w:rPr>
          <w:lang w:val="fr-FR"/>
        </w:rPr>
      </w:pPr>
      <w:r w:rsidRPr="00D06271">
        <w:rPr>
          <w:i/>
          <w:iCs/>
          <w:lang w:val="fr-FR"/>
        </w:rPr>
        <w:t xml:space="preserve">Documents </w:t>
      </w:r>
      <w:r w:rsidRPr="00D06271">
        <w:rPr>
          <w:lang w:val="fr-FR"/>
        </w:rPr>
        <w:t>:</w:t>
      </w:r>
      <w:r w:rsidRPr="00D06271">
        <w:rPr>
          <w:lang w:val="fr-FR"/>
        </w:rPr>
        <w:tab/>
      </w:r>
      <w:r w:rsidR="00A566DA">
        <w:rPr>
          <w:lang w:val="fr-FR"/>
        </w:rPr>
        <w:tab/>
      </w:r>
      <w:r w:rsidR="00A566DA">
        <w:rPr>
          <w:lang w:val="fr-FR"/>
        </w:rPr>
        <w:tab/>
      </w:r>
      <w:r w:rsidRPr="00D06271">
        <w:rPr>
          <w:lang w:val="fr-FR"/>
        </w:rPr>
        <w:t>ECE/TRANS/WP.15/AC.1/2023/41 (COSTHA) ECE/TRANS/WP.15/AC.1/2023/47 (COSTHA)</w:t>
      </w:r>
    </w:p>
    <w:p w14:paraId="65D760EE" w14:textId="0E560EC1" w:rsidR="00D958B3" w:rsidRPr="00D06271" w:rsidRDefault="00D958B3" w:rsidP="00A566DA">
      <w:pPr>
        <w:pStyle w:val="SingleTxtG"/>
        <w:ind w:left="3402" w:hanging="2268"/>
        <w:rPr>
          <w:lang w:val="fr-FR"/>
        </w:rPr>
      </w:pPr>
      <w:r w:rsidRPr="00D06271">
        <w:rPr>
          <w:i/>
          <w:iCs/>
          <w:lang w:val="fr-FR"/>
        </w:rPr>
        <w:t xml:space="preserve">Document informel </w:t>
      </w:r>
      <w:r w:rsidRPr="00C53E09">
        <w:rPr>
          <w:lang w:val="fr-FR"/>
        </w:rPr>
        <w:t>:</w:t>
      </w:r>
      <w:r w:rsidRPr="00D06271">
        <w:rPr>
          <w:lang w:val="fr-FR"/>
        </w:rPr>
        <w:tab/>
      </w:r>
      <w:r w:rsidR="00A566DA">
        <w:rPr>
          <w:lang w:val="fr-FR"/>
        </w:rPr>
        <w:tab/>
      </w:r>
      <w:r w:rsidR="00A566DA">
        <w:rPr>
          <w:lang w:val="fr-FR"/>
        </w:rPr>
        <w:tab/>
      </w:r>
      <w:r w:rsidRPr="00D06271">
        <w:rPr>
          <w:lang w:val="fr-FR"/>
        </w:rPr>
        <w:t>INF.13 (FEA)</w:t>
      </w:r>
    </w:p>
    <w:p w14:paraId="12AE6F9E" w14:textId="4BAD61A7" w:rsidR="00D958B3" w:rsidRPr="00D06271" w:rsidRDefault="00953CF0" w:rsidP="00D958B3">
      <w:pPr>
        <w:pStyle w:val="SingleTxtG"/>
        <w:rPr>
          <w:lang w:val="fr-FR"/>
        </w:rPr>
      </w:pPr>
      <w:r>
        <w:rPr>
          <w:lang w:val="fr-FR"/>
        </w:rPr>
        <w:t>33</w:t>
      </w:r>
      <w:r w:rsidR="00D958B3" w:rsidRPr="00D06271">
        <w:rPr>
          <w:lang w:val="fr-FR"/>
        </w:rPr>
        <w:t>.</w:t>
      </w:r>
      <w:r w:rsidR="00D958B3" w:rsidRPr="00D06271">
        <w:rPr>
          <w:lang w:val="fr-FR"/>
        </w:rPr>
        <w:tab/>
        <w:t>Certains représentants ont appuyé, dans leur principe, les propositions figurant dans le document ECE/TRANS/WP.15/AC.1/2023/41, mais étaient d</w:t>
      </w:r>
      <w:r w:rsidR="00D958B3">
        <w:rPr>
          <w:lang w:val="fr-FR"/>
        </w:rPr>
        <w:t>’</w:t>
      </w:r>
      <w:r w:rsidR="00D958B3" w:rsidRPr="00D06271">
        <w:rPr>
          <w:lang w:val="fr-FR"/>
        </w:rPr>
        <w:t>avis qu</w:t>
      </w:r>
      <w:r w:rsidR="00D958B3">
        <w:rPr>
          <w:lang w:val="fr-FR"/>
        </w:rPr>
        <w:t>’</w:t>
      </w:r>
      <w:r w:rsidR="00D958B3" w:rsidRPr="00D06271">
        <w:rPr>
          <w:lang w:val="fr-FR"/>
        </w:rPr>
        <w:t xml:space="preserve">une nouvelle définition du terme </w:t>
      </w:r>
      <w:r w:rsidR="00D958B3">
        <w:rPr>
          <w:lang w:val="fr-FR"/>
        </w:rPr>
        <w:t>« </w:t>
      </w:r>
      <w:r w:rsidR="00D958B3" w:rsidRPr="00D06271">
        <w:rPr>
          <w:lang w:val="fr-FR"/>
        </w:rPr>
        <w:t>conteneur de groupage</w:t>
      </w:r>
      <w:r w:rsidR="00D958B3">
        <w:rPr>
          <w:lang w:val="fr-FR"/>
        </w:rPr>
        <w:t> »</w:t>
      </w:r>
      <w:r w:rsidR="00D958B3" w:rsidRPr="00D06271">
        <w:rPr>
          <w:lang w:val="fr-FR"/>
        </w:rPr>
        <w:t xml:space="preserve"> n</w:t>
      </w:r>
      <w:r w:rsidR="00D958B3">
        <w:rPr>
          <w:lang w:val="fr-FR"/>
        </w:rPr>
        <w:t>’</w:t>
      </w:r>
      <w:r w:rsidR="00D958B3" w:rsidRPr="00D06271">
        <w:rPr>
          <w:lang w:val="fr-FR"/>
        </w:rPr>
        <w:t>était pas nécessaire. D</w:t>
      </w:r>
      <w:r w:rsidR="00D958B3">
        <w:rPr>
          <w:lang w:val="fr-FR"/>
        </w:rPr>
        <w:t>’</w:t>
      </w:r>
      <w:r w:rsidR="00D958B3" w:rsidRPr="00D06271">
        <w:rPr>
          <w:lang w:val="fr-FR"/>
        </w:rPr>
        <w:t>autres ont estimé que les amendements proposés étaient encore trop généraux et qu</w:t>
      </w:r>
      <w:r w:rsidR="00D958B3">
        <w:rPr>
          <w:lang w:val="fr-FR"/>
        </w:rPr>
        <w:t>’</w:t>
      </w:r>
      <w:r w:rsidR="00D958B3" w:rsidRPr="00D06271">
        <w:rPr>
          <w:lang w:val="fr-FR"/>
        </w:rPr>
        <w:t>ils étaient principalement fondés sur des questions d</w:t>
      </w:r>
      <w:r w:rsidR="00D958B3">
        <w:rPr>
          <w:lang w:val="fr-FR"/>
        </w:rPr>
        <w:t>’</w:t>
      </w:r>
      <w:r w:rsidR="00D958B3" w:rsidRPr="00D06271">
        <w:rPr>
          <w:lang w:val="fr-FR"/>
        </w:rPr>
        <w:t>ordre économique.</w:t>
      </w:r>
    </w:p>
    <w:p w14:paraId="48FCBC1E" w14:textId="55881FD4" w:rsidR="00D958B3" w:rsidRPr="00D06271" w:rsidRDefault="00D958B3" w:rsidP="00D958B3">
      <w:pPr>
        <w:pStyle w:val="SingleTxtG"/>
        <w:rPr>
          <w:lang w:val="fr-FR"/>
        </w:rPr>
      </w:pPr>
      <w:r w:rsidRPr="00D06271">
        <w:rPr>
          <w:lang w:val="fr-FR"/>
        </w:rPr>
        <w:t>3</w:t>
      </w:r>
      <w:r w:rsidR="00953CF0">
        <w:rPr>
          <w:lang w:val="fr-FR"/>
        </w:rPr>
        <w:t>4</w:t>
      </w:r>
      <w:r w:rsidRPr="00D06271">
        <w:rPr>
          <w:lang w:val="fr-FR"/>
        </w:rPr>
        <w:t>.</w:t>
      </w:r>
      <w:r w:rsidRPr="00D06271">
        <w:rPr>
          <w:lang w:val="fr-FR"/>
        </w:rPr>
        <w:tab/>
        <w:t>En ce qui concerne le document ECE/TRANS/WP.15/AC.1/2023/47, certaines des délégations étaient d</w:t>
      </w:r>
      <w:r>
        <w:rPr>
          <w:lang w:val="fr-FR"/>
        </w:rPr>
        <w:t>’</w:t>
      </w:r>
      <w:r w:rsidRPr="00D06271">
        <w:rPr>
          <w:lang w:val="fr-FR"/>
        </w:rPr>
        <w:t>avis que les dispositions existantes relatives aux quantités limitées</w:t>
      </w:r>
      <w:r>
        <w:rPr>
          <w:lang w:val="fr-FR"/>
        </w:rPr>
        <w:t xml:space="preserve"> permettaient de régler</w:t>
      </w:r>
      <w:r w:rsidRPr="00D06271">
        <w:rPr>
          <w:lang w:val="fr-FR"/>
        </w:rPr>
        <w:t xml:space="preserve"> la question de la </w:t>
      </w:r>
      <w:r>
        <w:rPr>
          <w:lang w:val="fr-FR"/>
        </w:rPr>
        <w:t>« </w:t>
      </w:r>
      <w:r w:rsidRPr="00D06271">
        <w:rPr>
          <w:lang w:val="fr-FR"/>
        </w:rPr>
        <w:t>livraison du dernier kilomètre</w:t>
      </w:r>
      <w:r>
        <w:rPr>
          <w:lang w:val="fr-FR"/>
        </w:rPr>
        <w:t> »</w:t>
      </w:r>
      <w:r w:rsidRPr="00D06271">
        <w:rPr>
          <w:lang w:val="fr-FR"/>
        </w:rPr>
        <w:t>. D</w:t>
      </w:r>
      <w:r>
        <w:rPr>
          <w:lang w:val="fr-FR"/>
        </w:rPr>
        <w:t>’</w:t>
      </w:r>
      <w:r w:rsidRPr="00D06271">
        <w:rPr>
          <w:lang w:val="fr-FR"/>
        </w:rPr>
        <w:t>autres souhaitaient d</w:t>
      </w:r>
      <w:r>
        <w:rPr>
          <w:lang w:val="fr-FR"/>
        </w:rPr>
        <w:t>’</w:t>
      </w:r>
      <w:r w:rsidRPr="00D06271">
        <w:rPr>
          <w:lang w:val="fr-FR"/>
        </w:rPr>
        <w:t xml:space="preserve">abord recenser les cas précis où des problèmes pourraient se poser et réfléchir ensuite aux solutions possibles, par exemple autoriser ou interdire ces livraisons au cas par cas. </w:t>
      </w:r>
    </w:p>
    <w:p w14:paraId="22C99BD3" w14:textId="6239F1E3" w:rsidR="00D958B3" w:rsidRPr="00D06271" w:rsidRDefault="00D958B3" w:rsidP="00D958B3">
      <w:pPr>
        <w:pStyle w:val="SingleTxtG"/>
        <w:rPr>
          <w:lang w:val="fr-FR"/>
        </w:rPr>
      </w:pPr>
      <w:r w:rsidRPr="00D06271">
        <w:rPr>
          <w:lang w:val="fr-FR"/>
        </w:rPr>
        <w:t>3</w:t>
      </w:r>
      <w:r w:rsidR="00953CF0">
        <w:rPr>
          <w:lang w:val="fr-FR"/>
        </w:rPr>
        <w:t>5</w:t>
      </w:r>
      <w:r w:rsidRPr="00D06271">
        <w:rPr>
          <w:lang w:val="fr-FR"/>
        </w:rPr>
        <w:t>.</w:t>
      </w:r>
      <w:r w:rsidRPr="00D06271">
        <w:rPr>
          <w:lang w:val="fr-FR"/>
        </w:rPr>
        <w:tab/>
        <w:t>À l</w:t>
      </w:r>
      <w:r>
        <w:rPr>
          <w:lang w:val="fr-FR"/>
        </w:rPr>
        <w:t>’</w:t>
      </w:r>
      <w:r w:rsidRPr="00D06271">
        <w:rPr>
          <w:lang w:val="fr-FR"/>
        </w:rPr>
        <w:t>issue d</w:t>
      </w:r>
      <w:r>
        <w:rPr>
          <w:lang w:val="fr-FR"/>
        </w:rPr>
        <w:t>’</w:t>
      </w:r>
      <w:r w:rsidRPr="00D06271">
        <w:rPr>
          <w:lang w:val="fr-FR"/>
        </w:rPr>
        <w:t>une réunion informelle, la Réunion commune a accueilli favorablement la proposition du COSTHA de revoir les amendements qu</w:t>
      </w:r>
      <w:r>
        <w:rPr>
          <w:lang w:val="fr-FR"/>
        </w:rPr>
        <w:t>’</w:t>
      </w:r>
      <w:r w:rsidRPr="00D06271">
        <w:rPr>
          <w:lang w:val="fr-FR"/>
        </w:rPr>
        <w:t xml:space="preserve">il avait soumis en tenant compte des observations reçues et de soumettre des documents plus détaillés à une session ultérieure. </w:t>
      </w:r>
    </w:p>
    <w:p w14:paraId="2B6BA7B9" w14:textId="77777777" w:rsidR="00D958B3" w:rsidRPr="00D06271" w:rsidRDefault="00D958B3" w:rsidP="00D958B3">
      <w:pPr>
        <w:pStyle w:val="H23G"/>
        <w:rPr>
          <w:lang w:val="fr-FR"/>
        </w:rPr>
      </w:pPr>
      <w:r>
        <w:rPr>
          <w:lang w:val="fr-FR"/>
        </w:rPr>
        <w:tab/>
      </w:r>
      <w:bookmarkStart w:id="76" w:name="_Toc147845954"/>
      <w:bookmarkStart w:id="77" w:name="_Toc148357340"/>
      <w:bookmarkStart w:id="78" w:name="_Toc148358404"/>
      <w:r w:rsidRPr="00D06271">
        <w:rPr>
          <w:lang w:val="fr-FR"/>
        </w:rPr>
        <w:t>9.</w:t>
      </w:r>
      <w:r w:rsidRPr="00D06271">
        <w:rPr>
          <w:lang w:val="fr-FR"/>
        </w:rPr>
        <w:tab/>
        <w:t>Transport en vrac de catégories spécifiques de déchets contenant de l</w:t>
      </w:r>
      <w:r>
        <w:rPr>
          <w:lang w:val="fr-FR"/>
        </w:rPr>
        <w:t>’</w:t>
      </w:r>
      <w:r w:rsidRPr="00D06271">
        <w:rPr>
          <w:lang w:val="fr-FR"/>
        </w:rPr>
        <w:t xml:space="preserve">amiante </w:t>
      </w:r>
      <w:r>
        <w:rPr>
          <w:lang w:val="fr-FR"/>
        </w:rPr>
        <w:br/>
      </w:r>
      <w:r w:rsidRPr="00D06271">
        <w:rPr>
          <w:lang w:val="fr-FR"/>
        </w:rPr>
        <w:t>(</w:t>
      </w:r>
      <w:r>
        <w:rPr>
          <w:rFonts w:eastAsia="MS Mincho"/>
          <w:lang w:val="fr-FR"/>
        </w:rPr>
        <w:t>N</w:t>
      </w:r>
      <w:r w:rsidRPr="00643086">
        <w:rPr>
          <w:rFonts w:eastAsia="MS Mincho"/>
          <w:vertAlign w:val="superscript"/>
          <w:lang w:val="fr-FR"/>
        </w:rPr>
        <w:t>o</w:t>
      </w:r>
      <w:r>
        <w:rPr>
          <w:rFonts w:eastAsia="MS Mincho"/>
          <w:vertAlign w:val="superscript"/>
          <w:lang w:val="fr-FR"/>
        </w:rPr>
        <w:t>s </w:t>
      </w:r>
      <w:r w:rsidRPr="00D06271">
        <w:rPr>
          <w:lang w:val="fr-FR"/>
        </w:rPr>
        <w:t>ONU 2590 et 2212)</w:t>
      </w:r>
      <w:bookmarkEnd w:id="76"/>
      <w:bookmarkEnd w:id="77"/>
      <w:bookmarkEnd w:id="78"/>
    </w:p>
    <w:p w14:paraId="5C0E3547" w14:textId="20DAEE10" w:rsidR="00D958B3" w:rsidRPr="00D06271" w:rsidRDefault="00D958B3" w:rsidP="007101E9">
      <w:pPr>
        <w:pStyle w:val="SingleTxtG"/>
        <w:keepNext/>
        <w:keepLines/>
        <w:ind w:left="3402" w:hanging="2268"/>
        <w:rPr>
          <w:lang w:val="fr-FR"/>
        </w:rPr>
      </w:pPr>
      <w:r w:rsidRPr="00D06271">
        <w:rPr>
          <w:i/>
          <w:iCs/>
          <w:lang w:val="fr-FR"/>
        </w:rPr>
        <w:t>Document </w:t>
      </w:r>
      <w:r w:rsidRPr="00D06271">
        <w:rPr>
          <w:lang w:val="fr-FR"/>
        </w:rPr>
        <w:t>:</w:t>
      </w:r>
      <w:r w:rsidR="00A566DA">
        <w:rPr>
          <w:lang w:val="fr-FR"/>
        </w:rPr>
        <w:tab/>
      </w:r>
      <w:r w:rsidRPr="00D06271">
        <w:rPr>
          <w:lang w:val="fr-FR"/>
        </w:rPr>
        <w:tab/>
      </w:r>
      <w:r w:rsidR="00A566DA">
        <w:rPr>
          <w:lang w:val="fr-FR"/>
        </w:rPr>
        <w:tab/>
      </w:r>
      <w:r w:rsidRPr="00D06271">
        <w:rPr>
          <w:lang w:val="fr-FR"/>
        </w:rPr>
        <w:t>ECE/TRANS/WP.15/AC.1/2023/51 (France)</w:t>
      </w:r>
    </w:p>
    <w:p w14:paraId="281ED32A" w14:textId="77777777" w:rsidR="00D958B3" w:rsidRPr="00D06271" w:rsidRDefault="00D958B3" w:rsidP="007101E9">
      <w:pPr>
        <w:pStyle w:val="SingleTxtG"/>
        <w:keepNext/>
        <w:keepLines/>
        <w:ind w:left="3402" w:hanging="2268"/>
        <w:rPr>
          <w:lang w:val="fr-FR"/>
        </w:rPr>
      </w:pPr>
      <w:r w:rsidRPr="00D06271">
        <w:rPr>
          <w:i/>
          <w:iCs/>
          <w:lang w:val="fr-FR"/>
        </w:rPr>
        <w:t xml:space="preserve">Documents informels </w:t>
      </w:r>
      <w:r w:rsidRPr="00643086">
        <w:rPr>
          <w:lang w:val="fr-FR"/>
        </w:rPr>
        <w:t>:</w:t>
      </w:r>
      <w:r w:rsidRPr="00D06271">
        <w:rPr>
          <w:lang w:val="fr-FR"/>
        </w:rPr>
        <w:tab/>
        <w:t>INF.33 et INF.41/Rev.1 (France)</w:t>
      </w:r>
    </w:p>
    <w:p w14:paraId="4197BB17" w14:textId="2947156D" w:rsidR="00D958B3" w:rsidRDefault="00D958B3" w:rsidP="00D958B3">
      <w:pPr>
        <w:pStyle w:val="SingleTxtG"/>
        <w:rPr>
          <w:lang w:val="fr-FR"/>
        </w:rPr>
      </w:pPr>
      <w:r w:rsidRPr="00D06271">
        <w:rPr>
          <w:lang w:val="fr-FR"/>
        </w:rPr>
        <w:t>3</w:t>
      </w:r>
      <w:r w:rsidR="00953CF0">
        <w:rPr>
          <w:lang w:val="fr-FR"/>
        </w:rPr>
        <w:t>6</w:t>
      </w:r>
      <w:r w:rsidRPr="00D06271">
        <w:rPr>
          <w:lang w:val="fr-FR"/>
        </w:rPr>
        <w:t>.</w:t>
      </w:r>
      <w:r w:rsidRPr="00D06271">
        <w:rPr>
          <w:lang w:val="fr-FR"/>
        </w:rPr>
        <w:tab/>
        <w:t>En ce qui concerne les options présentées dans le document ECE/TRANS/WP.15/AC.1/2023/51, la Réunion commune a noté que les avis étaient partagés. Certains représentants étaient favorables à l</w:t>
      </w:r>
      <w:r>
        <w:rPr>
          <w:lang w:val="fr-FR"/>
        </w:rPr>
        <w:t>’</w:t>
      </w:r>
      <w:r w:rsidRPr="00D06271">
        <w:rPr>
          <w:lang w:val="fr-FR"/>
        </w:rPr>
        <w:t>ajout d</w:t>
      </w:r>
      <w:r>
        <w:rPr>
          <w:lang w:val="fr-FR"/>
        </w:rPr>
        <w:t>’</w:t>
      </w:r>
      <w:r w:rsidRPr="00D06271">
        <w:rPr>
          <w:lang w:val="fr-FR"/>
        </w:rPr>
        <w:t xml:space="preserve">une définition de </w:t>
      </w:r>
      <w:r>
        <w:rPr>
          <w:lang w:val="fr-FR"/>
        </w:rPr>
        <w:t>« </w:t>
      </w:r>
      <w:r w:rsidRPr="00D06271">
        <w:rPr>
          <w:lang w:val="fr-FR"/>
        </w:rPr>
        <w:t>conteneur</w:t>
      </w:r>
      <w:r>
        <w:rPr>
          <w:lang w:val="fr-FR"/>
        </w:rPr>
        <w:noBreakHyphen/>
      </w:r>
      <w:r w:rsidRPr="00D06271">
        <w:rPr>
          <w:lang w:val="fr-FR"/>
        </w:rPr>
        <w:t>bag</w:t>
      </w:r>
      <w:r>
        <w:rPr>
          <w:lang w:val="fr-FR"/>
        </w:rPr>
        <w:t> »</w:t>
      </w:r>
      <w:r w:rsidRPr="00D06271">
        <w:rPr>
          <w:lang w:val="fr-FR"/>
        </w:rPr>
        <w:t>. D</w:t>
      </w:r>
      <w:r>
        <w:rPr>
          <w:lang w:val="fr-FR"/>
        </w:rPr>
        <w:t>’</w:t>
      </w:r>
      <w:r w:rsidRPr="00D06271">
        <w:rPr>
          <w:lang w:val="fr-FR"/>
        </w:rPr>
        <w:t>autres ont suggéré des améliorations au texte proposé. À la suite d</w:t>
      </w:r>
      <w:r>
        <w:rPr>
          <w:lang w:val="fr-FR"/>
        </w:rPr>
        <w:t>’</w:t>
      </w:r>
      <w:r w:rsidRPr="00D06271">
        <w:rPr>
          <w:lang w:val="fr-FR"/>
        </w:rPr>
        <w:t>une réunion informelle, la Réunion commune a adopté les amendements proposés aux paragraphes</w:t>
      </w:r>
      <w:r>
        <w:rPr>
          <w:lang w:val="fr-FR"/>
        </w:rPr>
        <w:t> </w:t>
      </w:r>
      <w:r w:rsidRPr="00D06271">
        <w:rPr>
          <w:lang w:val="fr-FR"/>
        </w:rPr>
        <w:t>8 et 10 à 13 du document informel INF.41/Rev.1, tels que modifiés (voir annexe</w:t>
      </w:r>
      <w:r w:rsidR="0048548F">
        <w:rPr>
          <w:lang w:val="fr-FR"/>
        </w:rPr>
        <w:t> II</w:t>
      </w:r>
      <w:r w:rsidRPr="00D06271">
        <w:rPr>
          <w:lang w:val="fr-FR"/>
        </w:rPr>
        <w:t>).</w:t>
      </w:r>
    </w:p>
    <w:p w14:paraId="2662D22F" w14:textId="77777777" w:rsidR="005C5DB6" w:rsidRPr="00F50E9D" w:rsidRDefault="005C5DB6" w:rsidP="005C5DB6">
      <w:pPr>
        <w:pStyle w:val="H23G"/>
        <w:rPr>
          <w:lang w:val="fr-FR"/>
        </w:rPr>
      </w:pPr>
      <w:r>
        <w:rPr>
          <w:lang w:val="fr-FR"/>
        </w:rPr>
        <w:lastRenderedPageBreak/>
        <w:tab/>
      </w:r>
      <w:bookmarkStart w:id="79" w:name="_Toc147845955"/>
      <w:bookmarkStart w:id="80" w:name="_Toc148357341"/>
      <w:bookmarkStart w:id="81" w:name="_Toc148358405"/>
      <w:r w:rsidRPr="00F50E9D">
        <w:rPr>
          <w:lang w:val="fr-FR"/>
        </w:rPr>
        <w:t>10.</w:t>
      </w:r>
      <w:r w:rsidRPr="00F50E9D">
        <w:rPr>
          <w:lang w:val="fr-FR"/>
        </w:rPr>
        <w:tab/>
        <w:t xml:space="preserve">Transport de déchets dans des emballages intérieurs placés </w:t>
      </w:r>
      <w:r>
        <w:rPr>
          <w:lang w:val="fr-FR"/>
        </w:rPr>
        <w:br/>
      </w:r>
      <w:r w:rsidRPr="00F50E9D">
        <w:rPr>
          <w:lang w:val="fr-FR"/>
        </w:rPr>
        <w:t>dans un même emballage extérieur</w:t>
      </w:r>
      <w:bookmarkEnd w:id="79"/>
      <w:bookmarkEnd w:id="80"/>
      <w:bookmarkEnd w:id="81"/>
    </w:p>
    <w:p w14:paraId="38261E6E" w14:textId="77777777" w:rsidR="005C5DB6" w:rsidRPr="00F50E9D" w:rsidRDefault="005C5DB6" w:rsidP="000616BA">
      <w:pPr>
        <w:pStyle w:val="SingleTxtG"/>
        <w:tabs>
          <w:tab w:val="clear" w:pos="2268"/>
          <w:tab w:val="clear" w:pos="2835"/>
        </w:tabs>
        <w:ind w:left="3289" w:hanging="2155"/>
        <w:rPr>
          <w:lang w:val="fr-FR"/>
        </w:rPr>
      </w:pPr>
      <w:r w:rsidRPr="00F50E9D">
        <w:rPr>
          <w:i/>
          <w:iCs/>
          <w:lang w:val="fr-FR"/>
        </w:rPr>
        <w:t>Document </w:t>
      </w:r>
      <w:r w:rsidRPr="00F50E9D">
        <w:rPr>
          <w:lang w:val="fr-FR"/>
        </w:rPr>
        <w:t>:</w:t>
      </w:r>
      <w:r w:rsidRPr="00F50E9D">
        <w:rPr>
          <w:lang w:val="fr-FR"/>
        </w:rPr>
        <w:tab/>
        <w:t>ECE/TRANS/WP.15/AC.1/2023/43 (FEAD)</w:t>
      </w:r>
    </w:p>
    <w:p w14:paraId="296A3522" w14:textId="77777777" w:rsidR="005C5DB6" w:rsidRPr="00F50E9D" w:rsidRDefault="005C5DB6" w:rsidP="005C5DB6">
      <w:pPr>
        <w:pStyle w:val="SingleTxtG"/>
        <w:ind w:left="3289" w:hanging="2155"/>
        <w:rPr>
          <w:lang w:val="fr-FR"/>
        </w:rPr>
      </w:pPr>
      <w:r w:rsidRPr="00F50E9D">
        <w:rPr>
          <w:i/>
          <w:iCs/>
          <w:lang w:val="fr-FR"/>
        </w:rPr>
        <w:t xml:space="preserve">Documents informels </w:t>
      </w:r>
      <w:r w:rsidRPr="001B405E">
        <w:rPr>
          <w:lang w:val="fr-FR"/>
        </w:rPr>
        <w:t>:</w:t>
      </w:r>
      <w:r w:rsidRPr="00F50E9D">
        <w:rPr>
          <w:lang w:val="fr-FR"/>
        </w:rPr>
        <w:tab/>
        <w:t>INF.9 et INF.39/Rev.1 (FEAD)</w:t>
      </w:r>
    </w:p>
    <w:p w14:paraId="6A8524A7" w14:textId="270DC845" w:rsidR="005C5DB6" w:rsidRPr="00F50E9D" w:rsidRDefault="00D85CEC" w:rsidP="00FA7DFE">
      <w:pPr>
        <w:pStyle w:val="SingleTxtG"/>
        <w:rPr>
          <w:lang w:val="fr-FR"/>
        </w:rPr>
      </w:pPr>
      <w:r>
        <w:rPr>
          <w:lang w:val="fr-FR"/>
        </w:rPr>
        <w:t>37</w:t>
      </w:r>
      <w:r w:rsidR="005C5DB6" w:rsidRPr="00F50E9D">
        <w:rPr>
          <w:lang w:val="fr-FR"/>
        </w:rPr>
        <w:t>.</w:t>
      </w:r>
      <w:r w:rsidR="005C5DB6" w:rsidRPr="00F50E9D">
        <w:rPr>
          <w:lang w:val="fr-FR"/>
        </w:rPr>
        <w:tab/>
        <w:t>Certaines délégations ont approuvé dans leur principe les amendements proposés dans le document ECE/TRANS/WP.15/AC.</w:t>
      </w:r>
      <w:r w:rsidR="005C5DB6">
        <w:rPr>
          <w:lang w:val="fr-FR"/>
        </w:rPr>
        <w:t>1</w:t>
      </w:r>
      <w:r w:rsidR="005C5DB6" w:rsidRPr="00F50E9D">
        <w:rPr>
          <w:lang w:val="fr-FR"/>
        </w:rPr>
        <w:t>/2023/43, tel que modifié par le document informel INF.25. D</w:t>
      </w:r>
      <w:r w:rsidR="005C5DB6">
        <w:rPr>
          <w:lang w:val="fr-FR"/>
        </w:rPr>
        <w:t>’</w:t>
      </w:r>
      <w:r w:rsidR="005C5DB6" w:rsidRPr="00F50E9D">
        <w:rPr>
          <w:lang w:val="fr-FR"/>
        </w:rPr>
        <w:t xml:space="preserve">autres souhaitaient étudier plus en détail les propositions. </w:t>
      </w:r>
    </w:p>
    <w:p w14:paraId="6467AC8E" w14:textId="1E2C4377" w:rsidR="005C5DB6" w:rsidRDefault="00D85CEC" w:rsidP="005C5DB6">
      <w:pPr>
        <w:pStyle w:val="SingleTxtG"/>
        <w:rPr>
          <w:lang w:val="fr-FR"/>
        </w:rPr>
      </w:pPr>
      <w:r>
        <w:rPr>
          <w:lang w:val="fr-FR"/>
        </w:rPr>
        <w:t>38</w:t>
      </w:r>
      <w:r w:rsidR="005C5DB6" w:rsidRPr="00F50E9D">
        <w:rPr>
          <w:lang w:val="fr-FR"/>
        </w:rPr>
        <w:t>.</w:t>
      </w:r>
      <w:r w:rsidR="005C5DB6" w:rsidRPr="00F50E9D">
        <w:rPr>
          <w:lang w:val="fr-FR"/>
        </w:rPr>
        <w:tab/>
        <w:t>À l</w:t>
      </w:r>
      <w:r w:rsidR="005C5DB6">
        <w:rPr>
          <w:lang w:val="fr-FR"/>
        </w:rPr>
        <w:t>’</w:t>
      </w:r>
      <w:r w:rsidR="005C5DB6" w:rsidRPr="00F50E9D">
        <w:rPr>
          <w:lang w:val="fr-FR"/>
        </w:rPr>
        <w:t>issue d</w:t>
      </w:r>
      <w:r w:rsidR="005C5DB6">
        <w:rPr>
          <w:lang w:val="fr-FR"/>
        </w:rPr>
        <w:t>’</w:t>
      </w:r>
      <w:r w:rsidR="005C5DB6" w:rsidRPr="00F50E9D">
        <w:rPr>
          <w:lang w:val="fr-FR"/>
        </w:rPr>
        <w:t>une réunion informelle, la Réunion commune a adopté les amendements proposés dans le document informel INF.39/Rev.1 et décidé de les maintenir entre crochets (voir annexe</w:t>
      </w:r>
      <w:r w:rsidR="0048548F">
        <w:rPr>
          <w:lang w:val="fr-FR"/>
        </w:rPr>
        <w:t xml:space="preserve"> III</w:t>
      </w:r>
      <w:r w:rsidR="005C5DB6" w:rsidRPr="00F50E9D">
        <w:rPr>
          <w:lang w:val="fr-FR"/>
        </w:rPr>
        <w:t>), sous réserve d</w:t>
      </w:r>
      <w:r w:rsidR="005C5DB6">
        <w:rPr>
          <w:lang w:val="fr-FR"/>
        </w:rPr>
        <w:t>’</w:t>
      </w:r>
      <w:r w:rsidR="005C5DB6" w:rsidRPr="00F50E9D">
        <w:rPr>
          <w:lang w:val="fr-FR"/>
        </w:rPr>
        <w:t xml:space="preserve">un nouvel examen par le WP.15 </w:t>
      </w:r>
      <w:r w:rsidR="009A1D06">
        <w:rPr>
          <w:lang w:val="fr-FR"/>
        </w:rPr>
        <w:t>et</w:t>
      </w:r>
      <w:r w:rsidR="00447410">
        <w:rPr>
          <w:lang w:val="fr-FR"/>
        </w:rPr>
        <w:t xml:space="preserve"> </w:t>
      </w:r>
      <w:r w:rsidR="00B842E4">
        <w:rPr>
          <w:lang w:val="fr-FR"/>
        </w:rPr>
        <w:t>le</w:t>
      </w:r>
      <w:r w:rsidR="00447410" w:rsidRPr="00AA2C8C">
        <w:rPr>
          <w:lang w:val="fr-FR"/>
        </w:rPr>
        <w:t xml:space="preserve"> groupe de travail permanent </w:t>
      </w:r>
      <w:r w:rsidR="00935746">
        <w:rPr>
          <w:lang w:val="fr-FR"/>
        </w:rPr>
        <w:t>de la Commission</w:t>
      </w:r>
      <w:r w:rsidR="00447410" w:rsidRPr="00AA2C8C">
        <w:rPr>
          <w:lang w:val="fr-FR"/>
        </w:rPr>
        <w:t xml:space="preserve"> d’experts du RID</w:t>
      </w:r>
      <w:r w:rsidR="00447410" w:rsidRPr="00F50E9D">
        <w:rPr>
          <w:lang w:val="fr-FR"/>
        </w:rPr>
        <w:t xml:space="preserve"> </w:t>
      </w:r>
      <w:r w:rsidR="005C5DB6" w:rsidRPr="00F50E9D">
        <w:rPr>
          <w:lang w:val="fr-FR"/>
        </w:rPr>
        <w:t xml:space="preserve">à </w:t>
      </w:r>
      <w:r w:rsidR="00FF4921">
        <w:rPr>
          <w:lang w:val="fr-FR"/>
        </w:rPr>
        <w:t>leur</w:t>
      </w:r>
      <w:r w:rsidR="0035057B">
        <w:rPr>
          <w:lang w:val="fr-FR"/>
        </w:rPr>
        <w:t>s</w:t>
      </w:r>
      <w:r w:rsidR="005C5DB6" w:rsidRPr="00F50E9D">
        <w:rPr>
          <w:lang w:val="fr-FR"/>
        </w:rPr>
        <w:t xml:space="preserve"> prochaine</w:t>
      </w:r>
      <w:r w:rsidR="0035057B">
        <w:rPr>
          <w:lang w:val="fr-FR"/>
        </w:rPr>
        <w:t>s</w:t>
      </w:r>
      <w:r w:rsidR="005C5DB6" w:rsidRPr="00F50E9D">
        <w:rPr>
          <w:lang w:val="fr-FR"/>
        </w:rPr>
        <w:t xml:space="preserve"> session</w:t>
      </w:r>
      <w:r w:rsidR="0035057B">
        <w:rPr>
          <w:lang w:val="fr-FR"/>
        </w:rPr>
        <w:t>s</w:t>
      </w:r>
      <w:r w:rsidR="005C5DB6" w:rsidRPr="00F50E9D">
        <w:rPr>
          <w:lang w:val="fr-FR"/>
        </w:rPr>
        <w:t>.</w:t>
      </w:r>
      <w:r w:rsidR="00424534">
        <w:rPr>
          <w:lang w:val="fr-FR"/>
        </w:rPr>
        <w:t xml:space="preserve"> </w:t>
      </w:r>
      <w:r w:rsidR="00AA2C8C" w:rsidRPr="00AA2C8C">
        <w:rPr>
          <w:lang w:val="fr-FR"/>
        </w:rPr>
        <w:t>Le représentant d</w:t>
      </w:r>
      <w:r w:rsidR="008D0A06">
        <w:rPr>
          <w:lang w:val="fr-FR"/>
        </w:rPr>
        <w:t>e la</w:t>
      </w:r>
      <w:r w:rsidR="00AA2C8C" w:rsidRPr="00AA2C8C">
        <w:rPr>
          <w:lang w:val="fr-FR"/>
        </w:rPr>
        <w:t xml:space="preserve"> FEAD est convenu de soumettre </w:t>
      </w:r>
      <w:r w:rsidR="00FA3877" w:rsidRPr="00AA2C8C">
        <w:rPr>
          <w:lang w:val="fr-FR"/>
        </w:rPr>
        <w:t xml:space="preserve">à cet effet </w:t>
      </w:r>
      <w:r w:rsidR="00AA2C8C" w:rsidRPr="00AA2C8C">
        <w:rPr>
          <w:lang w:val="fr-FR"/>
        </w:rPr>
        <w:t>un document informel au WP.15 et au groupe de travail permanent d</w:t>
      </w:r>
      <w:r w:rsidR="00254107">
        <w:rPr>
          <w:lang w:val="fr-FR"/>
        </w:rPr>
        <w:t xml:space="preserve">e la Commission </w:t>
      </w:r>
      <w:r w:rsidR="00AA2C8C" w:rsidRPr="00AA2C8C">
        <w:rPr>
          <w:lang w:val="fr-FR"/>
        </w:rPr>
        <w:t>d’experts du RID</w:t>
      </w:r>
      <w:r w:rsidR="00FA3877">
        <w:rPr>
          <w:lang w:val="fr-FR"/>
        </w:rPr>
        <w:t>.</w:t>
      </w:r>
    </w:p>
    <w:p w14:paraId="3EBDB56A" w14:textId="77777777" w:rsidR="00013A67" w:rsidRPr="009470B3" w:rsidRDefault="00013A67" w:rsidP="00013A67">
      <w:pPr>
        <w:pStyle w:val="H23G"/>
        <w:rPr>
          <w:lang w:val="fr-FR"/>
        </w:rPr>
      </w:pPr>
      <w:r>
        <w:rPr>
          <w:lang w:val="fr-FR"/>
        </w:rPr>
        <w:tab/>
      </w:r>
      <w:bookmarkStart w:id="82" w:name="_Toc147845956"/>
      <w:bookmarkStart w:id="83" w:name="_Toc148357342"/>
      <w:bookmarkStart w:id="84" w:name="_Toc148358406"/>
      <w:r w:rsidRPr="009470B3">
        <w:rPr>
          <w:lang w:val="fr-FR"/>
        </w:rPr>
        <w:t>11.</w:t>
      </w:r>
      <w:r w:rsidRPr="009470B3">
        <w:rPr>
          <w:lang w:val="fr-FR"/>
        </w:rPr>
        <w:tab/>
        <w:t>Marchandises dangereuses contenues dans des machines, des appareils ou des objets : expiration de la mesure transitoire énoncée au 1.6.1.46 du RID et de l</w:t>
      </w:r>
      <w:r>
        <w:rPr>
          <w:lang w:val="fr-FR"/>
        </w:rPr>
        <w:t>’</w:t>
      </w:r>
      <w:r w:rsidRPr="009470B3">
        <w:rPr>
          <w:lang w:val="fr-FR"/>
        </w:rPr>
        <w:t>ADR</w:t>
      </w:r>
      <w:bookmarkEnd w:id="82"/>
      <w:bookmarkEnd w:id="83"/>
      <w:bookmarkEnd w:id="84"/>
    </w:p>
    <w:p w14:paraId="0EE58B10" w14:textId="423B6940" w:rsidR="00013A67" w:rsidRPr="009470B3" w:rsidRDefault="00013A67" w:rsidP="00013A67">
      <w:pPr>
        <w:pStyle w:val="SingleTxtG"/>
        <w:ind w:left="3402" w:hanging="2268"/>
        <w:rPr>
          <w:lang w:val="fr-FR"/>
        </w:rPr>
      </w:pPr>
      <w:r w:rsidRPr="009470B3">
        <w:rPr>
          <w:i/>
          <w:iCs/>
          <w:lang w:val="fr-FR"/>
        </w:rPr>
        <w:t>Document </w:t>
      </w:r>
      <w:r w:rsidRPr="009470B3">
        <w:rPr>
          <w:lang w:val="fr-FR"/>
        </w:rPr>
        <w:t>:</w:t>
      </w:r>
      <w:r w:rsidRPr="009470B3">
        <w:rPr>
          <w:lang w:val="fr-FR"/>
        </w:rPr>
        <w:tab/>
      </w:r>
      <w:r>
        <w:rPr>
          <w:lang w:val="fr-FR"/>
        </w:rPr>
        <w:tab/>
      </w:r>
      <w:r>
        <w:rPr>
          <w:lang w:val="fr-FR"/>
        </w:rPr>
        <w:tab/>
      </w:r>
      <w:r w:rsidRPr="009470B3">
        <w:rPr>
          <w:lang w:val="fr-FR"/>
        </w:rPr>
        <w:t xml:space="preserve">ECE/TRANS/WP.15/AC.1/2023/24 (Allemagne, </w:t>
      </w:r>
      <w:proofErr w:type="spellStart"/>
      <w:r w:rsidRPr="009470B3">
        <w:rPr>
          <w:lang w:val="fr-FR"/>
        </w:rPr>
        <w:t>Cefic</w:t>
      </w:r>
      <w:proofErr w:type="spellEnd"/>
      <w:r w:rsidRPr="009470B3">
        <w:rPr>
          <w:lang w:val="fr-FR"/>
        </w:rPr>
        <w:t>)</w:t>
      </w:r>
    </w:p>
    <w:p w14:paraId="17149957" w14:textId="2E54246E" w:rsidR="00013A67" w:rsidRPr="009470B3" w:rsidRDefault="00013A67" w:rsidP="00013A67">
      <w:pPr>
        <w:pStyle w:val="SingleTxtG"/>
        <w:ind w:left="3402" w:hanging="2268"/>
        <w:rPr>
          <w:lang w:val="fr-FR"/>
        </w:rPr>
      </w:pPr>
      <w:r w:rsidRPr="009470B3">
        <w:rPr>
          <w:i/>
          <w:iCs/>
          <w:lang w:val="fr-FR"/>
        </w:rPr>
        <w:t xml:space="preserve">Documents informels </w:t>
      </w:r>
      <w:r w:rsidRPr="00E627C3">
        <w:rPr>
          <w:lang w:val="fr-FR"/>
        </w:rPr>
        <w:t>:</w:t>
      </w:r>
      <w:r w:rsidRPr="009470B3">
        <w:rPr>
          <w:lang w:val="fr-FR"/>
        </w:rPr>
        <w:tab/>
      </w:r>
      <w:r>
        <w:rPr>
          <w:lang w:val="fr-FR"/>
        </w:rPr>
        <w:tab/>
      </w:r>
      <w:r w:rsidRPr="009470B3">
        <w:rPr>
          <w:lang w:val="fr-FR"/>
        </w:rPr>
        <w:t xml:space="preserve">INF.42 et INF.42/Rev.1 (Allemagne, </w:t>
      </w:r>
      <w:proofErr w:type="spellStart"/>
      <w:r w:rsidRPr="009470B3">
        <w:rPr>
          <w:lang w:val="fr-FR"/>
        </w:rPr>
        <w:t>Cefic</w:t>
      </w:r>
      <w:proofErr w:type="spellEnd"/>
      <w:r w:rsidRPr="009470B3">
        <w:rPr>
          <w:lang w:val="fr-FR"/>
        </w:rPr>
        <w:t>)</w:t>
      </w:r>
    </w:p>
    <w:p w14:paraId="0C4B5EBF" w14:textId="2324E840" w:rsidR="00013A67" w:rsidRPr="009470B3" w:rsidRDefault="00D85CEC" w:rsidP="006838BC">
      <w:pPr>
        <w:pStyle w:val="SingleTxtG"/>
        <w:rPr>
          <w:lang w:val="fr-FR"/>
        </w:rPr>
      </w:pPr>
      <w:r>
        <w:rPr>
          <w:lang w:val="fr-FR"/>
        </w:rPr>
        <w:t>39</w:t>
      </w:r>
      <w:r w:rsidR="00013A67" w:rsidRPr="009470B3">
        <w:rPr>
          <w:lang w:val="fr-FR"/>
        </w:rPr>
        <w:t>.</w:t>
      </w:r>
      <w:r w:rsidR="00013A67" w:rsidRPr="009470B3">
        <w:rPr>
          <w:lang w:val="fr-FR"/>
        </w:rPr>
        <w:tab/>
        <w:t xml:space="preserve">Certaines délégations ont approuvé dans </w:t>
      </w:r>
      <w:r w:rsidR="00013A67">
        <w:rPr>
          <w:lang w:val="fr-FR"/>
        </w:rPr>
        <w:t>son</w:t>
      </w:r>
      <w:r w:rsidR="00013A67" w:rsidRPr="009470B3">
        <w:rPr>
          <w:lang w:val="fr-FR"/>
        </w:rPr>
        <w:t xml:space="preserve"> principe la proposition figurant dans le document ECE/TRANS/WP.15/AC.1/2023/24, tel que modifié par le document informel INF.42. D</w:t>
      </w:r>
      <w:r w:rsidR="00013A67">
        <w:rPr>
          <w:lang w:val="fr-FR"/>
        </w:rPr>
        <w:t>’</w:t>
      </w:r>
      <w:r w:rsidR="00013A67" w:rsidRPr="009470B3">
        <w:rPr>
          <w:lang w:val="fr-FR"/>
        </w:rPr>
        <w:t>autres ont estimé que l</w:t>
      </w:r>
      <w:r w:rsidR="00013A67">
        <w:rPr>
          <w:lang w:val="fr-FR"/>
        </w:rPr>
        <w:t>’</w:t>
      </w:r>
      <w:r w:rsidR="00013A67" w:rsidRPr="009470B3">
        <w:rPr>
          <w:lang w:val="fr-FR"/>
        </w:rPr>
        <w:t xml:space="preserve">exemption prévue dans la période transitoire proposée pour les machines et équipements usagés était encore trop vaste. </w:t>
      </w:r>
    </w:p>
    <w:p w14:paraId="427E8B72" w14:textId="38B3F995" w:rsidR="00013A67" w:rsidRPr="009470B3" w:rsidRDefault="00D85CEC" w:rsidP="006838BC">
      <w:pPr>
        <w:pStyle w:val="SingleTxtG"/>
        <w:rPr>
          <w:lang w:val="fr-FR"/>
        </w:rPr>
      </w:pPr>
      <w:r>
        <w:rPr>
          <w:lang w:val="fr-FR"/>
        </w:rPr>
        <w:t>40</w:t>
      </w:r>
      <w:r w:rsidR="00013A67" w:rsidRPr="009470B3">
        <w:rPr>
          <w:lang w:val="fr-FR"/>
        </w:rPr>
        <w:t>.</w:t>
      </w:r>
      <w:r w:rsidR="00013A67" w:rsidRPr="009470B3">
        <w:rPr>
          <w:lang w:val="fr-FR"/>
        </w:rPr>
        <w:tab/>
      </w:r>
      <w:r w:rsidR="00B90E41" w:rsidRPr="00B90E41">
        <w:rPr>
          <w:lang w:val="fr-FR"/>
        </w:rPr>
        <w:t xml:space="preserve">Au cours de la discussion </w:t>
      </w:r>
      <w:r w:rsidR="008556AB">
        <w:rPr>
          <w:lang w:val="fr-FR"/>
        </w:rPr>
        <w:t>sur le</w:t>
      </w:r>
      <w:r w:rsidR="00B90E41" w:rsidRPr="00B90E41">
        <w:rPr>
          <w:lang w:val="fr-FR"/>
        </w:rPr>
        <w:t xml:space="preserve"> document informel INF.42/Rev.1, les avis </w:t>
      </w:r>
      <w:r w:rsidR="008556AB">
        <w:rPr>
          <w:lang w:val="fr-FR"/>
        </w:rPr>
        <w:t>étaient</w:t>
      </w:r>
      <w:r w:rsidR="00B90E41" w:rsidRPr="00B90E41">
        <w:rPr>
          <w:lang w:val="fr-FR"/>
        </w:rPr>
        <w:t xml:space="preserve"> </w:t>
      </w:r>
      <w:r w:rsidR="004D717B">
        <w:rPr>
          <w:lang w:val="fr-FR"/>
        </w:rPr>
        <w:t xml:space="preserve">toujours </w:t>
      </w:r>
      <w:r w:rsidR="00B90E41" w:rsidRPr="00B90E41">
        <w:rPr>
          <w:lang w:val="fr-FR"/>
        </w:rPr>
        <w:t xml:space="preserve">partagés et, après un vote, </w:t>
      </w:r>
      <w:r w:rsidR="008556AB">
        <w:rPr>
          <w:lang w:val="fr-FR"/>
        </w:rPr>
        <w:t>la proposition</w:t>
      </w:r>
      <w:r w:rsidR="00B90E41" w:rsidRPr="00B90E41">
        <w:rPr>
          <w:lang w:val="fr-FR"/>
        </w:rPr>
        <w:t xml:space="preserve"> n’a pas été adoptée</w:t>
      </w:r>
      <w:r w:rsidR="00013A67" w:rsidRPr="009470B3">
        <w:rPr>
          <w:lang w:val="fr-FR"/>
        </w:rPr>
        <w:t>. Le représentant de l</w:t>
      </w:r>
      <w:r w:rsidR="00013A67">
        <w:rPr>
          <w:lang w:val="fr-FR"/>
        </w:rPr>
        <w:t>’</w:t>
      </w:r>
      <w:r w:rsidR="00013A67" w:rsidRPr="009470B3">
        <w:rPr>
          <w:lang w:val="fr-FR"/>
        </w:rPr>
        <w:t>Allemagne a offert d</w:t>
      </w:r>
      <w:r w:rsidR="00013A67">
        <w:rPr>
          <w:lang w:val="fr-FR"/>
        </w:rPr>
        <w:t>’</w:t>
      </w:r>
      <w:r w:rsidR="00013A67" w:rsidRPr="009470B3">
        <w:rPr>
          <w:lang w:val="fr-FR"/>
        </w:rPr>
        <w:t>établir une nouvelle proposition en vue de trouver une solution à long terme dans le cadre des éditions 2027 du RID et de l</w:t>
      </w:r>
      <w:r w:rsidR="00013A67">
        <w:rPr>
          <w:lang w:val="fr-FR"/>
        </w:rPr>
        <w:t>’</w:t>
      </w:r>
      <w:r w:rsidR="00013A67" w:rsidRPr="009470B3">
        <w:rPr>
          <w:lang w:val="fr-FR"/>
        </w:rPr>
        <w:t xml:space="preserve">ADR, et, </w:t>
      </w:r>
      <w:r w:rsidR="00B22692">
        <w:rPr>
          <w:lang w:val="fr-FR"/>
        </w:rPr>
        <w:t>d</w:t>
      </w:r>
      <w:r w:rsidR="00371FCE">
        <w:rPr>
          <w:lang w:val="fr-FR"/>
        </w:rPr>
        <w:t xml:space="preserve">e prolonger </w:t>
      </w:r>
      <w:r w:rsidR="002549C4">
        <w:rPr>
          <w:lang w:val="fr-FR"/>
        </w:rPr>
        <w:t>l</w:t>
      </w:r>
      <w:r w:rsidR="00614302">
        <w:rPr>
          <w:lang w:val="fr-FR"/>
        </w:rPr>
        <w:t>’</w:t>
      </w:r>
      <w:r w:rsidR="00013A67" w:rsidRPr="009470B3">
        <w:rPr>
          <w:lang w:val="fr-FR"/>
        </w:rPr>
        <w:t>accord multilatéral</w:t>
      </w:r>
      <w:r w:rsidR="00B737B6" w:rsidRPr="00B737B6">
        <w:rPr>
          <w:lang w:val="fr-FR"/>
        </w:rPr>
        <w:t xml:space="preserve"> </w:t>
      </w:r>
      <w:r w:rsidR="00B737B6">
        <w:rPr>
          <w:lang w:val="fr-FR"/>
        </w:rPr>
        <w:t>actuel</w:t>
      </w:r>
      <w:r w:rsidR="00013A67" w:rsidRPr="009470B3">
        <w:rPr>
          <w:lang w:val="fr-FR"/>
        </w:rPr>
        <w:t>.</w:t>
      </w:r>
    </w:p>
    <w:p w14:paraId="79148D61" w14:textId="77777777" w:rsidR="00456D9E" w:rsidRPr="00942042" w:rsidRDefault="00456D9E" w:rsidP="00456D9E">
      <w:pPr>
        <w:pStyle w:val="H1G"/>
      </w:pPr>
      <w:r>
        <w:rPr>
          <w:lang w:val="fr-FR"/>
        </w:rPr>
        <w:tab/>
      </w:r>
      <w:bookmarkStart w:id="85" w:name="_Toc147830520"/>
      <w:bookmarkStart w:id="86" w:name="_Toc147845957"/>
      <w:bookmarkStart w:id="87" w:name="_Toc148357343"/>
      <w:bookmarkStart w:id="88" w:name="_Toc148358407"/>
      <w:r>
        <w:rPr>
          <w:lang w:val="fr-FR"/>
        </w:rPr>
        <w:t>B.</w:t>
      </w:r>
      <w:r>
        <w:rPr>
          <w:lang w:val="fr-FR"/>
        </w:rPr>
        <w:tab/>
        <w:t>Nouvelles propositions</w:t>
      </w:r>
      <w:bookmarkEnd w:id="85"/>
      <w:bookmarkEnd w:id="86"/>
      <w:bookmarkEnd w:id="87"/>
      <w:bookmarkEnd w:id="88"/>
    </w:p>
    <w:p w14:paraId="2480CB82" w14:textId="77777777" w:rsidR="00456D9E" w:rsidRPr="00942042" w:rsidRDefault="00456D9E" w:rsidP="00456D9E">
      <w:pPr>
        <w:pStyle w:val="H23G"/>
      </w:pPr>
      <w:r>
        <w:rPr>
          <w:lang w:val="fr-FR"/>
        </w:rPr>
        <w:tab/>
      </w:r>
      <w:bookmarkStart w:id="89" w:name="_Toc147845958"/>
      <w:bookmarkStart w:id="90" w:name="_Toc148357344"/>
      <w:bookmarkStart w:id="91" w:name="_Toc148358408"/>
      <w:r>
        <w:rPr>
          <w:lang w:val="fr-FR"/>
        </w:rPr>
        <w:t>1.</w:t>
      </w:r>
      <w:r>
        <w:rPr>
          <w:lang w:val="fr-FR"/>
        </w:rPr>
        <w:tab/>
        <w:t>Numéros d’identification du danger 78 et 87</w:t>
      </w:r>
      <w:bookmarkEnd w:id="89"/>
      <w:bookmarkEnd w:id="90"/>
      <w:bookmarkEnd w:id="91"/>
    </w:p>
    <w:p w14:paraId="7C0C0B12" w14:textId="766F2728" w:rsidR="00456D9E" w:rsidRPr="00942042" w:rsidRDefault="00456D9E" w:rsidP="007101E9">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ECE/TRANS/WP.15/AC.1/2023/25 (Secrétariat de l’OTIF)</w:t>
      </w:r>
    </w:p>
    <w:p w14:paraId="7511B15D" w14:textId="57415E81" w:rsidR="00456D9E" w:rsidRPr="00942042" w:rsidRDefault="00D85CEC" w:rsidP="00456D9E">
      <w:pPr>
        <w:pStyle w:val="SingleTxtG"/>
      </w:pPr>
      <w:r>
        <w:rPr>
          <w:lang w:val="fr-FR"/>
        </w:rPr>
        <w:t>41</w:t>
      </w:r>
      <w:r w:rsidR="00456D9E">
        <w:rPr>
          <w:lang w:val="fr-FR"/>
        </w:rPr>
        <w:t>.</w:t>
      </w:r>
      <w:r w:rsidR="00456D9E">
        <w:rPr>
          <w:lang w:val="fr-FR"/>
        </w:rPr>
        <w:tab/>
        <w:t>La Réunion commune a adopté les modifications proposées dans le document ECE/TRANS/WP.15/AC.1/2023/25 (voir annexe</w:t>
      </w:r>
      <w:r w:rsidR="00DC639F">
        <w:rPr>
          <w:lang w:val="fr-FR"/>
        </w:rPr>
        <w:t xml:space="preserve"> II</w:t>
      </w:r>
      <w:r w:rsidR="00456D9E">
        <w:rPr>
          <w:lang w:val="fr-FR"/>
        </w:rPr>
        <w:t>).</w:t>
      </w:r>
    </w:p>
    <w:p w14:paraId="42CE387E" w14:textId="77777777" w:rsidR="00456D9E" w:rsidRPr="00942042" w:rsidRDefault="00456D9E" w:rsidP="00456D9E">
      <w:pPr>
        <w:pStyle w:val="H23G"/>
      </w:pPr>
      <w:r>
        <w:rPr>
          <w:bCs/>
          <w:lang w:val="fr-FR"/>
        </w:rPr>
        <w:tab/>
      </w:r>
      <w:bookmarkStart w:id="92" w:name="_Toc147845959"/>
      <w:bookmarkStart w:id="93" w:name="_Toc148357345"/>
      <w:bookmarkStart w:id="94" w:name="_Toc148358409"/>
      <w:r>
        <w:rPr>
          <w:bCs/>
          <w:lang w:val="fr-FR"/>
        </w:rPr>
        <w:t>2.</w:t>
      </w:r>
      <w:r>
        <w:rPr>
          <w:lang w:val="fr-FR"/>
        </w:rPr>
        <w:tab/>
      </w:r>
      <w:r>
        <w:rPr>
          <w:bCs/>
          <w:lang w:val="fr-FR"/>
        </w:rPr>
        <w:t xml:space="preserve">Examen des </w:t>
      </w:r>
      <w:r w:rsidRPr="00F529C1">
        <w:rPr>
          <w:lang w:val="fr-FR"/>
        </w:rPr>
        <w:t>conseillers</w:t>
      </w:r>
      <w:r>
        <w:rPr>
          <w:bCs/>
          <w:lang w:val="fr-FR"/>
        </w:rPr>
        <w:t xml:space="preserve"> à la sécurité pour le transport de marchandises dangereuses</w:t>
      </w:r>
      <w:bookmarkEnd w:id="92"/>
      <w:bookmarkEnd w:id="93"/>
      <w:bookmarkEnd w:id="94"/>
    </w:p>
    <w:p w14:paraId="7C5A0F6A" w14:textId="213E1B93" w:rsidR="00456D9E" w:rsidRPr="00942042" w:rsidRDefault="00456D9E" w:rsidP="00456D9E">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ECE/TRANS/WP.15/AC.1/2023/32 (Secrétariat de l’OTIF)</w:t>
      </w:r>
    </w:p>
    <w:p w14:paraId="260E46F3" w14:textId="22685A72" w:rsidR="00456D9E" w:rsidRPr="00942042" w:rsidRDefault="00D85CEC" w:rsidP="00456D9E">
      <w:pPr>
        <w:pStyle w:val="SingleTxtG"/>
      </w:pPr>
      <w:r>
        <w:rPr>
          <w:lang w:val="fr-FR"/>
        </w:rPr>
        <w:t>42</w:t>
      </w:r>
      <w:r w:rsidR="00456D9E">
        <w:rPr>
          <w:lang w:val="fr-FR"/>
        </w:rPr>
        <w:t>.</w:t>
      </w:r>
      <w:r w:rsidR="00456D9E">
        <w:rPr>
          <w:lang w:val="fr-FR"/>
        </w:rPr>
        <w:tab/>
        <w:t>La Réunion commune a adopté les modifications proposées (voir annexe</w:t>
      </w:r>
      <w:r w:rsidR="00DC639F">
        <w:rPr>
          <w:lang w:val="fr-FR"/>
        </w:rPr>
        <w:t xml:space="preserve"> II</w:t>
      </w:r>
      <w:r w:rsidR="00456D9E">
        <w:rPr>
          <w:lang w:val="fr-FR"/>
        </w:rPr>
        <w:t>).</w:t>
      </w:r>
    </w:p>
    <w:p w14:paraId="0CC4B26B" w14:textId="77777777" w:rsidR="00456D9E" w:rsidRPr="00942042" w:rsidRDefault="00456D9E" w:rsidP="00456D9E">
      <w:pPr>
        <w:pStyle w:val="H23G"/>
      </w:pPr>
      <w:r>
        <w:rPr>
          <w:bCs/>
          <w:lang w:val="fr-FR"/>
        </w:rPr>
        <w:tab/>
      </w:r>
      <w:bookmarkStart w:id="95" w:name="_Toc147845960"/>
      <w:bookmarkStart w:id="96" w:name="_Toc148357346"/>
      <w:bookmarkStart w:id="97" w:name="_Toc148358410"/>
      <w:r>
        <w:rPr>
          <w:bCs/>
          <w:lang w:val="fr-FR"/>
        </w:rPr>
        <w:t>3.</w:t>
      </w:r>
      <w:r>
        <w:rPr>
          <w:lang w:val="fr-FR"/>
        </w:rPr>
        <w:tab/>
      </w:r>
      <w:r>
        <w:rPr>
          <w:bCs/>
          <w:lang w:val="fr-FR"/>
        </w:rPr>
        <w:t>Mise à l’épreuve des emballages et des GRV munis d’un évent</w:t>
      </w:r>
      <w:bookmarkEnd w:id="95"/>
      <w:bookmarkEnd w:id="96"/>
      <w:bookmarkEnd w:id="97"/>
    </w:p>
    <w:p w14:paraId="70FD7A0D" w14:textId="39C0AFE4" w:rsidR="00456D9E" w:rsidRPr="00942042" w:rsidRDefault="00456D9E" w:rsidP="00456D9E">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ECE/TRANS/WP.15/AC.1/2023/38 (Pays-Bas)</w:t>
      </w:r>
    </w:p>
    <w:p w14:paraId="474033FE" w14:textId="61D78C4F" w:rsidR="00456D9E" w:rsidRPr="00942042" w:rsidRDefault="00D85CEC" w:rsidP="00456D9E">
      <w:pPr>
        <w:pStyle w:val="SingleTxtG"/>
      </w:pPr>
      <w:r>
        <w:rPr>
          <w:lang w:val="fr-FR"/>
        </w:rPr>
        <w:t>43</w:t>
      </w:r>
      <w:r w:rsidR="00456D9E">
        <w:rPr>
          <w:lang w:val="fr-FR"/>
        </w:rPr>
        <w:t>.</w:t>
      </w:r>
      <w:r w:rsidR="00456D9E">
        <w:rPr>
          <w:lang w:val="fr-FR"/>
        </w:rPr>
        <w:tab/>
        <w:t>La Réunion commune n’a pas appuyé la modification qu’il était proposé d’apporter au 4.1.1.8. Les participants ont estimé que les dispositions énoncées au 6.1.5.2.5 et 6.1.5.2.6 étaient suffisamment claires et qu’il n’était donc pas nécessaire de modifier le RID ou l’ADR.</w:t>
      </w:r>
      <w:r w:rsidR="00341B5A">
        <w:rPr>
          <w:lang w:val="fr-FR"/>
        </w:rPr>
        <w:t xml:space="preserve"> </w:t>
      </w:r>
      <w:r w:rsidR="00E87FEB" w:rsidRPr="00E87FEB">
        <w:rPr>
          <w:lang w:val="fr-FR"/>
        </w:rPr>
        <w:t xml:space="preserve">En outre, la Réunion </w:t>
      </w:r>
      <w:r w:rsidR="00E87FEB">
        <w:rPr>
          <w:lang w:val="fr-FR"/>
        </w:rPr>
        <w:t>commune</w:t>
      </w:r>
      <w:r w:rsidR="00E87FEB" w:rsidRPr="00E87FEB">
        <w:rPr>
          <w:lang w:val="fr-FR"/>
        </w:rPr>
        <w:t xml:space="preserve"> a confirmé que le 4.1.1.8 s’appliquait également aux </w:t>
      </w:r>
      <w:r w:rsidR="00D95BCB">
        <w:rPr>
          <w:lang w:val="fr-FR"/>
        </w:rPr>
        <w:t>type</w:t>
      </w:r>
      <w:r w:rsidR="00A0041C">
        <w:rPr>
          <w:lang w:val="fr-FR"/>
        </w:rPr>
        <w:t>s</w:t>
      </w:r>
      <w:r w:rsidR="00D95BCB">
        <w:rPr>
          <w:lang w:val="fr-FR"/>
        </w:rPr>
        <w:t xml:space="preserve"> </w:t>
      </w:r>
      <w:r w:rsidR="00A0041C">
        <w:rPr>
          <w:lang w:val="fr-FR"/>
        </w:rPr>
        <w:t>d’</w:t>
      </w:r>
      <w:r w:rsidR="00E87FEB" w:rsidRPr="00E87FEB">
        <w:rPr>
          <w:lang w:val="fr-FR"/>
        </w:rPr>
        <w:t xml:space="preserve">emballage </w:t>
      </w:r>
      <w:r w:rsidR="009E0D30">
        <w:rPr>
          <w:lang w:val="fr-FR"/>
        </w:rPr>
        <w:t>qui n’étaient pas d’un type agréé</w:t>
      </w:r>
      <w:r w:rsidR="006A1B62">
        <w:rPr>
          <w:lang w:val="fr-FR"/>
        </w:rPr>
        <w:t>.</w:t>
      </w:r>
    </w:p>
    <w:p w14:paraId="05176713" w14:textId="77777777" w:rsidR="00456D9E" w:rsidRPr="00942042" w:rsidRDefault="00456D9E" w:rsidP="00456D9E">
      <w:pPr>
        <w:pStyle w:val="H23G"/>
      </w:pPr>
      <w:r>
        <w:rPr>
          <w:bCs/>
          <w:lang w:val="fr-FR"/>
        </w:rPr>
        <w:tab/>
      </w:r>
      <w:bookmarkStart w:id="98" w:name="_Toc147845961"/>
      <w:bookmarkStart w:id="99" w:name="_Toc148357347"/>
      <w:bookmarkStart w:id="100" w:name="_Toc148358411"/>
      <w:r>
        <w:rPr>
          <w:bCs/>
          <w:lang w:val="fr-FR"/>
        </w:rPr>
        <w:t>4.</w:t>
      </w:r>
      <w:r>
        <w:rPr>
          <w:lang w:val="fr-FR"/>
        </w:rPr>
        <w:tab/>
      </w:r>
      <w:r>
        <w:rPr>
          <w:bCs/>
          <w:lang w:val="fr-FR"/>
        </w:rPr>
        <w:t>Amendements au tableau A, à la disposition spéciale 645 et au 5.4.1.2.1 g)</w:t>
      </w:r>
      <w:bookmarkEnd w:id="98"/>
      <w:bookmarkEnd w:id="99"/>
      <w:bookmarkEnd w:id="100"/>
    </w:p>
    <w:p w14:paraId="6DDA0889" w14:textId="1E38A4DA" w:rsidR="00456D9E" w:rsidRPr="00942042" w:rsidRDefault="00456D9E" w:rsidP="00456D9E">
      <w:pPr>
        <w:pStyle w:val="SingleTxtG"/>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ECE/TRANS/WP.15/AC.1/2023/39 (Pays-Bas)</w:t>
      </w:r>
    </w:p>
    <w:p w14:paraId="6086584B" w14:textId="252EAE7C" w:rsidR="00456D9E" w:rsidRPr="00942042" w:rsidRDefault="00D85CEC" w:rsidP="00456D9E">
      <w:pPr>
        <w:pStyle w:val="SingleTxtG"/>
      </w:pPr>
      <w:r>
        <w:rPr>
          <w:lang w:val="fr-FR"/>
        </w:rPr>
        <w:lastRenderedPageBreak/>
        <w:t>44</w:t>
      </w:r>
      <w:r w:rsidR="00456D9E">
        <w:rPr>
          <w:lang w:val="fr-FR"/>
        </w:rPr>
        <w:t>.</w:t>
      </w:r>
      <w:r w:rsidR="00456D9E">
        <w:rPr>
          <w:lang w:val="fr-FR"/>
        </w:rPr>
        <w:tab/>
        <w:t>Certaines délégations ont appuyé les modifications proposées aux fins de l’harmonisation du RID, de l’ADR et de l’ADN avec le Règlement type, tandis que d’autres étaient d’avis que la proposition soumise n’était pas acceptable et qu’il fallait en affiner encore le libellé. Le représentant des Pays-Bas a proposé d’élaborer un nouveau document en vue de la session suivante. Les autres représentants ont été invités à lui soumettre leurs observations par écrit.</w:t>
      </w:r>
    </w:p>
    <w:p w14:paraId="1CF61E13" w14:textId="77777777" w:rsidR="00456D9E" w:rsidRPr="00942042" w:rsidRDefault="00456D9E" w:rsidP="00456D9E">
      <w:pPr>
        <w:pStyle w:val="H23G"/>
      </w:pPr>
      <w:r>
        <w:rPr>
          <w:bCs/>
          <w:lang w:val="fr-FR"/>
        </w:rPr>
        <w:tab/>
      </w:r>
      <w:bookmarkStart w:id="101" w:name="_Toc147845962"/>
      <w:bookmarkStart w:id="102" w:name="_Toc148357348"/>
      <w:bookmarkStart w:id="103" w:name="_Toc148358412"/>
      <w:r>
        <w:rPr>
          <w:bCs/>
          <w:lang w:val="fr-FR"/>
        </w:rPr>
        <w:t>5.</w:t>
      </w:r>
      <w:r>
        <w:rPr>
          <w:lang w:val="fr-FR"/>
        </w:rPr>
        <w:tab/>
      </w:r>
      <w:r>
        <w:rPr>
          <w:bCs/>
          <w:lang w:val="fr-FR"/>
        </w:rPr>
        <w:t xml:space="preserve">Mesures </w:t>
      </w:r>
      <w:r w:rsidRPr="00F529C1">
        <w:rPr>
          <w:lang w:val="fr-FR"/>
        </w:rPr>
        <w:t>transitoires</w:t>
      </w:r>
      <w:bookmarkEnd w:id="101"/>
      <w:bookmarkEnd w:id="102"/>
      <w:bookmarkEnd w:id="103"/>
    </w:p>
    <w:p w14:paraId="28EC76CD" w14:textId="1DF4843A" w:rsidR="00456D9E" w:rsidRPr="00942042" w:rsidRDefault="00456D9E" w:rsidP="00456D9E">
      <w:pPr>
        <w:pStyle w:val="SingleTxtG"/>
        <w:tabs>
          <w:tab w:val="left" w:pos="3402"/>
        </w:tabs>
      </w:pPr>
      <w:r>
        <w:rPr>
          <w:i/>
          <w:iCs/>
          <w:lang w:val="fr-FR"/>
        </w:rPr>
        <w:t>Document informel :</w:t>
      </w:r>
      <w:r>
        <w:rPr>
          <w:lang w:val="fr-FR"/>
        </w:rPr>
        <w:tab/>
      </w:r>
      <w:r w:rsidR="005578D7">
        <w:rPr>
          <w:lang w:val="fr-FR"/>
        </w:rPr>
        <w:tab/>
      </w:r>
      <w:r w:rsidR="005578D7">
        <w:rPr>
          <w:lang w:val="fr-FR"/>
        </w:rPr>
        <w:tab/>
      </w:r>
      <w:r>
        <w:rPr>
          <w:lang w:val="fr-FR"/>
        </w:rPr>
        <w:t>INF.15 (Secrétariat)</w:t>
      </w:r>
    </w:p>
    <w:p w14:paraId="12965D48" w14:textId="14B227B3" w:rsidR="00456D9E" w:rsidRDefault="00D85CEC" w:rsidP="00456D9E">
      <w:pPr>
        <w:pStyle w:val="SingleTxtG"/>
      </w:pPr>
      <w:r>
        <w:rPr>
          <w:lang w:val="fr-FR"/>
        </w:rPr>
        <w:t>45</w:t>
      </w:r>
      <w:r w:rsidR="00456D9E">
        <w:rPr>
          <w:lang w:val="fr-FR"/>
        </w:rPr>
        <w:t>.</w:t>
      </w:r>
      <w:r w:rsidR="00456D9E">
        <w:rPr>
          <w:lang w:val="fr-FR"/>
        </w:rPr>
        <w:tab/>
        <w:t>La Réunion commune a adopté les modifications qu’il était proposé d’apporter aux mesures transitoires, telles que figurant au paragraphe 2 du document informel INF.15. S’agissant du paragraphe 3 dudit document, il a été décidé de faire cesser au 31 décembre 2026 l’application de la mesure transitoire 1.6.1.8 pour les panneaux orange non conformes au RID et à l’ADR (voir annexe</w:t>
      </w:r>
      <w:r w:rsidR="00DC639F">
        <w:rPr>
          <w:lang w:val="fr-FR"/>
        </w:rPr>
        <w:t xml:space="preserve"> II</w:t>
      </w:r>
      <w:r w:rsidR="00456D9E">
        <w:rPr>
          <w:lang w:val="fr-FR"/>
        </w:rPr>
        <w:t>).</w:t>
      </w:r>
    </w:p>
    <w:p w14:paraId="2D855F96" w14:textId="77777777" w:rsidR="00456D9E" w:rsidRPr="00942042" w:rsidRDefault="00456D9E" w:rsidP="00456D9E">
      <w:pPr>
        <w:pStyle w:val="H23G"/>
      </w:pPr>
      <w:r>
        <w:rPr>
          <w:bCs/>
          <w:lang w:val="fr-FR"/>
        </w:rPr>
        <w:tab/>
      </w:r>
      <w:bookmarkStart w:id="104" w:name="_Toc147845963"/>
      <w:bookmarkStart w:id="105" w:name="_Toc148357349"/>
      <w:bookmarkStart w:id="106" w:name="_Toc148358413"/>
      <w:r>
        <w:rPr>
          <w:bCs/>
          <w:lang w:val="fr-FR"/>
        </w:rPr>
        <w:t>6.</w:t>
      </w:r>
      <w:r>
        <w:rPr>
          <w:lang w:val="fr-FR"/>
        </w:rPr>
        <w:tab/>
      </w:r>
      <w:r>
        <w:rPr>
          <w:bCs/>
          <w:lang w:val="fr-FR"/>
        </w:rPr>
        <w:t xml:space="preserve">Périodicité </w:t>
      </w:r>
      <w:r w:rsidRPr="00F529C1">
        <w:rPr>
          <w:lang w:val="fr-FR"/>
        </w:rPr>
        <w:t>des</w:t>
      </w:r>
      <w:r>
        <w:rPr>
          <w:bCs/>
          <w:lang w:val="fr-FR"/>
        </w:rPr>
        <w:t xml:space="preserve"> épreuves pour les véhicules-batteries remplis conformément à l’instruction d’emballage P200</w:t>
      </w:r>
      <w:bookmarkEnd w:id="104"/>
      <w:bookmarkEnd w:id="105"/>
      <w:bookmarkEnd w:id="106"/>
    </w:p>
    <w:p w14:paraId="70B0BB75" w14:textId="29451575" w:rsidR="00456D9E" w:rsidRPr="00942042" w:rsidRDefault="00456D9E" w:rsidP="00456D9E">
      <w:pPr>
        <w:pStyle w:val="SingleTxtG"/>
        <w:tabs>
          <w:tab w:val="left" w:pos="3402"/>
        </w:tabs>
      </w:pPr>
      <w:r>
        <w:rPr>
          <w:i/>
          <w:iCs/>
          <w:lang w:val="fr-FR"/>
        </w:rPr>
        <w:t>Document informel :</w:t>
      </w:r>
      <w:r>
        <w:rPr>
          <w:lang w:val="fr-FR"/>
        </w:rPr>
        <w:tab/>
      </w:r>
      <w:r w:rsidR="005578D7">
        <w:rPr>
          <w:lang w:val="fr-FR"/>
        </w:rPr>
        <w:tab/>
      </w:r>
      <w:r w:rsidR="005578D7">
        <w:rPr>
          <w:lang w:val="fr-FR"/>
        </w:rPr>
        <w:tab/>
      </w:r>
      <w:r>
        <w:rPr>
          <w:lang w:val="fr-FR"/>
        </w:rPr>
        <w:t>INF.17 (EIGA)</w:t>
      </w:r>
    </w:p>
    <w:p w14:paraId="471459A9" w14:textId="11A9B627" w:rsidR="00456D9E" w:rsidRDefault="00D85CEC" w:rsidP="00456D9E">
      <w:pPr>
        <w:pStyle w:val="SingleTxtG"/>
        <w:rPr>
          <w:lang w:val="fr-FR"/>
        </w:rPr>
      </w:pPr>
      <w:r>
        <w:rPr>
          <w:lang w:val="fr-FR"/>
        </w:rPr>
        <w:t>46</w:t>
      </w:r>
      <w:r w:rsidR="00456D9E">
        <w:rPr>
          <w:lang w:val="fr-FR"/>
        </w:rPr>
        <w:t>.</w:t>
      </w:r>
      <w:r w:rsidR="00456D9E">
        <w:rPr>
          <w:lang w:val="fr-FR"/>
        </w:rPr>
        <w:tab/>
        <w:t xml:space="preserve">Étant donné que certaines dispositions du RID et de l’ADR prévoyaient actuellement un intervalle de 15 ans entre les épreuves périodiques, plusieurs représentants ont estimé qu’il était trop tôt pour se prononcer concernant l’analyse de données recueillies sur une décennie seulement. La Réunion commune a souligné l’importance de ce sujet et a décidé de l’examiner attentivement à sa session suivante sur la base d’un document officiel. L’EIGA a été invitée à fournir une justification solide comprenant des informations détaillées sur l’évaluation menée. </w:t>
      </w:r>
    </w:p>
    <w:p w14:paraId="048A6818" w14:textId="77777777" w:rsidR="00D77F53" w:rsidRPr="001C062D" w:rsidRDefault="00D77F53" w:rsidP="00D77F53">
      <w:pPr>
        <w:pStyle w:val="H23G"/>
        <w:rPr>
          <w:lang w:val="fr-FR"/>
        </w:rPr>
      </w:pPr>
      <w:r>
        <w:rPr>
          <w:lang w:val="fr-FR"/>
        </w:rPr>
        <w:tab/>
      </w:r>
      <w:bookmarkStart w:id="107" w:name="_Toc147845964"/>
      <w:bookmarkStart w:id="108" w:name="_Toc148357350"/>
      <w:bookmarkStart w:id="109" w:name="_Toc148358414"/>
      <w:r w:rsidRPr="001C062D">
        <w:rPr>
          <w:lang w:val="fr-FR"/>
        </w:rPr>
        <w:t>7.</w:t>
      </w:r>
      <w:r w:rsidRPr="001C062D">
        <w:rPr>
          <w:lang w:val="fr-FR"/>
        </w:rPr>
        <w:tab/>
        <w:t>Diagramme prêtant à confusion dans l</w:t>
      </w:r>
      <w:r>
        <w:rPr>
          <w:lang w:val="fr-FR"/>
        </w:rPr>
        <w:t>’</w:t>
      </w:r>
      <w:r w:rsidRPr="001C062D">
        <w:rPr>
          <w:lang w:val="fr-FR"/>
        </w:rPr>
        <w:t>instruction d</w:t>
      </w:r>
      <w:r>
        <w:rPr>
          <w:lang w:val="fr-FR"/>
        </w:rPr>
        <w:t>’</w:t>
      </w:r>
      <w:r w:rsidRPr="001C062D">
        <w:rPr>
          <w:lang w:val="fr-FR"/>
        </w:rPr>
        <w:t xml:space="preserve">emballage P200, </w:t>
      </w:r>
      <w:r>
        <w:rPr>
          <w:lang w:val="fr-FR"/>
        </w:rPr>
        <w:br/>
      </w:r>
      <w:r w:rsidRPr="001C062D">
        <w:rPr>
          <w:lang w:val="fr-FR"/>
        </w:rPr>
        <w:t>à la fin du 4.1.4.1</w:t>
      </w:r>
      <w:bookmarkEnd w:id="107"/>
      <w:bookmarkEnd w:id="108"/>
      <w:bookmarkEnd w:id="109"/>
    </w:p>
    <w:p w14:paraId="4CC81851" w14:textId="319112A2" w:rsidR="00D77F53" w:rsidRPr="001C062D" w:rsidRDefault="00D77F53" w:rsidP="00D77F53">
      <w:pPr>
        <w:pStyle w:val="SingleTxtG"/>
        <w:tabs>
          <w:tab w:val="left" w:pos="3119"/>
        </w:tabs>
        <w:rPr>
          <w:lang w:val="fr-FR"/>
        </w:rPr>
      </w:pPr>
      <w:r w:rsidRPr="0012235F">
        <w:rPr>
          <w:i/>
          <w:iCs/>
          <w:lang w:val="fr-FR"/>
        </w:rPr>
        <w:t>Document</w:t>
      </w:r>
      <w:r>
        <w:rPr>
          <w:lang w:val="fr-FR"/>
        </w:rPr>
        <w:t> </w:t>
      </w:r>
      <w:r w:rsidRPr="00C3040E">
        <w:rPr>
          <w:i/>
          <w:iCs/>
          <w:lang w:val="fr-FR"/>
        </w:rPr>
        <w:t>:</w:t>
      </w:r>
      <w:r w:rsidRPr="001C062D">
        <w:rPr>
          <w:lang w:val="fr-FR"/>
        </w:rPr>
        <w:tab/>
      </w:r>
      <w:r w:rsidR="00673077">
        <w:rPr>
          <w:lang w:val="fr-FR"/>
        </w:rPr>
        <w:tab/>
      </w:r>
      <w:r w:rsidR="00673077">
        <w:rPr>
          <w:lang w:val="fr-FR"/>
        </w:rPr>
        <w:tab/>
      </w:r>
      <w:r w:rsidR="00673077">
        <w:rPr>
          <w:lang w:val="fr-FR"/>
        </w:rPr>
        <w:tab/>
      </w:r>
      <w:r w:rsidRPr="001C062D">
        <w:rPr>
          <w:lang w:val="fr-FR"/>
        </w:rPr>
        <w:t>ECE/TRANS/WP.15/AC.1/2023/45 (</w:t>
      </w:r>
      <w:proofErr w:type="spellStart"/>
      <w:r w:rsidRPr="001C062D">
        <w:rPr>
          <w:lang w:val="fr-FR"/>
        </w:rPr>
        <w:t>Liquid</w:t>
      </w:r>
      <w:proofErr w:type="spellEnd"/>
      <w:r w:rsidRPr="001C062D">
        <w:rPr>
          <w:lang w:val="fr-FR"/>
        </w:rPr>
        <w:t xml:space="preserve"> Gas Europe)</w:t>
      </w:r>
    </w:p>
    <w:p w14:paraId="3359ACB9" w14:textId="2569CD62" w:rsidR="00D77F53" w:rsidRPr="001C062D" w:rsidRDefault="00D85CEC" w:rsidP="00D77F53">
      <w:pPr>
        <w:pStyle w:val="SingleTxtG"/>
        <w:rPr>
          <w:lang w:val="fr-FR"/>
        </w:rPr>
      </w:pPr>
      <w:r>
        <w:rPr>
          <w:lang w:val="fr-FR"/>
        </w:rPr>
        <w:t>47</w:t>
      </w:r>
      <w:r w:rsidR="00D77F53" w:rsidRPr="001C062D">
        <w:rPr>
          <w:lang w:val="fr-FR"/>
        </w:rPr>
        <w:t>.</w:t>
      </w:r>
      <w:r w:rsidR="00D77F53" w:rsidRPr="001C062D">
        <w:rPr>
          <w:lang w:val="fr-FR"/>
        </w:rPr>
        <w:tab/>
        <w:t>La Réunion commune a adopté les amendements proposés dans le document ECE/TRANS/WP.15/AC.1/2023/45 (voir annexe</w:t>
      </w:r>
      <w:r w:rsidR="00DC639F">
        <w:rPr>
          <w:lang w:val="fr-FR"/>
        </w:rPr>
        <w:t xml:space="preserve"> II</w:t>
      </w:r>
      <w:r w:rsidR="00D77F53" w:rsidRPr="001C062D">
        <w:rPr>
          <w:lang w:val="fr-FR"/>
        </w:rPr>
        <w:t>).</w:t>
      </w:r>
    </w:p>
    <w:p w14:paraId="1244121F" w14:textId="18A9B76C" w:rsidR="00D77F53" w:rsidRDefault="00597905" w:rsidP="00D77F53">
      <w:pPr>
        <w:pStyle w:val="SingleTxtG"/>
        <w:rPr>
          <w:lang w:val="fr-FR"/>
        </w:rPr>
      </w:pPr>
      <w:r>
        <w:rPr>
          <w:lang w:val="fr-FR"/>
        </w:rPr>
        <w:t>48</w:t>
      </w:r>
      <w:r w:rsidR="00D77F53" w:rsidRPr="001C062D">
        <w:rPr>
          <w:lang w:val="fr-FR"/>
        </w:rPr>
        <w:t>.</w:t>
      </w:r>
      <w:r w:rsidR="00D77F53" w:rsidRPr="001C062D">
        <w:rPr>
          <w:lang w:val="fr-FR"/>
        </w:rPr>
        <w:tab/>
        <w:t>Le représentant de l</w:t>
      </w:r>
      <w:r w:rsidR="00D77F53">
        <w:rPr>
          <w:lang w:val="fr-FR"/>
        </w:rPr>
        <w:t>’</w:t>
      </w:r>
      <w:r w:rsidR="00D77F53" w:rsidRPr="001C062D">
        <w:rPr>
          <w:lang w:val="fr-FR"/>
        </w:rPr>
        <w:t>Allemagne a exprimé sa préférence pour l</w:t>
      </w:r>
      <w:r w:rsidR="00D77F53">
        <w:rPr>
          <w:lang w:val="fr-FR"/>
        </w:rPr>
        <w:t>’</w:t>
      </w:r>
      <w:r w:rsidR="00D77F53" w:rsidRPr="001C062D">
        <w:rPr>
          <w:lang w:val="fr-FR"/>
        </w:rPr>
        <w:t>ajout d</w:t>
      </w:r>
      <w:r w:rsidR="00D77F53">
        <w:rPr>
          <w:lang w:val="fr-FR"/>
        </w:rPr>
        <w:t>’</w:t>
      </w:r>
      <w:r w:rsidR="00D77F53" w:rsidRPr="001C062D">
        <w:rPr>
          <w:lang w:val="fr-FR"/>
        </w:rPr>
        <w:t xml:space="preserve">une note faisant référence au 2.2.2.3, afin de rendre le nouveau diagramme plus clair. Le Président a invité </w:t>
      </w:r>
      <w:r w:rsidR="00B1284E" w:rsidRPr="001C062D">
        <w:rPr>
          <w:lang w:val="fr-FR"/>
        </w:rPr>
        <w:t>l</w:t>
      </w:r>
      <w:r w:rsidR="00B1284E">
        <w:rPr>
          <w:lang w:val="fr-FR"/>
        </w:rPr>
        <w:t>’</w:t>
      </w:r>
      <w:r w:rsidR="00B1284E" w:rsidRPr="001C062D">
        <w:rPr>
          <w:lang w:val="fr-FR"/>
        </w:rPr>
        <w:t xml:space="preserve">Allemagne et </w:t>
      </w:r>
      <w:proofErr w:type="spellStart"/>
      <w:r w:rsidR="00D77F53" w:rsidRPr="001C062D">
        <w:rPr>
          <w:lang w:val="fr-FR"/>
        </w:rPr>
        <w:t>Liquid</w:t>
      </w:r>
      <w:proofErr w:type="spellEnd"/>
      <w:r w:rsidR="00D77F53" w:rsidRPr="001C062D">
        <w:rPr>
          <w:lang w:val="fr-FR"/>
        </w:rPr>
        <w:t xml:space="preserve"> Gas Europe à présenter une proposition en ce sens à la session suivante.</w:t>
      </w:r>
    </w:p>
    <w:p w14:paraId="6372C689" w14:textId="77777777" w:rsidR="00F44F42" w:rsidRPr="00F50E9D" w:rsidRDefault="00F44F42" w:rsidP="00F44F42">
      <w:pPr>
        <w:pStyle w:val="H23G"/>
        <w:rPr>
          <w:lang w:val="fr-FR"/>
        </w:rPr>
      </w:pPr>
      <w:r>
        <w:rPr>
          <w:lang w:val="fr-FR"/>
        </w:rPr>
        <w:tab/>
      </w:r>
      <w:bookmarkStart w:id="110" w:name="_Toc147845965"/>
      <w:bookmarkStart w:id="111" w:name="_Toc148357351"/>
      <w:bookmarkStart w:id="112" w:name="_Toc148358415"/>
      <w:r w:rsidRPr="00F50E9D">
        <w:rPr>
          <w:lang w:val="fr-FR"/>
        </w:rPr>
        <w:t>8.</w:t>
      </w:r>
      <w:r w:rsidRPr="00F50E9D">
        <w:rPr>
          <w:lang w:val="fr-FR"/>
        </w:rPr>
        <w:tab/>
        <w:t>Définition de la contenance maximale</w:t>
      </w:r>
      <w:bookmarkEnd w:id="110"/>
      <w:bookmarkEnd w:id="111"/>
      <w:bookmarkEnd w:id="112"/>
    </w:p>
    <w:p w14:paraId="453767F6" w14:textId="04E3C1E4" w:rsidR="00F44F42" w:rsidRPr="00F50E9D" w:rsidRDefault="00F44F42" w:rsidP="00F44F42">
      <w:pPr>
        <w:pStyle w:val="SingleTxtG"/>
        <w:ind w:left="3402" w:hanging="2268"/>
        <w:rPr>
          <w:lang w:val="fr-FR"/>
        </w:rPr>
      </w:pPr>
      <w:r w:rsidRPr="00F50E9D">
        <w:rPr>
          <w:i/>
          <w:iCs/>
          <w:lang w:val="fr-FR"/>
        </w:rPr>
        <w:t>Document </w:t>
      </w:r>
      <w:r w:rsidRPr="00F50E9D">
        <w:rPr>
          <w:lang w:val="fr-FR"/>
        </w:rPr>
        <w:t>:</w:t>
      </w:r>
      <w:r w:rsidRPr="00F50E9D">
        <w:rPr>
          <w:lang w:val="fr-FR"/>
        </w:rPr>
        <w:tab/>
      </w:r>
      <w:r>
        <w:rPr>
          <w:lang w:val="fr-FR"/>
        </w:rPr>
        <w:tab/>
      </w:r>
      <w:r>
        <w:rPr>
          <w:lang w:val="fr-FR"/>
        </w:rPr>
        <w:tab/>
      </w:r>
      <w:r w:rsidRPr="00F50E9D">
        <w:rPr>
          <w:lang w:val="fr-FR"/>
        </w:rPr>
        <w:t>ECE/TRANS/WP.15/AC.1/2023/36 (Belgique)</w:t>
      </w:r>
    </w:p>
    <w:p w14:paraId="799C1B4F" w14:textId="41EE6D38" w:rsidR="00F44F42" w:rsidRPr="00F50E9D" w:rsidRDefault="00597905" w:rsidP="00F44F42">
      <w:pPr>
        <w:pStyle w:val="SingleTxtG"/>
        <w:rPr>
          <w:lang w:val="fr-FR"/>
        </w:rPr>
      </w:pPr>
      <w:r>
        <w:rPr>
          <w:lang w:val="fr-FR"/>
        </w:rPr>
        <w:t>49</w:t>
      </w:r>
      <w:r w:rsidR="00F44F42" w:rsidRPr="00F50E9D">
        <w:rPr>
          <w:lang w:val="fr-FR"/>
        </w:rPr>
        <w:t>.</w:t>
      </w:r>
      <w:r w:rsidR="00F44F42" w:rsidRPr="00F50E9D">
        <w:rPr>
          <w:lang w:val="fr-FR"/>
        </w:rPr>
        <w:tab/>
        <w:t>La plupart des délégations qui ont pris la parole étaient favorables aux éclaircissements proposés, en principe, mais préféraient que la question soit d</w:t>
      </w:r>
      <w:r w:rsidR="00F44F42">
        <w:rPr>
          <w:lang w:val="fr-FR"/>
        </w:rPr>
        <w:t>’</w:t>
      </w:r>
      <w:r w:rsidR="00F44F42" w:rsidRPr="00F50E9D">
        <w:rPr>
          <w:lang w:val="fr-FR"/>
        </w:rPr>
        <w:t>abord examinée par le Sous-Comité TMD sur la base d</w:t>
      </w:r>
      <w:r w:rsidR="00F44F42">
        <w:rPr>
          <w:lang w:val="fr-FR"/>
        </w:rPr>
        <w:t>’</w:t>
      </w:r>
      <w:r w:rsidR="00F44F42" w:rsidRPr="00F50E9D">
        <w:rPr>
          <w:lang w:val="fr-FR"/>
        </w:rPr>
        <w:t>un amendement au Règlement type de l</w:t>
      </w:r>
      <w:r w:rsidR="00F44F42">
        <w:rPr>
          <w:lang w:val="fr-FR"/>
        </w:rPr>
        <w:t>’</w:t>
      </w:r>
      <w:r w:rsidR="00F44F42" w:rsidRPr="00F50E9D">
        <w:rPr>
          <w:lang w:val="fr-FR"/>
        </w:rPr>
        <w:t>ONU. Le représentant de la Belgique a proposé de soumettre une proposition au Sous</w:t>
      </w:r>
      <w:r w:rsidR="00F44F42">
        <w:rPr>
          <w:lang w:val="fr-FR"/>
        </w:rPr>
        <w:noBreakHyphen/>
      </w:r>
      <w:r w:rsidR="00F44F42" w:rsidRPr="00F50E9D">
        <w:rPr>
          <w:lang w:val="fr-FR"/>
        </w:rPr>
        <w:t>Comité TMD.</w:t>
      </w:r>
    </w:p>
    <w:p w14:paraId="74D0A8D2" w14:textId="77777777" w:rsidR="00F44F42" w:rsidRPr="00F50E9D" w:rsidRDefault="00F44F42" w:rsidP="00F44F42">
      <w:pPr>
        <w:pStyle w:val="H23G"/>
        <w:rPr>
          <w:lang w:val="fr-FR"/>
        </w:rPr>
      </w:pPr>
      <w:r>
        <w:rPr>
          <w:lang w:val="fr-FR"/>
        </w:rPr>
        <w:tab/>
      </w:r>
      <w:bookmarkStart w:id="113" w:name="_Toc147845966"/>
      <w:bookmarkStart w:id="114" w:name="_Toc148357352"/>
      <w:bookmarkStart w:id="115" w:name="_Toc148358416"/>
      <w:r w:rsidRPr="00F50E9D">
        <w:rPr>
          <w:lang w:val="fr-FR"/>
        </w:rPr>
        <w:t>9.</w:t>
      </w:r>
      <w:r w:rsidRPr="00F50E9D">
        <w:rPr>
          <w:lang w:val="fr-FR"/>
        </w:rPr>
        <w:tab/>
        <w:t xml:space="preserve">RID et ADR : Suppression du code-citerne L10CH pour le </w:t>
      </w:r>
      <w:r>
        <w:rPr>
          <w:lang w:val="fr-FR"/>
        </w:rPr>
        <w:t>No </w:t>
      </w:r>
      <w:r w:rsidRPr="00F50E9D">
        <w:rPr>
          <w:lang w:val="fr-FR"/>
        </w:rPr>
        <w:t>ONU 3550 POUDRE DE DIHYDROXIDE DE COBALT ayant une teneur en particules respirables supérieure ou égale à 10</w:t>
      </w:r>
      <w:r>
        <w:rPr>
          <w:lang w:val="fr-FR"/>
        </w:rPr>
        <w:t> </w:t>
      </w:r>
      <w:r w:rsidRPr="00F50E9D">
        <w:rPr>
          <w:lang w:val="fr-FR"/>
        </w:rPr>
        <w:t>%</w:t>
      </w:r>
      <w:bookmarkEnd w:id="113"/>
      <w:bookmarkEnd w:id="114"/>
      <w:bookmarkEnd w:id="115"/>
    </w:p>
    <w:p w14:paraId="03E97BB3" w14:textId="2972DFE5" w:rsidR="00F44F42" w:rsidRPr="00F50E9D" w:rsidRDefault="00F44F42" w:rsidP="00F44F42">
      <w:pPr>
        <w:pStyle w:val="SingleTxtG"/>
        <w:ind w:left="3289" w:hanging="2155"/>
        <w:rPr>
          <w:lang w:val="fr-FR"/>
        </w:rPr>
      </w:pPr>
      <w:r w:rsidRPr="00F50E9D">
        <w:rPr>
          <w:i/>
          <w:iCs/>
          <w:lang w:val="fr-FR"/>
        </w:rPr>
        <w:t xml:space="preserve">Document informel </w:t>
      </w:r>
      <w:r w:rsidRPr="001345E9">
        <w:rPr>
          <w:lang w:val="fr-FR"/>
        </w:rPr>
        <w:t>:</w:t>
      </w:r>
      <w:r w:rsidRPr="00F50E9D">
        <w:rPr>
          <w:lang w:val="fr-FR"/>
        </w:rPr>
        <w:tab/>
      </w:r>
      <w:r w:rsidR="00CE674F">
        <w:rPr>
          <w:lang w:val="fr-FR"/>
        </w:rPr>
        <w:tab/>
      </w:r>
      <w:r w:rsidR="00CE674F">
        <w:rPr>
          <w:lang w:val="fr-FR"/>
        </w:rPr>
        <w:tab/>
      </w:r>
      <w:r w:rsidRPr="00F50E9D">
        <w:rPr>
          <w:lang w:val="fr-FR"/>
        </w:rPr>
        <w:t>INF.27 (Allemagne)</w:t>
      </w:r>
    </w:p>
    <w:p w14:paraId="2F3B3BCC" w14:textId="38E51E24" w:rsidR="00F44F42" w:rsidRDefault="00597905" w:rsidP="00F44F42">
      <w:pPr>
        <w:pStyle w:val="SingleTxtG"/>
        <w:rPr>
          <w:lang w:val="fr-FR"/>
        </w:rPr>
      </w:pPr>
      <w:r>
        <w:rPr>
          <w:lang w:val="fr-FR"/>
        </w:rPr>
        <w:t>50</w:t>
      </w:r>
      <w:r w:rsidR="00F44F42" w:rsidRPr="00F50E9D">
        <w:rPr>
          <w:lang w:val="fr-FR"/>
        </w:rPr>
        <w:t>.</w:t>
      </w:r>
      <w:r w:rsidR="00F44F42" w:rsidRPr="00F50E9D">
        <w:rPr>
          <w:lang w:val="fr-FR"/>
        </w:rPr>
        <w:tab/>
        <w:t>La Réunion commune a pris note des résultats de la discussion du Groupe de travail des citernes (voir par</w:t>
      </w:r>
      <w:r w:rsidR="00F44F42">
        <w:rPr>
          <w:lang w:val="fr-FR"/>
        </w:rPr>
        <w:t>. </w:t>
      </w:r>
      <w:r w:rsidR="0084137D">
        <w:rPr>
          <w:lang w:val="fr-FR"/>
        </w:rPr>
        <w:t>16</w:t>
      </w:r>
      <w:r w:rsidR="00F44F42" w:rsidRPr="00F50E9D">
        <w:rPr>
          <w:lang w:val="fr-FR"/>
        </w:rPr>
        <w:t xml:space="preserve"> ci-dessus).</w:t>
      </w:r>
    </w:p>
    <w:p w14:paraId="06089461" w14:textId="77777777" w:rsidR="007F71EC" w:rsidRPr="002B0D36" w:rsidRDefault="007F71EC" w:rsidP="007F71EC">
      <w:pPr>
        <w:pStyle w:val="H23G"/>
        <w:rPr>
          <w:lang w:val="fr-FR"/>
        </w:rPr>
      </w:pPr>
      <w:r>
        <w:rPr>
          <w:lang w:val="fr-FR"/>
        </w:rPr>
        <w:lastRenderedPageBreak/>
        <w:tab/>
      </w:r>
      <w:bookmarkStart w:id="116" w:name="_Toc147845967"/>
      <w:bookmarkStart w:id="117" w:name="_Toc148357353"/>
      <w:bookmarkStart w:id="118" w:name="_Toc148358417"/>
      <w:r w:rsidRPr="002B0D36">
        <w:rPr>
          <w:lang w:val="fr-FR"/>
        </w:rPr>
        <w:t>10.</w:t>
      </w:r>
      <w:r w:rsidRPr="002B0D36">
        <w:rPr>
          <w:lang w:val="fr-FR"/>
        </w:rPr>
        <w:tab/>
        <w:t>Proposition d</w:t>
      </w:r>
      <w:r>
        <w:rPr>
          <w:lang w:val="fr-FR"/>
        </w:rPr>
        <w:t>’</w:t>
      </w:r>
      <w:r w:rsidRPr="002B0D36">
        <w:rPr>
          <w:lang w:val="fr-FR"/>
        </w:rPr>
        <w:t>amendement à l</w:t>
      </w:r>
      <w:r>
        <w:rPr>
          <w:lang w:val="fr-FR"/>
        </w:rPr>
        <w:t>’</w:t>
      </w:r>
      <w:r w:rsidRPr="002B0D36">
        <w:rPr>
          <w:lang w:val="fr-FR"/>
        </w:rPr>
        <w:t>instruction d</w:t>
      </w:r>
      <w:r>
        <w:rPr>
          <w:lang w:val="fr-FR"/>
        </w:rPr>
        <w:t>’</w:t>
      </w:r>
      <w:r w:rsidRPr="002B0D36">
        <w:rPr>
          <w:lang w:val="fr-FR"/>
        </w:rPr>
        <w:t xml:space="preserve">emballage P200 au 4.1.4.1 du RID </w:t>
      </w:r>
      <w:r>
        <w:rPr>
          <w:lang w:val="fr-FR"/>
        </w:rPr>
        <w:br/>
      </w:r>
      <w:r w:rsidRPr="002B0D36">
        <w:rPr>
          <w:lang w:val="fr-FR"/>
        </w:rPr>
        <w:t>et de l</w:t>
      </w:r>
      <w:r>
        <w:rPr>
          <w:lang w:val="fr-FR"/>
        </w:rPr>
        <w:t>’</w:t>
      </w:r>
      <w:r w:rsidRPr="002B0D36">
        <w:rPr>
          <w:lang w:val="fr-FR"/>
        </w:rPr>
        <w:t>ADR, afin de porter de 10 à 15 ans l</w:t>
      </w:r>
      <w:r>
        <w:rPr>
          <w:lang w:val="fr-FR"/>
        </w:rPr>
        <w:t>’</w:t>
      </w:r>
      <w:r w:rsidRPr="002B0D36">
        <w:rPr>
          <w:lang w:val="fr-FR"/>
        </w:rPr>
        <w:t>intervalle entre les contrôles périodiques des bouteilles pour GPL fabriquées selon la norme EN 14140</w:t>
      </w:r>
      <w:bookmarkEnd w:id="116"/>
      <w:bookmarkEnd w:id="117"/>
      <w:bookmarkEnd w:id="118"/>
    </w:p>
    <w:p w14:paraId="1230F4E1" w14:textId="77777777" w:rsidR="007F71EC" w:rsidRPr="002B0D36" w:rsidRDefault="007F71EC" w:rsidP="007F71EC">
      <w:pPr>
        <w:pStyle w:val="SingleTxtG"/>
        <w:spacing w:after="180"/>
        <w:ind w:left="3289" w:hanging="2155"/>
        <w:rPr>
          <w:lang w:val="fr-FR"/>
        </w:rPr>
      </w:pPr>
      <w:r w:rsidRPr="002B0D36">
        <w:rPr>
          <w:i/>
          <w:iCs/>
          <w:lang w:val="fr-FR"/>
        </w:rPr>
        <w:t xml:space="preserve">Documents informels </w:t>
      </w:r>
      <w:r w:rsidRPr="000F4CBB">
        <w:rPr>
          <w:lang w:val="fr-FR"/>
        </w:rPr>
        <w:t>:</w:t>
      </w:r>
      <w:r w:rsidRPr="002B0D36">
        <w:rPr>
          <w:lang w:val="fr-FR"/>
        </w:rPr>
        <w:tab/>
        <w:t>INF.14 et INF. 47 (</w:t>
      </w:r>
      <w:proofErr w:type="spellStart"/>
      <w:r w:rsidRPr="002B0D36">
        <w:rPr>
          <w:lang w:val="fr-FR"/>
        </w:rPr>
        <w:t>Liquid</w:t>
      </w:r>
      <w:proofErr w:type="spellEnd"/>
      <w:r w:rsidRPr="002B0D36">
        <w:rPr>
          <w:lang w:val="fr-FR"/>
        </w:rPr>
        <w:t xml:space="preserve"> Gas Europe)</w:t>
      </w:r>
    </w:p>
    <w:p w14:paraId="7B2F1295" w14:textId="48C21A21" w:rsidR="007F71EC" w:rsidRPr="002B0D36" w:rsidRDefault="00597905" w:rsidP="007F71EC">
      <w:pPr>
        <w:pStyle w:val="SingleTxtG"/>
        <w:spacing w:line="242" w:lineRule="atLeast"/>
        <w:rPr>
          <w:lang w:val="fr-FR"/>
        </w:rPr>
      </w:pPr>
      <w:r>
        <w:rPr>
          <w:lang w:val="fr-FR"/>
        </w:rPr>
        <w:t>51</w:t>
      </w:r>
      <w:r w:rsidR="007F71EC" w:rsidRPr="002B0D36">
        <w:rPr>
          <w:lang w:val="fr-FR"/>
        </w:rPr>
        <w:t>.</w:t>
      </w:r>
      <w:r w:rsidR="007F71EC" w:rsidRPr="002B0D36">
        <w:rPr>
          <w:lang w:val="fr-FR"/>
        </w:rPr>
        <w:tab/>
        <w:t>Les amendements proposés ayant été soumis tardivement, certaines délégations n</w:t>
      </w:r>
      <w:r w:rsidR="007F71EC">
        <w:rPr>
          <w:lang w:val="fr-FR"/>
        </w:rPr>
        <w:t>’</w:t>
      </w:r>
      <w:r w:rsidR="007F71EC" w:rsidRPr="002B0D36">
        <w:rPr>
          <w:lang w:val="fr-FR"/>
        </w:rPr>
        <w:t>étaient pas en mesure de les appuyer. D</w:t>
      </w:r>
      <w:r w:rsidR="007F71EC">
        <w:rPr>
          <w:lang w:val="fr-FR"/>
        </w:rPr>
        <w:t>’</w:t>
      </w:r>
      <w:r w:rsidR="007F71EC" w:rsidRPr="002B0D36">
        <w:rPr>
          <w:lang w:val="fr-FR"/>
        </w:rPr>
        <w:t xml:space="preserve">autres représentants </w:t>
      </w:r>
      <w:r w:rsidR="007F71EC">
        <w:rPr>
          <w:lang w:val="fr-FR"/>
        </w:rPr>
        <w:t>étaient d’avis</w:t>
      </w:r>
      <w:r w:rsidR="007F71EC" w:rsidRPr="002B0D36">
        <w:rPr>
          <w:lang w:val="fr-FR"/>
        </w:rPr>
        <w:t xml:space="preserve"> qu</w:t>
      </w:r>
      <w:r w:rsidR="007F71EC">
        <w:rPr>
          <w:lang w:val="fr-FR"/>
        </w:rPr>
        <w:t>’</w:t>
      </w:r>
      <w:r w:rsidR="007F71EC" w:rsidRPr="002B0D36">
        <w:rPr>
          <w:lang w:val="fr-FR"/>
        </w:rPr>
        <w:t>il était prématuré de porter l</w:t>
      </w:r>
      <w:r w:rsidR="007F71EC">
        <w:rPr>
          <w:lang w:val="fr-FR"/>
        </w:rPr>
        <w:t>’</w:t>
      </w:r>
      <w:r w:rsidR="007F71EC" w:rsidRPr="002B0D36">
        <w:rPr>
          <w:lang w:val="fr-FR"/>
        </w:rPr>
        <w:t xml:space="preserve">intervalle entre les contrôles périodiques à 15 ans et se sont </w:t>
      </w:r>
      <w:proofErr w:type="gramStart"/>
      <w:r w:rsidR="007F71EC" w:rsidRPr="002B0D36">
        <w:rPr>
          <w:lang w:val="fr-FR"/>
        </w:rPr>
        <w:t>inquiétés</w:t>
      </w:r>
      <w:proofErr w:type="gramEnd"/>
      <w:r w:rsidR="007F71EC" w:rsidRPr="002B0D36">
        <w:rPr>
          <w:lang w:val="fr-FR"/>
        </w:rPr>
        <w:t xml:space="preserve"> des incidences que la corrosion interne et externe </w:t>
      </w:r>
      <w:r w:rsidR="007F71EC" w:rsidRPr="0089394A">
        <w:rPr>
          <w:lang w:val="fr-FR"/>
        </w:rPr>
        <w:t>pourrait</w:t>
      </w:r>
      <w:r w:rsidR="007F71EC" w:rsidRPr="002B0D36">
        <w:rPr>
          <w:lang w:val="fr-FR"/>
        </w:rPr>
        <w:t xml:space="preserve"> avoir sur l</w:t>
      </w:r>
      <w:r w:rsidR="007F71EC">
        <w:rPr>
          <w:lang w:val="fr-FR"/>
        </w:rPr>
        <w:t>’</w:t>
      </w:r>
      <w:r w:rsidR="007F71EC" w:rsidRPr="002B0D36">
        <w:rPr>
          <w:lang w:val="fr-FR"/>
        </w:rPr>
        <w:t>épaisseur minimale des parois des bouteilles.</w:t>
      </w:r>
      <w:r w:rsidR="007F71EC">
        <w:rPr>
          <w:lang w:val="fr-FR"/>
        </w:rPr>
        <w:t xml:space="preserve"> </w:t>
      </w:r>
    </w:p>
    <w:p w14:paraId="57E8DCD5" w14:textId="59712FAA" w:rsidR="007F71EC" w:rsidRPr="002B0D36" w:rsidRDefault="00597905" w:rsidP="007F71EC">
      <w:pPr>
        <w:pStyle w:val="SingleTxtG"/>
        <w:rPr>
          <w:lang w:val="fr-FR"/>
        </w:rPr>
      </w:pPr>
      <w:r>
        <w:rPr>
          <w:lang w:val="fr-FR"/>
        </w:rPr>
        <w:t>52</w:t>
      </w:r>
      <w:r w:rsidR="007F71EC" w:rsidRPr="002B0D36">
        <w:rPr>
          <w:lang w:val="fr-FR"/>
        </w:rPr>
        <w:t>.</w:t>
      </w:r>
      <w:r w:rsidR="007F71EC" w:rsidRPr="002B0D36">
        <w:rPr>
          <w:lang w:val="fr-FR"/>
        </w:rPr>
        <w:tab/>
        <w:t xml:space="preserve">La Réunion commune a invité </w:t>
      </w:r>
      <w:proofErr w:type="spellStart"/>
      <w:r w:rsidR="007F71EC" w:rsidRPr="002B0D36">
        <w:rPr>
          <w:lang w:val="fr-FR"/>
        </w:rPr>
        <w:t>Liquid</w:t>
      </w:r>
      <w:proofErr w:type="spellEnd"/>
      <w:r w:rsidR="007F71EC" w:rsidRPr="002B0D36">
        <w:rPr>
          <w:lang w:val="fr-FR"/>
        </w:rPr>
        <w:t xml:space="preserve"> Gas Europe à établir un document officiel pour la session suivante et à fournir une justification plus détaillée des préoccupations soulevées.</w:t>
      </w:r>
    </w:p>
    <w:p w14:paraId="72C0806F" w14:textId="77777777" w:rsidR="00456D9E" w:rsidRPr="007C6432" w:rsidRDefault="00456D9E" w:rsidP="00456D9E">
      <w:pPr>
        <w:pStyle w:val="HChG"/>
      </w:pPr>
      <w:r>
        <w:rPr>
          <w:lang w:val="fr-FR"/>
        </w:rPr>
        <w:tab/>
      </w:r>
      <w:bookmarkStart w:id="119" w:name="_Toc147830521"/>
      <w:bookmarkStart w:id="120" w:name="_Toc147845968"/>
      <w:bookmarkStart w:id="121" w:name="_Toc148357354"/>
      <w:bookmarkStart w:id="122" w:name="_Toc148358418"/>
      <w:r>
        <w:rPr>
          <w:lang w:val="fr-FR"/>
        </w:rPr>
        <w:t>VIII.</w:t>
      </w:r>
      <w:r>
        <w:rPr>
          <w:lang w:val="fr-FR"/>
        </w:rPr>
        <w:tab/>
        <w:t xml:space="preserve">Interprétation du RID, de l’ADR et de l’ADN </w:t>
      </w:r>
      <w:r>
        <w:rPr>
          <w:lang w:val="fr-FR"/>
        </w:rPr>
        <w:br/>
        <w:t>(point 6 de l’ordre du jour)</w:t>
      </w:r>
      <w:bookmarkEnd w:id="119"/>
      <w:bookmarkEnd w:id="120"/>
      <w:bookmarkEnd w:id="121"/>
      <w:bookmarkEnd w:id="122"/>
    </w:p>
    <w:p w14:paraId="5E0C0C92" w14:textId="77777777" w:rsidR="00456D9E" w:rsidRPr="00942042" w:rsidRDefault="00456D9E" w:rsidP="00456D9E">
      <w:pPr>
        <w:pStyle w:val="H1G"/>
      </w:pPr>
      <w:r>
        <w:rPr>
          <w:lang w:val="fr-FR"/>
        </w:rPr>
        <w:tab/>
      </w:r>
      <w:bookmarkStart w:id="123" w:name="_Toc147830522"/>
      <w:bookmarkStart w:id="124" w:name="_Toc147845969"/>
      <w:bookmarkStart w:id="125" w:name="_Toc148357355"/>
      <w:bookmarkStart w:id="126" w:name="_Toc148358419"/>
      <w:r>
        <w:rPr>
          <w:lang w:val="fr-FR"/>
        </w:rPr>
        <w:t>A.</w:t>
      </w:r>
      <w:r>
        <w:rPr>
          <w:lang w:val="fr-FR"/>
        </w:rPr>
        <w:tab/>
        <w:t>Agrément de grands récipients pour vrac modifiés</w:t>
      </w:r>
      <w:bookmarkEnd w:id="123"/>
      <w:bookmarkEnd w:id="124"/>
      <w:bookmarkEnd w:id="125"/>
      <w:bookmarkEnd w:id="126"/>
    </w:p>
    <w:p w14:paraId="0F4B2CC3" w14:textId="09C76025" w:rsidR="00456D9E" w:rsidRPr="00942042" w:rsidRDefault="00456D9E" w:rsidP="00456D9E">
      <w:pPr>
        <w:pStyle w:val="SingleTxtG"/>
        <w:keepNext/>
        <w:tabs>
          <w:tab w:val="left" w:pos="3402"/>
        </w:tabs>
      </w:pPr>
      <w:r>
        <w:rPr>
          <w:i/>
          <w:iCs/>
          <w:lang w:val="fr-FR"/>
        </w:rPr>
        <w:t>Document :</w:t>
      </w:r>
      <w:r>
        <w:rPr>
          <w:lang w:val="fr-FR"/>
        </w:rPr>
        <w:tab/>
      </w:r>
      <w:r w:rsidR="005578D7">
        <w:rPr>
          <w:lang w:val="fr-FR"/>
        </w:rPr>
        <w:tab/>
      </w:r>
      <w:r w:rsidR="005578D7">
        <w:rPr>
          <w:lang w:val="fr-FR"/>
        </w:rPr>
        <w:tab/>
      </w:r>
      <w:r>
        <w:rPr>
          <w:lang w:val="fr-FR"/>
        </w:rPr>
        <w:t>ECE/TRANS/WP.15/AC.1/2023/31 (Pays-Bas)</w:t>
      </w:r>
    </w:p>
    <w:p w14:paraId="5200E1A5" w14:textId="663E7821" w:rsidR="00456D9E" w:rsidRDefault="00240C43" w:rsidP="001A081D">
      <w:pPr>
        <w:pStyle w:val="SingleTxtG"/>
        <w:rPr>
          <w:lang w:val="fr-FR"/>
        </w:rPr>
      </w:pPr>
      <w:r>
        <w:rPr>
          <w:lang w:val="fr-FR"/>
        </w:rPr>
        <w:t>53</w:t>
      </w:r>
      <w:r w:rsidR="00456D9E">
        <w:rPr>
          <w:lang w:val="fr-FR"/>
        </w:rPr>
        <w:t>.</w:t>
      </w:r>
      <w:r w:rsidR="00456D9E">
        <w:rPr>
          <w:lang w:val="fr-FR"/>
        </w:rPr>
        <w:tab/>
        <w:t>La Réunion commune a souscrit à l’interprétation des Pays-Bas concernant les grands récipients pour vrac modifiés. Le représentant des Pays-Bas a proposé de communiquer les conclusions de l’échange au Sous-Comité d’experts du transport des marchandises dangereuses.</w:t>
      </w:r>
    </w:p>
    <w:p w14:paraId="42AB20A3" w14:textId="77777777" w:rsidR="0074641A" w:rsidRPr="001C062D" w:rsidRDefault="0074641A" w:rsidP="0074641A">
      <w:pPr>
        <w:pStyle w:val="H1G"/>
        <w:rPr>
          <w:lang w:val="fr-FR"/>
        </w:rPr>
      </w:pPr>
      <w:r>
        <w:rPr>
          <w:lang w:val="fr-FR"/>
        </w:rPr>
        <w:tab/>
      </w:r>
      <w:bookmarkStart w:id="127" w:name="_Toc147830523"/>
      <w:bookmarkStart w:id="128" w:name="_Toc147845970"/>
      <w:bookmarkStart w:id="129" w:name="_Toc148357356"/>
      <w:bookmarkStart w:id="130" w:name="_Toc148358420"/>
      <w:r w:rsidRPr="001C062D">
        <w:rPr>
          <w:lang w:val="fr-FR"/>
        </w:rPr>
        <w:t>B.</w:t>
      </w:r>
      <w:r w:rsidRPr="001C062D">
        <w:rPr>
          <w:lang w:val="fr-FR"/>
        </w:rPr>
        <w:tab/>
        <w:t xml:space="preserve">Retrait du certificat de formation de conseiller à la sécurité </w:t>
      </w:r>
      <w:r>
        <w:rPr>
          <w:lang w:val="fr-FR"/>
        </w:rPr>
        <w:br/>
      </w:r>
      <w:r w:rsidRPr="001C062D">
        <w:rPr>
          <w:lang w:val="fr-FR"/>
        </w:rPr>
        <w:t>pour le transport de marchandises dangereuses</w:t>
      </w:r>
      <w:bookmarkEnd w:id="127"/>
      <w:bookmarkEnd w:id="128"/>
      <w:bookmarkEnd w:id="129"/>
      <w:bookmarkEnd w:id="130"/>
    </w:p>
    <w:p w14:paraId="3A0FE209" w14:textId="5C9D7DE5" w:rsidR="0074641A" w:rsidRPr="001C062D" w:rsidRDefault="0074641A" w:rsidP="0074641A">
      <w:pPr>
        <w:pStyle w:val="SingleTxtG"/>
        <w:tabs>
          <w:tab w:val="left" w:pos="3119"/>
        </w:tabs>
        <w:rPr>
          <w:lang w:val="fr-FR"/>
        </w:rPr>
      </w:pPr>
      <w:r w:rsidRPr="001C062D">
        <w:rPr>
          <w:i/>
          <w:iCs/>
          <w:lang w:val="fr-FR"/>
        </w:rPr>
        <w:t>Document informel</w:t>
      </w:r>
      <w:r>
        <w:rPr>
          <w:i/>
          <w:iCs/>
          <w:lang w:val="fr-FR"/>
        </w:rPr>
        <w:t> </w:t>
      </w:r>
      <w:r w:rsidRPr="001C062D">
        <w:rPr>
          <w:i/>
          <w:iCs/>
          <w:lang w:val="fr-FR"/>
        </w:rPr>
        <w:t>:</w:t>
      </w:r>
      <w:r w:rsidRPr="001C062D">
        <w:rPr>
          <w:lang w:val="fr-FR"/>
        </w:rPr>
        <w:t xml:space="preserve"> </w:t>
      </w:r>
      <w:r w:rsidRPr="001C062D">
        <w:rPr>
          <w:lang w:val="fr-FR"/>
        </w:rPr>
        <w:tab/>
      </w:r>
      <w:r>
        <w:rPr>
          <w:lang w:val="fr-FR"/>
        </w:rPr>
        <w:tab/>
      </w:r>
      <w:r w:rsidRPr="001C062D">
        <w:rPr>
          <w:lang w:val="fr-FR"/>
        </w:rPr>
        <w:t>INF.26 (Pologne)</w:t>
      </w:r>
    </w:p>
    <w:p w14:paraId="0E5F3E6D" w14:textId="55691409" w:rsidR="0074641A" w:rsidRDefault="00240C43" w:rsidP="001A081D">
      <w:pPr>
        <w:pStyle w:val="SingleTxtG"/>
        <w:rPr>
          <w:lang w:val="fr-FR"/>
        </w:rPr>
      </w:pPr>
      <w:r>
        <w:rPr>
          <w:lang w:val="fr-FR"/>
        </w:rPr>
        <w:t>54</w:t>
      </w:r>
      <w:r w:rsidR="0074641A" w:rsidRPr="001C062D">
        <w:rPr>
          <w:lang w:val="fr-FR"/>
        </w:rPr>
        <w:t>.</w:t>
      </w:r>
      <w:r w:rsidR="0074641A" w:rsidRPr="001C062D">
        <w:rPr>
          <w:lang w:val="fr-FR"/>
        </w:rPr>
        <w:tab/>
        <w:t>La Réunion commune a pris note des réactions d</w:t>
      </w:r>
      <w:r w:rsidR="0074641A">
        <w:rPr>
          <w:lang w:val="fr-FR"/>
        </w:rPr>
        <w:t>’</w:t>
      </w:r>
      <w:r w:rsidR="0074641A" w:rsidRPr="001C062D">
        <w:rPr>
          <w:lang w:val="fr-FR"/>
        </w:rPr>
        <w:t xml:space="preserve">autres États </w:t>
      </w:r>
      <w:r w:rsidR="008E6AEE" w:rsidRPr="001C062D">
        <w:rPr>
          <w:lang w:val="fr-FR"/>
        </w:rPr>
        <w:t xml:space="preserve">Parties </w:t>
      </w:r>
      <w:r w:rsidR="008E6AEE">
        <w:rPr>
          <w:lang w:val="fr-FR"/>
        </w:rPr>
        <w:t xml:space="preserve">au RID </w:t>
      </w:r>
      <w:r w:rsidR="0074641A" w:rsidRPr="001C062D">
        <w:rPr>
          <w:lang w:val="fr-FR"/>
        </w:rPr>
        <w:t>et Parties contractantes à l</w:t>
      </w:r>
      <w:r w:rsidR="0074641A">
        <w:rPr>
          <w:lang w:val="fr-FR"/>
        </w:rPr>
        <w:t>’</w:t>
      </w:r>
      <w:r w:rsidR="0074641A" w:rsidRPr="001C062D">
        <w:rPr>
          <w:lang w:val="fr-FR"/>
        </w:rPr>
        <w:t>ADR concernant la possibilité de retirer un certificat de conseiller à la sécurité pour le transport de marchandises dangereuses. Certaines délégations ont insisté sur la nécessité d</w:t>
      </w:r>
      <w:r w:rsidR="0074641A">
        <w:rPr>
          <w:lang w:val="fr-FR"/>
        </w:rPr>
        <w:t>’</w:t>
      </w:r>
      <w:r w:rsidR="0074641A" w:rsidRPr="001C062D">
        <w:rPr>
          <w:lang w:val="fr-FR"/>
        </w:rPr>
        <w:t>harmoniser la formation des conseillers à la sécurité. Le représentant de la Pologne a pris note avec intérêt des informations fournies et a invité toutes les délégations à lui faire part de leurs réactions par courrier électronique. Il a proposé de préparer un document officiel présentant le résultat des débats, pour examen à la session suivante.</w:t>
      </w:r>
    </w:p>
    <w:p w14:paraId="4278E14E" w14:textId="77777777" w:rsidR="00653EE6" w:rsidRPr="00D06271" w:rsidRDefault="00653EE6" w:rsidP="00653EE6">
      <w:pPr>
        <w:pStyle w:val="H1G"/>
        <w:rPr>
          <w:lang w:val="fr-FR"/>
        </w:rPr>
      </w:pPr>
      <w:r>
        <w:rPr>
          <w:lang w:val="fr-FR"/>
        </w:rPr>
        <w:tab/>
      </w:r>
      <w:bookmarkStart w:id="131" w:name="_Toc147830524"/>
      <w:bookmarkStart w:id="132" w:name="_Toc147845971"/>
      <w:bookmarkStart w:id="133" w:name="_Toc148357357"/>
      <w:bookmarkStart w:id="134" w:name="_Toc148358421"/>
      <w:r w:rsidRPr="00D06271">
        <w:rPr>
          <w:lang w:val="fr-FR"/>
        </w:rPr>
        <w:t>C.</w:t>
      </w:r>
      <w:r w:rsidRPr="00D06271">
        <w:rPr>
          <w:lang w:val="fr-FR"/>
        </w:rPr>
        <w:tab/>
        <w:t xml:space="preserve">Interprétation du </w:t>
      </w:r>
      <w:r>
        <w:rPr>
          <w:lang w:val="fr-FR"/>
        </w:rPr>
        <w:t>numéro</w:t>
      </w:r>
      <w:r w:rsidRPr="00D06271">
        <w:rPr>
          <w:lang w:val="fr-FR"/>
        </w:rPr>
        <w:t xml:space="preserve"> ONU 3509 dans le cas du transport de fûts </w:t>
      </w:r>
      <w:r>
        <w:rPr>
          <w:lang w:val="fr-FR"/>
        </w:rPr>
        <w:br/>
      </w:r>
      <w:r w:rsidRPr="00D06271">
        <w:rPr>
          <w:lang w:val="fr-FR"/>
        </w:rPr>
        <w:t>ou de grands récipients pour vrac</w:t>
      </w:r>
      <w:bookmarkEnd w:id="131"/>
      <w:bookmarkEnd w:id="132"/>
      <w:bookmarkEnd w:id="133"/>
      <w:bookmarkEnd w:id="134"/>
    </w:p>
    <w:p w14:paraId="3268357E" w14:textId="77777777" w:rsidR="00653EE6" w:rsidRPr="00D06271" w:rsidRDefault="00653EE6" w:rsidP="00BC614E">
      <w:pPr>
        <w:pStyle w:val="SingleTxtG"/>
        <w:ind w:left="3289" w:hanging="2155"/>
        <w:rPr>
          <w:lang w:val="fr-FR"/>
        </w:rPr>
      </w:pPr>
      <w:r w:rsidRPr="00D06271">
        <w:rPr>
          <w:i/>
          <w:iCs/>
          <w:lang w:val="fr-FR"/>
        </w:rPr>
        <w:t xml:space="preserve">Document informel </w:t>
      </w:r>
      <w:r w:rsidRPr="00643086">
        <w:rPr>
          <w:lang w:val="fr-FR"/>
        </w:rPr>
        <w:t xml:space="preserve">: </w:t>
      </w:r>
      <w:r w:rsidRPr="00D06271">
        <w:rPr>
          <w:lang w:val="fr-FR"/>
        </w:rPr>
        <w:tab/>
        <w:t>INF.34 (FEAD)</w:t>
      </w:r>
    </w:p>
    <w:p w14:paraId="62D8F98A" w14:textId="3B327CF4" w:rsidR="00653EE6" w:rsidRPr="00D06271" w:rsidRDefault="00755AAD" w:rsidP="00D76B1A">
      <w:pPr>
        <w:pStyle w:val="SingleTxtG"/>
        <w:rPr>
          <w:lang w:val="fr-FR"/>
        </w:rPr>
      </w:pPr>
      <w:r>
        <w:rPr>
          <w:lang w:val="fr-FR"/>
        </w:rPr>
        <w:t>55</w:t>
      </w:r>
      <w:r w:rsidR="00653EE6" w:rsidRPr="00D06271">
        <w:rPr>
          <w:lang w:val="fr-FR"/>
        </w:rPr>
        <w:t>.</w:t>
      </w:r>
      <w:r w:rsidR="00653EE6" w:rsidRPr="00D06271">
        <w:rPr>
          <w:lang w:val="fr-FR"/>
        </w:rPr>
        <w:tab/>
        <w:t xml:space="preserve">Le représentant de la FEAD a retiré </w:t>
      </w:r>
      <w:r w:rsidR="00653EE6">
        <w:rPr>
          <w:lang w:val="fr-FR"/>
        </w:rPr>
        <w:t>son</w:t>
      </w:r>
      <w:r w:rsidR="00653EE6" w:rsidRPr="00D06271">
        <w:rPr>
          <w:lang w:val="fr-FR"/>
        </w:rPr>
        <w:t xml:space="preserve"> document.</w:t>
      </w:r>
    </w:p>
    <w:p w14:paraId="38EA0A03" w14:textId="77777777" w:rsidR="00653EE6" w:rsidRPr="00D06271" w:rsidRDefault="00653EE6" w:rsidP="00653EE6">
      <w:pPr>
        <w:pStyle w:val="H1G"/>
        <w:rPr>
          <w:lang w:val="fr-FR"/>
        </w:rPr>
      </w:pPr>
      <w:r>
        <w:rPr>
          <w:lang w:val="fr-FR"/>
        </w:rPr>
        <w:tab/>
      </w:r>
      <w:bookmarkStart w:id="135" w:name="_Toc147830525"/>
      <w:bookmarkStart w:id="136" w:name="_Toc147845972"/>
      <w:bookmarkStart w:id="137" w:name="_Toc148357358"/>
      <w:bookmarkStart w:id="138" w:name="_Toc148358422"/>
      <w:r w:rsidRPr="00D06271">
        <w:rPr>
          <w:lang w:val="fr-FR"/>
        </w:rPr>
        <w:t>D.</w:t>
      </w:r>
      <w:r w:rsidRPr="00D06271">
        <w:rPr>
          <w:lang w:val="fr-FR"/>
        </w:rPr>
        <w:tab/>
        <w:t>Informations relatives à la quantité estimée de déchets transportée figurant dans le document de transport conformément au 5.4.1.1.3.2</w:t>
      </w:r>
      <w:bookmarkEnd w:id="135"/>
      <w:bookmarkEnd w:id="136"/>
      <w:bookmarkEnd w:id="137"/>
      <w:bookmarkEnd w:id="138"/>
    </w:p>
    <w:p w14:paraId="058ED7A1" w14:textId="77777777" w:rsidR="00653EE6" w:rsidRPr="00D06271" w:rsidRDefault="00653EE6" w:rsidP="00653EE6">
      <w:pPr>
        <w:pStyle w:val="SingleTxtG"/>
        <w:ind w:left="3289" w:hanging="2155"/>
        <w:rPr>
          <w:lang w:val="fr-FR"/>
        </w:rPr>
      </w:pPr>
      <w:r w:rsidRPr="00D06271">
        <w:rPr>
          <w:i/>
          <w:iCs/>
          <w:lang w:val="fr-FR"/>
        </w:rPr>
        <w:t xml:space="preserve">Document informel </w:t>
      </w:r>
      <w:r w:rsidRPr="00643086">
        <w:rPr>
          <w:lang w:val="fr-FR"/>
        </w:rPr>
        <w:t xml:space="preserve">: </w:t>
      </w:r>
      <w:r w:rsidRPr="00D06271">
        <w:rPr>
          <w:lang w:val="fr-FR"/>
        </w:rPr>
        <w:tab/>
        <w:t>INF.35 (FEAD)</w:t>
      </w:r>
    </w:p>
    <w:p w14:paraId="53F2FA5A" w14:textId="15BC0155" w:rsidR="00653EE6" w:rsidRDefault="00755AAD" w:rsidP="00D76B1A">
      <w:pPr>
        <w:pStyle w:val="SingleTxtG"/>
        <w:rPr>
          <w:lang w:val="fr-FR"/>
        </w:rPr>
      </w:pPr>
      <w:r>
        <w:rPr>
          <w:lang w:val="fr-FR"/>
        </w:rPr>
        <w:t>56</w:t>
      </w:r>
      <w:r w:rsidR="00653EE6" w:rsidRPr="00D06271">
        <w:rPr>
          <w:lang w:val="fr-FR"/>
        </w:rPr>
        <w:t>.</w:t>
      </w:r>
      <w:r w:rsidR="00653EE6" w:rsidRPr="00D06271">
        <w:rPr>
          <w:lang w:val="fr-FR"/>
        </w:rPr>
        <w:tab/>
        <w:t xml:space="preserve">La plupart des représentants qui ont pris la parole </w:t>
      </w:r>
      <w:r w:rsidR="00653EE6">
        <w:rPr>
          <w:lang w:val="fr-FR"/>
        </w:rPr>
        <w:t>ont convenu de</w:t>
      </w:r>
      <w:r w:rsidR="00653EE6" w:rsidRPr="00D06271">
        <w:rPr>
          <w:lang w:val="fr-FR"/>
        </w:rPr>
        <w:t xml:space="preserve"> la nécessité de revoir les dispositions du 5.4.1.1.3.2 afin de permettre l</w:t>
      </w:r>
      <w:r w:rsidR="00653EE6">
        <w:rPr>
          <w:lang w:val="fr-FR"/>
        </w:rPr>
        <w:t>’</w:t>
      </w:r>
      <w:r w:rsidR="00653EE6" w:rsidRPr="00D06271">
        <w:rPr>
          <w:lang w:val="fr-FR"/>
        </w:rPr>
        <w:t>indication de quantités estimées dans le document de transport y compris dans le cas de déchets transportés en citernes. Le</w:t>
      </w:r>
      <w:r w:rsidR="00653EE6">
        <w:rPr>
          <w:lang w:val="fr-FR"/>
        </w:rPr>
        <w:t> </w:t>
      </w:r>
      <w:r w:rsidR="00653EE6" w:rsidRPr="00D06271">
        <w:rPr>
          <w:lang w:val="fr-FR"/>
        </w:rPr>
        <w:t>représentant de la FEAD s</w:t>
      </w:r>
      <w:r w:rsidR="00653EE6">
        <w:rPr>
          <w:lang w:val="fr-FR"/>
        </w:rPr>
        <w:t>’</w:t>
      </w:r>
      <w:r w:rsidR="00653EE6" w:rsidRPr="00D06271">
        <w:rPr>
          <w:lang w:val="fr-FR"/>
        </w:rPr>
        <w:t>est porté volontaire pour établir un document officiel. Se</w:t>
      </w:r>
      <w:r w:rsidR="00653EE6">
        <w:rPr>
          <w:lang w:val="fr-FR"/>
        </w:rPr>
        <w:t> </w:t>
      </w:r>
      <w:r w:rsidR="00653EE6" w:rsidRPr="00D06271">
        <w:rPr>
          <w:lang w:val="fr-FR"/>
        </w:rPr>
        <w:t>référant au document ECE/TRANS/WP.15/AC.1/2023/48 (voir par.</w:t>
      </w:r>
      <w:r w:rsidR="00653EE6">
        <w:rPr>
          <w:lang w:val="fr-FR"/>
        </w:rPr>
        <w:t> </w:t>
      </w:r>
      <w:r w:rsidR="00B24648">
        <w:rPr>
          <w:lang w:val="fr-FR"/>
        </w:rPr>
        <w:t>2</w:t>
      </w:r>
      <w:r w:rsidR="005D47DE">
        <w:rPr>
          <w:lang w:val="fr-FR"/>
        </w:rPr>
        <w:t>5</w:t>
      </w:r>
      <w:r w:rsidR="00653EE6" w:rsidRPr="00D06271">
        <w:rPr>
          <w:lang w:val="fr-FR"/>
        </w:rPr>
        <w:t xml:space="preserve"> ci-dessus), le </w:t>
      </w:r>
      <w:r w:rsidR="00653EE6" w:rsidRPr="00D06271">
        <w:rPr>
          <w:lang w:val="fr-FR"/>
        </w:rPr>
        <w:lastRenderedPageBreak/>
        <w:t>représentant de l</w:t>
      </w:r>
      <w:r w:rsidR="00653EE6">
        <w:rPr>
          <w:lang w:val="fr-FR"/>
        </w:rPr>
        <w:t>’</w:t>
      </w:r>
      <w:r w:rsidR="00653EE6" w:rsidRPr="00D06271">
        <w:rPr>
          <w:lang w:val="fr-FR"/>
        </w:rPr>
        <w:t>Irlande a proposé de collaborer avec la FEAD à l</w:t>
      </w:r>
      <w:r w:rsidR="00653EE6">
        <w:rPr>
          <w:lang w:val="fr-FR"/>
        </w:rPr>
        <w:t>’</w:t>
      </w:r>
      <w:r w:rsidR="00653EE6" w:rsidRPr="00D06271">
        <w:rPr>
          <w:lang w:val="fr-FR"/>
        </w:rPr>
        <w:t>élaboration d</w:t>
      </w:r>
      <w:r w:rsidR="00653EE6">
        <w:rPr>
          <w:lang w:val="fr-FR"/>
        </w:rPr>
        <w:t>’</w:t>
      </w:r>
      <w:r w:rsidR="00653EE6" w:rsidRPr="00D06271">
        <w:rPr>
          <w:lang w:val="fr-FR"/>
        </w:rPr>
        <w:t>une proposition commune qui serait examinée à la session suivante.</w:t>
      </w:r>
    </w:p>
    <w:p w14:paraId="0F74D048" w14:textId="77777777" w:rsidR="0053283A" w:rsidRPr="00F50E9D" w:rsidRDefault="0053283A" w:rsidP="0053283A">
      <w:pPr>
        <w:pStyle w:val="HChG"/>
        <w:rPr>
          <w:lang w:val="fr-FR"/>
        </w:rPr>
      </w:pPr>
      <w:r>
        <w:rPr>
          <w:lang w:val="fr-FR"/>
        </w:rPr>
        <w:tab/>
      </w:r>
      <w:bookmarkStart w:id="139" w:name="_Toc147830526"/>
      <w:bookmarkStart w:id="140" w:name="_Toc147845973"/>
      <w:bookmarkStart w:id="141" w:name="_Toc148357359"/>
      <w:bookmarkStart w:id="142" w:name="_Toc148358423"/>
      <w:r w:rsidRPr="00F50E9D">
        <w:rPr>
          <w:lang w:val="fr-FR"/>
        </w:rPr>
        <w:t>IX.</w:t>
      </w:r>
      <w:r w:rsidRPr="00F50E9D">
        <w:rPr>
          <w:lang w:val="fr-FR"/>
        </w:rPr>
        <w:tab/>
        <w:t xml:space="preserve">Rapports des groupes de travail informels </w:t>
      </w:r>
      <w:r>
        <w:rPr>
          <w:lang w:val="fr-FR"/>
        </w:rPr>
        <w:br/>
      </w:r>
      <w:r w:rsidRPr="00F50E9D">
        <w:rPr>
          <w:lang w:val="fr-FR"/>
        </w:rPr>
        <w:t>(point 7 de l</w:t>
      </w:r>
      <w:r>
        <w:rPr>
          <w:lang w:val="fr-FR"/>
        </w:rPr>
        <w:t>’</w:t>
      </w:r>
      <w:r w:rsidRPr="00F50E9D">
        <w:rPr>
          <w:lang w:val="fr-FR"/>
        </w:rPr>
        <w:t>ordre du jour)</w:t>
      </w:r>
      <w:bookmarkEnd w:id="139"/>
      <w:bookmarkEnd w:id="140"/>
      <w:bookmarkEnd w:id="141"/>
      <w:bookmarkEnd w:id="142"/>
    </w:p>
    <w:p w14:paraId="0F6707B7" w14:textId="70145043" w:rsidR="0053283A" w:rsidRPr="00F50E9D" w:rsidRDefault="0053283A" w:rsidP="0053283A">
      <w:pPr>
        <w:pStyle w:val="H1G"/>
        <w:rPr>
          <w:lang w:val="fr-FR"/>
        </w:rPr>
      </w:pPr>
      <w:r w:rsidRPr="00F50E9D">
        <w:rPr>
          <w:lang w:val="fr-FR"/>
        </w:rPr>
        <w:tab/>
      </w:r>
      <w:bookmarkStart w:id="143" w:name="_Toc147830527"/>
      <w:bookmarkStart w:id="144" w:name="_Toc147845974"/>
      <w:bookmarkStart w:id="145" w:name="_Toc148357360"/>
      <w:bookmarkStart w:id="146" w:name="_Toc148358424"/>
      <w:r w:rsidR="00092A2B">
        <w:rPr>
          <w:lang w:val="fr-FR"/>
        </w:rPr>
        <w:t>A.</w:t>
      </w:r>
      <w:r w:rsidRPr="00F50E9D">
        <w:rPr>
          <w:lang w:val="fr-FR"/>
        </w:rPr>
        <w:tab/>
      </w:r>
      <w:r>
        <w:rPr>
          <w:lang w:val="fr-FR"/>
        </w:rPr>
        <w:t>G</w:t>
      </w:r>
      <w:r w:rsidRPr="00F50E9D">
        <w:rPr>
          <w:lang w:val="fr-FR"/>
        </w:rPr>
        <w:t>roupe de travail informel de la réduction du risque de vaporisation explosive d</w:t>
      </w:r>
      <w:r>
        <w:rPr>
          <w:lang w:val="fr-FR"/>
        </w:rPr>
        <w:t>’</w:t>
      </w:r>
      <w:r w:rsidRPr="00F50E9D">
        <w:rPr>
          <w:lang w:val="fr-FR"/>
        </w:rPr>
        <w:t>un liquide porté à ébullition (BLEVE)</w:t>
      </w:r>
      <w:bookmarkEnd w:id="143"/>
      <w:bookmarkEnd w:id="144"/>
      <w:bookmarkEnd w:id="145"/>
      <w:bookmarkEnd w:id="146"/>
    </w:p>
    <w:p w14:paraId="7E9FBBBD" w14:textId="4292C9A3" w:rsidR="0053283A" w:rsidRPr="00F50E9D" w:rsidRDefault="00755AAD" w:rsidP="00BA5B65">
      <w:pPr>
        <w:pStyle w:val="SingleTxtG"/>
        <w:rPr>
          <w:lang w:val="fr-FR"/>
        </w:rPr>
      </w:pPr>
      <w:r>
        <w:rPr>
          <w:lang w:val="fr-FR"/>
        </w:rPr>
        <w:t>57</w:t>
      </w:r>
      <w:r w:rsidR="0053283A" w:rsidRPr="00F50E9D">
        <w:rPr>
          <w:lang w:val="fr-FR"/>
        </w:rPr>
        <w:t>.</w:t>
      </w:r>
      <w:r w:rsidR="0053283A" w:rsidRPr="00F50E9D">
        <w:rPr>
          <w:lang w:val="fr-FR"/>
        </w:rPr>
        <w:tab/>
        <w:t>La Réunion commune a accueilli favorablement les informations fournies par la représentante espagnole concernant les travaux en cours du groupe BLEVE sur les systèmes d</w:t>
      </w:r>
      <w:r w:rsidR="0053283A">
        <w:rPr>
          <w:lang w:val="fr-FR"/>
        </w:rPr>
        <w:t>’</w:t>
      </w:r>
      <w:r w:rsidR="0053283A" w:rsidRPr="00F50E9D">
        <w:rPr>
          <w:lang w:val="fr-FR"/>
        </w:rPr>
        <w:t>extinction d</w:t>
      </w:r>
      <w:r w:rsidR="0053283A">
        <w:rPr>
          <w:lang w:val="fr-FR"/>
        </w:rPr>
        <w:t>’</w:t>
      </w:r>
      <w:r w:rsidR="0053283A" w:rsidRPr="00F50E9D">
        <w:rPr>
          <w:lang w:val="fr-FR"/>
        </w:rPr>
        <w:t xml:space="preserve">incendie pour le compartiment moteur des camions. </w:t>
      </w:r>
      <w:r w:rsidR="0053283A">
        <w:rPr>
          <w:lang w:val="fr-FR"/>
        </w:rPr>
        <w:t>La représentante</w:t>
      </w:r>
      <w:r w:rsidR="0053283A" w:rsidRPr="00F50E9D">
        <w:rPr>
          <w:lang w:val="fr-FR"/>
        </w:rPr>
        <w:t xml:space="preserve"> a indiqué qu</w:t>
      </w:r>
      <w:r w:rsidR="00630121">
        <w:rPr>
          <w:lang w:val="fr-FR"/>
        </w:rPr>
        <w:t>’</w:t>
      </w:r>
      <w:r w:rsidR="00A9744B" w:rsidRPr="00F50E9D">
        <w:rPr>
          <w:lang w:val="fr-FR"/>
        </w:rPr>
        <w:t>un projet</w:t>
      </w:r>
      <w:r w:rsidR="00EF6EEF">
        <w:rPr>
          <w:lang w:val="fr-FR"/>
        </w:rPr>
        <w:t xml:space="preserve"> de </w:t>
      </w:r>
      <w:r w:rsidR="0062519F" w:rsidRPr="00F50E9D">
        <w:rPr>
          <w:lang w:val="fr-FR"/>
        </w:rPr>
        <w:t>dispositions spécifiques</w:t>
      </w:r>
      <w:r w:rsidR="0062519F">
        <w:rPr>
          <w:lang w:val="fr-FR"/>
        </w:rPr>
        <w:t xml:space="preserve"> pour</w:t>
      </w:r>
      <w:r w:rsidR="0062519F" w:rsidRPr="00F50E9D">
        <w:rPr>
          <w:lang w:val="fr-FR"/>
        </w:rPr>
        <w:t xml:space="preserve"> ces systèmes</w:t>
      </w:r>
      <w:r w:rsidR="0062519F">
        <w:rPr>
          <w:lang w:val="fr-FR"/>
        </w:rPr>
        <w:t>, qui pourraient</w:t>
      </w:r>
      <w:r w:rsidR="00210F27">
        <w:rPr>
          <w:lang w:val="fr-FR"/>
        </w:rPr>
        <w:t xml:space="preserve"> être ajoutées dans l’ADR, serait soumis au groupe de travail </w:t>
      </w:r>
      <w:r w:rsidR="00D244BB">
        <w:rPr>
          <w:lang w:val="fr-FR"/>
        </w:rPr>
        <w:t>par un institut d’</w:t>
      </w:r>
      <w:r w:rsidR="00B23973">
        <w:rPr>
          <w:lang w:val="fr-FR"/>
        </w:rPr>
        <w:t>essais</w:t>
      </w:r>
      <w:r w:rsidR="0053283A" w:rsidRPr="00F50E9D">
        <w:rPr>
          <w:lang w:val="fr-FR"/>
        </w:rPr>
        <w:t xml:space="preserve">. </w:t>
      </w:r>
      <w:r w:rsidR="00C21BEB">
        <w:rPr>
          <w:lang w:val="fr-FR"/>
        </w:rPr>
        <w:t>P</w:t>
      </w:r>
      <w:r w:rsidR="0053283A" w:rsidRPr="00F50E9D">
        <w:rPr>
          <w:lang w:val="fr-FR"/>
        </w:rPr>
        <w:t>ar conséquent, le groupe devrait se réunir cet automne pour étudier la question. En attendant la soumission d</w:t>
      </w:r>
      <w:r w:rsidR="0053283A">
        <w:rPr>
          <w:lang w:val="fr-FR"/>
        </w:rPr>
        <w:t>’</w:t>
      </w:r>
      <w:r w:rsidR="0053283A" w:rsidRPr="00F50E9D">
        <w:rPr>
          <w:lang w:val="fr-FR"/>
        </w:rPr>
        <w:t>un éventuel projet, il conviendrait de réfléchir à d</w:t>
      </w:r>
      <w:r w:rsidR="0053283A">
        <w:rPr>
          <w:lang w:val="fr-FR"/>
        </w:rPr>
        <w:t>’</w:t>
      </w:r>
      <w:r w:rsidR="0053283A" w:rsidRPr="00F50E9D">
        <w:rPr>
          <w:lang w:val="fr-FR"/>
        </w:rPr>
        <w:t>autres pistes pour aller de l</w:t>
      </w:r>
      <w:r w:rsidR="0053283A">
        <w:rPr>
          <w:lang w:val="fr-FR"/>
        </w:rPr>
        <w:t>’</w:t>
      </w:r>
      <w:r w:rsidR="0053283A" w:rsidRPr="00F50E9D">
        <w:rPr>
          <w:lang w:val="fr-FR"/>
        </w:rPr>
        <w:t>avant et d</w:t>
      </w:r>
      <w:r w:rsidR="0053283A">
        <w:rPr>
          <w:lang w:val="fr-FR"/>
        </w:rPr>
        <w:t>’</w:t>
      </w:r>
      <w:r w:rsidR="0053283A" w:rsidRPr="00F50E9D">
        <w:rPr>
          <w:lang w:val="fr-FR"/>
        </w:rPr>
        <w:t>envisager un réexamen des mesures transitoires actuellement applicables à ces systèmes dans l</w:t>
      </w:r>
      <w:r w:rsidR="0053283A">
        <w:rPr>
          <w:lang w:val="fr-FR"/>
        </w:rPr>
        <w:t>’</w:t>
      </w:r>
      <w:r w:rsidR="0053283A" w:rsidRPr="00F50E9D">
        <w:rPr>
          <w:lang w:val="fr-FR"/>
        </w:rPr>
        <w:t>ADR. De plus amples informations seraient fournies par courrier électronique aux membres du groupe de travail informel, lorsqu</w:t>
      </w:r>
      <w:r w:rsidR="0053283A">
        <w:rPr>
          <w:lang w:val="fr-FR"/>
        </w:rPr>
        <w:t>’</w:t>
      </w:r>
      <w:r w:rsidR="0053283A" w:rsidRPr="00F50E9D">
        <w:rPr>
          <w:lang w:val="fr-FR"/>
        </w:rPr>
        <w:t>elles seraient disponibles. Tous les participants à la Réunion commune et au WP.15 ont été invités à assister à la prochaine réunion du groupe.</w:t>
      </w:r>
    </w:p>
    <w:p w14:paraId="1C050B24" w14:textId="77777777" w:rsidR="00883A51" w:rsidRPr="009470B3" w:rsidRDefault="00883A51" w:rsidP="00883A51">
      <w:pPr>
        <w:pStyle w:val="H1G"/>
        <w:rPr>
          <w:lang w:val="fr-FR"/>
        </w:rPr>
      </w:pPr>
      <w:r>
        <w:rPr>
          <w:lang w:val="fr-FR"/>
        </w:rPr>
        <w:tab/>
      </w:r>
      <w:bookmarkStart w:id="147" w:name="_Toc147830528"/>
      <w:bookmarkStart w:id="148" w:name="_Toc147845975"/>
      <w:bookmarkStart w:id="149" w:name="_Toc148357361"/>
      <w:bookmarkStart w:id="150" w:name="_Toc148358425"/>
      <w:r w:rsidRPr="009470B3">
        <w:rPr>
          <w:lang w:val="fr-FR"/>
        </w:rPr>
        <w:t>B.</w:t>
      </w:r>
      <w:r w:rsidRPr="009470B3">
        <w:rPr>
          <w:lang w:val="fr-FR"/>
        </w:rPr>
        <w:tab/>
        <w:t xml:space="preserve">Rapport sur la deuxième réunion du groupe de travail informel </w:t>
      </w:r>
      <w:r>
        <w:rPr>
          <w:lang w:val="fr-FR"/>
        </w:rPr>
        <w:br/>
      </w:r>
      <w:r w:rsidRPr="009470B3">
        <w:rPr>
          <w:lang w:val="fr-FR"/>
        </w:rPr>
        <w:t>de l</w:t>
      </w:r>
      <w:r>
        <w:rPr>
          <w:lang w:val="fr-FR"/>
        </w:rPr>
        <w:t>’</w:t>
      </w:r>
      <w:r w:rsidRPr="009470B3">
        <w:rPr>
          <w:lang w:val="fr-FR"/>
        </w:rPr>
        <w:t>apprentissage en ligne</w:t>
      </w:r>
      <w:bookmarkEnd w:id="147"/>
      <w:bookmarkEnd w:id="148"/>
      <w:bookmarkEnd w:id="149"/>
      <w:bookmarkEnd w:id="150"/>
      <w:r w:rsidRPr="009470B3">
        <w:rPr>
          <w:lang w:val="fr-FR"/>
        </w:rPr>
        <w:t xml:space="preserve"> </w:t>
      </w:r>
    </w:p>
    <w:p w14:paraId="08891F20" w14:textId="01B893E5" w:rsidR="00883A51" w:rsidRPr="009470B3" w:rsidRDefault="00883A51" w:rsidP="00883A51">
      <w:pPr>
        <w:pStyle w:val="SingleTxtG"/>
        <w:ind w:left="3402" w:hanging="2268"/>
        <w:rPr>
          <w:lang w:val="fr-FR"/>
        </w:rPr>
      </w:pPr>
      <w:r w:rsidRPr="009470B3">
        <w:rPr>
          <w:i/>
          <w:iCs/>
          <w:lang w:val="fr-FR"/>
        </w:rPr>
        <w:t>Document </w:t>
      </w:r>
      <w:r w:rsidRPr="00E627C3">
        <w:rPr>
          <w:lang w:val="fr-FR"/>
        </w:rPr>
        <w:t>:</w:t>
      </w:r>
      <w:r w:rsidRPr="009470B3">
        <w:rPr>
          <w:lang w:val="fr-FR"/>
        </w:rPr>
        <w:tab/>
      </w:r>
      <w:r>
        <w:rPr>
          <w:lang w:val="fr-FR"/>
        </w:rPr>
        <w:tab/>
      </w:r>
      <w:r>
        <w:rPr>
          <w:lang w:val="fr-FR"/>
        </w:rPr>
        <w:tab/>
      </w:r>
      <w:r w:rsidRPr="009470B3">
        <w:rPr>
          <w:lang w:val="fr-FR"/>
        </w:rPr>
        <w:t>ECE/TRANS/WP.15/AC.1/2023/40</w:t>
      </w:r>
      <w:r>
        <w:rPr>
          <w:lang w:val="fr-FR"/>
        </w:rPr>
        <w:t xml:space="preserve"> </w:t>
      </w:r>
      <w:r w:rsidRPr="009470B3">
        <w:rPr>
          <w:lang w:val="fr-FR"/>
        </w:rPr>
        <w:t>(Allemagne, IRU)</w:t>
      </w:r>
    </w:p>
    <w:p w14:paraId="0F7BD596" w14:textId="04E08FFD" w:rsidR="00883A51" w:rsidRPr="009470B3" w:rsidRDefault="00883A51" w:rsidP="00883A51">
      <w:pPr>
        <w:pStyle w:val="SingleTxtG"/>
        <w:ind w:left="3402" w:hanging="2268"/>
        <w:rPr>
          <w:lang w:val="fr-FR"/>
        </w:rPr>
      </w:pPr>
      <w:r w:rsidRPr="009470B3">
        <w:rPr>
          <w:i/>
          <w:iCs/>
          <w:lang w:val="fr-FR"/>
        </w:rPr>
        <w:t xml:space="preserve">Document informel </w:t>
      </w:r>
      <w:r w:rsidRPr="00E627C3">
        <w:rPr>
          <w:lang w:val="fr-FR"/>
        </w:rPr>
        <w:t>:</w:t>
      </w:r>
      <w:r w:rsidRPr="009470B3">
        <w:rPr>
          <w:lang w:val="fr-FR"/>
        </w:rPr>
        <w:tab/>
      </w:r>
      <w:r>
        <w:rPr>
          <w:lang w:val="fr-FR"/>
        </w:rPr>
        <w:tab/>
      </w:r>
      <w:r>
        <w:rPr>
          <w:lang w:val="fr-FR"/>
        </w:rPr>
        <w:tab/>
      </w:r>
      <w:r w:rsidRPr="009470B3">
        <w:rPr>
          <w:lang w:val="fr-FR"/>
        </w:rPr>
        <w:t>INF.43 (Allemagne, IRU)</w:t>
      </w:r>
    </w:p>
    <w:p w14:paraId="1CBD8F7F" w14:textId="205A9E25" w:rsidR="00883A51" w:rsidRDefault="00755AAD" w:rsidP="00883A51">
      <w:pPr>
        <w:pStyle w:val="SingleTxtG"/>
        <w:rPr>
          <w:lang w:val="fr-FR"/>
        </w:rPr>
      </w:pPr>
      <w:r>
        <w:rPr>
          <w:lang w:val="fr-FR"/>
        </w:rPr>
        <w:t>58</w:t>
      </w:r>
      <w:r w:rsidR="00883A51" w:rsidRPr="009470B3">
        <w:rPr>
          <w:lang w:val="fr-FR"/>
        </w:rPr>
        <w:t>.</w:t>
      </w:r>
      <w:r w:rsidR="00883A51" w:rsidRPr="009470B3">
        <w:rPr>
          <w:lang w:val="fr-FR"/>
        </w:rPr>
        <w:tab/>
        <w:t>La Réunion commune a pris note du rapport sur la deuxième réunion du groupe de travail informel de l</w:t>
      </w:r>
      <w:r w:rsidR="00883A51">
        <w:rPr>
          <w:lang w:val="fr-FR"/>
        </w:rPr>
        <w:t>’</w:t>
      </w:r>
      <w:r w:rsidR="00883A51" w:rsidRPr="009470B3">
        <w:rPr>
          <w:lang w:val="fr-FR"/>
        </w:rPr>
        <w:t>apprentissage en ligne (17</w:t>
      </w:r>
      <w:r w:rsidR="00883A51">
        <w:rPr>
          <w:lang w:val="fr-FR"/>
        </w:rPr>
        <w:t> </w:t>
      </w:r>
      <w:r w:rsidR="00883A51" w:rsidRPr="009470B3">
        <w:rPr>
          <w:lang w:val="fr-FR"/>
        </w:rPr>
        <w:t>mai 2023), contenu dans le document ECE/TRANS/WP.15/AC.1/2023/40, ainsi que des informations présentées dans le document informel INF.43. Elle s</w:t>
      </w:r>
      <w:r w:rsidR="00883A51">
        <w:rPr>
          <w:lang w:val="fr-FR"/>
        </w:rPr>
        <w:t>’</w:t>
      </w:r>
      <w:r w:rsidR="00883A51" w:rsidRPr="009470B3">
        <w:rPr>
          <w:lang w:val="fr-FR"/>
        </w:rPr>
        <w:t>est félicitée de la préférence du groupe pour une combinaison de modules d</w:t>
      </w:r>
      <w:r w:rsidR="00883A51">
        <w:rPr>
          <w:lang w:val="fr-FR"/>
        </w:rPr>
        <w:t>’</w:t>
      </w:r>
      <w:r w:rsidR="00883A51" w:rsidRPr="009470B3">
        <w:rPr>
          <w:lang w:val="fr-FR"/>
        </w:rPr>
        <w:t xml:space="preserve">apprentissage en ligne et de séances en présentiel. Toutes les délégations intéressées ont été invitées à participer à la prochaine réunion informelle du groupe, qui </w:t>
      </w:r>
      <w:r w:rsidR="00AF6F1F">
        <w:rPr>
          <w:lang w:val="fr-FR"/>
        </w:rPr>
        <w:t>aurait</w:t>
      </w:r>
      <w:r w:rsidR="00883A51" w:rsidRPr="009470B3">
        <w:rPr>
          <w:lang w:val="fr-FR"/>
        </w:rPr>
        <w:t xml:space="preserve"> lieu </w:t>
      </w:r>
      <w:r w:rsidR="00E06EDD">
        <w:rPr>
          <w:lang w:val="fr-FR"/>
        </w:rPr>
        <w:t xml:space="preserve">en ligne </w:t>
      </w:r>
      <w:r w:rsidR="00CE4AE5">
        <w:rPr>
          <w:lang w:val="fr-FR"/>
        </w:rPr>
        <w:t>le 14</w:t>
      </w:r>
      <w:r w:rsidR="00883A51" w:rsidRPr="009470B3">
        <w:rPr>
          <w:lang w:val="fr-FR"/>
        </w:rPr>
        <w:t xml:space="preserve"> novembre 2023. La Réunion commune a décidé de reprendre l</w:t>
      </w:r>
      <w:r w:rsidR="00883A51">
        <w:rPr>
          <w:lang w:val="fr-FR"/>
        </w:rPr>
        <w:t>’</w:t>
      </w:r>
      <w:r w:rsidR="00883A51" w:rsidRPr="009470B3">
        <w:rPr>
          <w:lang w:val="fr-FR"/>
        </w:rPr>
        <w:t>examen de cette question à sa session de mars 2024.</w:t>
      </w:r>
    </w:p>
    <w:p w14:paraId="6612682C" w14:textId="77777777" w:rsidR="00797AF0" w:rsidRPr="002B0D36" w:rsidRDefault="00797AF0" w:rsidP="00797AF0">
      <w:pPr>
        <w:pStyle w:val="H1G"/>
        <w:rPr>
          <w:lang w:val="fr-FR"/>
        </w:rPr>
      </w:pPr>
      <w:r>
        <w:rPr>
          <w:lang w:val="fr-FR"/>
        </w:rPr>
        <w:tab/>
      </w:r>
      <w:bookmarkStart w:id="151" w:name="_Toc147830529"/>
      <w:bookmarkStart w:id="152" w:name="_Toc147845976"/>
      <w:bookmarkStart w:id="153" w:name="_Toc148357362"/>
      <w:bookmarkStart w:id="154" w:name="_Toc148358426"/>
      <w:r w:rsidRPr="002B0D36">
        <w:rPr>
          <w:lang w:val="fr-FR"/>
        </w:rPr>
        <w:t>C.</w:t>
      </w:r>
      <w:r w:rsidRPr="002B0D36">
        <w:rPr>
          <w:lang w:val="fr-FR"/>
        </w:rPr>
        <w:tab/>
        <w:t xml:space="preserve">Rapport du groupe de travail informel des références </w:t>
      </w:r>
      <w:r>
        <w:rPr>
          <w:lang w:val="fr-FR"/>
        </w:rPr>
        <w:br/>
      </w:r>
      <w:r w:rsidRPr="002B0D36">
        <w:rPr>
          <w:lang w:val="fr-FR"/>
        </w:rPr>
        <w:t>aux autorités compétentes</w:t>
      </w:r>
      <w:bookmarkEnd w:id="151"/>
      <w:bookmarkEnd w:id="152"/>
      <w:bookmarkEnd w:id="153"/>
      <w:bookmarkEnd w:id="154"/>
    </w:p>
    <w:p w14:paraId="6B335B9D" w14:textId="58D8A203" w:rsidR="00797AF0" w:rsidRPr="002B0D36" w:rsidRDefault="00797AF0" w:rsidP="00797AF0">
      <w:pPr>
        <w:pStyle w:val="SingleTxtG"/>
        <w:ind w:left="3402" w:hanging="2268"/>
        <w:rPr>
          <w:lang w:val="fr-FR"/>
        </w:rPr>
      </w:pPr>
      <w:r w:rsidRPr="002B0D36">
        <w:rPr>
          <w:i/>
          <w:iCs/>
          <w:lang w:val="fr-FR"/>
        </w:rPr>
        <w:t xml:space="preserve">Document informel </w:t>
      </w:r>
      <w:r w:rsidRPr="000F4CBB">
        <w:rPr>
          <w:lang w:val="fr-FR"/>
        </w:rPr>
        <w:t>:</w:t>
      </w:r>
      <w:r w:rsidRPr="002B0D36">
        <w:rPr>
          <w:lang w:val="fr-FR"/>
        </w:rPr>
        <w:tab/>
      </w:r>
      <w:r>
        <w:rPr>
          <w:lang w:val="fr-FR"/>
        </w:rPr>
        <w:tab/>
      </w:r>
      <w:r w:rsidRPr="002B0D36">
        <w:rPr>
          <w:lang w:val="fr-FR"/>
        </w:rPr>
        <w:t>INF.45 (Suisse)</w:t>
      </w:r>
    </w:p>
    <w:p w14:paraId="2C4E8B00" w14:textId="496570B1" w:rsidR="00797AF0" w:rsidRPr="002B0D36" w:rsidRDefault="00755AAD" w:rsidP="00797AF0">
      <w:pPr>
        <w:pStyle w:val="SingleTxtG"/>
        <w:rPr>
          <w:lang w:val="fr-FR"/>
        </w:rPr>
      </w:pPr>
      <w:r>
        <w:rPr>
          <w:lang w:val="fr-FR"/>
        </w:rPr>
        <w:t>59</w:t>
      </w:r>
      <w:r w:rsidR="00797AF0" w:rsidRPr="002B0D36">
        <w:rPr>
          <w:lang w:val="fr-FR"/>
        </w:rPr>
        <w:t>.</w:t>
      </w:r>
      <w:r w:rsidR="00797AF0" w:rsidRPr="002B0D36">
        <w:rPr>
          <w:lang w:val="fr-FR"/>
        </w:rPr>
        <w:tab/>
        <w:t xml:space="preserve">La Réunion commune a pris note du rapport sur les progrès accomplis par le groupe de travail informel lors des réunions virtuelles tenues en juin et septembre 2023. Toutes les représentantes et tous les représentants ont été invités à participer à la prochaine réunion, qui devrait se tenir </w:t>
      </w:r>
      <w:r w:rsidR="00410D06">
        <w:rPr>
          <w:lang w:val="fr-FR"/>
        </w:rPr>
        <w:t xml:space="preserve">dans la deuxième moitié de </w:t>
      </w:r>
      <w:r w:rsidR="00797AF0" w:rsidRPr="002B0D36">
        <w:rPr>
          <w:lang w:val="fr-FR"/>
        </w:rPr>
        <w:t>janvier 2024.</w:t>
      </w:r>
    </w:p>
    <w:p w14:paraId="5C37474E" w14:textId="77777777" w:rsidR="00797AF0" w:rsidRPr="002B0D36" w:rsidRDefault="00797AF0" w:rsidP="00797AF0">
      <w:pPr>
        <w:pStyle w:val="HChG"/>
        <w:rPr>
          <w:lang w:val="fr-FR"/>
        </w:rPr>
      </w:pPr>
      <w:r>
        <w:rPr>
          <w:lang w:val="fr-FR"/>
        </w:rPr>
        <w:tab/>
      </w:r>
      <w:bookmarkStart w:id="155" w:name="_Toc147830530"/>
      <w:bookmarkStart w:id="156" w:name="_Toc147845977"/>
      <w:bookmarkStart w:id="157" w:name="_Toc148357363"/>
      <w:bookmarkStart w:id="158" w:name="_Toc148358427"/>
      <w:r w:rsidRPr="002B0D36">
        <w:rPr>
          <w:lang w:val="fr-FR"/>
        </w:rPr>
        <w:t>X.</w:t>
      </w:r>
      <w:r w:rsidRPr="002B0D36">
        <w:rPr>
          <w:lang w:val="fr-FR"/>
        </w:rPr>
        <w:tab/>
        <w:t>Accidents et gestion des risques (point 8 de l</w:t>
      </w:r>
      <w:r>
        <w:rPr>
          <w:lang w:val="fr-FR"/>
        </w:rPr>
        <w:t>’</w:t>
      </w:r>
      <w:r w:rsidRPr="002B0D36">
        <w:rPr>
          <w:lang w:val="fr-FR"/>
        </w:rPr>
        <w:t>ordre du jour)</w:t>
      </w:r>
      <w:bookmarkEnd w:id="155"/>
      <w:bookmarkEnd w:id="156"/>
      <w:bookmarkEnd w:id="157"/>
      <w:bookmarkEnd w:id="158"/>
    </w:p>
    <w:p w14:paraId="4FB7600A" w14:textId="53A11648" w:rsidR="00797AF0" w:rsidRPr="002B0D36" w:rsidRDefault="00755AAD" w:rsidP="00797AF0">
      <w:pPr>
        <w:pStyle w:val="SingleTxtG"/>
        <w:rPr>
          <w:lang w:val="fr-FR"/>
        </w:rPr>
      </w:pPr>
      <w:bookmarkStart w:id="159" w:name="_Hlk19796215"/>
      <w:r>
        <w:rPr>
          <w:lang w:val="fr-FR"/>
        </w:rPr>
        <w:t>60</w:t>
      </w:r>
      <w:r w:rsidR="00797AF0" w:rsidRPr="002B0D36">
        <w:rPr>
          <w:lang w:val="fr-FR"/>
        </w:rPr>
        <w:t>.</w:t>
      </w:r>
      <w:r w:rsidR="00797AF0" w:rsidRPr="002B0D36">
        <w:rPr>
          <w:lang w:val="fr-FR"/>
        </w:rPr>
        <w:tab/>
        <w:t>Aucun document n</w:t>
      </w:r>
      <w:r w:rsidR="00797AF0">
        <w:rPr>
          <w:lang w:val="fr-FR"/>
        </w:rPr>
        <w:t>’</w:t>
      </w:r>
      <w:r w:rsidR="00797AF0" w:rsidRPr="002B0D36">
        <w:rPr>
          <w:lang w:val="fr-FR"/>
        </w:rPr>
        <w:t>ayant été soumis au titre de ce point de l</w:t>
      </w:r>
      <w:r w:rsidR="00797AF0">
        <w:rPr>
          <w:lang w:val="fr-FR"/>
        </w:rPr>
        <w:t>’</w:t>
      </w:r>
      <w:r w:rsidR="00797AF0" w:rsidRPr="002B0D36">
        <w:rPr>
          <w:lang w:val="fr-FR"/>
        </w:rPr>
        <w:t>ordre du jour, la question n</w:t>
      </w:r>
      <w:r w:rsidR="00797AF0">
        <w:rPr>
          <w:lang w:val="fr-FR"/>
        </w:rPr>
        <w:t>’</w:t>
      </w:r>
      <w:r w:rsidR="00797AF0" w:rsidRPr="002B0D36">
        <w:rPr>
          <w:lang w:val="fr-FR"/>
        </w:rPr>
        <w:t>a pas été abordée.</w:t>
      </w:r>
    </w:p>
    <w:bookmarkEnd w:id="159"/>
    <w:p w14:paraId="55139260" w14:textId="77777777" w:rsidR="008136FA" w:rsidRPr="009470B3" w:rsidRDefault="008136FA" w:rsidP="008136FA">
      <w:pPr>
        <w:pStyle w:val="HChG"/>
        <w:rPr>
          <w:lang w:val="fr-FR"/>
        </w:rPr>
      </w:pPr>
      <w:r>
        <w:rPr>
          <w:lang w:val="fr-FR"/>
        </w:rPr>
        <w:lastRenderedPageBreak/>
        <w:tab/>
      </w:r>
      <w:bookmarkStart w:id="160" w:name="_Toc147830531"/>
      <w:bookmarkStart w:id="161" w:name="_Toc147845978"/>
      <w:bookmarkStart w:id="162" w:name="_Toc148357364"/>
      <w:bookmarkStart w:id="163" w:name="_Toc148358428"/>
      <w:r w:rsidRPr="009470B3">
        <w:rPr>
          <w:lang w:val="fr-FR"/>
        </w:rPr>
        <w:t>XI.</w:t>
      </w:r>
      <w:r w:rsidRPr="009470B3">
        <w:rPr>
          <w:lang w:val="fr-FR"/>
        </w:rPr>
        <w:tab/>
        <w:t>Programme de développement durable à l</w:t>
      </w:r>
      <w:r>
        <w:rPr>
          <w:lang w:val="fr-FR"/>
        </w:rPr>
        <w:t>’</w:t>
      </w:r>
      <w:r w:rsidRPr="009470B3">
        <w:rPr>
          <w:lang w:val="fr-FR"/>
        </w:rPr>
        <w:t>horizon 2030 (point 9 de l</w:t>
      </w:r>
      <w:r>
        <w:rPr>
          <w:lang w:val="fr-FR"/>
        </w:rPr>
        <w:t>’</w:t>
      </w:r>
      <w:r w:rsidRPr="009470B3">
        <w:rPr>
          <w:lang w:val="fr-FR"/>
        </w:rPr>
        <w:t>ordre du jour)</w:t>
      </w:r>
      <w:bookmarkEnd w:id="160"/>
      <w:bookmarkEnd w:id="161"/>
      <w:bookmarkEnd w:id="162"/>
      <w:bookmarkEnd w:id="163"/>
    </w:p>
    <w:p w14:paraId="6AE35FF6" w14:textId="77777777" w:rsidR="008136FA" w:rsidRPr="009470B3" w:rsidRDefault="008136FA" w:rsidP="0094693A">
      <w:pPr>
        <w:pStyle w:val="SingleTxtG"/>
        <w:ind w:left="3402" w:hanging="2268"/>
        <w:rPr>
          <w:lang w:val="fr-FR"/>
        </w:rPr>
      </w:pPr>
      <w:r w:rsidRPr="009470B3">
        <w:rPr>
          <w:i/>
          <w:iCs/>
          <w:lang w:val="fr-FR"/>
        </w:rPr>
        <w:t xml:space="preserve">Documents informels </w:t>
      </w:r>
      <w:r w:rsidRPr="001C28CA">
        <w:rPr>
          <w:lang w:val="fr-FR"/>
        </w:rPr>
        <w:t>:</w:t>
      </w:r>
      <w:r w:rsidRPr="009470B3">
        <w:rPr>
          <w:lang w:val="fr-FR"/>
        </w:rPr>
        <w:tab/>
        <w:t>INF.31 et 32 (secrétariat)</w:t>
      </w:r>
    </w:p>
    <w:p w14:paraId="2FE56092" w14:textId="0F913C36" w:rsidR="008136FA" w:rsidRPr="009470B3" w:rsidRDefault="00755AAD" w:rsidP="0094693A">
      <w:pPr>
        <w:pStyle w:val="SingleTxtG"/>
        <w:rPr>
          <w:lang w:val="fr-FR"/>
        </w:rPr>
      </w:pPr>
      <w:r>
        <w:rPr>
          <w:lang w:val="fr-FR"/>
        </w:rPr>
        <w:t>61</w:t>
      </w:r>
      <w:r w:rsidR="008136FA" w:rsidRPr="009470B3">
        <w:rPr>
          <w:lang w:val="fr-FR"/>
        </w:rPr>
        <w:t>.</w:t>
      </w:r>
      <w:r w:rsidR="008136FA" w:rsidRPr="009470B3">
        <w:rPr>
          <w:lang w:val="fr-FR"/>
        </w:rPr>
        <w:tab/>
        <w:t>La Réunion commune a pris note des résultats de la quatre-vingt-cinquième session du Comité des transports intérieurs (CTI), tenue à Genève du 21 au 24 février 2023 (voir le rapport publié sous la cote ECE/TRANS/328), et a été informée de la poursuite des travaux relatifs à l</w:t>
      </w:r>
      <w:r w:rsidR="008136FA">
        <w:rPr>
          <w:lang w:val="fr-FR"/>
        </w:rPr>
        <w:t>’</w:t>
      </w:r>
      <w:r w:rsidR="008136FA" w:rsidRPr="009470B3">
        <w:rPr>
          <w:lang w:val="fr-FR"/>
        </w:rPr>
        <w:t>application de la Stratégie du CTI à l</w:t>
      </w:r>
      <w:r w:rsidR="008136FA">
        <w:rPr>
          <w:lang w:val="fr-FR"/>
        </w:rPr>
        <w:t>’</w:t>
      </w:r>
      <w:r w:rsidR="008136FA" w:rsidRPr="009470B3">
        <w:rPr>
          <w:lang w:val="fr-FR"/>
        </w:rPr>
        <w:t xml:space="preserve">horizon 2030 (ECE/TRANS/2023/3). </w:t>
      </w:r>
    </w:p>
    <w:p w14:paraId="0DB692CA" w14:textId="3F7B953A" w:rsidR="008136FA" w:rsidRPr="009470B3" w:rsidRDefault="00755AAD" w:rsidP="008136FA">
      <w:pPr>
        <w:pStyle w:val="SingleTxtG"/>
        <w:rPr>
          <w:lang w:val="fr-FR"/>
        </w:rPr>
      </w:pPr>
      <w:r>
        <w:rPr>
          <w:lang w:val="fr-FR"/>
        </w:rPr>
        <w:t>62</w:t>
      </w:r>
      <w:r w:rsidR="008136FA" w:rsidRPr="009470B3">
        <w:rPr>
          <w:lang w:val="fr-FR"/>
        </w:rPr>
        <w:t>.</w:t>
      </w:r>
      <w:r w:rsidR="008136FA" w:rsidRPr="009470B3">
        <w:rPr>
          <w:lang w:val="fr-FR"/>
        </w:rPr>
        <w:tab/>
        <w:t>La Réunion commune a accueilli avec intérêt l</w:t>
      </w:r>
      <w:r w:rsidR="008136FA">
        <w:rPr>
          <w:lang w:val="fr-FR"/>
        </w:rPr>
        <w:t>’</w:t>
      </w:r>
      <w:r w:rsidR="008136FA" w:rsidRPr="009470B3">
        <w:rPr>
          <w:lang w:val="fr-FR"/>
        </w:rPr>
        <w:t>exposé concernant l</w:t>
      </w:r>
      <w:r w:rsidR="008136FA">
        <w:rPr>
          <w:lang w:val="fr-FR"/>
        </w:rPr>
        <w:t>’</w:t>
      </w:r>
      <w:r w:rsidR="008136FA" w:rsidRPr="009470B3">
        <w:rPr>
          <w:lang w:val="fr-FR"/>
        </w:rPr>
        <w:t>élaboration de la stratégie du CTI sur la réduction des émissions de gaz à effet de serre dans les transports intérieurs (document informel INF.32). Elle a pris note avec intérêt des objectifs et du plan d</w:t>
      </w:r>
      <w:r w:rsidR="008136FA">
        <w:rPr>
          <w:lang w:val="fr-FR"/>
        </w:rPr>
        <w:t>’</w:t>
      </w:r>
      <w:r w:rsidR="008136FA" w:rsidRPr="009470B3">
        <w:rPr>
          <w:lang w:val="fr-FR"/>
        </w:rPr>
        <w:t xml:space="preserve">action stratégiques fondés sur les instruments juridiques administrés par le CTI ainsi que de la liste des étapes à </w:t>
      </w:r>
      <w:r w:rsidR="00E40535">
        <w:rPr>
          <w:lang w:val="fr-FR"/>
        </w:rPr>
        <w:t>réaliser</w:t>
      </w:r>
      <w:r w:rsidR="00E40535" w:rsidRPr="009470B3">
        <w:rPr>
          <w:lang w:val="fr-FR"/>
        </w:rPr>
        <w:t xml:space="preserve"> </w:t>
      </w:r>
      <w:r w:rsidR="008136FA" w:rsidRPr="009470B3">
        <w:rPr>
          <w:lang w:val="fr-FR"/>
        </w:rPr>
        <w:t>et des priorités à respecter pour atteindre des objectifs climatiques ambitieux et parvenir à atténuer les effets des changements climatiques et à s</w:t>
      </w:r>
      <w:r w:rsidR="008136FA">
        <w:rPr>
          <w:lang w:val="fr-FR"/>
        </w:rPr>
        <w:t>’</w:t>
      </w:r>
      <w:r w:rsidR="008136FA" w:rsidRPr="009470B3">
        <w:rPr>
          <w:lang w:val="fr-FR"/>
        </w:rPr>
        <w:t>y adapter, comme indiqué dans le document ECE/TRANS/2023/21.</w:t>
      </w:r>
    </w:p>
    <w:p w14:paraId="302A0961" w14:textId="5F127A6B" w:rsidR="008136FA" w:rsidRPr="009470B3" w:rsidRDefault="00755AAD" w:rsidP="008136FA">
      <w:pPr>
        <w:pStyle w:val="SingleTxtG"/>
        <w:rPr>
          <w:lang w:val="fr-FR"/>
        </w:rPr>
      </w:pPr>
      <w:r>
        <w:rPr>
          <w:lang w:val="fr-FR"/>
        </w:rPr>
        <w:t>63</w:t>
      </w:r>
      <w:r w:rsidR="008136FA" w:rsidRPr="009470B3">
        <w:rPr>
          <w:lang w:val="fr-FR"/>
        </w:rPr>
        <w:t>.</w:t>
      </w:r>
      <w:r w:rsidR="008136FA" w:rsidRPr="009470B3">
        <w:rPr>
          <w:lang w:val="fr-FR"/>
        </w:rPr>
        <w:tab/>
        <w:t>La Réunion commune s</w:t>
      </w:r>
      <w:r w:rsidR="008136FA">
        <w:rPr>
          <w:lang w:val="fr-FR"/>
        </w:rPr>
        <w:t>’</w:t>
      </w:r>
      <w:r w:rsidR="008136FA" w:rsidRPr="009470B3">
        <w:rPr>
          <w:lang w:val="fr-FR"/>
        </w:rPr>
        <w:t xml:space="preserve">est </w:t>
      </w:r>
      <w:proofErr w:type="gramStart"/>
      <w:r w:rsidR="008136FA" w:rsidRPr="009470B3">
        <w:rPr>
          <w:lang w:val="fr-FR"/>
        </w:rPr>
        <w:t>dite</w:t>
      </w:r>
      <w:proofErr w:type="gramEnd"/>
      <w:r w:rsidR="008136FA" w:rsidRPr="009470B3">
        <w:rPr>
          <w:lang w:val="fr-FR"/>
        </w:rPr>
        <w:t xml:space="preserve"> favorable à la stratégie proposée par le CTI et a approuvé, en tant que contribution au rapport biennal du Comité, le plan d</w:t>
      </w:r>
      <w:r w:rsidR="008136FA">
        <w:rPr>
          <w:lang w:val="fr-FR"/>
        </w:rPr>
        <w:t>’</w:t>
      </w:r>
      <w:r w:rsidR="008136FA" w:rsidRPr="009470B3">
        <w:rPr>
          <w:lang w:val="fr-FR"/>
        </w:rPr>
        <w:t xml:space="preserve">action décrit dans le document informel INF.31 pour réduire les émissions de gaz à effet de serre dans les transports intérieurs. Elle a discuté des principales étapes intermédiaires des mesures proposées et demandé au secrétariat de rendre compte de ces débats </w:t>
      </w:r>
      <w:r w:rsidR="00E2755D">
        <w:rPr>
          <w:lang w:val="fr-FR"/>
        </w:rPr>
        <w:t>a</w:t>
      </w:r>
      <w:r w:rsidR="008136FA" w:rsidRPr="009470B3">
        <w:rPr>
          <w:lang w:val="fr-FR"/>
        </w:rPr>
        <w:t>u Bureau du CTI.</w:t>
      </w:r>
    </w:p>
    <w:p w14:paraId="57B69857" w14:textId="62EF3888" w:rsidR="008136FA" w:rsidRDefault="00755AAD" w:rsidP="008136FA">
      <w:pPr>
        <w:pStyle w:val="SingleTxtG"/>
        <w:rPr>
          <w:lang w:val="fr-FR"/>
        </w:rPr>
      </w:pPr>
      <w:r>
        <w:rPr>
          <w:lang w:val="fr-FR"/>
        </w:rPr>
        <w:t>64</w:t>
      </w:r>
      <w:r w:rsidR="008136FA" w:rsidRPr="009470B3">
        <w:rPr>
          <w:lang w:val="fr-FR"/>
        </w:rPr>
        <w:t>.</w:t>
      </w:r>
      <w:r w:rsidR="008136FA" w:rsidRPr="009470B3">
        <w:rPr>
          <w:lang w:val="fr-FR"/>
        </w:rPr>
        <w:tab/>
        <w:t>La Réunion commune a rappelé que lors des discussions tenues aux sessions précédentes sur le Programme de développement durable à l</w:t>
      </w:r>
      <w:r w:rsidR="008136FA">
        <w:rPr>
          <w:lang w:val="fr-FR"/>
        </w:rPr>
        <w:t>’</w:t>
      </w:r>
      <w:r w:rsidR="008136FA" w:rsidRPr="009470B3">
        <w:rPr>
          <w:lang w:val="fr-FR"/>
        </w:rPr>
        <w:t>horizon 2030, il avait été dit que les documents relatifs à la protection de l</w:t>
      </w:r>
      <w:r w:rsidR="008136FA">
        <w:rPr>
          <w:lang w:val="fr-FR"/>
        </w:rPr>
        <w:t>’</w:t>
      </w:r>
      <w:r w:rsidR="008136FA" w:rsidRPr="009470B3">
        <w:rPr>
          <w:lang w:val="fr-FR"/>
        </w:rPr>
        <w:t>environnement et à la sécurité devaient toujours être examinés sur un pied d</w:t>
      </w:r>
      <w:r w:rsidR="008136FA">
        <w:rPr>
          <w:lang w:val="fr-FR"/>
        </w:rPr>
        <w:t>’</w:t>
      </w:r>
      <w:r w:rsidR="008136FA" w:rsidRPr="009470B3">
        <w:rPr>
          <w:lang w:val="fr-FR"/>
        </w:rPr>
        <w:t>égalité mais que dans le contexte du transport de marchandises dangereuses, la question de la sécurité était généralement prioritaire.</w:t>
      </w:r>
      <w:r w:rsidR="008136FA">
        <w:rPr>
          <w:lang w:val="fr-FR"/>
        </w:rPr>
        <w:t xml:space="preserve"> </w:t>
      </w:r>
    </w:p>
    <w:p w14:paraId="12FF3419" w14:textId="0E589532" w:rsidR="008136FA" w:rsidRPr="003A3666" w:rsidRDefault="00755AAD" w:rsidP="008136FA">
      <w:pPr>
        <w:pStyle w:val="SingleTxtG"/>
        <w:rPr>
          <w:lang w:val="fr-FR"/>
        </w:rPr>
      </w:pPr>
      <w:r>
        <w:rPr>
          <w:lang w:val="fr-FR"/>
        </w:rPr>
        <w:t>65</w:t>
      </w:r>
      <w:r w:rsidR="008136FA" w:rsidRPr="009470B3">
        <w:rPr>
          <w:lang w:val="fr-FR"/>
        </w:rPr>
        <w:t>.</w:t>
      </w:r>
      <w:r w:rsidR="008136FA" w:rsidRPr="009470B3">
        <w:rPr>
          <w:lang w:val="fr-FR"/>
        </w:rPr>
        <w:tab/>
        <w:t>La Réunion commune s</w:t>
      </w:r>
      <w:r w:rsidR="008136FA">
        <w:rPr>
          <w:lang w:val="fr-FR"/>
        </w:rPr>
        <w:t>’</w:t>
      </w:r>
      <w:r w:rsidR="008136FA" w:rsidRPr="009470B3">
        <w:rPr>
          <w:lang w:val="fr-FR"/>
        </w:rPr>
        <w:t xml:space="preserve">est félicitée de la publication, sur le site </w:t>
      </w:r>
      <w:r w:rsidR="008136FA">
        <w:rPr>
          <w:lang w:val="fr-FR"/>
        </w:rPr>
        <w:t>W</w:t>
      </w:r>
      <w:r w:rsidR="008136FA" w:rsidRPr="009470B3">
        <w:rPr>
          <w:lang w:val="fr-FR"/>
        </w:rPr>
        <w:t>eb de la CEE, d</w:t>
      </w:r>
      <w:r w:rsidR="008136FA">
        <w:rPr>
          <w:lang w:val="fr-FR"/>
        </w:rPr>
        <w:t>’</w:t>
      </w:r>
      <w:r w:rsidR="008136FA" w:rsidRPr="009470B3">
        <w:rPr>
          <w:lang w:val="fr-FR"/>
        </w:rPr>
        <w:t>informations concernant les objectifs de développement durable et les cibles correspondantes, en particulier celles concernant les travaux de réglementation du transport de marchandises dangereuses, qui pouvaient aider les représentants à déterminer les incidences de leurs propositions. Ces informations sont disponibles à l</w:t>
      </w:r>
      <w:r w:rsidR="008136FA">
        <w:rPr>
          <w:lang w:val="fr-FR"/>
        </w:rPr>
        <w:t>’</w:t>
      </w:r>
      <w:r w:rsidR="008136FA" w:rsidRPr="009470B3">
        <w:rPr>
          <w:lang w:val="fr-FR"/>
        </w:rPr>
        <w:t>adresse suivante</w:t>
      </w:r>
      <w:r w:rsidR="008136FA">
        <w:rPr>
          <w:lang w:val="fr-FR"/>
        </w:rPr>
        <w:t> </w:t>
      </w:r>
      <w:r w:rsidR="008136FA" w:rsidRPr="009470B3">
        <w:rPr>
          <w:lang w:val="fr-FR"/>
        </w:rPr>
        <w:t>:</w:t>
      </w:r>
      <w:r w:rsidR="008136FA">
        <w:rPr>
          <w:lang w:val="fr-FR"/>
        </w:rPr>
        <w:t xml:space="preserve"> </w:t>
      </w:r>
      <w:hyperlink r:id="rId13" w:history="1">
        <w:r w:rsidR="008136FA" w:rsidRPr="003A3666">
          <w:rPr>
            <w:rStyle w:val="Lienhypertexte"/>
            <w:color w:val="auto"/>
            <w:lang w:val="fr-FR"/>
          </w:rPr>
          <w:t>https://unece.org/transport/dangerous-goods/unece-bodies-dealing-transport-dangerous-goods</w:t>
        </w:r>
      </w:hyperlink>
      <w:r w:rsidR="008136FA" w:rsidRPr="003A3666">
        <w:rPr>
          <w:lang w:val="fr-FR"/>
        </w:rPr>
        <w:t>.</w:t>
      </w:r>
    </w:p>
    <w:p w14:paraId="3FB17DAF" w14:textId="77777777" w:rsidR="00FF05FD" w:rsidRPr="002B0D36" w:rsidRDefault="00FF05FD" w:rsidP="00FF05FD">
      <w:pPr>
        <w:pStyle w:val="HChG"/>
        <w:rPr>
          <w:lang w:val="fr-FR"/>
        </w:rPr>
      </w:pPr>
      <w:r>
        <w:rPr>
          <w:lang w:val="fr-FR"/>
        </w:rPr>
        <w:tab/>
      </w:r>
      <w:bookmarkStart w:id="164" w:name="_Toc147830532"/>
      <w:bookmarkStart w:id="165" w:name="_Toc147845979"/>
      <w:bookmarkStart w:id="166" w:name="_Toc148357365"/>
      <w:bookmarkStart w:id="167" w:name="_Toc148358429"/>
      <w:r w:rsidRPr="002B0D36">
        <w:rPr>
          <w:lang w:val="fr-FR"/>
        </w:rPr>
        <w:t>XII.</w:t>
      </w:r>
      <w:r w:rsidRPr="002B0D36">
        <w:rPr>
          <w:lang w:val="fr-FR"/>
        </w:rPr>
        <w:tab/>
        <w:t>Élection du Bureau pour 2024 (point 10 de l</w:t>
      </w:r>
      <w:r>
        <w:rPr>
          <w:lang w:val="fr-FR"/>
        </w:rPr>
        <w:t>’</w:t>
      </w:r>
      <w:r w:rsidRPr="002B0D36">
        <w:rPr>
          <w:lang w:val="fr-FR"/>
        </w:rPr>
        <w:t>ordre du jour)</w:t>
      </w:r>
      <w:bookmarkEnd w:id="164"/>
      <w:bookmarkEnd w:id="165"/>
      <w:bookmarkEnd w:id="166"/>
      <w:bookmarkEnd w:id="167"/>
    </w:p>
    <w:p w14:paraId="172F66B0" w14:textId="77606631" w:rsidR="00FF05FD" w:rsidRPr="002B0D36" w:rsidRDefault="00FF05FD" w:rsidP="00FF05FD">
      <w:pPr>
        <w:pStyle w:val="SingleTxtG"/>
        <w:rPr>
          <w:lang w:val="fr-FR"/>
        </w:rPr>
      </w:pPr>
      <w:r w:rsidRPr="002B0D36">
        <w:rPr>
          <w:lang w:val="fr-FR"/>
        </w:rPr>
        <w:t>6</w:t>
      </w:r>
      <w:r w:rsidR="00755AAD">
        <w:rPr>
          <w:lang w:val="fr-FR"/>
        </w:rPr>
        <w:t>6</w:t>
      </w:r>
      <w:r w:rsidRPr="002B0D36">
        <w:rPr>
          <w:lang w:val="fr-FR"/>
        </w:rPr>
        <w:t>.</w:t>
      </w:r>
      <w:r w:rsidRPr="002B0D36">
        <w:rPr>
          <w:lang w:val="fr-FR"/>
        </w:rPr>
        <w:tab/>
        <w:t xml:space="preserve">Sur proposition du représentant du Royaume-Uni, </w:t>
      </w:r>
      <w:r w:rsidRPr="00860FBE">
        <w:rPr>
          <w:lang w:val="fr-FR"/>
        </w:rPr>
        <w:t>M</w:t>
      </w:r>
      <w:r w:rsidRPr="00860FBE">
        <w:rPr>
          <w:vertAlign w:val="superscript"/>
          <w:lang w:val="fr-FR"/>
        </w:rPr>
        <w:t>me</w:t>
      </w:r>
      <w:r w:rsidRPr="00860FBE">
        <w:rPr>
          <w:lang w:val="fr-FR"/>
        </w:rPr>
        <w:t> </w:t>
      </w:r>
      <w:r w:rsidRPr="002B0D36">
        <w:rPr>
          <w:lang w:val="fr-FR"/>
        </w:rPr>
        <w:t xml:space="preserve">Silvia García Wolfrum (Espagne) et M. </w:t>
      </w:r>
      <w:proofErr w:type="spellStart"/>
      <w:r w:rsidRPr="002B0D36">
        <w:rPr>
          <w:lang w:val="fr-FR"/>
        </w:rPr>
        <w:t>So</w:t>
      </w:r>
      <w:r w:rsidR="00ED0CE2">
        <w:rPr>
          <w:lang w:val="fr-FR"/>
        </w:rPr>
        <w:t>e</w:t>
      </w:r>
      <w:r w:rsidRPr="002B0D36">
        <w:rPr>
          <w:lang w:val="fr-FR"/>
        </w:rPr>
        <w:t>desh</w:t>
      </w:r>
      <w:proofErr w:type="spellEnd"/>
      <w:r w:rsidRPr="002B0D36">
        <w:rPr>
          <w:lang w:val="fr-FR"/>
        </w:rPr>
        <w:t xml:space="preserve"> Mahesh (Pays-Bas) ont été élus respectivement Présidente et Vice</w:t>
      </w:r>
      <w:r>
        <w:rPr>
          <w:lang w:val="fr-FR"/>
        </w:rPr>
        <w:noBreakHyphen/>
      </w:r>
      <w:r w:rsidRPr="002B0D36">
        <w:rPr>
          <w:lang w:val="fr-FR"/>
        </w:rPr>
        <w:t>Président pour 2024.</w:t>
      </w:r>
    </w:p>
    <w:p w14:paraId="108325B0" w14:textId="77777777" w:rsidR="00FF05FD" w:rsidRPr="002B0D36" w:rsidRDefault="00FF05FD" w:rsidP="00FF05FD">
      <w:pPr>
        <w:pStyle w:val="HChG"/>
        <w:rPr>
          <w:lang w:val="fr-FR"/>
        </w:rPr>
      </w:pPr>
      <w:r>
        <w:rPr>
          <w:lang w:val="fr-FR"/>
        </w:rPr>
        <w:tab/>
      </w:r>
      <w:bookmarkStart w:id="168" w:name="_Toc147830533"/>
      <w:bookmarkStart w:id="169" w:name="_Toc147845980"/>
      <w:bookmarkStart w:id="170" w:name="_Toc148357366"/>
      <w:bookmarkStart w:id="171" w:name="_Toc148358430"/>
      <w:r w:rsidRPr="002B0D36">
        <w:rPr>
          <w:lang w:val="fr-FR"/>
        </w:rPr>
        <w:t>XIII.</w:t>
      </w:r>
      <w:r w:rsidRPr="002B0D36">
        <w:rPr>
          <w:lang w:val="fr-FR"/>
        </w:rPr>
        <w:tab/>
        <w:t>Travaux futurs (point 11 de l</w:t>
      </w:r>
      <w:r>
        <w:rPr>
          <w:lang w:val="fr-FR"/>
        </w:rPr>
        <w:t>’</w:t>
      </w:r>
      <w:r w:rsidRPr="002B0D36">
        <w:rPr>
          <w:lang w:val="fr-FR"/>
        </w:rPr>
        <w:t>ordre du jour)</w:t>
      </w:r>
      <w:bookmarkEnd w:id="168"/>
      <w:bookmarkEnd w:id="169"/>
      <w:bookmarkEnd w:id="170"/>
      <w:bookmarkEnd w:id="171"/>
    </w:p>
    <w:p w14:paraId="124989D0" w14:textId="483D6D7F" w:rsidR="00FF05FD" w:rsidRPr="002B0D36" w:rsidRDefault="00FF05FD" w:rsidP="00FF05FD">
      <w:pPr>
        <w:pStyle w:val="SingleTxtG"/>
        <w:rPr>
          <w:lang w:val="fr-FR"/>
        </w:rPr>
      </w:pPr>
      <w:r w:rsidRPr="002B0D36">
        <w:rPr>
          <w:lang w:val="fr-FR"/>
        </w:rPr>
        <w:t>6</w:t>
      </w:r>
      <w:r w:rsidR="00755AAD">
        <w:rPr>
          <w:lang w:val="fr-FR"/>
        </w:rPr>
        <w:t>7</w:t>
      </w:r>
      <w:r w:rsidRPr="002B0D36">
        <w:rPr>
          <w:lang w:val="fr-FR"/>
        </w:rPr>
        <w:t>.</w:t>
      </w:r>
      <w:r w:rsidRPr="002B0D36">
        <w:rPr>
          <w:lang w:val="fr-FR"/>
        </w:rPr>
        <w:tab/>
        <w:t>La Réunion commune a été informée que sa prochaine session se tiendrait à Berne du 25 au 28 mars 2024 et que la date limite pour la soumission des documents officiels avait été fixée au 22 décembre 2023.</w:t>
      </w:r>
    </w:p>
    <w:p w14:paraId="2A389EDF" w14:textId="77777777" w:rsidR="00FF05FD" w:rsidRPr="002B0D36" w:rsidRDefault="00FF05FD" w:rsidP="00FF05FD">
      <w:pPr>
        <w:pStyle w:val="HChG"/>
        <w:rPr>
          <w:lang w:val="fr-FR"/>
        </w:rPr>
      </w:pPr>
      <w:r>
        <w:rPr>
          <w:lang w:val="fr-FR"/>
        </w:rPr>
        <w:tab/>
      </w:r>
      <w:bookmarkStart w:id="172" w:name="_Toc147830534"/>
      <w:bookmarkStart w:id="173" w:name="_Toc147845981"/>
      <w:bookmarkStart w:id="174" w:name="_Toc148357367"/>
      <w:bookmarkStart w:id="175" w:name="_Toc148358431"/>
      <w:r w:rsidRPr="002B0D36">
        <w:rPr>
          <w:lang w:val="fr-FR"/>
        </w:rPr>
        <w:t>XIV.</w:t>
      </w:r>
      <w:r w:rsidRPr="002B0D36">
        <w:rPr>
          <w:lang w:val="fr-FR"/>
        </w:rPr>
        <w:tab/>
        <w:t>Questions diverses (point 12 de l</w:t>
      </w:r>
      <w:r>
        <w:rPr>
          <w:lang w:val="fr-FR"/>
        </w:rPr>
        <w:t>’</w:t>
      </w:r>
      <w:r w:rsidRPr="002B0D36">
        <w:rPr>
          <w:lang w:val="fr-FR"/>
        </w:rPr>
        <w:t>ordre du jour)</w:t>
      </w:r>
      <w:bookmarkEnd w:id="172"/>
      <w:bookmarkEnd w:id="173"/>
      <w:bookmarkEnd w:id="174"/>
      <w:bookmarkEnd w:id="175"/>
    </w:p>
    <w:p w14:paraId="59338E3A" w14:textId="77777777" w:rsidR="00FF05FD" w:rsidRPr="002B0D36" w:rsidRDefault="00FF05FD" w:rsidP="00FF05FD">
      <w:pPr>
        <w:pStyle w:val="H1G"/>
        <w:rPr>
          <w:lang w:val="fr-FR"/>
        </w:rPr>
      </w:pPr>
      <w:r>
        <w:rPr>
          <w:lang w:val="fr-FR"/>
        </w:rPr>
        <w:tab/>
      </w:r>
      <w:bookmarkStart w:id="176" w:name="_Toc147830535"/>
      <w:bookmarkStart w:id="177" w:name="_Toc147845982"/>
      <w:bookmarkStart w:id="178" w:name="_Toc148357368"/>
      <w:bookmarkStart w:id="179" w:name="_Toc148358432"/>
      <w:r w:rsidRPr="002B0D36">
        <w:rPr>
          <w:lang w:val="fr-FR"/>
        </w:rPr>
        <w:t>A.</w:t>
      </w:r>
      <w:r w:rsidRPr="002B0D36">
        <w:rPr>
          <w:lang w:val="fr-FR"/>
        </w:rPr>
        <w:tab/>
        <w:t>Directives pour l</w:t>
      </w:r>
      <w:r>
        <w:rPr>
          <w:lang w:val="fr-FR"/>
        </w:rPr>
        <w:t>’</w:t>
      </w:r>
      <w:r w:rsidRPr="002B0D36">
        <w:rPr>
          <w:lang w:val="fr-FR"/>
        </w:rPr>
        <w:t>utilisation du 5.4.0.2 dans le RID, l</w:t>
      </w:r>
      <w:r>
        <w:rPr>
          <w:lang w:val="fr-FR"/>
        </w:rPr>
        <w:t>’</w:t>
      </w:r>
      <w:r w:rsidRPr="002B0D36">
        <w:rPr>
          <w:lang w:val="fr-FR"/>
        </w:rPr>
        <w:t>ADR et l</w:t>
      </w:r>
      <w:r>
        <w:rPr>
          <w:lang w:val="fr-FR"/>
        </w:rPr>
        <w:t>’</w:t>
      </w:r>
      <w:r w:rsidRPr="002B0D36">
        <w:rPr>
          <w:lang w:val="fr-FR"/>
        </w:rPr>
        <w:t>ADN</w:t>
      </w:r>
      <w:bookmarkEnd w:id="176"/>
      <w:bookmarkEnd w:id="177"/>
      <w:bookmarkEnd w:id="178"/>
      <w:bookmarkEnd w:id="179"/>
    </w:p>
    <w:p w14:paraId="29E43045" w14:textId="779E792D" w:rsidR="00FF05FD" w:rsidRPr="002B0D36" w:rsidRDefault="00FF05FD" w:rsidP="00FF05FD">
      <w:pPr>
        <w:pStyle w:val="SingleTxtG"/>
        <w:rPr>
          <w:lang w:val="fr-FR"/>
        </w:rPr>
      </w:pPr>
      <w:r w:rsidRPr="002B0D36">
        <w:rPr>
          <w:lang w:val="fr-FR"/>
        </w:rPr>
        <w:t>6</w:t>
      </w:r>
      <w:r w:rsidR="00755AAD">
        <w:rPr>
          <w:lang w:val="fr-FR"/>
        </w:rPr>
        <w:t>8</w:t>
      </w:r>
      <w:r w:rsidRPr="002B0D36">
        <w:rPr>
          <w:lang w:val="fr-FR"/>
        </w:rPr>
        <w:t>.</w:t>
      </w:r>
      <w:r w:rsidRPr="002B0D36">
        <w:rPr>
          <w:lang w:val="fr-FR"/>
        </w:rPr>
        <w:tab/>
        <w:t>Aucun document n</w:t>
      </w:r>
      <w:r>
        <w:rPr>
          <w:lang w:val="fr-FR"/>
        </w:rPr>
        <w:t>’</w:t>
      </w:r>
      <w:r w:rsidRPr="002B0D36">
        <w:rPr>
          <w:lang w:val="fr-FR"/>
        </w:rPr>
        <w:t>ayant été soumis au titre de ce point de l</w:t>
      </w:r>
      <w:r>
        <w:rPr>
          <w:lang w:val="fr-FR"/>
        </w:rPr>
        <w:t>’</w:t>
      </w:r>
      <w:r w:rsidRPr="002B0D36">
        <w:rPr>
          <w:lang w:val="fr-FR"/>
        </w:rPr>
        <w:t>ordre du jour, la question n</w:t>
      </w:r>
      <w:r>
        <w:rPr>
          <w:lang w:val="fr-FR"/>
        </w:rPr>
        <w:t>’</w:t>
      </w:r>
      <w:r w:rsidRPr="002B0D36">
        <w:rPr>
          <w:lang w:val="fr-FR"/>
        </w:rPr>
        <w:t>a pas été abordée.</w:t>
      </w:r>
    </w:p>
    <w:p w14:paraId="321CA1CE" w14:textId="77777777" w:rsidR="00FF05FD" w:rsidRPr="002B0D36" w:rsidRDefault="00FF05FD" w:rsidP="00FF05FD">
      <w:pPr>
        <w:pStyle w:val="H1G"/>
        <w:rPr>
          <w:lang w:val="fr-FR"/>
        </w:rPr>
      </w:pPr>
      <w:r>
        <w:rPr>
          <w:lang w:val="fr-FR"/>
        </w:rPr>
        <w:lastRenderedPageBreak/>
        <w:tab/>
      </w:r>
      <w:bookmarkStart w:id="180" w:name="_Toc147830536"/>
      <w:bookmarkStart w:id="181" w:name="_Toc147845983"/>
      <w:bookmarkStart w:id="182" w:name="_Toc148357369"/>
      <w:bookmarkStart w:id="183" w:name="_Toc148358433"/>
      <w:r w:rsidRPr="002B0D36">
        <w:rPr>
          <w:lang w:val="fr-FR"/>
        </w:rPr>
        <w:t>B.</w:t>
      </w:r>
      <w:r w:rsidRPr="002B0D36">
        <w:rPr>
          <w:lang w:val="fr-FR"/>
        </w:rPr>
        <w:tab/>
        <w:t xml:space="preserve">Hommages à MM. C. </w:t>
      </w:r>
      <w:proofErr w:type="spellStart"/>
      <w:r w:rsidRPr="002B0D36">
        <w:rPr>
          <w:lang w:val="fr-FR"/>
        </w:rPr>
        <w:t>Pfauvadel</w:t>
      </w:r>
      <w:proofErr w:type="spellEnd"/>
      <w:r w:rsidRPr="002B0D36">
        <w:rPr>
          <w:lang w:val="fr-FR"/>
        </w:rPr>
        <w:t xml:space="preserve"> (France) et J.-G. </w:t>
      </w:r>
      <w:proofErr w:type="spellStart"/>
      <w:r w:rsidRPr="002B0D36">
        <w:rPr>
          <w:lang w:val="fr-FR"/>
        </w:rPr>
        <w:t>Heintz</w:t>
      </w:r>
      <w:proofErr w:type="spellEnd"/>
      <w:r w:rsidRPr="002B0D36">
        <w:rPr>
          <w:lang w:val="fr-FR"/>
        </w:rPr>
        <w:t xml:space="preserve"> (UIC)</w:t>
      </w:r>
      <w:bookmarkEnd w:id="180"/>
      <w:bookmarkEnd w:id="181"/>
      <w:bookmarkEnd w:id="182"/>
      <w:bookmarkEnd w:id="183"/>
    </w:p>
    <w:p w14:paraId="0F783468" w14:textId="2037B993" w:rsidR="00FF05FD" w:rsidRPr="002B0D36" w:rsidRDefault="00FF05FD" w:rsidP="00FF05FD">
      <w:pPr>
        <w:pStyle w:val="SingleTxtG"/>
        <w:rPr>
          <w:lang w:val="fr-FR"/>
        </w:rPr>
      </w:pPr>
      <w:r w:rsidRPr="002B0D36">
        <w:rPr>
          <w:lang w:val="fr-FR"/>
        </w:rPr>
        <w:t>6</w:t>
      </w:r>
      <w:r w:rsidR="00755AAD">
        <w:rPr>
          <w:lang w:val="fr-FR"/>
        </w:rPr>
        <w:t>9</w:t>
      </w:r>
      <w:r w:rsidRPr="002B0D36">
        <w:rPr>
          <w:lang w:val="fr-FR"/>
        </w:rPr>
        <w:t>.</w:t>
      </w:r>
      <w:r w:rsidRPr="002B0D36">
        <w:rPr>
          <w:lang w:val="fr-FR"/>
        </w:rPr>
        <w:tab/>
        <w:t>La Réunion commune a noté que M.</w:t>
      </w:r>
      <w:r>
        <w:rPr>
          <w:lang w:val="fr-FR"/>
        </w:rPr>
        <w:t> </w:t>
      </w:r>
      <w:r w:rsidRPr="002B0D36">
        <w:rPr>
          <w:lang w:val="fr-FR"/>
        </w:rPr>
        <w:t xml:space="preserve">Claude </w:t>
      </w:r>
      <w:proofErr w:type="spellStart"/>
      <w:r w:rsidRPr="002B0D36">
        <w:rPr>
          <w:lang w:val="fr-FR"/>
        </w:rPr>
        <w:t>Pfauvadel</w:t>
      </w:r>
      <w:proofErr w:type="spellEnd"/>
      <w:r w:rsidRPr="002B0D36">
        <w:rPr>
          <w:lang w:val="fr-FR"/>
        </w:rPr>
        <w:t xml:space="preserve"> (France) prendrait sa retraite </w:t>
      </w:r>
      <w:r w:rsidR="004A5A6E">
        <w:rPr>
          <w:lang w:val="fr-FR"/>
        </w:rPr>
        <w:t>en</w:t>
      </w:r>
      <w:r w:rsidRPr="002B0D36">
        <w:rPr>
          <w:lang w:val="fr-FR"/>
        </w:rPr>
        <w:t xml:space="preserve"> 202</w:t>
      </w:r>
      <w:r w:rsidR="004A5A6E">
        <w:rPr>
          <w:lang w:val="fr-FR"/>
        </w:rPr>
        <w:t>4</w:t>
      </w:r>
      <w:r w:rsidRPr="002B0D36">
        <w:rPr>
          <w:lang w:val="fr-FR"/>
        </w:rPr>
        <w:t xml:space="preserve"> et ne participerait plus à ses sessions. Elle a rendu hommage en particulier à son engagement et à </w:t>
      </w:r>
      <w:r>
        <w:rPr>
          <w:lang w:val="fr-FR"/>
        </w:rPr>
        <w:t xml:space="preserve">son </w:t>
      </w:r>
      <w:r w:rsidRPr="002B0D36">
        <w:rPr>
          <w:lang w:val="fr-FR"/>
        </w:rPr>
        <w:t xml:space="preserve">dynamisme exceptionnels en tant que Président de la Réunion commune au cours des 20 dernières années. </w:t>
      </w:r>
      <w:r>
        <w:rPr>
          <w:lang w:val="fr-FR"/>
        </w:rPr>
        <w:t>Elle</w:t>
      </w:r>
      <w:r w:rsidRPr="002B0D36">
        <w:rPr>
          <w:lang w:val="fr-FR"/>
        </w:rPr>
        <w:t xml:space="preserve"> a exprimé sa profonde gratitude et ses vifs remerciements pour son travail et ses contributions, qu</w:t>
      </w:r>
      <w:r>
        <w:rPr>
          <w:lang w:val="fr-FR"/>
        </w:rPr>
        <w:t>’</w:t>
      </w:r>
      <w:r w:rsidRPr="002B0D36">
        <w:rPr>
          <w:lang w:val="fr-FR"/>
        </w:rPr>
        <w:t>elle a salué</w:t>
      </w:r>
      <w:r>
        <w:rPr>
          <w:lang w:val="fr-FR"/>
        </w:rPr>
        <w:t>s</w:t>
      </w:r>
      <w:r w:rsidRPr="002B0D36">
        <w:rPr>
          <w:lang w:val="fr-FR"/>
        </w:rPr>
        <w:t xml:space="preserve"> par de longs applaudissements, et lui a souhaité une longue et heureuse retraite.</w:t>
      </w:r>
    </w:p>
    <w:p w14:paraId="117F21B9" w14:textId="14D700D1" w:rsidR="00FF05FD" w:rsidRPr="002B0D36" w:rsidRDefault="00755AAD" w:rsidP="00FF05FD">
      <w:pPr>
        <w:pStyle w:val="SingleTxtG"/>
        <w:keepLines/>
        <w:rPr>
          <w:lang w:val="fr-FR"/>
        </w:rPr>
      </w:pPr>
      <w:r>
        <w:rPr>
          <w:lang w:val="fr-FR"/>
        </w:rPr>
        <w:t>70</w:t>
      </w:r>
      <w:r w:rsidR="00FF05FD" w:rsidRPr="002B0D36">
        <w:rPr>
          <w:lang w:val="fr-FR"/>
        </w:rPr>
        <w:t>.</w:t>
      </w:r>
      <w:r w:rsidR="00FF05FD" w:rsidRPr="002B0D36">
        <w:rPr>
          <w:lang w:val="fr-FR"/>
        </w:rPr>
        <w:tab/>
        <w:t>Apprenant que M.</w:t>
      </w:r>
      <w:r w:rsidR="00FF05FD">
        <w:rPr>
          <w:lang w:val="fr-FR"/>
        </w:rPr>
        <w:t> </w:t>
      </w:r>
      <w:r w:rsidR="00FF05FD" w:rsidRPr="002B0D36">
        <w:rPr>
          <w:lang w:val="fr-FR"/>
        </w:rPr>
        <w:t xml:space="preserve">Jean-Georges </w:t>
      </w:r>
      <w:proofErr w:type="spellStart"/>
      <w:r w:rsidR="00FF05FD" w:rsidRPr="002B0D36">
        <w:rPr>
          <w:lang w:val="fr-FR"/>
        </w:rPr>
        <w:t>Heintz</w:t>
      </w:r>
      <w:proofErr w:type="spellEnd"/>
      <w:r w:rsidR="00FF05FD" w:rsidRPr="002B0D36">
        <w:rPr>
          <w:lang w:val="fr-FR"/>
        </w:rPr>
        <w:t xml:space="preserve"> (UIC) prendrait sa retraite et n</w:t>
      </w:r>
      <w:r w:rsidR="00FF05FD">
        <w:rPr>
          <w:lang w:val="fr-FR"/>
        </w:rPr>
        <w:t>’</w:t>
      </w:r>
      <w:r w:rsidR="00FF05FD" w:rsidRPr="002B0D36">
        <w:rPr>
          <w:lang w:val="fr-FR"/>
        </w:rPr>
        <w:t>assisterait plus aux sessions, le Président l</w:t>
      </w:r>
      <w:r w:rsidR="00FF05FD">
        <w:rPr>
          <w:lang w:val="fr-FR"/>
        </w:rPr>
        <w:t>’</w:t>
      </w:r>
      <w:r w:rsidR="00FF05FD" w:rsidRPr="002B0D36">
        <w:rPr>
          <w:lang w:val="fr-FR"/>
        </w:rPr>
        <w:t>a remercié pour les contributions qu</w:t>
      </w:r>
      <w:r w:rsidR="00FF05FD">
        <w:rPr>
          <w:lang w:val="fr-FR"/>
        </w:rPr>
        <w:t>’</w:t>
      </w:r>
      <w:r w:rsidR="00FF05FD" w:rsidRPr="002B0D36">
        <w:rPr>
          <w:lang w:val="fr-FR"/>
        </w:rPr>
        <w:t>il avait apportées aux activités de la Réunion commune pendant de nombreuses années et lui a souhaité une longue et heureuse retraite.</w:t>
      </w:r>
    </w:p>
    <w:p w14:paraId="553D6290" w14:textId="77777777" w:rsidR="00FF05FD" w:rsidRPr="002B0D36" w:rsidRDefault="00FF05FD" w:rsidP="00FF05FD">
      <w:pPr>
        <w:pStyle w:val="HChG"/>
        <w:rPr>
          <w:lang w:val="fr-FR"/>
        </w:rPr>
      </w:pPr>
      <w:r>
        <w:rPr>
          <w:lang w:val="fr-FR"/>
        </w:rPr>
        <w:tab/>
      </w:r>
      <w:bookmarkStart w:id="184" w:name="_Toc147830537"/>
      <w:bookmarkStart w:id="185" w:name="_Toc147845984"/>
      <w:bookmarkStart w:id="186" w:name="_Toc148357370"/>
      <w:bookmarkStart w:id="187" w:name="_Toc148358434"/>
      <w:r w:rsidRPr="002B0D36">
        <w:rPr>
          <w:lang w:val="fr-FR"/>
        </w:rPr>
        <w:t>XV.</w:t>
      </w:r>
      <w:r w:rsidRPr="002B0D36">
        <w:rPr>
          <w:lang w:val="fr-FR"/>
        </w:rPr>
        <w:tab/>
        <w:t>Adoption du rapport (point 13 de l</w:t>
      </w:r>
      <w:r>
        <w:rPr>
          <w:lang w:val="fr-FR"/>
        </w:rPr>
        <w:t>’</w:t>
      </w:r>
      <w:r w:rsidRPr="002B0D36">
        <w:rPr>
          <w:lang w:val="fr-FR"/>
        </w:rPr>
        <w:t>ordre du jour)</w:t>
      </w:r>
      <w:bookmarkEnd w:id="184"/>
      <w:bookmarkEnd w:id="185"/>
      <w:bookmarkEnd w:id="186"/>
      <w:bookmarkEnd w:id="187"/>
    </w:p>
    <w:p w14:paraId="2EFB1C89" w14:textId="1746FF2F" w:rsidR="00FF05FD" w:rsidRDefault="00FF05FD" w:rsidP="00FF05FD">
      <w:pPr>
        <w:pStyle w:val="SingleTxtG"/>
        <w:rPr>
          <w:lang w:val="fr-FR"/>
        </w:rPr>
      </w:pPr>
      <w:r w:rsidRPr="002B0D36">
        <w:rPr>
          <w:lang w:val="fr-FR"/>
        </w:rPr>
        <w:t>7</w:t>
      </w:r>
      <w:r w:rsidR="00755AAD">
        <w:rPr>
          <w:lang w:val="fr-FR"/>
        </w:rPr>
        <w:t>1</w:t>
      </w:r>
      <w:r w:rsidRPr="002B0D36">
        <w:rPr>
          <w:lang w:val="fr-FR"/>
        </w:rPr>
        <w:t>.</w:t>
      </w:r>
      <w:r w:rsidRPr="002B0D36">
        <w:rPr>
          <w:lang w:val="fr-FR"/>
        </w:rPr>
        <w:tab/>
        <w:t>La Réunion commune a adopté le rapport de sa session d</w:t>
      </w:r>
      <w:r>
        <w:rPr>
          <w:lang w:val="fr-FR"/>
        </w:rPr>
        <w:t>’</w:t>
      </w:r>
      <w:r w:rsidRPr="002B0D36">
        <w:rPr>
          <w:lang w:val="fr-FR"/>
        </w:rPr>
        <w:t>automne 2023 ainsi que les annexes de ce rapport sur la base d</w:t>
      </w:r>
      <w:r>
        <w:rPr>
          <w:lang w:val="fr-FR"/>
        </w:rPr>
        <w:t>’</w:t>
      </w:r>
      <w:r w:rsidRPr="002B0D36">
        <w:rPr>
          <w:lang w:val="fr-FR"/>
        </w:rPr>
        <w:t>un projet établi par le secrétariat.</w:t>
      </w:r>
    </w:p>
    <w:p w14:paraId="679FFD70" w14:textId="77777777" w:rsidR="00274788" w:rsidRDefault="00274788" w:rsidP="00274788">
      <w:pPr>
        <w:pStyle w:val="SingleTxtG"/>
        <w:rPr>
          <w:lang w:val="fr-FR"/>
        </w:rPr>
      </w:pPr>
    </w:p>
    <w:p w14:paraId="7FCAAF0A" w14:textId="77777777" w:rsidR="00274788" w:rsidRDefault="00274788" w:rsidP="00274788">
      <w:pPr>
        <w:spacing w:after="200" w:line="276" w:lineRule="auto"/>
      </w:pPr>
      <w:r>
        <w:br w:type="page"/>
      </w:r>
    </w:p>
    <w:p w14:paraId="1DAA0E6B" w14:textId="77777777" w:rsidR="00274788" w:rsidRPr="00217B04" w:rsidRDefault="00274788" w:rsidP="00274788">
      <w:pPr>
        <w:pStyle w:val="HChG"/>
        <w:tabs>
          <w:tab w:val="left" w:pos="4536"/>
          <w:tab w:val="right" w:pos="8505"/>
        </w:tabs>
      </w:pPr>
      <w:r w:rsidRPr="00217B04">
        <w:lastRenderedPageBreak/>
        <w:tab/>
      </w:r>
      <w:bookmarkStart w:id="188" w:name="_Toc147830538"/>
      <w:bookmarkStart w:id="189" w:name="_Toc147845985"/>
      <w:bookmarkStart w:id="190" w:name="_Toc148357371"/>
      <w:bookmarkStart w:id="191" w:name="_Toc148358435"/>
      <w:r w:rsidRPr="00217B04">
        <w:t>Annex</w:t>
      </w:r>
      <w:r>
        <w:t>e</w:t>
      </w:r>
      <w:r w:rsidRPr="00217B04">
        <w:t xml:space="preserve"> I</w:t>
      </w:r>
      <w:bookmarkEnd w:id="188"/>
      <w:bookmarkEnd w:id="189"/>
      <w:bookmarkEnd w:id="190"/>
      <w:bookmarkEnd w:id="191"/>
    </w:p>
    <w:p w14:paraId="1FF7D50C" w14:textId="77777777" w:rsidR="00274788" w:rsidRPr="00217B04" w:rsidRDefault="00274788" w:rsidP="00274788">
      <w:pPr>
        <w:pStyle w:val="HChG"/>
      </w:pPr>
      <w:r w:rsidRPr="00217B04">
        <w:tab/>
      </w:r>
      <w:r w:rsidRPr="00217B04">
        <w:tab/>
      </w:r>
      <w:bookmarkStart w:id="192" w:name="_Toc147830539"/>
      <w:bookmarkStart w:id="193" w:name="_Toc147845986"/>
      <w:bookmarkStart w:id="194" w:name="_Toc148357372"/>
      <w:bookmarkStart w:id="195" w:name="_Toc148358436"/>
      <w:r w:rsidRPr="00217B04">
        <w:t>R</w:t>
      </w:r>
      <w:r>
        <w:t>apport du Groupe de travail des citernes</w:t>
      </w:r>
      <w:bookmarkEnd w:id="192"/>
      <w:bookmarkEnd w:id="193"/>
      <w:bookmarkEnd w:id="194"/>
      <w:bookmarkEnd w:id="195"/>
    </w:p>
    <w:p w14:paraId="01B4ED5A" w14:textId="06368B15" w:rsidR="00274788" w:rsidRPr="00217B04" w:rsidRDefault="00274788" w:rsidP="00274788">
      <w:pPr>
        <w:ind w:left="567" w:firstLine="567"/>
      </w:pPr>
      <w:r w:rsidRPr="00217B04">
        <w:t>(</w:t>
      </w:r>
      <w:r>
        <w:t>voir</w:t>
      </w:r>
      <w:r w:rsidRPr="00217B04">
        <w:t xml:space="preserve"> ECE/TRANS/WP.15/AC.1/1</w:t>
      </w:r>
      <w:r>
        <w:t>70</w:t>
      </w:r>
      <w:r w:rsidRPr="00217B04">
        <w:t>/Add.1)</w:t>
      </w:r>
    </w:p>
    <w:p w14:paraId="15024DD2" w14:textId="77777777" w:rsidR="00274788" w:rsidRDefault="00274788" w:rsidP="00274788">
      <w:pPr>
        <w:spacing w:after="200" w:line="276" w:lineRule="auto"/>
        <w:rPr>
          <w:b/>
          <w:sz w:val="28"/>
          <w:lang w:val="fr-FR"/>
        </w:rPr>
      </w:pPr>
      <w:r>
        <w:rPr>
          <w:lang w:val="fr-FR"/>
        </w:rPr>
        <w:br w:type="page"/>
      </w:r>
    </w:p>
    <w:p w14:paraId="147026A5" w14:textId="77777777" w:rsidR="00274788" w:rsidRDefault="00274788" w:rsidP="00274788">
      <w:pPr>
        <w:pStyle w:val="HChG"/>
        <w:rPr>
          <w:lang w:val="fr-FR"/>
        </w:rPr>
      </w:pPr>
      <w:bookmarkStart w:id="196" w:name="_Toc147830540"/>
      <w:bookmarkStart w:id="197" w:name="_Toc147845987"/>
      <w:bookmarkStart w:id="198" w:name="_Toc148357373"/>
      <w:bookmarkStart w:id="199" w:name="_Toc148358437"/>
      <w:r>
        <w:rPr>
          <w:lang w:val="fr-FR"/>
        </w:rPr>
        <w:lastRenderedPageBreak/>
        <w:t>Annexe II</w:t>
      </w:r>
      <w:bookmarkEnd w:id="196"/>
      <w:bookmarkEnd w:id="197"/>
      <w:bookmarkEnd w:id="198"/>
      <w:bookmarkEnd w:id="199"/>
    </w:p>
    <w:p w14:paraId="2D8738A5" w14:textId="77777777" w:rsidR="00274788" w:rsidRPr="000616BA" w:rsidRDefault="00274788" w:rsidP="00274788">
      <w:pPr>
        <w:pStyle w:val="H1G"/>
        <w:ind w:right="1133"/>
        <w:rPr>
          <w:szCs w:val="24"/>
          <w:lang w:val="fr-FR"/>
        </w:rPr>
      </w:pPr>
      <w:bookmarkStart w:id="200" w:name="_Hlk98940430"/>
      <w:r w:rsidRPr="00616A51">
        <w:rPr>
          <w:sz w:val="28"/>
          <w:szCs w:val="28"/>
          <w:lang w:val="fr-FR"/>
        </w:rPr>
        <w:tab/>
      </w:r>
      <w:r w:rsidRPr="00616A51">
        <w:rPr>
          <w:sz w:val="28"/>
          <w:szCs w:val="28"/>
          <w:lang w:val="fr-FR"/>
        </w:rPr>
        <w:tab/>
      </w:r>
      <w:bookmarkStart w:id="201" w:name="_Toc147830541"/>
      <w:bookmarkStart w:id="202" w:name="_Toc147845988"/>
      <w:bookmarkStart w:id="203" w:name="_Toc148357374"/>
      <w:bookmarkStart w:id="204" w:name="_Toc148358438"/>
      <w:r w:rsidRPr="000616BA">
        <w:rPr>
          <w:szCs w:val="24"/>
          <w:lang w:val="fr-FR"/>
        </w:rPr>
        <w:t>Projet d’amendements au RID, à l’ADR et à l’ADN pour entrée en vigueur le 1</w:t>
      </w:r>
      <w:r w:rsidRPr="000616BA">
        <w:rPr>
          <w:szCs w:val="24"/>
          <w:vertAlign w:val="superscript"/>
          <w:lang w:val="fr-FR"/>
        </w:rPr>
        <w:t>er</w:t>
      </w:r>
      <w:r w:rsidRPr="000616BA">
        <w:rPr>
          <w:szCs w:val="24"/>
          <w:lang w:val="fr-FR"/>
        </w:rPr>
        <w:t> janvier 2025</w:t>
      </w:r>
      <w:bookmarkEnd w:id="201"/>
      <w:bookmarkEnd w:id="202"/>
      <w:bookmarkEnd w:id="203"/>
      <w:bookmarkEnd w:id="204"/>
    </w:p>
    <w:bookmarkEnd w:id="200"/>
    <w:p w14:paraId="73207C12" w14:textId="77777777" w:rsidR="00047B32" w:rsidRDefault="00047B32" w:rsidP="00047B32">
      <w:pPr>
        <w:pStyle w:val="H23G"/>
        <w:ind w:right="1133"/>
      </w:pPr>
      <w:r>
        <w:tab/>
      </w:r>
      <w:r>
        <w:tab/>
      </w:r>
      <w:bookmarkStart w:id="205" w:name="_Toc147845989"/>
      <w:bookmarkStart w:id="206" w:name="_Toc148357375"/>
      <w:bookmarkStart w:id="207" w:name="_Toc148358439"/>
      <w:r>
        <w:t>Chapitre 1.6</w:t>
      </w:r>
      <w:bookmarkEnd w:id="205"/>
      <w:bookmarkEnd w:id="206"/>
      <w:bookmarkEnd w:id="207"/>
    </w:p>
    <w:p w14:paraId="4044B573" w14:textId="77777777" w:rsidR="00047B32" w:rsidRPr="00CA3533" w:rsidRDefault="00047B32" w:rsidP="00047B32">
      <w:pPr>
        <w:spacing w:after="120"/>
        <w:ind w:left="1134" w:right="1134"/>
        <w:jc w:val="both"/>
        <w:rPr>
          <w:lang w:val="fr-FR"/>
        </w:rPr>
      </w:pPr>
      <w:r w:rsidRPr="00CA3533">
        <w:rPr>
          <w:lang w:val="fr-FR"/>
        </w:rPr>
        <w:t>1.6.1.</w:t>
      </w:r>
      <w:r>
        <w:rPr>
          <w:lang w:val="fr-FR"/>
        </w:rPr>
        <w:t>1</w:t>
      </w:r>
      <w:r>
        <w:rPr>
          <w:lang w:val="fr-FR"/>
        </w:rPr>
        <w:tab/>
      </w:r>
      <w:r w:rsidRPr="00CA3533">
        <w:rPr>
          <w:lang w:val="fr-FR"/>
        </w:rPr>
        <w:tab/>
      </w:r>
      <w:r>
        <w:rPr>
          <w:lang w:val="fr-FR"/>
        </w:rPr>
        <w:t>Remplacer « 2023 » par « 2025 » et « 2022 » par « 2024 » .</w:t>
      </w:r>
    </w:p>
    <w:p w14:paraId="00B4A9E9" w14:textId="20338D0D" w:rsidR="005872F1" w:rsidRPr="00CA3533" w:rsidRDefault="008F34C7" w:rsidP="00047B32">
      <w:pPr>
        <w:spacing w:after="120"/>
        <w:ind w:left="1134" w:right="1134"/>
        <w:jc w:val="both"/>
        <w:rPr>
          <w:lang w:val="fr-FR"/>
        </w:rPr>
      </w:pPr>
      <w:r>
        <w:rPr>
          <w:lang w:val="fr-FR"/>
        </w:rPr>
        <w:tab/>
      </w:r>
      <w:r w:rsidR="000A0408">
        <w:rPr>
          <w:lang w:val="fr-FR"/>
        </w:rPr>
        <w:tab/>
      </w:r>
      <w:r w:rsidR="000A0408">
        <w:rPr>
          <w:lang w:val="fr-FR"/>
        </w:rPr>
        <w:tab/>
        <w:t>(RID:) Remplacer dans la note de bas de page « 2021 » par « 2023 » </w:t>
      </w:r>
    </w:p>
    <w:p w14:paraId="26F1E0CF"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INF.15)</w:t>
      </w:r>
    </w:p>
    <w:p w14:paraId="284A2B7C" w14:textId="14740A61" w:rsidR="00047B32" w:rsidRDefault="00047B32" w:rsidP="00047B32">
      <w:pPr>
        <w:spacing w:after="120"/>
        <w:ind w:left="2268" w:right="1134" w:hanging="1134"/>
        <w:jc w:val="both"/>
        <w:rPr>
          <w:lang w:val="fr-FR"/>
        </w:rPr>
      </w:pPr>
      <w:r>
        <w:rPr>
          <w:lang w:val="fr-FR"/>
        </w:rPr>
        <w:t>1.6.1.8</w:t>
      </w:r>
      <w:r>
        <w:rPr>
          <w:lang w:val="fr-FR"/>
        </w:rPr>
        <w:tab/>
      </w:r>
      <w:r>
        <w:rPr>
          <w:lang w:val="fr-FR"/>
        </w:rPr>
        <w:tab/>
        <w:t>Remplacer « pourront encore être utilisés » par « peuvent être utilisés jusqu’au 31 décembre 2026 ».</w:t>
      </w:r>
    </w:p>
    <w:p w14:paraId="4072F60F" w14:textId="77777777" w:rsidR="00047B32" w:rsidRDefault="00047B32" w:rsidP="00047B32">
      <w:pPr>
        <w:pStyle w:val="SingleTxtG"/>
        <w:ind w:left="2268" w:hanging="1134"/>
        <w:rPr>
          <w:i/>
          <w:iCs/>
          <w:lang w:val="fr-FR"/>
        </w:rPr>
      </w:pPr>
      <w:r w:rsidRPr="00E54EDA">
        <w:rPr>
          <w:i/>
          <w:iCs/>
          <w:lang w:val="fr-FR"/>
        </w:rPr>
        <w:t>(Document de référence : document informel INF.15 et discussion pendant la session)</w:t>
      </w:r>
    </w:p>
    <w:p w14:paraId="15567844" w14:textId="77777777" w:rsidR="00047B32" w:rsidRPr="0030229E" w:rsidRDefault="00047B32" w:rsidP="00047B32">
      <w:pPr>
        <w:spacing w:after="120"/>
        <w:ind w:left="2268" w:right="1134" w:hanging="1134"/>
        <w:jc w:val="both"/>
        <w:rPr>
          <w:lang w:val="fr-FR"/>
        </w:rPr>
      </w:pPr>
      <w:r w:rsidRPr="0030229E">
        <w:rPr>
          <w:lang w:val="fr-FR"/>
        </w:rPr>
        <w:t>1.6.1.38</w:t>
      </w:r>
      <w:r w:rsidRPr="0030229E">
        <w:rPr>
          <w:lang w:val="fr-FR"/>
        </w:rPr>
        <w:tab/>
        <w:t>Supprimer et remplacer « 1.6.1.39 à 1.6.1.42</w:t>
      </w:r>
      <w:r w:rsidRPr="0030229E">
        <w:rPr>
          <w:i/>
          <w:iCs/>
          <w:lang w:val="fr-FR"/>
        </w:rPr>
        <w:t xml:space="preserve"> (Supprimés)</w:t>
      </w:r>
      <w:r w:rsidRPr="0030229E">
        <w:rPr>
          <w:lang w:val="fr-FR"/>
        </w:rPr>
        <w:t> » par « 1.6.1.38 à 1.6.1.42</w:t>
      </w:r>
      <w:r w:rsidRPr="0030229E">
        <w:rPr>
          <w:i/>
          <w:iCs/>
          <w:lang w:val="fr-FR"/>
        </w:rPr>
        <w:t xml:space="preserve"> (Supprimés)</w:t>
      </w:r>
      <w:r w:rsidRPr="0030229E">
        <w:rPr>
          <w:lang w:val="fr-FR"/>
        </w:rPr>
        <w:t> ».</w:t>
      </w:r>
    </w:p>
    <w:p w14:paraId="315081E0" w14:textId="77777777" w:rsidR="00047B32" w:rsidRPr="0030229E" w:rsidRDefault="00047B32" w:rsidP="00047B32">
      <w:pPr>
        <w:pStyle w:val="SingleTxtG"/>
        <w:ind w:left="2268" w:hanging="1134"/>
        <w:rPr>
          <w:i/>
          <w:iCs/>
          <w:lang w:val="fr-FR"/>
        </w:rPr>
      </w:pPr>
      <w:r w:rsidRPr="0030229E">
        <w:rPr>
          <w:i/>
          <w:iCs/>
          <w:lang w:val="fr-FR"/>
        </w:rPr>
        <w:t>(Document de référence : document informel INF.15)</w:t>
      </w:r>
    </w:p>
    <w:p w14:paraId="7893388D" w14:textId="77777777" w:rsidR="00047B32" w:rsidRPr="0030229E" w:rsidRDefault="00047B32" w:rsidP="00047B32">
      <w:pPr>
        <w:spacing w:after="120"/>
        <w:ind w:left="1134" w:right="1134"/>
        <w:jc w:val="both"/>
        <w:rPr>
          <w:lang w:val="fr-FR"/>
        </w:rPr>
      </w:pPr>
      <w:r w:rsidRPr="0030229E">
        <w:rPr>
          <w:lang w:val="fr-FR"/>
        </w:rPr>
        <w:t>1.6.1.53</w:t>
      </w:r>
      <w:r w:rsidRPr="0030229E">
        <w:rPr>
          <w:lang w:val="fr-FR"/>
        </w:rPr>
        <w:tab/>
        <w:t>Supprimer et ajouter « 1.6.1.53</w:t>
      </w:r>
      <w:r w:rsidRPr="0030229E">
        <w:rPr>
          <w:i/>
          <w:iCs/>
          <w:lang w:val="fr-FR"/>
        </w:rPr>
        <w:t xml:space="preserve"> (Supprimé)</w:t>
      </w:r>
      <w:r w:rsidRPr="0030229E">
        <w:rPr>
          <w:lang w:val="fr-FR"/>
        </w:rPr>
        <w:t> ».</w:t>
      </w:r>
    </w:p>
    <w:p w14:paraId="42ED72AE" w14:textId="77777777" w:rsidR="00047B32" w:rsidRPr="0030229E" w:rsidRDefault="00047B32" w:rsidP="00047B32">
      <w:pPr>
        <w:pStyle w:val="SingleTxtG"/>
        <w:ind w:left="2268" w:hanging="1134"/>
        <w:rPr>
          <w:i/>
          <w:iCs/>
          <w:lang w:val="fr-FR"/>
        </w:rPr>
      </w:pPr>
      <w:r w:rsidRPr="0030229E">
        <w:rPr>
          <w:i/>
          <w:iCs/>
          <w:lang w:val="fr-FR"/>
        </w:rPr>
        <w:t>(Document de référence : document informel INF.15)</w:t>
      </w:r>
    </w:p>
    <w:p w14:paraId="2A5567FC" w14:textId="77777777" w:rsidR="00047B32" w:rsidRPr="00CA3533" w:rsidRDefault="00047B32" w:rsidP="00047B32">
      <w:pPr>
        <w:spacing w:after="120"/>
        <w:ind w:left="2268" w:right="1134" w:hanging="1134"/>
        <w:jc w:val="both"/>
        <w:rPr>
          <w:lang w:val="fr-FR"/>
        </w:rPr>
      </w:pPr>
      <w:r w:rsidRPr="0030229E">
        <w:rPr>
          <w:lang w:val="fr-FR"/>
        </w:rPr>
        <w:t>1.6.2.17</w:t>
      </w:r>
      <w:r w:rsidRPr="0030229E">
        <w:rPr>
          <w:lang w:val="fr-FR"/>
        </w:rPr>
        <w:tab/>
        <w:t>Supprimer et remplacer « 1.6.2.16</w:t>
      </w:r>
      <w:r w:rsidRPr="0030229E">
        <w:rPr>
          <w:i/>
          <w:iCs/>
          <w:lang w:val="fr-FR"/>
        </w:rPr>
        <w:t xml:space="preserve"> (Supprimé)</w:t>
      </w:r>
      <w:r w:rsidRPr="0030229E">
        <w:rPr>
          <w:lang w:val="fr-FR"/>
        </w:rPr>
        <w:t xml:space="preserve"> » par « 1.6.2.16 et 1.6.2.17 </w:t>
      </w:r>
      <w:r w:rsidRPr="0030229E">
        <w:rPr>
          <w:i/>
          <w:iCs/>
          <w:lang w:val="fr-FR"/>
        </w:rPr>
        <w:t>(Supprimés)</w:t>
      </w:r>
      <w:r w:rsidRPr="0030229E">
        <w:rPr>
          <w:lang w:val="fr-FR"/>
        </w:rPr>
        <w:t> ».</w:t>
      </w:r>
    </w:p>
    <w:p w14:paraId="2983022B"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INF.15)</w:t>
      </w:r>
    </w:p>
    <w:p w14:paraId="21F6FA5F" w14:textId="77777777" w:rsidR="00047B32" w:rsidRPr="00CA3533" w:rsidRDefault="00047B32" w:rsidP="00047B32">
      <w:pPr>
        <w:spacing w:after="120"/>
        <w:ind w:left="1134" w:right="1134"/>
        <w:jc w:val="both"/>
        <w:rPr>
          <w:lang w:val="fr-FR"/>
        </w:rPr>
      </w:pPr>
      <w:r w:rsidRPr="00CA3533">
        <w:rPr>
          <w:lang w:val="fr-FR"/>
        </w:rPr>
        <w:t>1.6.</w:t>
      </w:r>
      <w:r>
        <w:rPr>
          <w:lang w:val="fr-FR"/>
        </w:rPr>
        <w:t>2.21 et 1.6.2.22</w:t>
      </w:r>
      <w:r>
        <w:rPr>
          <w:lang w:val="fr-FR"/>
        </w:rPr>
        <w:tab/>
      </w:r>
      <w:r w:rsidRPr="00CA3533">
        <w:rPr>
          <w:lang w:val="fr-FR"/>
        </w:rPr>
        <w:tab/>
        <w:t>Supprimer et ajouter « 1.6.</w:t>
      </w:r>
      <w:r>
        <w:rPr>
          <w:lang w:val="fr-FR"/>
        </w:rPr>
        <w:t>2.21 et 1.6.2.22</w:t>
      </w:r>
      <w:r w:rsidRPr="00CA3533">
        <w:rPr>
          <w:i/>
          <w:iCs/>
          <w:lang w:val="fr-FR"/>
        </w:rPr>
        <w:t xml:space="preserve"> (Supprimé</w:t>
      </w:r>
      <w:r>
        <w:rPr>
          <w:i/>
          <w:iCs/>
          <w:lang w:val="fr-FR"/>
        </w:rPr>
        <w:t>s</w:t>
      </w:r>
      <w:r w:rsidRPr="00CA3533">
        <w:rPr>
          <w:i/>
          <w:iCs/>
          <w:lang w:val="fr-FR"/>
        </w:rPr>
        <w:t>)</w:t>
      </w:r>
      <w:r w:rsidRPr="00CA3533">
        <w:rPr>
          <w:lang w:val="fr-FR"/>
        </w:rPr>
        <w:t> ».</w:t>
      </w:r>
    </w:p>
    <w:p w14:paraId="1AEFE4AF"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INF.15)</w:t>
      </w:r>
    </w:p>
    <w:p w14:paraId="0024BCB5" w14:textId="77777777" w:rsidR="00047B32" w:rsidRDefault="00047B32" w:rsidP="00047B32">
      <w:pPr>
        <w:pStyle w:val="H23G"/>
        <w:ind w:right="1133"/>
      </w:pPr>
      <w:r>
        <w:tab/>
      </w:r>
      <w:r>
        <w:tab/>
      </w:r>
      <w:bookmarkStart w:id="208" w:name="_Toc147845990"/>
      <w:bookmarkStart w:id="209" w:name="_Toc148357376"/>
      <w:bookmarkStart w:id="210" w:name="_Toc148358440"/>
      <w:r>
        <w:t>Chapitre 1.8</w:t>
      </w:r>
      <w:bookmarkEnd w:id="208"/>
      <w:bookmarkEnd w:id="209"/>
      <w:bookmarkEnd w:id="210"/>
    </w:p>
    <w:p w14:paraId="1C6828E6" w14:textId="77777777" w:rsidR="00047B32" w:rsidRDefault="00047B32" w:rsidP="00047B32">
      <w:pPr>
        <w:pStyle w:val="SingleTxtG"/>
        <w:ind w:left="2268" w:hanging="1134"/>
        <w:rPr>
          <w:lang w:val="fr-FR"/>
        </w:rPr>
      </w:pPr>
      <w:r>
        <w:rPr>
          <w:lang w:val="fr-FR"/>
        </w:rPr>
        <w:t>1.8.3.11</w:t>
      </w:r>
      <w:r>
        <w:rPr>
          <w:lang w:val="fr-FR"/>
        </w:rPr>
        <w:tab/>
        <w:t>À l’alinéa b), au cinquième tiret, remplacer « transport en citernes fixes ou démontables » par « transport en citernes ».</w:t>
      </w:r>
    </w:p>
    <w:p w14:paraId="62F5BB6C"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ECE/TRANS/WP.15/AC.1/2023/32)</w:t>
      </w:r>
    </w:p>
    <w:p w14:paraId="08240B7C" w14:textId="77777777" w:rsidR="00047B32" w:rsidRPr="00714D1B" w:rsidRDefault="00047B32" w:rsidP="00047B32">
      <w:pPr>
        <w:pStyle w:val="SingleTxtG"/>
        <w:spacing w:before="120"/>
        <w:ind w:left="2268" w:hanging="1134"/>
        <w:rPr>
          <w:lang w:val="fr-FR"/>
        </w:rPr>
      </w:pPr>
      <w:r w:rsidRPr="00714D1B">
        <w:rPr>
          <w:lang w:val="fr-FR"/>
        </w:rPr>
        <w:t>1.8.6.1</w:t>
      </w:r>
      <w:r w:rsidRPr="00714D1B">
        <w:rPr>
          <w:lang w:val="fr-FR"/>
        </w:rPr>
        <w:tab/>
      </w:r>
      <w:r w:rsidRPr="00714D1B">
        <w:rPr>
          <w:lang w:val="fr-FR"/>
        </w:rPr>
        <w:tab/>
        <w:t>Avant « supervision », ajouter « autorisation</w:t>
      </w:r>
      <w:r>
        <w:rPr>
          <w:lang w:val="fr-FR"/>
        </w:rPr>
        <w:t xml:space="preserve"> et</w:t>
      </w:r>
      <w:r w:rsidRPr="00714D1B">
        <w:rPr>
          <w:lang w:val="fr-FR"/>
        </w:rPr>
        <w:t> ».</w:t>
      </w:r>
    </w:p>
    <w:p w14:paraId="69D94114"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8)</w:t>
      </w:r>
    </w:p>
    <w:p w14:paraId="4EA27C79" w14:textId="77777777" w:rsidR="00047B32" w:rsidRPr="00714D1B" w:rsidRDefault="00047B32" w:rsidP="00047B32">
      <w:pPr>
        <w:pStyle w:val="SingleTxtG"/>
        <w:spacing w:before="120"/>
        <w:ind w:left="2268" w:hanging="1134"/>
        <w:rPr>
          <w:lang w:val="fr-FR"/>
        </w:rPr>
      </w:pPr>
      <w:r>
        <w:rPr>
          <w:lang w:val="fr-FR"/>
        </w:rPr>
        <w:t>[1.8.6.2.1</w:t>
      </w:r>
      <w:r>
        <w:rPr>
          <w:lang w:val="fr-FR"/>
        </w:rPr>
        <w:tab/>
        <w:t>Dans la dernière phrase, après « n’agrée », ajouter « , ne reconnaît ou ne désigne ».]</w:t>
      </w:r>
    </w:p>
    <w:p w14:paraId="4A8E107D"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6</w:t>
      </w:r>
      <w:r w:rsidRPr="00714D1B">
        <w:rPr>
          <w:i/>
          <w:iCs/>
          <w:lang w:val="fr-FR"/>
        </w:rPr>
        <w:t>)</w:t>
      </w:r>
    </w:p>
    <w:p w14:paraId="471B5FC8" w14:textId="42BEF7AA" w:rsidR="00047B32" w:rsidRPr="00714D1B" w:rsidRDefault="00047B32" w:rsidP="00047B32">
      <w:pPr>
        <w:pStyle w:val="SingleTxtG"/>
        <w:spacing w:before="120"/>
        <w:ind w:left="2268" w:hanging="1134"/>
        <w:rPr>
          <w:lang w:val="fr-FR"/>
        </w:rPr>
      </w:pPr>
      <w:r>
        <w:rPr>
          <w:lang w:val="fr-FR"/>
        </w:rPr>
        <w:t>[1.8.6.3.1</w:t>
      </w:r>
      <w:r>
        <w:rPr>
          <w:lang w:val="fr-FR"/>
        </w:rPr>
        <w:tab/>
        <w:t>Modifier la dernière phrase pour lire : « </w:t>
      </w:r>
      <w:r w:rsidRPr="006917D9">
        <w:rPr>
          <w:lang w:val="fr-FR"/>
        </w:rPr>
        <w:t xml:space="preserve">Les exigences ci-dessus sont </w:t>
      </w:r>
      <w:r>
        <w:rPr>
          <w:lang w:val="fr-FR"/>
        </w:rPr>
        <w:t>réputées satisfaites</w:t>
      </w:r>
      <w:r w:rsidRPr="006917D9">
        <w:rPr>
          <w:lang w:val="fr-FR"/>
        </w:rPr>
        <w:t xml:space="preserve"> en cas d’accréditation </w:t>
      </w:r>
      <w:r>
        <w:rPr>
          <w:rFonts w:ascii="TimesNewRomanPSMT" w:hAnsi="TimesNewRomanPSMT" w:cs="TimesNewRomanPSMT"/>
        </w:rPr>
        <w:t xml:space="preserve">conformément à la norme </w:t>
      </w:r>
      <w:r w:rsidRPr="006917D9">
        <w:rPr>
          <w:lang w:val="fr-FR"/>
        </w:rPr>
        <w:t>EN ISO/IEC 17020:2012 (</w:t>
      </w:r>
      <w:r>
        <w:rPr>
          <w:lang w:val="fr-FR"/>
        </w:rPr>
        <w:t xml:space="preserve">sauf article </w:t>
      </w:r>
      <w:r w:rsidRPr="006917D9">
        <w:rPr>
          <w:lang w:val="fr-FR"/>
        </w:rPr>
        <w:t>8.1.3)</w:t>
      </w:r>
      <w:r>
        <w:rPr>
          <w:lang w:val="fr-FR"/>
        </w:rPr>
        <w:t>. »]</w:t>
      </w:r>
    </w:p>
    <w:p w14:paraId="0036435E"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6</w:t>
      </w:r>
      <w:r w:rsidRPr="00714D1B">
        <w:rPr>
          <w:i/>
          <w:iCs/>
          <w:lang w:val="fr-FR"/>
        </w:rPr>
        <w:t>)</w:t>
      </w:r>
    </w:p>
    <w:p w14:paraId="3CC31A1B" w14:textId="77777777" w:rsidR="00047B32" w:rsidRPr="00714D1B" w:rsidRDefault="00047B32" w:rsidP="00047B32">
      <w:pPr>
        <w:pStyle w:val="SingleTxtG"/>
        <w:spacing w:before="120"/>
        <w:ind w:left="2268" w:hanging="1134"/>
        <w:rPr>
          <w:lang w:val="fr-FR"/>
        </w:rPr>
      </w:pPr>
      <w:r w:rsidRPr="00714D1B">
        <w:rPr>
          <w:lang w:val="fr-FR"/>
        </w:rPr>
        <w:t>1.8.7.7</w:t>
      </w:r>
      <w:r w:rsidRPr="00714D1B">
        <w:rPr>
          <w:lang w:val="fr-FR"/>
        </w:rPr>
        <w:tab/>
      </w:r>
      <w:r w:rsidRPr="00714D1B">
        <w:rPr>
          <w:lang w:val="fr-FR"/>
        </w:rPr>
        <w:tab/>
        <w:t>Dans le titre de la sous-section 1.8.7.7, remplacer « Supervision » par « Autorisation et supervision ».</w:t>
      </w:r>
    </w:p>
    <w:p w14:paraId="23CD570D"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8)</w:t>
      </w:r>
    </w:p>
    <w:p w14:paraId="17915C66" w14:textId="77777777" w:rsidR="00047B32" w:rsidRPr="00714D1B" w:rsidRDefault="00047B32" w:rsidP="00047B32">
      <w:pPr>
        <w:pStyle w:val="SingleTxtG"/>
        <w:ind w:left="2268" w:hanging="1134"/>
        <w:rPr>
          <w:lang w:val="fr-FR"/>
        </w:rPr>
      </w:pPr>
      <w:r w:rsidRPr="00714D1B">
        <w:rPr>
          <w:lang w:val="fr-FR"/>
        </w:rPr>
        <w:t>1.8.8.6</w:t>
      </w:r>
      <w:r w:rsidRPr="00714D1B">
        <w:rPr>
          <w:lang w:val="fr-FR"/>
        </w:rPr>
        <w:tab/>
      </w:r>
      <w:r w:rsidRPr="00714D1B">
        <w:rPr>
          <w:lang w:val="fr-FR"/>
        </w:rPr>
        <w:tab/>
        <w:t>Remplacer « 1.8.7.7.1 d) » par « 1.8.7.7.1 b) ii) ».</w:t>
      </w:r>
    </w:p>
    <w:p w14:paraId="3E928441"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9)</w:t>
      </w:r>
    </w:p>
    <w:p w14:paraId="15E88B3B" w14:textId="77777777" w:rsidR="00047B32" w:rsidRDefault="00047B32" w:rsidP="00047B32">
      <w:pPr>
        <w:pStyle w:val="H23G"/>
        <w:ind w:right="1133"/>
        <w:rPr>
          <w:lang w:val="fr-FR"/>
        </w:rPr>
      </w:pPr>
      <w:r>
        <w:rPr>
          <w:lang w:val="fr-FR"/>
        </w:rPr>
        <w:tab/>
      </w:r>
      <w:r>
        <w:rPr>
          <w:lang w:val="fr-FR"/>
        </w:rPr>
        <w:tab/>
      </w:r>
      <w:bookmarkStart w:id="211" w:name="_Toc147845991"/>
      <w:bookmarkStart w:id="212" w:name="_Toc148357377"/>
      <w:bookmarkStart w:id="213" w:name="_Toc148358441"/>
      <w:r>
        <w:rPr>
          <w:lang w:val="fr-FR"/>
        </w:rPr>
        <w:t>Chapitre 2.2</w:t>
      </w:r>
      <w:bookmarkEnd w:id="211"/>
      <w:bookmarkEnd w:id="212"/>
      <w:bookmarkEnd w:id="213"/>
    </w:p>
    <w:p w14:paraId="15321334" w14:textId="77777777" w:rsidR="00047B32" w:rsidRDefault="00047B32" w:rsidP="00047B32">
      <w:pPr>
        <w:pStyle w:val="SingleTxtG"/>
        <w:spacing w:before="120"/>
        <w:ind w:left="2268" w:hanging="1134"/>
        <w:rPr>
          <w:lang w:val="fr-FR"/>
        </w:rPr>
      </w:pPr>
      <w:r>
        <w:rPr>
          <w:lang w:val="fr-FR"/>
        </w:rPr>
        <w:t>2.2.9.2</w:t>
      </w:r>
      <w:r>
        <w:rPr>
          <w:lang w:val="fr-FR"/>
        </w:rPr>
        <w:tab/>
      </w:r>
      <w:r>
        <w:rPr>
          <w:lang w:val="fr-FR"/>
        </w:rPr>
        <w:tab/>
        <w:t>Au premier tiret, après « Piles au lithium », ajouter « et piles au sodium ionique ».</w:t>
      </w:r>
    </w:p>
    <w:p w14:paraId="3D177148" w14:textId="77777777" w:rsidR="00047B32" w:rsidRPr="00ED6D5A" w:rsidRDefault="00047B32" w:rsidP="00047B32">
      <w:pPr>
        <w:pStyle w:val="SingleTxtG"/>
        <w:spacing w:before="120"/>
        <w:ind w:left="2268" w:hanging="1134"/>
        <w:rPr>
          <w:i/>
          <w:iCs/>
          <w:lang w:val="fr-FR"/>
        </w:rPr>
      </w:pPr>
      <w:r w:rsidRPr="00ED6D5A">
        <w:rPr>
          <w:i/>
          <w:iCs/>
          <w:lang w:val="fr-FR"/>
        </w:rPr>
        <w:lastRenderedPageBreak/>
        <w:t>(Amendement de conséquence)</w:t>
      </w:r>
    </w:p>
    <w:p w14:paraId="4761A442" w14:textId="77777777" w:rsidR="00047B32" w:rsidRDefault="00047B32" w:rsidP="00047B32">
      <w:pPr>
        <w:pStyle w:val="H23G"/>
        <w:ind w:right="1133"/>
      </w:pPr>
      <w:r>
        <w:tab/>
      </w:r>
      <w:r>
        <w:tab/>
      </w:r>
      <w:bookmarkStart w:id="214" w:name="_Toc147845992"/>
      <w:bookmarkStart w:id="215" w:name="_Toc148357378"/>
      <w:bookmarkStart w:id="216" w:name="_Toc148358442"/>
      <w:r>
        <w:t>Chapitre 3.2, tableau A</w:t>
      </w:r>
      <w:bookmarkEnd w:id="214"/>
      <w:bookmarkEnd w:id="215"/>
      <w:bookmarkEnd w:id="216"/>
    </w:p>
    <w:p w14:paraId="07E74E4C" w14:textId="58059044" w:rsidR="00047B32" w:rsidRDefault="00047B32" w:rsidP="00047B32">
      <w:pPr>
        <w:spacing w:after="120"/>
        <w:ind w:left="2268" w:right="1134" w:hanging="1134"/>
        <w:jc w:val="both"/>
        <w:rPr>
          <w:iCs/>
          <w:lang w:val="fr-FR"/>
        </w:rPr>
      </w:pPr>
      <w:r w:rsidRPr="00CA3533">
        <w:rPr>
          <w:iCs/>
          <w:lang w:val="fr-FR"/>
        </w:rPr>
        <w:t>Pour le</w:t>
      </w:r>
      <w:r>
        <w:rPr>
          <w:iCs/>
          <w:lang w:val="fr-FR"/>
        </w:rPr>
        <w:t>s</w:t>
      </w:r>
      <w:r w:rsidRPr="00CA3533">
        <w:rPr>
          <w:iCs/>
          <w:lang w:val="fr-FR"/>
        </w:rPr>
        <w:t xml:space="preserve"> No</w:t>
      </w:r>
      <w:r>
        <w:rPr>
          <w:iCs/>
          <w:lang w:val="fr-FR"/>
        </w:rPr>
        <w:t>s</w:t>
      </w:r>
      <w:r w:rsidRPr="00CA3533">
        <w:rPr>
          <w:iCs/>
          <w:lang w:val="fr-FR"/>
        </w:rPr>
        <w:t xml:space="preserve"> ONU </w:t>
      </w:r>
      <w:r>
        <w:rPr>
          <w:iCs/>
          <w:lang w:val="fr-FR"/>
        </w:rPr>
        <w:t>2212 et 2590</w:t>
      </w:r>
      <w:r w:rsidRPr="00CA3533">
        <w:rPr>
          <w:iCs/>
          <w:lang w:val="fr-FR"/>
        </w:rPr>
        <w:t>, en colonne (</w:t>
      </w:r>
      <w:r>
        <w:rPr>
          <w:iCs/>
          <w:lang w:val="fr-FR"/>
        </w:rPr>
        <w:t>6</w:t>
      </w:r>
      <w:r w:rsidRPr="00CA3533">
        <w:rPr>
          <w:iCs/>
          <w:lang w:val="fr-FR"/>
        </w:rPr>
        <w:t xml:space="preserve">), </w:t>
      </w:r>
      <w:r>
        <w:rPr>
          <w:iCs/>
          <w:lang w:val="fr-FR"/>
        </w:rPr>
        <w:t>a</w:t>
      </w:r>
      <w:r w:rsidRPr="00CA3533">
        <w:rPr>
          <w:iCs/>
          <w:lang w:val="fr-FR"/>
        </w:rPr>
        <w:t>jouter « </w:t>
      </w:r>
      <w:r>
        <w:rPr>
          <w:iCs/>
          <w:lang w:val="fr-FR"/>
        </w:rPr>
        <w:t>678</w:t>
      </w:r>
      <w:r w:rsidRPr="00CA3533">
        <w:rPr>
          <w:iCs/>
          <w:lang w:val="fr-FR"/>
        </w:rPr>
        <w:t> »</w:t>
      </w:r>
      <w:r>
        <w:rPr>
          <w:iCs/>
          <w:lang w:val="fr-FR"/>
        </w:rPr>
        <w:t>, en colonne (17), ajouter « VC1, VC2, AP12 » et en colonne (18), ajouter « CW38/CV38 ».</w:t>
      </w:r>
    </w:p>
    <w:p w14:paraId="4FB376AD"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1)</w:t>
      </w:r>
    </w:p>
    <w:p w14:paraId="32DCA61D" w14:textId="77777777" w:rsidR="00047B32" w:rsidRPr="00714D1B" w:rsidRDefault="00047B32" w:rsidP="00047B32">
      <w:pPr>
        <w:pStyle w:val="SingleTxtG"/>
        <w:spacing w:before="120"/>
        <w:ind w:left="2268" w:hanging="1134"/>
        <w:rPr>
          <w:lang w:val="fr-FR"/>
        </w:rPr>
      </w:pPr>
      <w:r>
        <w:rPr>
          <w:lang w:val="fr-FR"/>
        </w:rPr>
        <w:t>(RID :) Pour le No ONU 3550, en colonne (12), supprimer « L10CH » et en colonne (13), supprimer « TU14 », « TU38 », « TE21 » et « TE22 ».</w:t>
      </w:r>
    </w:p>
    <w:p w14:paraId="55DD6327" w14:textId="77777777" w:rsidR="00047B32" w:rsidRDefault="00047B32" w:rsidP="00047B32">
      <w:pPr>
        <w:pStyle w:val="SingleTxtG"/>
        <w:spacing w:before="120"/>
        <w:ind w:left="2268" w:hanging="1134"/>
        <w:rPr>
          <w:lang w:val="fr-FR"/>
        </w:rPr>
      </w:pPr>
      <w:r>
        <w:rPr>
          <w:lang w:val="fr-FR"/>
        </w:rPr>
        <w:t>(ADR :) Pour le No ONU 3550, en colonne (12), supprimer « L10CH » et en colonne (13), supprimer « TU14 » et « TE21 ».</w:t>
      </w:r>
    </w:p>
    <w:p w14:paraId="2931A6FC"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16</w:t>
      </w:r>
      <w:r w:rsidRPr="00714D1B">
        <w:rPr>
          <w:i/>
          <w:iCs/>
          <w:lang w:val="fr-FR"/>
        </w:rPr>
        <w:t>)</w:t>
      </w:r>
    </w:p>
    <w:p w14:paraId="70DFE6E3" w14:textId="73212F73" w:rsidR="00047B32" w:rsidRDefault="00047B32" w:rsidP="000616BA">
      <w:pPr>
        <w:pStyle w:val="H23G"/>
      </w:pPr>
      <w:r>
        <w:tab/>
      </w:r>
      <w:r>
        <w:tab/>
      </w:r>
      <w:bookmarkStart w:id="217" w:name="_Toc147845993"/>
      <w:bookmarkStart w:id="218" w:name="_Toc148357379"/>
      <w:bookmarkStart w:id="219" w:name="_Toc148358443"/>
      <w:r w:rsidRPr="00E83C26">
        <w:t>Chapitre 3.3</w:t>
      </w:r>
      <w:bookmarkEnd w:id="217"/>
      <w:bookmarkEnd w:id="218"/>
      <w:bookmarkEnd w:id="219"/>
    </w:p>
    <w:p w14:paraId="58A98E65" w14:textId="77777777" w:rsidR="00047B32" w:rsidRDefault="00047B32" w:rsidP="00047B32">
      <w:pPr>
        <w:pStyle w:val="SingleTxtG"/>
        <w:spacing w:before="120"/>
        <w:ind w:left="2268" w:hanging="1134"/>
        <w:rPr>
          <w:lang w:val="fr-FR"/>
        </w:rPr>
      </w:pPr>
      <w:r>
        <w:rPr>
          <w:lang w:val="fr-FR"/>
        </w:rPr>
        <w:t>DS 376</w:t>
      </w:r>
      <w:r>
        <w:rPr>
          <w:lang w:val="fr-FR"/>
        </w:rPr>
        <w:tab/>
        <w:t>Dans le quatrième paragraphe après le nota, remplacer « ou » par une virgule et, avant « comme approprié », ajouter « </w:t>
      </w:r>
      <w:r w:rsidRPr="00101876">
        <w:rPr>
          <w:lang w:val="fr-FR"/>
        </w:rPr>
        <w:t xml:space="preserve">ou </w:t>
      </w:r>
      <w:r w:rsidRPr="00E057CB">
        <w:t>"</w:t>
      </w:r>
      <w:r w:rsidRPr="00101876">
        <w:rPr>
          <w:lang w:val="fr-FR"/>
        </w:rPr>
        <w:t>PILES AU SODIUM IONIQUE ENDOMMAGÉES/DÉFECTUEUSES</w:t>
      </w:r>
      <w:r w:rsidRPr="00E057CB">
        <w:t>"</w:t>
      </w:r>
      <w:r>
        <w:t> </w:t>
      </w:r>
      <w:r w:rsidRPr="00101876">
        <w:rPr>
          <w:lang w:val="fr-FR"/>
        </w:rPr>
        <w:t>»</w:t>
      </w:r>
      <w:r>
        <w:rPr>
          <w:lang w:val="fr-FR"/>
        </w:rPr>
        <w:t>.</w:t>
      </w:r>
    </w:p>
    <w:p w14:paraId="7BC8A350" w14:textId="77777777" w:rsidR="00047B32" w:rsidRPr="00ED6D5A" w:rsidRDefault="00047B32" w:rsidP="00047B32">
      <w:pPr>
        <w:pStyle w:val="SingleTxtG"/>
        <w:spacing w:before="120"/>
        <w:ind w:left="2268" w:hanging="1134"/>
        <w:rPr>
          <w:i/>
          <w:iCs/>
          <w:lang w:val="fr-FR"/>
        </w:rPr>
      </w:pPr>
      <w:r w:rsidRPr="00ED6D5A">
        <w:rPr>
          <w:i/>
          <w:iCs/>
          <w:lang w:val="fr-FR"/>
        </w:rPr>
        <w:t>(Amendement de conséquence)</w:t>
      </w:r>
    </w:p>
    <w:p w14:paraId="5B2E201C" w14:textId="77777777" w:rsidR="00047B32" w:rsidRDefault="00047B32" w:rsidP="00047B32">
      <w:pPr>
        <w:spacing w:after="120"/>
        <w:ind w:left="2268" w:right="1134" w:hanging="1134"/>
        <w:jc w:val="both"/>
        <w:rPr>
          <w:iCs/>
          <w:lang w:val="fr-FR"/>
        </w:rPr>
      </w:pPr>
      <w:r>
        <w:rPr>
          <w:iCs/>
          <w:lang w:val="fr-FR"/>
        </w:rPr>
        <w:t>3.3.1</w:t>
      </w:r>
      <w:r>
        <w:rPr>
          <w:iCs/>
          <w:lang w:val="fr-FR"/>
        </w:rPr>
        <w:tab/>
      </w:r>
      <w:r w:rsidRPr="00B95FFF">
        <w:rPr>
          <w:iCs/>
          <w:lang w:val="fr-FR"/>
        </w:rPr>
        <w:t>Ajouter la nouvelle disposition spéciale suivante</w:t>
      </w:r>
      <w:r>
        <w:rPr>
          <w:iCs/>
          <w:lang w:val="fr-FR"/>
        </w:rPr>
        <w:t> </w:t>
      </w:r>
      <w:r w:rsidRPr="00B95FFF">
        <w:rPr>
          <w:iCs/>
          <w:lang w:val="fr-FR"/>
        </w:rPr>
        <w:t>:</w:t>
      </w:r>
    </w:p>
    <w:p w14:paraId="1392A951" w14:textId="637DB54C" w:rsidR="00047B32" w:rsidRDefault="00047B32" w:rsidP="00047B32">
      <w:pPr>
        <w:tabs>
          <w:tab w:val="left" w:pos="2268"/>
        </w:tabs>
        <w:spacing w:after="120"/>
        <w:ind w:left="2268" w:right="1134" w:hanging="1134"/>
        <w:jc w:val="both"/>
        <w:rPr>
          <w:lang w:val="fr-FR"/>
        </w:rPr>
      </w:pPr>
      <w:r>
        <w:rPr>
          <w:iCs/>
          <w:lang w:val="fr-FR"/>
        </w:rPr>
        <w:t>« 678</w:t>
      </w:r>
      <w:r>
        <w:rPr>
          <w:iCs/>
          <w:lang w:val="fr-FR"/>
        </w:rPr>
        <w:tab/>
      </w:r>
      <w:r w:rsidRPr="00946D2E">
        <w:rPr>
          <w:lang w:val="fr-FR"/>
        </w:rPr>
        <w:t xml:space="preserve">Les </w:t>
      </w:r>
      <w:r>
        <w:rPr>
          <w:lang w:val="fr-FR"/>
        </w:rPr>
        <w:t>déchets constitués d'</w:t>
      </w:r>
      <w:r w:rsidRPr="00946D2E">
        <w:rPr>
          <w:lang w:val="fr-FR"/>
        </w:rPr>
        <w:t>objets et matériaux contaminés par de l'amiante libre (Nos ONU 2212 et 2590</w:t>
      </w:r>
      <w:r>
        <w:rPr>
          <w:lang w:val="fr-FR"/>
        </w:rPr>
        <w:t>),</w:t>
      </w:r>
      <w:r w:rsidRPr="00946D2E">
        <w:rPr>
          <w:lang w:val="fr-FR"/>
        </w:rPr>
        <w:t xml:space="preserve"> non fixé ou immergé dans un liant de telle sorte qu'aucune </w:t>
      </w:r>
      <w:r>
        <w:rPr>
          <w:lang w:val="fr-FR"/>
        </w:rPr>
        <w:t>émission</w:t>
      </w:r>
      <w:r w:rsidRPr="00946D2E">
        <w:rPr>
          <w:lang w:val="fr-FR"/>
        </w:rPr>
        <w:t xml:space="preserve"> de quantités dangereuses d'amiante respirable ne puisse se produire</w:t>
      </w:r>
      <w:r>
        <w:rPr>
          <w:lang w:val="fr-FR"/>
        </w:rPr>
        <w:t>,</w:t>
      </w:r>
      <w:r w:rsidRPr="00946D2E">
        <w:rPr>
          <w:lang w:val="fr-FR"/>
        </w:rPr>
        <w:t xml:space="preserve"> peuvent être transportés en vertu des dispositions du chapitre 7.3 à condition que les dispositions suivantes so</w:t>
      </w:r>
      <w:r>
        <w:rPr>
          <w:lang w:val="fr-FR"/>
        </w:rPr>
        <w:t>ient</w:t>
      </w:r>
      <w:r w:rsidRPr="00946D2E">
        <w:rPr>
          <w:lang w:val="fr-FR"/>
        </w:rPr>
        <w:t xml:space="preserve"> respectées</w:t>
      </w:r>
      <w:r>
        <w:rPr>
          <w:lang w:val="fr-FR"/>
        </w:rPr>
        <w:t> </w:t>
      </w:r>
      <w:r w:rsidRPr="00946D2E">
        <w:rPr>
          <w:lang w:val="fr-FR"/>
        </w:rPr>
        <w:t>:</w:t>
      </w:r>
    </w:p>
    <w:p w14:paraId="7C76456A" w14:textId="77777777" w:rsidR="00047B32" w:rsidRDefault="00047B32" w:rsidP="00047B32">
      <w:pPr>
        <w:pStyle w:val="SingleTxtG"/>
        <w:tabs>
          <w:tab w:val="clear" w:pos="2268"/>
          <w:tab w:val="clear" w:pos="2835"/>
        </w:tabs>
        <w:ind w:left="2835" w:hanging="567"/>
        <w:rPr>
          <w:lang w:val="fr-FR"/>
        </w:rPr>
      </w:pPr>
      <w:r w:rsidRPr="00946D2E">
        <w:rPr>
          <w:lang w:val="fr-FR"/>
        </w:rPr>
        <w:t>a)</w:t>
      </w:r>
      <w:r>
        <w:rPr>
          <w:lang w:val="fr-FR"/>
        </w:rPr>
        <w:tab/>
      </w:r>
      <w:r w:rsidRPr="00946D2E">
        <w:rPr>
          <w:lang w:val="fr-FR"/>
        </w:rPr>
        <w:t xml:space="preserve">Les déchets sont transportés uniquement du site où ces déchets sont générés vers une installation d'élimination définitive. </w:t>
      </w:r>
      <w:r>
        <w:rPr>
          <w:lang w:val="fr-FR"/>
        </w:rPr>
        <w:t>E</w:t>
      </w:r>
      <w:r w:rsidRPr="00946D2E">
        <w:rPr>
          <w:lang w:val="fr-FR"/>
        </w:rPr>
        <w:t>ntre ces deux types de sites</w:t>
      </w:r>
      <w:r>
        <w:rPr>
          <w:lang w:val="fr-FR"/>
        </w:rPr>
        <w:t>,</w:t>
      </w:r>
      <w:r w:rsidRPr="00946D2E">
        <w:rPr>
          <w:lang w:val="fr-FR"/>
        </w:rPr>
        <w:t xml:space="preserve"> </w:t>
      </w:r>
      <w:r>
        <w:rPr>
          <w:lang w:val="fr-FR"/>
        </w:rPr>
        <w:t>s</w:t>
      </w:r>
      <w:r w:rsidRPr="00946D2E">
        <w:rPr>
          <w:lang w:val="fr-FR"/>
        </w:rPr>
        <w:t xml:space="preserve">eules les opérations de stockage intermédiaire, réalisées sans déchargement ni transfert </w:t>
      </w:r>
      <w:r>
        <w:rPr>
          <w:lang w:val="fr-FR"/>
        </w:rPr>
        <w:t>du conteneur-bag</w:t>
      </w:r>
      <w:r w:rsidRPr="00946D2E">
        <w:rPr>
          <w:lang w:val="fr-FR"/>
        </w:rPr>
        <w:t>, sont autorisées</w:t>
      </w:r>
      <w:r>
        <w:rPr>
          <w:lang w:val="fr-FR"/>
        </w:rPr>
        <w:t> ;</w:t>
      </w:r>
    </w:p>
    <w:p w14:paraId="6051EE2A" w14:textId="77777777" w:rsidR="00047B32" w:rsidRDefault="00047B32" w:rsidP="00047B32">
      <w:pPr>
        <w:pStyle w:val="SingleTxtG"/>
        <w:tabs>
          <w:tab w:val="clear" w:pos="2268"/>
          <w:tab w:val="clear" w:pos="2835"/>
        </w:tabs>
        <w:ind w:left="2835" w:hanging="567"/>
        <w:rPr>
          <w:lang w:val="fr-FR"/>
        </w:rPr>
      </w:pPr>
      <w:r w:rsidRPr="00946D2E">
        <w:rPr>
          <w:lang w:val="fr-FR"/>
        </w:rPr>
        <w:t>b)</w:t>
      </w:r>
      <w:r>
        <w:rPr>
          <w:lang w:val="fr-FR"/>
        </w:rPr>
        <w:tab/>
      </w:r>
      <w:r w:rsidRPr="00946D2E">
        <w:rPr>
          <w:lang w:val="fr-FR"/>
        </w:rPr>
        <w:t>Les déchets appartiennent à l'une de ces catégories :</w:t>
      </w:r>
    </w:p>
    <w:p w14:paraId="422AA86F" w14:textId="77777777" w:rsidR="00047B32" w:rsidRDefault="00047B32" w:rsidP="00047B32">
      <w:pPr>
        <w:pStyle w:val="SingleTxtG"/>
        <w:tabs>
          <w:tab w:val="clear" w:pos="2268"/>
        </w:tabs>
        <w:ind w:left="3402" w:hanging="567"/>
        <w:rPr>
          <w:lang w:val="fr-FR"/>
        </w:rPr>
      </w:pPr>
      <w:r w:rsidRPr="00946D2E">
        <w:rPr>
          <w:lang w:val="fr-FR"/>
        </w:rPr>
        <w:t>i)</w:t>
      </w:r>
      <w:r>
        <w:rPr>
          <w:lang w:val="fr-FR"/>
        </w:rPr>
        <w:tab/>
        <w:t>D</w:t>
      </w:r>
      <w:r w:rsidRPr="00946D2E">
        <w:rPr>
          <w:lang w:val="fr-FR"/>
        </w:rPr>
        <w:t xml:space="preserve">échets solides </w:t>
      </w:r>
      <w:r>
        <w:rPr>
          <w:lang w:val="fr-FR"/>
        </w:rPr>
        <w:t>issus de</w:t>
      </w:r>
      <w:r w:rsidRPr="00946D2E">
        <w:rPr>
          <w:lang w:val="fr-FR"/>
        </w:rPr>
        <w:t xml:space="preserve"> travaux </w:t>
      </w:r>
      <w:r>
        <w:rPr>
          <w:lang w:val="fr-FR"/>
        </w:rPr>
        <w:t>de voirie</w:t>
      </w:r>
      <w:r w:rsidRPr="00946D2E">
        <w:rPr>
          <w:lang w:val="fr-FR"/>
        </w:rPr>
        <w:t xml:space="preserve">, y compris les </w:t>
      </w:r>
      <w:r>
        <w:rPr>
          <w:lang w:val="fr-FR"/>
        </w:rPr>
        <w:t xml:space="preserve">déchets de </w:t>
      </w:r>
      <w:proofErr w:type="spellStart"/>
      <w:r>
        <w:rPr>
          <w:lang w:val="fr-FR"/>
        </w:rPr>
        <w:t>fraisat</w:t>
      </w:r>
      <w:proofErr w:type="spellEnd"/>
      <w:r>
        <w:rPr>
          <w:lang w:val="fr-FR"/>
        </w:rPr>
        <w:t xml:space="preserve"> d’enrobés</w:t>
      </w:r>
      <w:r w:rsidRPr="00946D2E">
        <w:rPr>
          <w:lang w:val="fr-FR"/>
        </w:rPr>
        <w:t xml:space="preserve"> contaminés par </w:t>
      </w:r>
      <w:r>
        <w:rPr>
          <w:lang w:val="fr-FR"/>
        </w:rPr>
        <w:t xml:space="preserve">de </w:t>
      </w:r>
      <w:r w:rsidRPr="00946D2E">
        <w:rPr>
          <w:lang w:val="fr-FR"/>
        </w:rPr>
        <w:t>l'amiante libre ainsi que leurs résidus de balayage</w:t>
      </w:r>
      <w:r>
        <w:rPr>
          <w:lang w:val="fr-FR"/>
        </w:rPr>
        <w:t> </w:t>
      </w:r>
      <w:r w:rsidRPr="00946D2E">
        <w:rPr>
          <w:lang w:val="fr-FR"/>
        </w:rPr>
        <w:t>;</w:t>
      </w:r>
    </w:p>
    <w:p w14:paraId="798C88BB" w14:textId="77777777" w:rsidR="00047B32" w:rsidRDefault="00047B32" w:rsidP="00047B32">
      <w:pPr>
        <w:pStyle w:val="SingleTxtG"/>
        <w:tabs>
          <w:tab w:val="clear" w:pos="2268"/>
        </w:tabs>
        <w:ind w:left="3402" w:hanging="567"/>
        <w:rPr>
          <w:lang w:val="fr-FR"/>
        </w:rPr>
      </w:pPr>
      <w:r w:rsidRPr="00946D2E">
        <w:rPr>
          <w:lang w:val="fr-FR"/>
        </w:rPr>
        <w:t>ii)</w:t>
      </w:r>
      <w:r>
        <w:rPr>
          <w:lang w:val="fr-FR"/>
        </w:rPr>
        <w:tab/>
        <w:t>Terres</w:t>
      </w:r>
      <w:r w:rsidRPr="00946D2E">
        <w:rPr>
          <w:lang w:val="fr-FR"/>
        </w:rPr>
        <w:t xml:space="preserve"> contaminé</w:t>
      </w:r>
      <w:r>
        <w:rPr>
          <w:lang w:val="fr-FR"/>
        </w:rPr>
        <w:t>es</w:t>
      </w:r>
      <w:r w:rsidRPr="00946D2E">
        <w:rPr>
          <w:lang w:val="fr-FR"/>
        </w:rPr>
        <w:t xml:space="preserve"> par de l'amiante libre</w:t>
      </w:r>
      <w:r>
        <w:rPr>
          <w:lang w:val="fr-FR"/>
        </w:rPr>
        <w:t> </w:t>
      </w:r>
      <w:r w:rsidRPr="00946D2E">
        <w:rPr>
          <w:lang w:val="fr-FR"/>
        </w:rPr>
        <w:t>;</w:t>
      </w:r>
    </w:p>
    <w:p w14:paraId="1F66690B" w14:textId="77777777" w:rsidR="00047B32" w:rsidRDefault="00047B32" w:rsidP="00047B32">
      <w:pPr>
        <w:pStyle w:val="SingleTxtG"/>
        <w:tabs>
          <w:tab w:val="clear" w:pos="2268"/>
        </w:tabs>
        <w:ind w:left="3402" w:hanging="567"/>
        <w:rPr>
          <w:lang w:val="fr-FR"/>
        </w:rPr>
      </w:pPr>
      <w:r w:rsidRPr="00946D2E">
        <w:rPr>
          <w:lang w:val="fr-FR"/>
        </w:rPr>
        <w:t>iii)</w:t>
      </w:r>
      <w:r>
        <w:rPr>
          <w:lang w:val="fr-FR"/>
        </w:rPr>
        <w:tab/>
      </w:r>
      <w:r w:rsidRPr="00946D2E">
        <w:rPr>
          <w:lang w:val="fr-FR"/>
        </w:rPr>
        <w:t xml:space="preserve">Objets (par exemple, meubles) contaminés par de l'amiante libre provenant de structures ou de bâtiments </w:t>
      </w:r>
      <w:r>
        <w:rPr>
          <w:lang w:val="fr-FR"/>
        </w:rPr>
        <w:t>sinistrés</w:t>
      </w:r>
      <w:r w:rsidRPr="00946D2E">
        <w:rPr>
          <w:lang w:val="fr-FR"/>
        </w:rPr>
        <w:t> ;</w:t>
      </w:r>
    </w:p>
    <w:p w14:paraId="36D88F42" w14:textId="68A10BB5" w:rsidR="00047B32" w:rsidRDefault="00047B32" w:rsidP="00047B32">
      <w:pPr>
        <w:pStyle w:val="SingleTxtG"/>
        <w:tabs>
          <w:tab w:val="clear" w:pos="2268"/>
        </w:tabs>
        <w:ind w:left="3402" w:hanging="567"/>
        <w:rPr>
          <w:lang w:val="fr-FR"/>
        </w:rPr>
      </w:pPr>
      <w:r w:rsidRPr="00946D2E">
        <w:rPr>
          <w:lang w:val="fr-FR"/>
        </w:rPr>
        <w:t>iv)</w:t>
      </w:r>
      <w:r>
        <w:rPr>
          <w:lang w:val="fr-FR"/>
        </w:rPr>
        <w:tab/>
      </w:r>
      <w:r w:rsidRPr="00946D2E">
        <w:rPr>
          <w:lang w:val="fr-FR"/>
        </w:rPr>
        <w:t xml:space="preserve">Matériaux provenant de structures ou de bâtiments </w:t>
      </w:r>
      <w:r>
        <w:rPr>
          <w:lang w:val="fr-FR"/>
        </w:rPr>
        <w:t>sinistrés</w:t>
      </w:r>
      <w:r w:rsidRPr="00946D2E">
        <w:rPr>
          <w:lang w:val="fr-FR"/>
        </w:rPr>
        <w:t xml:space="preserve"> contaminés par de l'amiante libre qui ne peuvent, en raison de leur volume ou de leur masse, être emballés conformément à l'instruction d'emballage applicable au numéro ONU utilisé (</w:t>
      </w:r>
      <w:r>
        <w:rPr>
          <w:lang w:val="fr-FR"/>
        </w:rPr>
        <w:t xml:space="preserve">No </w:t>
      </w:r>
      <w:r w:rsidRPr="00946D2E">
        <w:rPr>
          <w:lang w:val="fr-FR"/>
        </w:rPr>
        <w:t>ONU 2212 ou 2590, selon le cas)</w:t>
      </w:r>
      <w:r>
        <w:rPr>
          <w:lang w:val="fr-FR"/>
        </w:rPr>
        <w:t> </w:t>
      </w:r>
      <w:r w:rsidRPr="00946D2E">
        <w:rPr>
          <w:lang w:val="fr-FR"/>
        </w:rPr>
        <w:t>;</w:t>
      </w:r>
      <w:r>
        <w:rPr>
          <w:lang w:val="fr-FR"/>
        </w:rPr>
        <w:t xml:space="preserve"> ou</w:t>
      </w:r>
    </w:p>
    <w:p w14:paraId="2CFC9CA9" w14:textId="77777777" w:rsidR="00047B32" w:rsidRPr="003D4D62" w:rsidRDefault="00047B32" w:rsidP="00047B32">
      <w:pPr>
        <w:pStyle w:val="SingleTxtG"/>
        <w:tabs>
          <w:tab w:val="clear" w:pos="2268"/>
          <w:tab w:val="clear" w:pos="2835"/>
        </w:tabs>
        <w:ind w:left="3402" w:hanging="567"/>
        <w:rPr>
          <w:strike/>
          <w:lang w:val="fr-FR"/>
        </w:rPr>
      </w:pPr>
      <w:r w:rsidRPr="006E4F79">
        <w:rPr>
          <w:lang w:val="fr-FR"/>
        </w:rPr>
        <w:t>v)</w:t>
      </w:r>
      <w:r>
        <w:rPr>
          <w:lang w:val="fr-FR"/>
        </w:rPr>
        <w:tab/>
      </w:r>
      <w:r w:rsidRPr="006E4F79">
        <w:rPr>
          <w:lang w:val="fr-FR"/>
        </w:rPr>
        <w:t xml:space="preserve">Déchets de chantier contaminés par de l'amiante libre provenant </w:t>
      </w:r>
      <w:r>
        <w:rPr>
          <w:lang w:val="fr-FR"/>
        </w:rPr>
        <w:t xml:space="preserve">de </w:t>
      </w:r>
      <w:r w:rsidRPr="00946D2E">
        <w:rPr>
          <w:lang w:val="fr-FR"/>
        </w:rPr>
        <w:t>structures ou de bâtiments</w:t>
      </w:r>
      <w:r>
        <w:rPr>
          <w:lang w:val="fr-FR"/>
        </w:rPr>
        <w:t xml:space="preserve"> démolis ou rénovés</w:t>
      </w:r>
      <w:r w:rsidRPr="006E4F79">
        <w:rPr>
          <w:lang w:val="fr-FR"/>
        </w:rPr>
        <w:t>, qui ne peuvent, en raison de leur taille ou de leur masse, être emballés conformément à l'instruction d'emballage applicable au numéro ONU utilisé (</w:t>
      </w:r>
      <w:r>
        <w:rPr>
          <w:lang w:val="fr-FR"/>
        </w:rPr>
        <w:t xml:space="preserve">No </w:t>
      </w:r>
      <w:r w:rsidRPr="006E4F79">
        <w:rPr>
          <w:lang w:val="fr-FR"/>
        </w:rPr>
        <w:t>ONU 2212 ou 2590, selon le cas)</w:t>
      </w:r>
      <w:r>
        <w:rPr>
          <w:lang w:val="fr-FR"/>
        </w:rPr>
        <w:t> ;</w:t>
      </w:r>
    </w:p>
    <w:p w14:paraId="7212D662" w14:textId="77777777" w:rsidR="00047B32" w:rsidRPr="006E4F79" w:rsidRDefault="00047B32" w:rsidP="00047B32">
      <w:pPr>
        <w:pStyle w:val="SingleTxtG"/>
        <w:tabs>
          <w:tab w:val="clear" w:pos="2268"/>
          <w:tab w:val="clear" w:pos="2835"/>
        </w:tabs>
        <w:ind w:left="2835" w:hanging="567"/>
        <w:rPr>
          <w:b/>
          <w:lang w:val="fr-FR"/>
        </w:rPr>
      </w:pPr>
      <w:r w:rsidRPr="006E4F79">
        <w:rPr>
          <w:lang w:val="fr-FR"/>
        </w:rPr>
        <w:t>c)</w:t>
      </w:r>
      <w:r>
        <w:rPr>
          <w:lang w:val="fr-FR"/>
        </w:rPr>
        <w:tab/>
      </w:r>
      <w:r w:rsidRPr="006E4F79">
        <w:rPr>
          <w:lang w:val="fr-FR"/>
        </w:rPr>
        <w:t xml:space="preserve">Les déchets visés par les présentes dispositions ne doivent pas être mélangés ou chargés avec d'autres déchets contenant de l'amiante </w:t>
      </w:r>
      <w:r>
        <w:rPr>
          <w:lang w:val="fr-FR"/>
        </w:rPr>
        <w:t>ni avec</w:t>
      </w:r>
      <w:r w:rsidRPr="006E4F79">
        <w:rPr>
          <w:lang w:val="fr-FR"/>
        </w:rPr>
        <w:t xml:space="preserve"> tout autre déchet</w:t>
      </w:r>
      <w:r>
        <w:rPr>
          <w:lang w:val="fr-FR"/>
        </w:rPr>
        <w:t>,</w:t>
      </w:r>
      <w:r w:rsidRPr="006E4F79">
        <w:rPr>
          <w:lang w:val="fr-FR"/>
        </w:rPr>
        <w:t xml:space="preserve"> dangereux ou non</w:t>
      </w:r>
      <w:r>
        <w:rPr>
          <w:lang w:val="fr-FR"/>
        </w:rPr>
        <w:t> ;</w:t>
      </w:r>
    </w:p>
    <w:p w14:paraId="57B76962" w14:textId="2D9372D1" w:rsidR="00047B32" w:rsidRDefault="00047B32" w:rsidP="00047B32">
      <w:pPr>
        <w:pStyle w:val="SingleTxtG"/>
        <w:tabs>
          <w:tab w:val="clear" w:pos="2268"/>
          <w:tab w:val="clear" w:pos="2835"/>
        </w:tabs>
        <w:ind w:left="2835" w:hanging="567"/>
        <w:rPr>
          <w:lang w:val="fr-FR"/>
        </w:rPr>
      </w:pPr>
      <w:r w:rsidRPr="006E4F79">
        <w:rPr>
          <w:lang w:val="fr-FR"/>
        </w:rPr>
        <w:t>d)</w:t>
      </w:r>
      <w:r>
        <w:rPr>
          <w:lang w:val="fr-FR"/>
        </w:rPr>
        <w:tab/>
      </w:r>
      <w:r w:rsidRPr="006E4F79">
        <w:rPr>
          <w:lang w:val="fr-FR"/>
        </w:rPr>
        <w:t xml:space="preserve">Chaque </w:t>
      </w:r>
      <w:r>
        <w:rPr>
          <w:lang w:val="fr-FR"/>
        </w:rPr>
        <w:t>expédition</w:t>
      </w:r>
      <w:r w:rsidRPr="006E4F79">
        <w:rPr>
          <w:lang w:val="fr-FR"/>
        </w:rPr>
        <w:t xml:space="preserve"> est considéré</w:t>
      </w:r>
      <w:r>
        <w:rPr>
          <w:lang w:val="fr-FR"/>
        </w:rPr>
        <w:t>e</w:t>
      </w:r>
      <w:r w:rsidRPr="006E4F79">
        <w:rPr>
          <w:lang w:val="fr-FR"/>
        </w:rPr>
        <w:t xml:space="preserve"> comme un chargement complet au sens </w:t>
      </w:r>
      <w:r>
        <w:rPr>
          <w:lang w:val="fr-FR"/>
        </w:rPr>
        <w:t xml:space="preserve">de la définition </w:t>
      </w:r>
      <w:r w:rsidRPr="006E4F79">
        <w:rPr>
          <w:lang w:val="fr-FR"/>
        </w:rPr>
        <w:t>du 1.2.1</w:t>
      </w:r>
      <w:r>
        <w:rPr>
          <w:lang w:val="fr-FR"/>
        </w:rPr>
        <w:t> ; et</w:t>
      </w:r>
    </w:p>
    <w:p w14:paraId="3252B124" w14:textId="77777777" w:rsidR="00047B32" w:rsidRPr="006E4F79" w:rsidRDefault="00047B32" w:rsidP="00047B32">
      <w:pPr>
        <w:pStyle w:val="SingleTxtG"/>
        <w:tabs>
          <w:tab w:val="clear" w:pos="2268"/>
          <w:tab w:val="clear" w:pos="2835"/>
        </w:tabs>
        <w:ind w:left="2835" w:hanging="567"/>
        <w:rPr>
          <w:b/>
          <w:lang w:val="fr-FR"/>
        </w:rPr>
      </w:pPr>
      <w:r>
        <w:rPr>
          <w:lang w:val="fr-FR"/>
        </w:rPr>
        <w:t>e)</w:t>
      </w:r>
      <w:r>
        <w:rPr>
          <w:lang w:val="fr-FR"/>
        </w:rPr>
        <w:tab/>
        <w:t>Le document de transport est conforme au 5.4.1.1.4</w:t>
      </w:r>
      <w:r w:rsidRPr="006E4F79">
        <w:rPr>
          <w:lang w:val="fr-FR"/>
        </w:rPr>
        <w:t>.</w:t>
      </w:r>
      <w:r>
        <w:rPr>
          <w:lang w:val="fr-FR"/>
        </w:rPr>
        <w:t> »</w:t>
      </w:r>
    </w:p>
    <w:p w14:paraId="29627212" w14:textId="77777777" w:rsidR="00047B32" w:rsidRDefault="00047B32" w:rsidP="00047B32">
      <w:pPr>
        <w:pStyle w:val="SingleTxtG"/>
        <w:tabs>
          <w:tab w:val="clear" w:pos="2268"/>
        </w:tabs>
        <w:rPr>
          <w:i/>
          <w:iCs/>
          <w:lang w:val="fr-FR"/>
        </w:rPr>
      </w:pPr>
      <w:r w:rsidRPr="002F4EEE">
        <w:rPr>
          <w:i/>
          <w:iCs/>
          <w:lang w:val="fr-FR"/>
        </w:rPr>
        <w:lastRenderedPageBreak/>
        <w:t>(</w:t>
      </w:r>
      <w:r>
        <w:rPr>
          <w:i/>
          <w:iCs/>
          <w:lang w:val="fr-FR"/>
        </w:rPr>
        <w:t>R</w:t>
      </w:r>
      <w:r w:rsidRPr="002F4EEE">
        <w:rPr>
          <w:i/>
          <w:iCs/>
          <w:lang w:val="fr-FR"/>
        </w:rPr>
        <w:t>éférence :</w:t>
      </w:r>
      <w:r>
        <w:rPr>
          <w:i/>
          <w:iCs/>
          <w:lang w:val="fr-FR"/>
        </w:rPr>
        <w:t xml:space="preserve"> document informel INF.41/Rev.1, option sans définition, proposition 2b)</w:t>
      </w:r>
    </w:p>
    <w:p w14:paraId="40BED4A9" w14:textId="77777777" w:rsidR="00047B32" w:rsidRDefault="00047B32" w:rsidP="00047B32">
      <w:pPr>
        <w:pStyle w:val="H23G"/>
        <w:ind w:right="1133"/>
      </w:pPr>
      <w:r>
        <w:tab/>
      </w:r>
      <w:r>
        <w:tab/>
      </w:r>
      <w:bookmarkStart w:id="220" w:name="_Toc147845994"/>
      <w:bookmarkStart w:id="221" w:name="_Toc148357380"/>
      <w:bookmarkStart w:id="222" w:name="_Toc148358444"/>
      <w:r>
        <w:t>Chapitre 4.1</w:t>
      </w:r>
      <w:bookmarkEnd w:id="220"/>
      <w:bookmarkEnd w:id="221"/>
      <w:bookmarkEnd w:id="222"/>
    </w:p>
    <w:p w14:paraId="73F1331B" w14:textId="77777777" w:rsidR="00047B32" w:rsidRPr="00BC2093" w:rsidRDefault="00047B32" w:rsidP="00047B32">
      <w:pPr>
        <w:pStyle w:val="SingleTxtG"/>
        <w:spacing w:before="120"/>
        <w:rPr>
          <w:lang w:val="fr-FR"/>
        </w:rPr>
      </w:pPr>
      <w:r>
        <w:rPr>
          <w:lang w:val="fr-FR"/>
        </w:rPr>
        <w:t>4.1.1.21</w:t>
      </w:r>
      <w:r>
        <w:rPr>
          <w:lang w:val="fr-FR"/>
        </w:rPr>
        <w:tab/>
        <w:t xml:space="preserve">Ajouter le nouveau </w:t>
      </w:r>
      <w:r w:rsidRPr="00BC2093">
        <w:rPr>
          <w:lang w:val="fr-FR"/>
        </w:rPr>
        <w:t>4.1.1.21.7 suivant</w:t>
      </w:r>
      <w:r>
        <w:rPr>
          <w:lang w:val="fr-FR"/>
        </w:rPr>
        <w:t> </w:t>
      </w:r>
      <w:r w:rsidRPr="00BC2093">
        <w:rPr>
          <w:lang w:val="fr-FR"/>
        </w:rPr>
        <w:t>:</w:t>
      </w:r>
    </w:p>
    <w:p w14:paraId="0742793D" w14:textId="29223BE9" w:rsidR="00047B32" w:rsidRPr="00D53AD4" w:rsidRDefault="00047B32" w:rsidP="00047B32">
      <w:pPr>
        <w:pStyle w:val="SingleTxtG"/>
        <w:tabs>
          <w:tab w:val="clear" w:pos="1701"/>
        </w:tabs>
        <w:ind w:left="2268" w:hanging="1134"/>
        <w:rPr>
          <w:lang w:val="fr-FR"/>
        </w:rPr>
      </w:pPr>
      <w:r w:rsidRPr="00D53AD4">
        <w:rPr>
          <w:lang w:val="fr-FR"/>
        </w:rPr>
        <w:t>« </w:t>
      </w:r>
      <w:r>
        <w:rPr>
          <w:lang w:val="fr-FR"/>
        </w:rPr>
        <w:t>4.1.1.21.7</w:t>
      </w:r>
      <w:r>
        <w:rPr>
          <w:lang w:val="fr-FR"/>
        </w:rPr>
        <w:tab/>
      </w:r>
      <w:r w:rsidRPr="00D53AD4">
        <w:rPr>
          <w:lang w:val="fr-FR"/>
        </w:rPr>
        <w:t>Par dérogation au 4.1.1.21.1, les déchets liquides classés conformément au 2.1.3.5.5 peuvent être placés dans des emballages en polyéthylène à condition que ces emballages aient subi avec succès les épreuves avec tous les liquides de référence décrits au 6.1.6.1. Les emballages doivent satisfaire au niveau d’épreuve du groupe d’emballage tel</w:t>
      </w:r>
      <w:r>
        <w:rPr>
          <w:lang w:val="fr-FR"/>
        </w:rPr>
        <w:t xml:space="preserve"> </w:t>
      </w:r>
      <w:r w:rsidRPr="00E00C7B">
        <w:rPr>
          <w:lang w:val="fr-FR"/>
        </w:rPr>
        <w:t xml:space="preserve">qu’affecté conformément au </w:t>
      </w:r>
      <w:r w:rsidRPr="00D53AD4">
        <w:rPr>
          <w:lang w:val="fr-FR"/>
        </w:rPr>
        <w:t>2.1.3.5.5.</w:t>
      </w:r>
    </w:p>
    <w:p w14:paraId="1C31D854" w14:textId="77777777" w:rsidR="00047B32" w:rsidRDefault="00047B32" w:rsidP="00047B32">
      <w:pPr>
        <w:pStyle w:val="SingleTxtG"/>
        <w:tabs>
          <w:tab w:val="clear" w:pos="1701"/>
        </w:tabs>
        <w:ind w:left="2268" w:hanging="1134"/>
        <w:rPr>
          <w:lang w:val="fr-FR"/>
        </w:rPr>
      </w:pPr>
      <w:r>
        <w:rPr>
          <w:lang w:val="fr-FR"/>
        </w:rPr>
        <w:tab/>
        <w:t>P</w:t>
      </w:r>
      <w:r w:rsidRPr="00302C00">
        <w:rPr>
          <w:lang w:val="fr-FR"/>
        </w:rPr>
        <w:t xml:space="preserve">ar dérogation au 4.1.1.15, sur la base de la connaissance de la composition des déchets liquides, en </w:t>
      </w:r>
      <w:r w:rsidRPr="007A575F">
        <w:rPr>
          <w:lang w:val="fr-FR"/>
        </w:rPr>
        <w:t>cas de</w:t>
      </w:r>
      <w:r w:rsidRPr="00302C00">
        <w:rPr>
          <w:lang w:val="fr-FR"/>
        </w:rPr>
        <w:t xml:space="preserve"> présence de substances susceptibles d’affaiblir l’emballage en polyéthylène (par exemple, certains composés chlorés), la période d’utilisation autorisée pour </w:t>
      </w:r>
      <w:r>
        <w:rPr>
          <w:lang w:val="fr-FR"/>
        </w:rPr>
        <w:t xml:space="preserve">cet </w:t>
      </w:r>
      <w:r w:rsidRPr="00302C00">
        <w:rPr>
          <w:lang w:val="fr-FR"/>
        </w:rPr>
        <w:t>emballage doit être de deux ans et demi à compter de la date de sa fabrication.</w:t>
      </w:r>
      <w:r>
        <w:rPr>
          <w:lang w:val="fr-FR"/>
        </w:rPr>
        <w:t> »</w:t>
      </w:r>
    </w:p>
    <w:p w14:paraId="3F44C6B6"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INF.38 tel que modifié)</w:t>
      </w:r>
    </w:p>
    <w:p w14:paraId="4C8816CC" w14:textId="77777777" w:rsidR="00047B32" w:rsidRDefault="00047B32" w:rsidP="00047B32">
      <w:pPr>
        <w:spacing w:after="120"/>
        <w:ind w:left="2268" w:right="1134" w:hanging="1134"/>
        <w:rPr>
          <w:lang w:val="fr-FR"/>
        </w:rPr>
      </w:pPr>
      <w:r>
        <w:rPr>
          <w:lang w:val="fr-FR"/>
        </w:rPr>
        <w:t>4.1.4.1, P200</w:t>
      </w:r>
      <w:r>
        <w:rPr>
          <w:lang w:val="fr-FR"/>
        </w:rPr>
        <w:tab/>
      </w:r>
      <w:r w:rsidRPr="00CA3533">
        <w:rPr>
          <w:lang w:val="fr-FR"/>
        </w:rPr>
        <w:t>Au point 13), 2.4, remplacer « EN ISO 11114-1:2020 »</w:t>
      </w:r>
      <w:r>
        <w:rPr>
          <w:lang w:val="fr-FR"/>
        </w:rPr>
        <w:t xml:space="preserve"> par </w:t>
      </w:r>
      <w:r w:rsidRPr="00CA3533">
        <w:rPr>
          <w:lang w:val="fr-FR"/>
        </w:rPr>
        <w:t>« EN ISO 11114-1:2020</w:t>
      </w:r>
      <w:r>
        <w:rPr>
          <w:lang w:val="fr-FR"/>
        </w:rPr>
        <w:t xml:space="preserve"> + A1:[2023]</w:t>
      </w:r>
      <w:r w:rsidRPr="00CA3533">
        <w:rPr>
          <w:lang w:val="fr-FR"/>
        </w:rPr>
        <w:t> ».</w:t>
      </w:r>
    </w:p>
    <w:p w14:paraId="1BDF726B" w14:textId="77777777" w:rsidR="00047B32" w:rsidRDefault="00047B32" w:rsidP="00047B32">
      <w:pPr>
        <w:spacing w:after="120"/>
        <w:ind w:left="2268" w:right="1134" w:hanging="1134"/>
        <w:rPr>
          <w:lang w:val="fr-FR"/>
        </w:rPr>
      </w:pPr>
      <w:r w:rsidRPr="00CA3533">
        <w:rPr>
          <w:lang w:val="fr-FR"/>
        </w:rPr>
        <w:tab/>
      </w:r>
      <w:r>
        <w:rPr>
          <w:lang w:val="fr-FR"/>
        </w:rPr>
        <w:t xml:space="preserve">Pour le tableau 2, dans la note de bas de tableau b, remplacer le diagramme par celui figurant au paragraphe 6 du document </w:t>
      </w:r>
      <w:r w:rsidRPr="00F23F3A">
        <w:rPr>
          <w:lang w:val="fr-FR"/>
        </w:rPr>
        <w:t>ECE/TRANS/WP.15/2023/</w:t>
      </w:r>
      <w:r>
        <w:rPr>
          <w:lang w:val="fr-FR"/>
        </w:rPr>
        <w:t>45.</w:t>
      </w:r>
    </w:p>
    <w:p w14:paraId="66353255" w14:textId="77777777" w:rsidR="00047B32" w:rsidRDefault="00047B32" w:rsidP="000616BA">
      <w:pPr>
        <w:pStyle w:val="SingleTxtG"/>
        <w:tabs>
          <w:tab w:val="clear" w:pos="2268"/>
        </w:tabs>
        <w:rPr>
          <w:i/>
          <w:iCs/>
          <w:lang w:val="fr-FR"/>
        </w:rPr>
      </w:pPr>
      <w:r w:rsidRPr="002F4EEE">
        <w:rPr>
          <w:i/>
          <w:iCs/>
          <w:lang w:val="fr-FR"/>
        </w:rPr>
        <w:t>(Document de référence :</w:t>
      </w:r>
      <w:r>
        <w:rPr>
          <w:i/>
          <w:iCs/>
          <w:lang w:val="fr-FR"/>
        </w:rPr>
        <w:t xml:space="preserve"> </w:t>
      </w:r>
      <w:r w:rsidRPr="00F23F3A">
        <w:rPr>
          <w:i/>
          <w:iCs/>
          <w:lang w:val="fr-FR"/>
        </w:rPr>
        <w:t>ECE/TRANS/WP.15/2023/45</w:t>
      </w:r>
      <w:r>
        <w:rPr>
          <w:i/>
          <w:iCs/>
          <w:lang w:val="fr-FR"/>
        </w:rPr>
        <w:t xml:space="preserve"> et document informel INF.23 proposition 3.4)</w:t>
      </w:r>
    </w:p>
    <w:p w14:paraId="21D8E150" w14:textId="77777777" w:rsidR="00047B32" w:rsidRPr="009B13C3" w:rsidRDefault="00047B32" w:rsidP="00047B32">
      <w:pPr>
        <w:pStyle w:val="SingleTxtG"/>
        <w:spacing w:before="120"/>
        <w:ind w:left="2268" w:hanging="1134"/>
        <w:rPr>
          <w:lang w:val="fr-FR"/>
        </w:rPr>
      </w:pPr>
      <w:r w:rsidRPr="009B13C3">
        <w:rPr>
          <w:lang w:val="fr-FR"/>
        </w:rPr>
        <w:t>4.1.6.15</w:t>
      </w:r>
      <w:r w:rsidRPr="009B13C3">
        <w:rPr>
          <w:lang w:val="fr-FR"/>
        </w:rPr>
        <w:tab/>
      </w:r>
      <w:r>
        <w:rPr>
          <w:lang w:val="fr-FR"/>
        </w:rPr>
        <w:t xml:space="preserve">Dans le tableau 4.1.6.15.1, pour 4.1.6.2, </w:t>
      </w:r>
      <w:r w:rsidRPr="00CA3533">
        <w:rPr>
          <w:lang w:val="fr-FR"/>
        </w:rPr>
        <w:t>remplacer « EN ISO 11114-1:2020 »</w:t>
      </w:r>
      <w:r>
        <w:rPr>
          <w:lang w:val="fr-FR"/>
        </w:rPr>
        <w:t xml:space="preserve"> par </w:t>
      </w:r>
      <w:r w:rsidRPr="00CA3533">
        <w:rPr>
          <w:lang w:val="fr-FR"/>
        </w:rPr>
        <w:t>« EN ISO 11114-1:2020</w:t>
      </w:r>
      <w:r>
        <w:rPr>
          <w:lang w:val="fr-FR"/>
        </w:rPr>
        <w:t xml:space="preserve"> + A1:[2023]</w:t>
      </w:r>
      <w:r w:rsidRPr="00CA3533">
        <w:rPr>
          <w:lang w:val="fr-FR"/>
        </w:rPr>
        <w:t> ».</w:t>
      </w:r>
    </w:p>
    <w:p w14:paraId="18488C43" w14:textId="77777777" w:rsidR="00047B32" w:rsidRDefault="00047B32" w:rsidP="00047B32">
      <w:pPr>
        <w:pStyle w:val="SingleTxtG"/>
        <w:spacing w:before="120"/>
        <w:rPr>
          <w:i/>
          <w:iCs/>
          <w:lang w:val="fr-FR"/>
        </w:rPr>
      </w:pPr>
      <w:r>
        <w:rPr>
          <w:i/>
          <w:iCs/>
          <w:lang w:val="fr-FR"/>
        </w:rPr>
        <w:t>(Document de référence : document informel INF.23, proposition 3.4)</w:t>
      </w:r>
    </w:p>
    <w:p w14:paraId="3239A3C8" w14:textId="77777777" w:rsidR="00047B32" w:rsidRPr="00714D1B" w:rsidRDefault="00047B32" w:rsidP="00047B32">
      <w:pPr>
        <w:pStyle w:val="H23G"/>
        <w:ind w:right="1133"/>
        <w:rPr>
          <w:lang w:val="fr-FR"/>
        </w:rPr>
      </w:pPr>
      <w:r w:rsidRPr="00714D1B">
        <w:rPr>
          <w:lang w:val="fr-FR"/>
        </w:rPr>
        <w:tab/>
      </w:r>
      <w:r w:rsidRPr="00714D1B">
        <w:rPr>
          <w:lang w:val="fr-FR"/>
        </w:rPr>
        <w:tab/>
      </w:r>
      <w:bookmarkStart w:id="223" w:name="_Toc147845995"/>
      <w:bookmarkStart w:id="224" w:name="_Toc148357381"/>
      <w:bookmarkStart w:id="225" w:name="_Toc148358445"/>
      <w:r w:rsidRPr="00714D1B">
        <w:rPr>
          <w:lang w:val="fr-FR"/>
        </w:rPr>
        <w:t>Chapitre 4.3</w:t>
      </w:r>
      <w:bookmarkEnd w:id="223"/>
      <w:bookmarkEnd w:id="224"/>
      <w:bookmarkEnd w:id="225"/>
    </w:p>
    <w:p w14:paraId="684D0765" w14:textId="77777777" w:rsidR="00047B32" w:rsidRPr="00714D1B" w:rsidRDefault="00047B32" w:rsidP="00047B32">
      <w:pPr>
        <w:pStyle w:val="SingleTxtG"/>
        <w:spacing w:before="120"/>
        <w:ind w:left="2268" w:hanging="1134"/>
        <w:rPr>
          <w:lang w:val="fr-FR"/>
        </w:rPr>
      </w:pPr>
      <w:r w:rsidRPr="00714D1B">
        <w:rPr>
          <w:lang w:val="fr-FR"/>
        </w:rPr>
        <w:t>4.3.3.2.4</w:t>
      </w:r>
      <w:r w:rsidRPr="00714D1B">
        <w:rPr>
          <w:lang w:val="fr-FR"/>
        </w:rPr>
        <w:tab/>
        <w:t>Remplacer « pression de service maximale autorisée » par « pression de service maximale » (deux fois).</w:t>
      </w:r>
    </w:p>
    <w:p w14:paraId="6E21A26D"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11)</w:t>
      </w:r>
    </w:p>
    <w:p w14:paraId="1B612FA7" w14:textId="21612CD1" w:rsidR="00047B32" w:rsidRDefault="00047B32" w:rsidP="00047B32">
      <w:pPr>
        <w:pStyle w:val="SingleTxtG"/>
        <w:spacing w:before="120"/>
        <w:ind w:left="2268" w:hanging="1134"/>
        <w:rPr>
          <w:lang w:val="fr-FR"/>
        </w:rPr>
      </w:pPr>
      <w:r w:rsidRPr="00714D1B">
        <w:rPr>
          <w:lang w:val="fr-FR"/>
        </w:rPr>
        <w:t>4.3.3.5</w:t>
      </w:r>
      <w:r w:rsidRPr="00714D1B">
        <w:rPr>
          <w:lang w:val="fr-FR"/>
        </w:rPr>
        <w:tab/>
      </w:r>
      <w:r w:rsidRPr="00714D1B">
        <w:rPr>
          <w:lang w:val="fr-FR"/>
        </w:rPr>
        <w:tab/>
      </w:r>
      <w:r>
        <w:rPr>
          <w:lang w:val="fr-FR"/>
        </w:rPr>
        <w:t xml:space="preserve">(RID:) Au dernier paragraphe, ajouter la nouvelle phrase suivante à la fin : </w:t>
      </w:r>
      <w:r w:rsidRPr="00714D1B">
        <w:rPr>
          <w:lang w:val="fr-FR"/>
        </w:rPr>
        <w:t>« Il n’est pas nécessaire de satisfaire aux prescriptions du 4.3.3.5 pour les citernes vides non nettoyées. ».</w:t>
      </w:r>
    </w:p>
    <w:p w14:paraId="7A6DDD7A" w14:textId="2801193B" w:rsidR="00047B32" w:rsidRPr="00714D1B" w:rsidRDefault="00047B32" w:rsidP="00047B32">
      <w:pPr>
        <w:pStyle w:val="SingleTxtG"/>
        <w:spacing w:before="120"/>
        <w:ind w:left="2268"/>
        <w:rPr>
          <w:lang w:val="fr-FR"/>
        </w:rPr>
      </w:pPr>
      <w:r>
        <w:rPr>
          <w:lang w:val="fr-FR"/>
        </w:rPr>
        <w:t>(ADR:) Dans la colonne de droite, au dernier paragraphe, a</w:t>
      </w:r>
      <w:r w:rsidRPr="00714D1B">
        <w:rPr>
          <w:lang w:val="fr-FR"/>
        </w:rPr>
        <w:t>jouter la nouvelle phrase suivante à la fin : « Il n’est pas nécessaire de satisfaire aux prescriptions du 4.3.3.5 pour les conteneurs-citernes vides non nettoyés. ».</w:t>
      </w:r>
    </w:p>
    <w:p w14:paraId="63D679EB"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4)</w:t>
      </w:r>
    </w:p>
    <w:p w14:paraId="36101C17" w14:textId="77777777" w:rsidR="00047B32" w:rsidRPr="00714D1B" w:rsidRDefault="00047B32" w:rsidP="00047B32">
      <w:pPr>
        <w:pStyle w:val="SingleTxtG"/>
        <w:ind w:left="2268" w:hanging="1134"/>
        <w:rPr>
          <w:lang w:val="fr-FR"/>
        </w:rPr>
      </w:pPr>
      <w:r w:rsidRPr="00714D1B">
        <w:rPr>
          <w:lang w:val="fr-FR"/>
        </w:rPr>
        <w:t>4.3.3.6</w:t>
      </w:r>
      <w:r w:rsidRPr="00714D1B">
        <w:rPr>
          <w:lang w:val="fr-FR"/>
        </w:rPr>
        <w:tab/>
      </w:r>
      <w:r w:rsidRPr="00714D1B">
        <w:rPr>
          <w:lang w:val="fr-FR"/>
        </w:rPr>
        <w:tab/>
        <w:t>Entre les alinéas d) et e), ajouter « et, pour les gaz liquéfiés réfrigérés </w:t>
      </w:r>
      <w:r>
        <w:rPr>
          <w:lang w:val="fr-FR"/>
        </w:rPr>
        <w:t>:</w:t>
      </w:r>
      <w:r w:rsidRPr="00714D1B">
        <w:rPr>
          <w:lang w:val="fr-FR"/>
        </w:rPr>
        <w:t xml:space="preserve"> ». </w:t>
      </w:r>
      <w:r>
        <w:rPr>
          <w:lang w:val="fr-FR"/>
        </w:rPr>
        <w:t xml:space="preserve">À l'alinéa e), supprimer </w:t>
      </w:r>
      <w:r>
        <w:rPr>
          <w:rFonts w:ascii="Arial" w:hAnsi="Arial" w:cs="Arial"/>
          <w:lang w:val="fr-FR"/>
        </w:rPr>
        <w:t>« </w:t>
      </w:r>
      <w:r>
        <w:rPr>
          <w:lang w:val="fr-FR"/>
        </w:rPr>
        <w:t>liquéfié réfrigéré</w:t>
      </w:r>
      <w:r>
        <w:rPr>
          <w:rFonts w:ascii="Arial" w:hAnsi="Arial" w:cs="Arial"/>
          <w:lang w:val="fr-FR"/>
        </w:rPr>
        <w:t> »</w:t>
      </w:r>
      <w:r>
        <w:rPr>
          <w:lang w:val="fr-FR"/>
        </w:rPr>
        <w:t>.</w:t>
      </w:r>
      <w:r w:rsidRPr="00714D1B">
        <w:rPr>
          <w:lang w:val="fr-FR"/>
        </w:rPr>
        <w:t xml:space="preserve"> À la fin de l’alinéa g), remplacer « . » par « ; »</w:t>
      </w:r>
      <w:r>
        <w:rPr>
          <w:lang w:val="fr-FR"/>
        </w:rPr>
        <w:t>.</w:t>
      </w:r>
      <w:r w:rsidRPr="00714D1B">
        <w:rPr>
          <w:lang w:val="fr-FR"/>
        </w:rPr>
        <w:t xml:space="preserve"> </w:t>
      </w:r>
      <w:r>
        <w:rPr>
          <w:lang w:val="fr-FR"/>
        </w:rPr>
        <w:t>A</w:t>
      </w:r>
      <w:r w:rsidRPr="00714D1B">
        <w:rPr>
          <w:lang w:val="fr-FR"/>
        </w:rPr>
        <w:t>jouter un nouvel alinéa h) pour lire :</w:t>
      </w:r>
    </w:p>
    <w:p w14:paraId="23127187" w14:textId="77777777" w:rsidR="00047B32" w:rsidRPr="00714D1B" w:rsidRDefault="00047B32" w:rsidP="00047B32">
      <w:pPr>
        <w:pStyle w:val="SingleTxtG"/>
        <w:ind w:left="2268" w:hanging="1134"/>
        <w:rPr>
          <w:lang w:val="fr-FR"/>
        </w:rPr>
      </w:pPr>
      <w:r w:rsidRPr="00714D1B">
        <w:rPr>
          <w:lang w:val="fr-FR"/>
        </w:rPr>
        <w:tab/>
        <w:t>« h)</w:t>
      </w:r>
      <w:r w:rsidRPr="00714D1B">
        <w:rPr>
          <w:lang w:val="fr-FR"/>
        </w:rPr>
        <w:tab/>
        <w:t>Lorsqu’ils sont vides, non nettoyés, à moins que la pression ne soit réduite à un niveau garantissant que les dispositifs de décompression ne s’activeront pas pendant le transport</w:t>
      </w:r>
      <w:r w:rsidRPr="00714D1B">
        <w:rPr>
          <w:b/>
          <w:bCs/>
          <w:vertAlign w:val="superscript"/>
          <w:lang w:val="fr-FR"/>
        </w:rPr>
        <w:t>4</w:t>
      </w:r>
      <w:r w:rsidRPr="00714D1B">
        <w:rPr>
          <w:lang w:val="fr-FR"/>
        </w:rPr>
        <w:t> ;</w:t>
      </w:r>
    </w:p>
    <w:p w14:paraId="159A1359" w14:textId="77777777" w:rsidR="00047B32" w:rsidRPr="00714D1B" w:rsidRDefault="00047B32" w:rsidP="00047B32">
      <w:pPr>
        <w:pStyle w:val="SingleTxtG"/>
        <w:tabs>
          <w:tab w:val="clear" w:pos="2268"/>
        </w:tabs>
        <w:rPr>
          <w:i/>
          <w:iCs/>
          <w:lang w:val="fr-FR"/>
        </w:rPr>
      </w:pPr>
      <w:r w:rsidRPr="2D13C2B1">
        <w:rPr>
          <w:i/>
          <w:iCs/>
          <w:lang w:val="fr-FR"/>
        </w:rPr>
        <w:t>(Document de référence : document informel INF.46, proposition 5)</w:t>
      </w:r>
    </w:p>
    <w:p w14:paraId="52E505DD" w14:textId="77777777" w:rsidR="00047B32" w:rsidRPr="00714D1B" w:rsidRDefault="00047B32" w:rsidP="00047B32">
      <w:pPr>
        <w:pStyle w:val="SingleTxtG"/>
        <w:spacing w:before="120"/>
        <w:ind w:left="2268" w:hanging="1134"/>
        <w:rPr>
          <w:lang w:val="fr-FR"/>
        </w:rPr>
      </w:pPr>
      <w:r w:rsidRPr="00714D1B">
        <w:rPr>
          <w:lang w:val="fr-FR"/>
        </w:rPr>
        <w:t>4.3.4.1.2</w:t>
      </w:r>
      <w:r w:rsidRPr="00714D1B">
        <w:rPr>
          <w:lang w:val="fr-FR"/>
        </w:rPr>
        <w:tab/>
        <w:t>Dans le tableau, pour L4BN, classe 8, CT1, groupes d’emballage II, III, dans la colonne « code de classification », après « 8 »/« CT1 », ajouter une référence à la note de bas de tableau a. La note a se lit : « </w:t>
      </w:r>
      <w:r w:rsidRPr="00714D1B">
        <w:rPr>
          <w:b/>
          <w:bCs/>
          <w:vertAlign w:val="superscript"/>
          <w:lang w:val="fr-FR"/>
        </w:rPr>
        <w:t>a</w:t>
      </w:r>
      <w:r>
        <w:rPr>
          <w:lang w:val="fr-FR"/>
        </w:rPr>
        <w:t xml:space="preserve"> </w:t>
      </w:r>
      <w:r w:rsidRPr="00714D1B">
        <w:rPr>
          <w:lang w:val="fr-FR"/>
        </w:rPr>
        <w:t xml:space="preserve">Les matières, à l’exception de l’acide fluorhydrique et </w:t>
      </w:r>
      <w:proofErr w:type="spellStart"/>
      <w:r w:rsidRPr="00714D1B">
        <w:rPr>
          <w:lang w:val="fr-FR"/>
        </w:rPr>
        <w:t>hydrogénodifluorures</w:t>
      </w:r>
      <w:proofErr w:type="spellEnd"/>
      <w:r w:rsidRPr="00714D1B">
        <w:rPr>
          <w:lang w:val="fr-FR"/>
        </w:rPr>
        <w:t xml:space="preserve"> en solutions, doivent être affectées à ce code-citerne. »</w:t>
      </w:r>
    </w:p>
    <w:p w14:paraId="371EC288" w14:textId="77777777" w:rsidR="00047B32" w:rsidRPr="00714D1B" w:rsidRDefault="00047B32" w:rsidP="00047B32">
      <w:pPr>
        <w:pStyle w:val="SingleTxtG"/>
        <w:spacing w:before="120"/>
        <w:ind w:left="2268" w:hanging="1134"/>
        <w:rPr>
          <w:lang w:val="fr-FR"/>
        </w:rPr>
      </w:pPr>
      <w:r w:rsidRPr="00714D1B">
        <w:rPr>
          <w:lang w:val="fr-FR"/>
        </w:rPr>
        <w:lastRenderedPageBreak/>
        <w:tab/>
      </w:r>
      <w:r w:rsidRPr="00714D1B">
        <w:rPr>
          <w:lang w:val="fr-FR"/>
        </w:rPr>
        <w:tab/>
        <w:t>Dans le tableau, pour L4DH, classe 8, CT1, groupes d’emballage II, III, dans la colonne « code de classification », après « 8 »/« CT1 », ajouter une référence à la note de bas de tableau b. La note b se lit : « </w:t>
      </w:r>
      <w:r w:rsidRPr="00714D1B">
        <w:rPr>
          <w:b/>
          <w:bCs/>
          <w:vertAlign w:val="superscript"/>
          <w:lang w:val="fr-FR"/>
        </w:rPr>
        <w:t>b</w:t>
      </w:r>
      <w:r>
        <w:rPr>
          <w:lang w:val="fr-FR"/>
        </w:rPr>
        <w:t xml:space="preserve"> </w:t>
      </w:r>
      <w:r w:rsidRPr="00714D1B">
        <w:rPr>
          <w:lang w:val="fr-FR"/>
        </w:rPr>
        <w:t xml:space="preserve">L’acide fluorhydrique et les </w:t>
      </w:r>
      <w:proofErr w:type="spellStart"/>
      <w:r w:rsidRPr="00714D1B">
        <w:rPr>
          <w:lang w:val="fr-FR"/>
        </w:rPr>
        <w:t>hydrogénodifluorures</w:t>
      </w:r>
      <w:proofErr w:type="spellEnd"/>
      <w:r w:rsidRPr="00714D1B">
        <w:rPr>
          <w:lang w:val="fr-FR"/>
        </w:rPr>
        <w:t xml:space="preserve"> en solutions, doivent être affectées à ce code-citerne. »</w:t>
      </w:r>
    </w:p>
    <w:p w14:paraId="3219ADAE" w14:textId="77777777" w:rsidR="00047B32" w:rsidRPr="00714D1B" w:rsidRDefault="00047B32" w:rsidP="00047B32">
      <w:pPr>
        <w:pStyle w:val="SingleTxtG"/>
        <w:spacing w:before="120"/>
        <w:ind w:left="2268" w:hanging="1134"/>
        <w:rPr>
          <w:lang w:val="fr-FR"/>
        </w:rPr>
      </w:pPr>
      <w:r w:rsidRPr="00714D1B">
        <w:rPr>
          <w:lang w:val="fr-FR"/>
        </w:rPr>
        <w:tab/>
      </w:r>
      <w:r w:rsidRPr="00714D1B">
        <w:rPr>
          <w:lang w:val="fr-FR"/>
        </w:rPr>
        <w:tab/>
        <w:t>Dans le tableau, pour L10BH, classe 8, CT1, groupe d’emballage I, dans la colonne « code de classification », après « 8 »/« CT1 », ajouter une référence à la note de bas de tableau c. La note c se lit : « </w:t>
      </w:r>
      <w:r w:rsidRPr="00714D1B">
        <w:rPr>
          <w:b/>
          <w:bCs/>
          <w:vertAlign w:val="superscript"/>
          <w:lang w:val="fr-FR"/>
        </w:rPr>
        <w:t>c</w:t>
      </w:r>
      <w:r>
        <w:rPr>
          <w:lang w:val="fr-FR"/>
        </w:rPr>
        <w:t xml:space="preserve"> </w:t>
      </w:r>
      <w:r w:rsidRPr="00714D1B">
        <w:rPr>
          <w:lang w:val="fr-FR"/>
        </w:rPr>
        <w:t>Les matières, à l’exception de celles contenant de l’acide fluorhydrique, doivent être affectées à ce code-citerne. »</w:t>
      </w:r>
    </w:p>
    <w:p w14:paraId="1E28B09F" w14:textId="06F83AFB" w:rsidR="00047B32" w:rsidRPr="00714D1B" w:rsidRDefault="00047B32" w:rsidP="00047B32">
      <w:pPr>
        <w:pStyle w:val="SingleTxtG"/>
        <w:spacing w:before="120"/>
        <w:ind w:left="2268" w:hanging="1134"/>
        <w:rPr>
          <w:lang w:val="fr-FR"/>
        </w:rPr>
      </w:pPr>
      <w:r w:rsidRPr="00714D1B">
        <w:rPr>
          <w:lang w:val="fr-FR"/>
        </w:rPr>
        <w:tab/>
      </w:r>
      <w:r w:rsidRPr="00714D1B">
        <w:rPr>
          <w:lang w:val="fr-FR"/>
        </w:rPr>
        <w:tab/>
        <w:t>Dans le tableau, pour L10DH, classe 8, CT1, groupe d’emballage I, dans la colonne « code de classification », après « 8 »/« CT1 », ajouter une référence à la note de bas de tableau e</w:t>
      </w:r>
      <w:r>
        <w:rPr>
          <w:lang w:val="fr-FR"/>
        </w:rPr>
        <w:t>.</w:t>
      </w:r>
      <w:r w:rsidRPr="00714D1B">
        <w:rPr>
          <w:lang w:val="fr-FR"/>
        </w:rPr>
        <w:t xml:space="preserve"> La note e se lit : « </w:t>
      </w:r>
      <w:r w:rsidRPr="00714D1B">
        <w:rPr>
          <w:b/>
          <w:bCs/>
          <w:vertAlign w:val="superscript"/>
          <w:lang w:val="fr-FR"/>
        </w:rPr>
        <w:t>e</w:t>
      </w:r>
      <w:r>
        <w:rPr>
          <w:lang w:val="fr-FR"/>
        </w:rPr>
        <w:t xml:space="preserve"> </w:t>
      </w:r>
      <w:r w:rsidRPr="00176390">
        <w:rPr>
          <w:lang w:val="fr-FR"/>
        </w:rPr>
        <w:t>Les matières contenant de l'acide fluorhydrique doivent être affectées à ce code-citerne à l'exception de l'acide fluorhydrique contenant plus de 85</w:t>
      </w:r>
      <w:r>
        <w:rPr>
          <w:lang w:val="fr-FR"/>
        </w:rPr>
        <w:t> </w:t>
      </w:r>
      <w:r w:rsidRPr="00176390">
        <w:rPr>
          <w:lang w:val="fr-FR"/>
        </w:rPr>
        <w:t>% de fluorure d'hydrogène</w:t>
      </w:r>
      <w:r w:rsidRPr="00714D1B">
        <w:rPr>
          <w:lang w:val="fr-FR"/>
        </w:rPr>
        <w:t>. »</w:t>
      </w:r>
    </w:p>
    <w:p w14:paraId="1A0C9762" w14:textId="77777777" w:rsidR="00047B32" w:rsidRPr="00714D1B" w:rsidRDefault="00047B32" w:rsidP="00047B32">
      <w:pPr>
        <w:pStyle w:val="SingleTxtG"/>
        <w:spacing w:before="120"/>
        <w:ind w:left="2268" w:hanging="1134"/>
        <w:rPr>
          <w:lang w:val="fr-FR"/>
        </w:rPr>
      </w:pPr>
      <w:r w:rsidRPr="00714D1B">
        <w:rPr>
          <w:lang w:val="fr-FR"/>
        </w:rPr>
        <w:tab/>
      </w:r>
      <w:r w:rsidRPr="00714D1B">
        <w:rPr>
          <w:lang w:val="fr-FR"/>
        </w:rPr>
        <w:tab/>
        <w:t>Dans le reste du tableau, renuméroter les notes a)/* et b)/** en tant que notes de bas de tableau d) et f) respectivement.</w:t>
      </w:r>
    </w:p>
    <w:p w14:paraId="70185959"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3)</w:t>
      </w:r>
    </w:p>
    <w:p w14:paraId="7128A7DC" w14:textId="77777777" w:rsidR="00047B32" w:rsidRPr="00714D1B" w:rsidRDefault="00047B32" w:rsidP="00047B32">
      <w:pPr>
        <w:pStyle w:val="SingleTxtG"/>
        <w:spacing w:before="120"/>
        <w:ind w:left="2268" w:hanging="1134"/>
        <w:rPr>
          <w:lang w:val="fr-FR"/>
        </w:rPr>
      </w:pPr>
      <w:r w:rsidRPr="00714D1B">
        <w:rPr>
          <w:lang w:val="fr-FR"/>
        </w:rPr>
        <w:t>4.3.4.2.1</w:t>
      </w:r>
      <w:r w:rsidRPr="00714D1B">
        <w:rPr>
          <w:lang w:val="fr-FR"/>
        </w:rPr>
        <w:tab/>
        <w:t>Modifier pour lire comme suit</w:t>
      </w:r>
      <w:r>
        <w:rPr>
          <w:lang w:val="fr-FR"/>
        </w:rPr>
        <w:t> </w:t>
      </w:r>
      <w:r w:rsidRPr="00714D1B">
        <w:rPr>
          <w:lang w:val="fr-FR"/>
        </w:rPr>
        <w:t>:</w:t>
      </w:r>
    </w:p>
    <w:p w14:paraId="3FBC9EEE" w14:textId="7BFB5B17" w:rsidR="00047B32" w:rsidRPr="00714D1B" w:rsidRDefault="00047B32" w:rsidP="00047B32">
      <w:pPr>
        <w:pStyle w:val="SingleTxtG"/>
        <w:spacing w:before="120"/>
        <w:ind w:left="2268" w:hanging="1134"/>
        <w:rPr>
          <w:lang w:val="fr-FR"/>
        </w:rPr>
      </w:pPr>
      <w:r>
        <w:rPr>
          <w:lang w:val="fr-FR"/>
        </w:rPr>
        <w:t>« 4.3.4.2.1</w:t>
      </w:r>
      <w:r>
        <w:rPr>
          <w:lang w:val="fr-FR"/>
        </w:rPr>
        <w:tab/>
      </w:r>
      <w:r w:rsidRPr="00E4096C">
        <w:rPr>
          <w:lang w:val="fr-FR"/>
        </w:rPr>
        <w:t>Dans le cas de remplissage de matières chaudes, la température de la surface extérieure du réservoir, à l’exclusion des ouvertures et de leurs moyens d’obturation, ou de l’isolation thermique ne doit pas dépasser 70</w:t>
      </w:r>
      <w:r>
        <w:rPr>
          <w:lang w:val="fr-FR"/>
        </w:rPr>
        <w:t> </w:t>
      </w:r>
      <w:r w:rsidRPr="00E4096C">
        <w:rPr>
          <w:lang w:val="fr-FR"/>
        </w:rPr>
        <w:t>°C pendant le transport</w:t>
      </w:r>
      <w:r>
        <w:rPr>
          <w:lang w:val="fr-FR"/>
        </w:rPr>
        <w:t>. »</w:t>
      </w:r>
    </w:p>
    <w:p w14:paraId="4229DB9D" w14:textId="77777777" w:rsidR="00047B32" w:rsidRPr="00714D1B" w:rsidRDefault="00047B32" w:rsidP="00047B32">
      <w:pPr>
        <w:pStyle w:val="SingleTxtG"/>
        <w:ind w:left="2268" w:hanging="1134"/>
        <w:rPr>
          <w:i/>
          <w:iCs/>
          <w:lang w:val="fr-FR"/>
        </w:rPr>
      </w:pPr>
      <w:r w:rsidRPr="00714D1B">
        <w:rPr>
          <w:i/>
          <w:iCs/>
          <w:lang w:val="fr-FR"/>
        </w:rPr>
        <w:t xml:space="preserve">(Document de référence : document informel INF.46, proposition </w:t>
      </w:r>
      <w:r>
        <w:rPr>
          <w:i/>
          <w:iCs/>
          <w:lang w:val="fr-FR"/>
        </w:rPr>
        <w:t>13</w:t>
      </w:r>
      <w:r w:rsidRPr="00714D1B">
        <w:rPr>
          <w:i/>
          <w:iCs/>
          <w:lang w:val="fr-FR"/>
        </w:rPr>
        <w:t>)</w:t>
      </w:r>
    </w:p>
    <w:p w14:paraId="5ADAF6FE" w14:textId="77777777" w:rsidR="00047B32" w:rsidRDefault="00047B32" w:rsidP="00047B32">
      <w:pPr>
        <w:pStyle w:val="H23G"/>
        <w:tabs>
          <w:tab w:val="left" w:pos="278"/>
        </w:tabs>
        <w:ind w:right="1133"/>
      </w:pPr>
      <w:r>
        <w:tab/>
      </w:r>
      <w:r>
        <w:tab/>
      </w:r>
      <w:r>
        <w:tab/>
      </w:r>
      <w:bookmarkStart w:id="226" w:name="_Toc147845996"/>
      <w:bookmarkStart w:id="227" w:name="_Toc148357382"/>
      <w:bookmarkStart w:id="228" w:name="_Toc148358446"/>
      <w:r>
        <w:t>Chapitre 5.3</w:t>
      </w:r>
      <w:bookmarkEnd w:id="226"/>
      <w:bookmarkEnd w:id="227"/>
      <w:bookmarkEnd w:id="228"/>
    </w:p>
    <w:p w14:paraId="1D4249C3" w14:textId="77777777" w:rsidR="00047B32" w:rsidRDefault="00047B32" w:rsidP="00047B32">
      <w:pPr>
        <w:pStyle w:val="SingleTxtG"/>
        <w:tabs>
          <w:tab w:val="clear" w:pos="1701"/>
        </w:tabs>
        <w:ind w:left="2268" w:hanging="1134"/>
      </w:pPr>
      <w:r>
        <w:rPr>
          <w:lang w:val="fr-FR"/>
        </w:rPr>
        <w:t>5.3</w:t>
      </w:r>
      <w:r>
        <w:rPr>
          <w:lang w:val="fr-FR"/>
        </w:rPr>
        <w:tab/>
        <w:t>Sous le titre du chapitre, ajouter le nouveau nota suivant :</w:t>
      </w:r>
      <w:r w:rsidRPr="00BB7F3B">
        <w:t xml:space="preserve"> </w:t>
      </w:r>
    </w:p>
    <w:p w14:paraId="13148F5D" w14:textId="77777777" w:rsidR="00047B32" w:rsidRDefault="00047B32" w:rsidP="000616BA">
      <w:pPr>
        <w:pStyle w:val="SingleTxtG"/>
        <w:tabs>
          <w:tab w:val="clear" w:pos="2268"/>
        </w:tabs>
        <w:ind w:left="2268" w:hanging="1134"/>
        <w:rPr>
          <w:lang w:val="fr-FR"/>
        </w:rPr>
      </w:pPr>
      <w:r w:rsidRPr="00BB7F3B">
        <w:rPr>
          <w:lang w:val="fr-FR"/>
        </w:rPr>
        <w:t>«</w:t>
      </w:r>
      <w:r>
        <w:rPr>
          <w:lang w:val="fr-FR"/>
        </w:rPr>
        <w:t> </w:t>
      </w:r>
      <w:r w:rsidRPr="00BB7F3B">
        <w:rPr>
          <w:b/>
          <w:bCs/>
          <w:i/>
          <w:iCs/>
          <w:lang w:val="fr-FR"/>
        </w:rPr>
        <w:t>NOTA 3</w:t>
      </w:r>
      <w:r>
        <w:rPr>
          <w:b/>
          <w:bCs/>
          <w:i/>
          <w:iCs/>
          <w:lang w:val="fr-FR"/>
        </w:rPr>
        <w:t> </w:t>
      </w:r>
      <w:r w:rsidRPr="00BB7F3B">
        <w:rPr>
          <w:b/>
          <w:bCs/>
          <w:i/>
          <w:iCs/>
          <w:lang w:val="fr-FR"/>
        </w:rPr>
        <w:t>:</w:t>
      </w:r>
      <w:r w:rsidRPr="00BB7F3B">
        <w:rPr>
          <w:lang w:val="fr-FR"/>
        </w:rPr>
        <w:t xml:space="preserve"> Les bennes amovibles non conformes au chapitre 6.11 sont considérées comme des conteneurs au titre de ce chapitre</w:t>
      </w:r>
      <w:r>
        <w:rPr>
          <w:lang w:val="fr-FR"/>
        </w:rPr>
        <w:t>. </w:t>
      </w:r>
      <w:r w:rsidRPr="00BB7F3B">
        <w:rPr>
          <w:lang w:val="fr-FR"/>
        </w:rPr>
        <w:t>»</w:t>
      </w:r>
    </w:p>
    <w:p w14:paraId="16CCAE3E"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INF.36)</w:t>
      </w:r>
    </w:p>
    <w:p w14:paraId="454530A1" w14:textId="77777777" w:rsidR="00047B32" w:rsidRDefault="00047B32" w:rsidP="00047B32">
      <w:pPr>
        <w:pStyle w:val="SingleTxtG"/>
        <w:tabs>
          <w:tab w:val="clear" w:pos="1701"/>
        </w:tabs>
        <w:ind w:left="2268" w:hanging="1134"/>
        <w:rPr>
          <w:lang w:val="fr-FR"/>
        </w:rPr>
      </w:pPr>
      <w:r>
        <w:rPr>
          <w:lang w:val="fr-FR"/>
        </w:rPr>
        <w:t>5.3.1.4</w:t>
      </w:r>
      <w:r>
        <w:rPr>
          <w:lang w:val="fr-FR"/>
        </w:rPr>
        <w:tab/>
        <w:t>(RID :)</w:t>
      </w:r>
      <w:r w:rsidRPr="003A19E5">
        <w:rPr>
          <w:lang w:val="fr-FR"/>
        </w:rPr>
        <w:t xml:space="preserve"> </w:t>
      </w:r>
      <w:r>
        <w:rPr>
          <w:lang w:val="fr-FR"/>
        </w:rPr>
        <w:tab/>
        <w:t>Dans le titre de la sous-section, remplacer « </w:t>
      </w:r>
      <w:r w:rsidRPr="000616BA">
        <w:rPr>
          <w:b/>
          <w:bCs/>
          <w:i/>
          <w:iCs/>
          <w:lang w:val="fr-FR"/>
        </w:rPr>
        <w:t>Placardage des wagons pour vrac</w:t>
      </w:r>
      <w:r>
        <w:rPr>
          <w:lang w:val="fr-FR"/>
        </w:rPr>
        <w:t> » par « </w:t>
      </w:r>
      <w:r w:rsidRPr="000616BA">
        <w:rPr>
          <w:b/>
          <w:bCs/>
          <w:i/>
          <w:iCs/>
          <w:lang w:val="fr-FR"/>
        </w:rPr>
        <w:t>Placardage des wagons lorsqu’ils sont utilisés pour le transport en vrac</w:t>
      </w:r>
      <w:r>
        <w:rPr>
          <w:lang w:val="fr-FR"/>
        </w:rPr>
        <w:t> ».</w:t>
      </w:r>
    </w:p>
    <w:p w14:paraId="0A675B7F" w14:textId="77777777" w:rsidR="00047B32" w:rsidRDefault="00047B32" w:rsidP="00047B32">
      <w:pPr>
        <w:pStyle w:val="SingleTxtG"/>
        <w:tabs>
          <w:tab w:val="clear" w:pos="1701"/>
        </w:tabs>
        <w:ind w:left="2268" w:hanging="1134"/>
        <w:rPr>
          <w:lang w:val="fr-FR"/>
        </w:rPr>
      </w:pPr>
      <w:r w:rsidRPr="00CA3533">
        <w:rPr>
          <w:lang w:val="fr-FR"/>
        </w:rPr>
        <w:tab/>
      </w:r>
      <w:r>
        <w:rPr>
          <w:lang w:val="fr-FR"/>
        </w:rPr>
        <w:t>(ADR :)</w:t>
      </w:r>
      <w:r>
        <w:rPr>
          <w:lang w:val="fr-FR"/>
        </w:rPr>
        <w:tab/>
        <w:t>Dans le titre de la sous-section, remplacer « </w:t>
      </w:r>
      <w:r w:rsidRPr="000616BA">
        <w:rPr>
          <w:b/>
          <w:bCs/>
          <w:i/>
          <w:iCs/>
          <w:lang w:val="fr-FR"/>
        </w:rPr>
        <w:t>Placardage des véhicules pour vrac</w:t>
      </w:r>
      <w:r>
        <w:rPr>
          <w:lang w:val="fr-FR"/>
        </w:rPr>
        <w:t> » par « </w:t>
      </w:r>
      <w:r w:rsidRPr="000616BA">
        <w:rPr>
          <w:b/>
          <w:bCs/>
          <w:i/>
          <w:iCs/>
          <w:lang w:val="fr-FR"/>
        </w:rPr>
        <w:t>Placardage des véhicules lorsqu’ils sont utilisés pour le transport en vrac</w:t>
      </w:r>
      <w:r>
        <w:rPr>
          <w:lang w:val="fr-FR"/>
        </w:rPr>
        <w:t> ».</w:t>
      </w:r>
    </w:p>
    <w:p w14:paraId="3A2DC3CB" w14:textId="77777777" w:rsidR="00047B32" w:rsidRPr="00345F5A" w:rsidRDefault="00047B32" w:rsidP="00047B32">
      <w:pPr>
        <w:pStyle w:val="SingleTxtG"/>
        <w:tabs>
          <w:tab w:val="clear" w:pos="1701"/>
        </w:tabs>
        <w:ind w:left="2268" w:hanging="1134"/>
        <w:rPr>
          <w:lang w:val="fr-FR"/>
        </w:rPr>
      </w:pPr>
      <w:r>
        <w:rPr>
          <w:lang w:val="fr-FR"/>
        </w:rPr>
        <w:tab/>
        <w:t>(ADN :)</w:t>
      </w:r>
      <w:r>
        <w:rPr>
          <w:lang w:val="fr-FR"/>
        </w:rPr>
        <w:tab/>
        <w:t>Dans le titre de la sous-section, remplacer « </w:t>
      </w:r>
      <w:r w:rsidRPr="000616BA">
        <w:rPr>
          <w:b/>
          <w:bCs/>
          <w:i/>
          <w:iCs/>
          <w:lang w:val="fr-FR"/>
        </w:rPr>
        <w:t>Placardage des véhicules pour vrac, wagons pour vrac</w:t>
      </w:r>
      <w:r>
        <w:rPr>
          <w:lang w:val="fr-FR"/>
        </w:rPr>
        <w:t> » par « </w:t>
      </w:r>
      <w:r w:rsidRPr="000616BA">
        <w:rPr>
          <w:b/>
          <w:bCs/>
          <w:i/>
          <w:iCs/>
          <w:lang w:val="fr-FR"/>
        </w:rPr>
        <w:t>Placardage des véhicules et wagons lorsqu’ils sont utilisés pour le transport en vrac</w:t>
      </w:r>
      <w:r>
        <w:rPr>
          <w:lang w:val="fr-FR"/>
        </w:rPr>
        <w:t> ».</w:t>
      </w:r>
    </w:p>
    <w:p w14:paraId="08BD267B"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INF.40)</w:t>
      </w:r>
    </w:p>
    <w:p w14:paraId="5B79E717" w14:textId="77777777" w:rsidR="00047B32" w:rsidRPr="00CF1C2B" w:rsidRDefault="00047B32" w:rsidP="00047B32">
      <w:pPr>
        <w:pStyle w:val="SingleTxtG"/>
        <w:ind w:left="2268" w:hanging="1134"/>
        <w:rPr>
          <w:lang w:val="fr-FR"/>
        </w:rPr>
      </w:pPr>
      <w:r>
        <w:rPr>
          <w:lang w:val="fr-FR"/>
        </w:rPr>
        <w:t>5.3.2.3.2</w:t>
      </w:r>
      <w:r>
        <w:rPr>
          <w:lang w:val="fr-FR"/>
        </w:rPr>
        <w:tab/>
        <w:t>(RID :) Supprimer les lignes « 78 matière radioactive, corrosive » et « 87 matière corrosive, radioactive ».</w:t>
      </w:r>
    </w:p>
    <w:p w14:paraId="6EA35636" w14:textId="77777777" w:rsidR="00047B32" w:rsidRDefault="00047B32" w:rsidP="00047B32">
      <w:pPr>
        <w:pStyle w:val="SingleTxtG"/>
        <w:tabs>
          <w:tab w:val="left" w:pos="3364"/>
        </w:tabs>
        <w:rPr>
          <w:lang w:val="fr-FR"/>
        </w:rPr>
      </w:pPr>
      <w:r>
        <w:rPr>
          <w:lang w:val="fr-FR"/>
        </w:rPr>
        <w:tab/>
      </w:r>
      <w:r>
        <w:rPr>
          <w:lang w:val="fr-FR"/>
        </w:rPr>
        <w:tab/>
        <w:t>(ADR :) Supprimer la ligne « 78 matière radioactive, corrosive ».</w:t>
      </w:r>
    </w:p>
    <w:p w14:paraId="0B2F554C"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ECE/TRANS/WP.15/AC.1/2023/25)</w:t>
      </w:r>
    </w:p>
    <w:p w14:paraId="31E80BDE" w14:textId="77777777" w:rsidR="00047B32" w:rsidRDefault="00047B32" w:rsidP="00047B32">
      <w:pPr>
        <w:pStyle w:val="H23G"/>
        <w:ind w:right="1133"/>
      </w:pPr>
      <w:r>
        <w:tab/>
      </w:r>
      <w:r>
        <w:tab/>
      </w:r>
      <w:bookmarkStart w:id="229" w:name="_Toc147845997"/>
      <w:bookmarkStart w:id="230" w:name="_Toc148357383"/>
      <w:bookmarkStart w:id="231" w:name="_Toc148358447"/>
      <w:r>
        <w:t>Chapitre 5.4</w:t>
      </w:r>
      <w:bookmarkEnd w:id="229"/>
      <w:bookmarkEnd w:id="230"/>
      <w:bookmarkEnd w:id="231"/>
    </w:p>
    <w:p w14:paraId="2E1C1386" w14:textId="77777777" w:rsidR="00047B32" w:rsidRPr="006E3D04" w:rsidRDefault="00047B32" w:rsidP="00047B32">
      <w:pPr>
        <w:pStyle w:val="SingleTxtG"/>
        <w:ind w:left="2268" w:hanging="1134"/>
      </w:pPr>
      <w:r>
        <w:rPr>
          <w:lang w:val="fr-FR"/>
        </w:rPr>
        <w:t>5.4.0.2</w:t>
      </w:r>
      <w:r>
        <w:rPr>
          <w:lang w:val="fr-FR"/>
        </w:rPr>
        <w:tab/>
      </w:r>
      <w:r>
        <w:rPr>
          <w:lang w:val="fr-FR"/>
        </w:rPr>
        <w:tab/>
        <w:t>Ajouter la nouvelle phrase suivante à la fin : « </w:t>
      </w:r>
      <w:r w:rsidRPr="00560DB4">
        <w:t xml:space="preserve">Les informations prescrites dans le présent chapitre concernant les marchandises dangereuses transportées doivent être disponibles pendant le transport </w:t>
      </w:r>
      <w:proofErr w:type="gramStart"/>
      <w:r w:rsidRPr="00560DB4">
        <w:t>de manière à ce</w:t>
      </w:r>
      <w:proofErr w:type="gramEnd"/>
      <w:r w:rsidRPr="00560DB4">
        <w:t xml:space="preserve"> que les </w:t>
      </w:r>
      <w:r w:rsidRPr="00560DB4">
        <w:lastRenderedPageBreak/>
        <w:t>marchandises par wagon/véhicule/bateau et le wagon/véhicule/bateau puissent être identifiées dans la documentation.</w:t>
      </w:r>
      <w:r>
        <w:t> ».</w:t>
      </w:r>
    </w:p>
    <w:p w14:paraId="0625C749" w14:textId="74E26C20" w:rsidR="00047B32" w:rsidRDefault="00047B32" w:rsidP="00047B32">
      <w:pPr>
        <w:pStyle w:val="SingleTxtG"/>
        <w:tabs>
          <w:tab w:val="clear" w:pos="2268"/>
        </w:tabs>
        <w:rPr>
          <w:i/>
          <w:iCs/>
          <w:lang w:val="fr-FR"/>
        </w:rPr>
      </w:pPr>
      <w:r w:rsidRPr="002F4EEE">
        <w:rPr>
          <w:i/>
          <w:iCs/>
          <w:lang w:val="fr-FR"/>
        </w:rPr>
        <w:t>(</w:t>
      </w:r>
      <w:r>
        <w:rPr>
          <w:i/>
          <w:iCs/>
          <w:lang w:val="fr-FR"/>
        </w:rPr>
        <w:t xml:space="preserve">Cet amendement remplace l’amendement au 5.4.0.1 adopté à la session de printemps 2023 figurant en annexe II de </w:t>
      </w:r>
      <w:r w:rsidRPr="00EB6ED9">
        <w:rPr>
          <w:i/>
          <w:iCs/>
          <w:lang w:val="fr-FR"/>
        </w:rPr>
        <w:t>ECE/TRANS/WP.15/AC.1/168</w:t>
      </w:r>
      <w:r>
        <w:rPr>
          <w:i/>
          <w:iCs/>
          <w:lang w:val="fr-FR"/>
        </w:rPr>
        <w:t>)</w:t>
      </w:r>
    </w:p>
    <w:p w14:paraId="725AF98F" w14:textId="77777777" w:rsidR="00047B32" w:rsidRPr="003F12B0" w:rsidRDefault="00047B32" w:rsidP="00047B32">
      <w:pPr>
        <w:pStyle w:val="SingleTxtG"/>
        <w:ind w:left="2268" w:hanging="1134"/>
        <w:rPr>
          <w:i/>
          <w:iCs/>
          <w:lang w:val="fr-FR"/>
        </w:rPr>
      </w:pPr>
      <w:r w:rsidRPr="002F4EEE">
        <w:rPr>
          <w:i/>
          <w:iCs/>
          <w:lang w:val="fr-FR"/>
        </w:rPr>
        <w:t>(Document de référence :</w:t>
      </w:r>
      <w:r>
        <w:rPr>
          <w:i/>
          <w:iCs/>
          <w:lang w:val="fr-FR"/>
        </w:rPr>
        <w:t xml:space="preserve"> document informel INF.6)</w:t>
      </w:r>
    </w:p>
    <w:p w14:paraId="2724CC13" w14:textId="77777777" w:rsidR="00047B32" w:rsidRDefault="00047B32" w:rsidP="00047B32">
      <w:pPr>
        <w:pStyle w:val="SingleTxtG"/>
        <w:ind w:left="2268" w:hanging="1134"/>
        <w:rPr>
          <w:lang w:val="fr-FR"/>
        </w:rPr>
      </w:pPr>
      <w:r w:rsidRPr="007804C4">
        <w:rPr>
          <w:lang w:val="fr-FR"/>
        </w:rPr>
        <w:t>5.4.1.1.3.2</w:t>
      </w:r>
      <w:r>
        <w:rPr>
          <w:lang w:val="fr-FR"/>
        </w:rPr>
        <w:tab/>
        <w:t>Au deuxième tiret, après « 2.1.3.5.3 », ajouter « </w:t>
      </w:r>
      <w:r w:rsidRPr="00961752">
        <w:rPr>
          <w:lang w:val="fr-FR"/>
        </w:rPr>
        <w:t xml:space="preserve">(à l’exception du No ONU 3291, déchet d’hôpital non spécifié, </w:t>
      </w:r>
      <w:proofErr w:type="spellStart"/>
      <w:r w:rsidRPr="00961752">
        <w:rPr>
          <w:lang w:val="fr-FR"/>
        </w:rPr>
        <w:t>n.s.a</w:t>
      </w:r>
      <w:proofErr w:type="spellEnd"/>
      <w:r w:rsidRPr="00961752">
        <w:rPr>
          <w:lang w:val="fr-FR"/>
        </w:rPr>
        <w:t xml:space="preserve">. ou déchet (bio)médical, </w:t>
      </w:r>
      <w:proofErr w:type="spellStart"/>
      <w:r w:rsidRPr="00961752">
        <w:rPr>
          <w:lang w:val="fr-FR"/>
        </w:rPr>
        <w:t>n.s.a</w:t>
      </w:r>
      <w:proofErr w:type="spellEnd"/>
      <w:r w:rsidRPr="00961752">
        <w:rPr>
          <w:lang w:val="fr-FR"/>
        </w:rPr>
        <w:t xml:space="preserve">. ou déchet médical réglementé, </w:t>
      </w:r>
      <w:proofErr w:type="spellStart"/>
      <w:r w:rsidRPr="00961752">
        <w:rPr>
          <w:lang w:val="fr-FR"/>
        </w:rPr>
        <w:t>n.s.a</w:t>
      </w:r>
      <w:proofErr w:type="spellEnd"/>
      <w:r w:rsidRPr="00961752">
        <w:rPr>
          <w:lang w:val="fr-FR"/>
        </w:rPr>
        <w:t>., emballé conformément à l’instruction d’emballage P621)</w:t>
      </w:r>
      <w:r>
        <w:rPr>
          <w:lang w:val="fr-FR"/>
        </w:rPr>
        <w:t> ».</w:t>
      </w:r>
    </w:p>
    <w:p w14:paraId="49B5C8BF" w14:textId="77777777" w:rsidR="00047B32" w:rsidRDefault="00047B32" w:rsidP="00047B32">
      <w:pPr>
        <w:pStyle w:val="SingleTxtG"/>
        <w:ind w:left="2268" w:hanging="1134"/>
        <w:rPr>
          <w:i/>
          <w:iCs/>
          <w:lang w:val="fr-FR"/>
        </w:rPr>
      </w:pPr>
      <w:r w:rsidRPr="002F4EEE">
        <w:rPr>
          <w:i/>
          <w:iCs/>
          <w:lang w:val="fr-FR"/>
        </w:rPr>
        <w:t>(Document de référence :</w:t>
      </w:r>
      <w:r>
        <w:rPr>
          <w:i/>
          <w:iCs/>
          <w:lang w:val="fr-FR"/>
        </w:rPr>
        <w:t xml:space="preserve"> ECE/TRANS/WP.15/AC.1/2023/48)</w:t>
      </w:r>
    </w:p>
    <w:p w14:paraId="16FFA518" w14:textId="77777777" w:rsidR="00047B32" w:rsidRDefault="00047B32" w:rsidP="00047B32">
      <w:pPr>
        <w:pStyle w:val="SingleTxtG"/>
        <w:tabs>
          <w:tab w:val="clear" w:pos="1701"/>
        </w:tabs>
        <w:rPr>
          <w:lang w:val="fr-FR"/>
        </w:rPr>
      </w:pPr>
      <w:r>
        <w:rPr>
          <w:lang w:val="fr-FR"/>
        </w:rPr>
        <w:t>5.4.1.1</w:t>
      </w:r>
      <w:r>
        <w:rPr>
          <w:lang w:val="fr-FR"/>
        </w:rPr>
        <w:tab/>
        <w:t>Ajouter le nouveau 5.4.1.1.4 suivant :</w:t>
      </w:r>
    </w:p>
    <w:p w14:paraId="686D3C4B" w14:textId="77777777" w:rsidR="00047B32" w:rsidRPr="001B7735" w:rsidRDefault="00047B32" w:rsidP="000616BA">
      <w:pPr>
        <w:spacing w:after="120"/>
        <w:ind w:left="2268" w:right="1134" w:hanging="1134"/>
        <w:jc w:val="both"/>
        <w:rPr>
          <w:lang w:val="fr-FR"/>
        </w:rPr>
      </w:pPr>
      <w:r w:rsidRPr="001B7735">
        <w:rPr>
          <w:lang w:val="fr-FR"/>
        </w:rPr>
        <w:t>«</w:t>
      </w:r>
      <w:r>
        <w:rPr>
          <w:lang w:val="fr-FR"/>
        </w:rPr>
        <w:t> </w:t>
      </w:r>
      <w:r w:rsidRPr="001B7735">
        <w:rPr>
          <w:lang w:val="fr-FR"/>
        </w:rPr>
        <w:t xml:space="preserve">5.4.1.1.4 </w:t>
      </w:r>
      <w:r>
        <w:rPr>
          <w:lang w:val="fr-FR"/>
        </w:rPr>
        <w:tab/>
      </w:r>
      <w:r w:rsidRPr="00313C52">
        <w:rPr>
          <w:i/>
          <w:iCs/>
          <w:lang w:val="fr-FR"/>
        </w:rPr>
        <w:t>Dispositions particulières pour les déchets contaminés par de l'amiante libre (Nos ONU 2212 et 2590)</w:t>
      </w:r>
      <w:r w:rsidRPr="001B7735">
        <w:rPr>
          <w:lang w:val="fr-FR"/>
        </w:rPr>
        <w:t xml:space="preserve"> </w:t>
      </w:r>
    </w:p>
    <w:p w14:paraId="41AEFA63" w14:textId="77777777" w:rsidR="00047B32" w:rsidRPr="001B7735" w:rsidRDefault="00047B32" w:rsidP="000616BA">
      <w:pPr>
        <w:spacing w:after="120"/>
        <w:ind w:left="2268" w:right="1134" w:hanging="1134"/>
        <w:jc w:val="both"/>
        <w:rPr>
          <w:lang w:val="fr-FR"/>
        </w:rPr>
      </w:pPr>
      <w:r>
        <w:rPr>
          <w:lang w:val="fr-FR"/>
        </w:rPr>
        <w:tab/>
      </w:r>
      <w:r w:rsidRPr="001B7735">
        <w:rPr>
          <w:lang w:val="fr-FR"/>
        </w:rPr>
        <w:t xml:space="preserve">Lorsque la disposition spéciale </w:t>
      </w:r>
      <w:r>
        <w:rPr>
          <w:lang w:val="fr-FR"/>
        </w:rPr>
        <w:t>678</w:t>
      </w:r>
      <w:r w:rsidRPr="001B7735">
        <w:rPr>
          <w:lang w:val="fr-FR"/>
        </w:rPr>
        <w:t xml:space="preserve"> est appliquée, le document de transport doit porter la mention «</w:t>
      </w:r>
      <w:r>
        <w:rPr>
          <w:lang w:val="fr-FR"/>
        </w:rPr>
        <w:t> </w:t>
      </w:r>
      <w:r w:rsidRPr="001B7735">
        <w:rPr>
          <w:lang w:val="fr-FR"/>
        </w:rPr>
        <w:t xml:space="preserve">Transport selon la disposition spéciale </w:t>
      </w:r>
      <w:r>
        <w:rPr>
          <w:lang w:val="fr-FR"/>
        </w:rPr>
        <w:t>678 </w:t>
      </w:r>
      <w:r w:rsidRPr="001B7735">
        <w:rPr>
          <w:lang w:val="fr-FR"/>
        </w:rPr>
        <w:t>».</w:t>
      </w:r>
    </w:p>
    <w:p w14:paraId="70C88C71" w14:textId="77777777" w:rsidR="00047B32" w:rsidRPr="001B7735" w:rsidRDefault="00047B32" w:rsidP="000616BA">
      <w:pPr>
        <w:spacing w:after="120"/>
        <w:ind w:left="2268" w:right="1134" w:hanging="1134"/>
        <w:jc w:val="both"/>
        <w:rPr>
          <w:lang w:val="fr-FR"/>
        </w:rPr>
      </w:pPr>
      <w:r>
        <w:rPr>
          <w:lang w:val="fr-FR"/>
        </w:rPr>
        <w:tab/>
      </w:r>
      <w:r w:rsidRPr="001B7735">
        <w:rPr>
          <w:lang w:val="fr-FR"/>
        </w:rPr>
        <w:t xml:space="preserve">La description des déchets transportés conformément aux </w:t>
      </w:r>
      <w:r w:rsidRPr="009D5010">
        <w:rPr>
          <w:lang w:val="fr-FR"/>
        </w:rPr>
        <w:t>alinéas</w:t>
      </w:r>
      <w:r w:rsidRPr="001B7735">
        <w:rPr>
          <w:lang w:val="fr-FR"/>
        </w:rPr>
        <w:t xml:space="preserve"> b) i), ii), iii), iv) et v) </w:t>
      </w:r>
      <w:r>
        <w:rPr>
          <w:lang w:val="fr-FR"/>
        </w:rPr>
        <w:t>de la disposition spéciale</w:t>
      </w:r>
      <w:r w:rsidRPr="001B7735">
        <w:rPr>
          <w:lang w:val="fr-FR"/>
        </w:rPr>
        <w:t xml:space="preserve"> </w:t>
      </w:r>
      <w:r>
        <w:rPr>
          <w:lang w:val="fr-FR"/>
        </w:rPr>
        <w:t xml:space="preserve">678 </w:t>
      </w:r>
      <w:r w:rsidRPr="001B7735">
        <w:rPr>
          <w:lang w:val="fr-FR"/>
        </w:rPr>
        <w:t xml:space="preserve">doit être ajoutée à la description des marchandises dangereuses </w:t>
      </w:r>
      <w:r>
        <w:rPr>
          <w:lang w:val="fr-FR"/>
        </w:rPr>
        <w:t>prescrite</w:t>
      </w:r>
      <w:r w:rsidRPr="001B7735">
        <w:rPr>
          <w:lang w:val="fr-FR"/>
        </w:rPr>
        <w:t xml:space="preserve"> au 5.4.1.1.1 a) à d) et </w:t>
      </w:r>
      <w:r>
        <w:rPr>
          <w:lang w:val="fr-FR"/>
        </w:rPr>
        <w:t>j)/</w:t>
      </w:r>
      <w:r w:rsidRPr="001B7735">
        <w:rPr>
          <w:lang w:val="fr-FR"/>
        </w:rPr>
        <w:t>k). Le document de transport doit également être accompagné des documents suivants</w:t>
      </w:r>
      <w:r>
        <w:rPr>
          <w:lang w:val="fr-FR"/>
        </w:rPr>
        <w:t> </w:t>
      </w:r>
      <w:r w:rsidRPr="001B7735">
        <w:rPr>
          <w:lang w:val="fr-FR"/>
        </w:rPr>
        <w:t>:</w:t>
      </w:r>
    </w:p>
    <w:p w14:paraId="58C0BB24" w14:textId="77777777" w:rsidR="00047B32" w:rsidRPr="001B7735" w:rsidRDefault="00047B32" w:rsidP="000616BA">
      <w:pPr>
        <w:pStyle w:val="SingleTxtG"/>
        <w:tabs>
          <w:tab w:val="clear" w:pos="2268"/>
          <w:tab w:val="clear" w:pos="2835"/>
        </w:tabs>
        <w:ind w:left="2835" w:hanging="567"/>
        <w:rPr>
          <w:lang w:val="fr-FR"/>
        </w:rPr>
      </w:pPr>
      <w:r w:rsidRPr="001B7735">
        <w:rPr>
          <w:lang w:val="fr-FR"/>
        </w:rPr>
        <w:t>a)</w:t>
      </w:r>
      <w:r>
        <w:rPr>
          <w:lang w:val="fr-FR"/>
        </w:rPr>
        <w:tab/>
        <w:t>U</w:t>
      </w:r>
      <w:r w:rsidRPr="001B7735">
        <w:rPr>
          <w:lang w:val="fr-FR"/>
        </w:rPr>
        <w:t xml:space="preserve">ne copie de la fiche </w:t>
      </w:r>
      <w:r>
        <w:rPr>
          <w:lang w:val="fr-FR"/>
        </w:rPr>
        <w:t>technique</w:t>
      </w:r>
      <w:r w:rsidRPr="001B7735">
        <w:rPr>
          <w:lang w:val="fr-FR"/>
        </w:rPr>
        <w:t xml:space="preserve"> du type de conteneur</w:t>
      </w:r>
      <w:r>
        <w:rPr>
          <w:lang w:val="fr-FR"/>
        </w:rPr>
        <w:t>-bag</w:t>
      </w:r>
      <w:r w:rsidRPr="001B7735">
        <w:rPr>
          <w:lang w:val="fr-FR"/>
        </w:rPr>
        <w:t xml:space="preserve"> utilisé, à en-tête du fabricant ou du distributeur mentionnant les dimensions de cet emballage et sa </w:t>
      </w:r>
      <w:r w:rsidRPr="00BA6F80">
        <w:rPr>
          <w:lang w:val="fr-FR"/>
        </w:rPr>
        <w:t>masse</w:t>
      </w:r>
      <w:r w:rsidRPr="00933902">
        <w:rPr>
          <w:lang w:val="fr-FR"/>
        </w:rPr>
        <w:t xml:space="preserve"> maximale ;</w:t>
      </w:r>
    </w:p>
    <w:p w14:paraId="74D84A16" w14:textId="77777777" w:rsidR="00047B32" w:rsidRDefault="00047B32" w:rsidP="000616BA">
      <w:pPr>
        <w:pStyle w:val="SingleTxtG"/>
        <w:tabs>
          <w:tab w:val="clear" w:pos="2268"/>
          <w:tab w:val="clear" w:pos="2835"/>
        </w:tabs>
        <w:ind w:left="2835" w:hanging="567"/>
        <w:rPr>
          <w:lang w:val="fr-FR"/>
        </w:rPr>
      </w:pPr>
      <w:r w:rsidRPr="001B7735">
        <w:rPr>
          <w:lang w:val="fr-FR"/>
        </w:rPr>
        <w:t>b)</w:t>
      </w:r>
      <w:r>
        <w:rPr>
          <w:lang w:val="fr-FR"/>
        </w:rPr>
        <w:tab/>
        <w:t>U</w:t>
      </w:r>
      <w:r w:rsidRPr="001B7735">
        <w:rPr>
          <w:lang w:val="fr-FR"/>
        </w:rPr>
        <w:t xml:space="preserve">ne copie de la procédure de déchargement conforme </w:t>
      </w:r>
      <w:r>
        <w:rPr>
          <w:lang w:val="fr-FR"/>
        </w:rPr>
        <w:t>à la disposition</w:t>
      </w:r>
      <w:r w:rsidRPr="001B7735">
        <w:rPr>
          <w:lang w:val="fr-FR"/>
        </w:rPr>
        <w:t xml:space="preserve"> </w:t>
      </w:r>
      <w:r>
        <w:rPr>
          <w:lang w:val="fr-FR"/>
        </w:rPr>
        <w:t>spéciale CW38/</w:t>
      </w:r>
      <w:r w:rsidRPr="001B7735">
        <w:rPr>
          <w:lang w:val="fr-FR"/>
        </w:rPr>
        <w:t>CV</w:t>
      </w:r>
      <w:r>
        <w:rPr>
          <w:lang w:val="fr-FR"/>
        </w:rPr>
        <w:t>38 du 7.5.11</w:t>
      </w:r>
      <w:r w:rsidRPr="001B7735">
        <w:rPr>
          <w:lang w:val="fr-FR"/>
        </w:rPr>
        <w:t>, le cas échéant.</w:t>
      </w:r>
      <w:r>
        <w:rPr>
          <w:lang w:val="fr-FR"/>
        </w:rPr>
        <w:t> »</w:t>
      </w:r>
    </w:p>
    <w:p w14:paraId="289F316B"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3)</w:t>
      </w:r>
    </w:p>
    <w:p w14:paraId="39D57B39" w14:textId="77777777" w:rsidR="006364F5" w:rsidRPr="002C6FE5" w:rsidRDefault="006364F5" w:rsidP="006364F5">
      <w:pPr>
        <w:pStyle w:val="SingleTxtG"/>
        <w:ind w:left="2268" w:hanging="1134"/>
        <w:rPr>
          <w:lang w:val="fr-FR"/>
        </w:rPr>
      </w:pPr>
      <w:r w:rsidRPr="002C6FE5">
        <w:rPr>
          <w:lang w:val="fr-FR"/>
        </w:rPr>
        <w:t>(RID :) 5.4.1.1.12</w:t>
      </w:r>
      <w:r w:rsidRPr="002C6FE5">
        <w:rPr>
          <w:lang w:val="fr-FR"/>
        </w:rPr>
        <w:tab/>
      </w:r>
      <w:r>
        <w:rPr>
          <w:lang w:val="fr-FR"/>
        </w:rPr>
        <w:t>Remplacer « 2023 » par « 2025 ».</w:t>
      </w:r>
    </w:p>
    <w:p w14:paraId="71B9E6C2" w14:textId="2BAC8927" w:rsidR="006364F5" w:rsidRDefault="006364F5" w:rsidP="000616BA">
      <w:pPr>
        <w:pStyle w:val="SingleTxtG"/>
        <w:ind w:left="2268" w:hanging="1134"/>
        <w:rPr>
          <w:i/>
          <w:iCs/>
          <w:lang w:val="fr-FR"/>
        </w:rPr>
      </w:pPr>
      <w:r w:rsidRPr="002F4EEE">
        <w:rPr>
          <w:i/>
          <w:iCs/>
          <w:lang w:val="fr-FR"/>
        </w:rPr>
        <w:t>(Document de référence :</w:t>
      </w:r>
      <w:r>
        <w:rPr>
          <w:i/>
          <w:iCs/>
          <w:lang w:val="fr-FR"/>
        </w:rPr>
        <w:t xml:space="preserve"> document informel INF.15, amendement de conséquence)</w:t>
      </w:r>
    </w:p>
    <w:p w14:paraId="7E37A06C" w14:textId="77777777" w:rsidR="00047B32" w:rsidRDefault="00047B32" w:rsidP="00047B32">
      <w:pPr>
        <w:pStyle w:val="H23G"/>
        <w:ind w:right="1133"/>
        <w:rPr>
          <w:lang w:val="fr-FR"/>
        </w:rPr>
      </w:pPr>
      <w:r>
        <w:rPr>
          <w:lang w:val="fr-FR"/>
        </w:rPr>
        <w:tab/>
      </w:r>
      <w:r>
        <w:rPr>
          <w:lang w:val="fr-FR"/>
        </w:rPr>
        <w:tab/>
      </w:r>
      <w:bookmarkStart w:id="232" w:name="_Toc147845998"/>
      <w:bookmarkStart w:id="233" w:name="_Toc148357384"/>
      <w:bookmarkStart w:id="234" w:name="_Toc148358448"/>
      <w:r>
        <w:rPr>
          <w:lang w:val="fr-FR"/>
        </w:rPr>
        <w:t>Chapitre 6.2</w:t>
      </w:r>
      <w:bookmarkEnd w:id="232"/>
      <w:bookmarkEnd w:id="233"/>
      <w:bookmarkEnd w:id="234"/>
    </w:p>
    <w:p w14:paraId="3712452C" w14:textId="77777777" w:rsidR="00047B32" w:rsidRDefault="00047B32" w:rsidP="00047B32">
      <w:pPr>
        <w:pStyle w:val="SingleTxtG"/>
        <w:spacing w:before="120"/>
        <w:rPr>
          <w:bCs/>
          <w:lang w:val="fr-FR"/>
        </w:rPr>
      </w:pPr>
      <w:r>
        <w:rPr>
          <w:bCs/>
          <w:lang w:val="fr-FR"/>
        </w:rPr>
        <w:t>6.2.4.1</w:t>
      </w:r>
      <w:r>
        <w:rPr>
          <w:bCs/>
          <w:lang w:val="fr-FR"/>
        </w:rPr>
        <w:tab/>
      </w:r>
      <w:r>
        <w:rPr>
          <w:bCs/>
          <w:lang w:val="fr-FR"/>
        </w:rPr>
        <w:tab/>
      </w:r>
      <w:r w:rsidRPr="00AE67D0">
        <w:rPr>
          <w:bCs/>
          <w:lang w:val="fr-FR"/>
        </w:rPr>
        <w:t>Dans le tableau, sous «</w:t>
      </w:r>
      <w:r>
        <w:rPr>
          <w:bCs/>
          <w:lang w:val="fr-FR"/>
        </w:rPr>
        <w:t> </w:t>
      </w:r>
      <w:r w:rsidRPr="000616BA">
        <w:rPr>
          <w:b/>
          <w:i/>
          <w:iCs/>
          <w:lang w:val="fr-FR"/>
        </w:rPr>
        <w:t>Pour la conception et la fabrication des fermetures</w:t>
      </w:r>
      <w:r>
        <w:rPr>
          <w:bCs/>
          <w:lang w:val="fr-FR"/>
        </w:rPr>
        <w:t> </w:t>
      </w:r>
      <w:r w:rsidRPr="00AE67D0">
        <w:rPr>
          <w:bCs/>
          <w:lang w:val="fr-FR"/>
        </w:rPr>
        <w:t>»</w:t>
      </w:r>
      <w:r>
        <w:rPr>
          <w:bCs/>
          <w:lang w:val="fr-FR"/>
        </w:rPr>
        <w:t> </w:t>
      </w:r>
      <w:r w:rsidRPr="00AE67D0">
        <w:rPr>
          <w:bCs/>
          <w:lang w:val="fr-FR"/>
        </w:rPr>
        <w:t>:</w:t>
      </w:r>
    </w:p>
    <w:p w14:paraId="52F47F3A" w14:textId="6894BE48" w:rsidR="00047B32" w:rsidRPr="000712C1" w:rsidRDefault="00047B32" w:rsidP="00047B32">
      <w:pPr>
        <w:pStyle w:val="SingleTxtG"/>
        <w:ind w:left="2835" w:right="1133" w:hanging="567"/>
        <w:rPr>
          <w:lang w:val="fr-FR"/>
        </w:rPr>
      </w:pPr>
      <w:r w:rsidRPr="000712C1">
        <w:rPr>
          <w:rFonts w:cs="Arial"/>
          <w:szCs w:val="22"/>
          <w:lang w:val="fr-FR"/>
        </w:rPr>
        <w:t>–</w:t>
      </w:r>
      <w:r w:rsidRPr="000712C1">
        <w:rPr>
          <w:rFonts w:cs="Arial"/>
          <w:szCs w:val="22"/>
          <w:lang w:val="fr-FR"/>
        </w:rPr>
        <w:tab/>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 xml:space="preserve">EN 1626:2008 </w:t>
      </w:r>
      <w:r w:rsidRPr="00344A78">
        <w:rPr>
          <w:lang w:val="fr-FR"/>
        </w:rPr>
        <w:t>(sauf</w:t>
      </w:r>
      <w:r>
        <w:rPr>
          <w:lang w:val="fr-FR"/>
        </w:rPr>
        <w:t xml:space="preserve"> </w:t>
      </w:r>
      <w:r w:rsidRPr="00344A78">
        <w:rPr>
          <w:lang w:val="fr-FR"/>
        </w:rPr>
        <w:t>les robinets de</w:t>
      </w:r>
      <w:r>
        <w:rPr>
          <w:lang w:val="fr-FR"/>
        </w:rPr>
        <w:t xml:space="preserve"> </w:t>
      </w:r>
      <w:r w:rsidRPr="00344A78">
        <w:rPr>
          <w:lang w:val="fr-FR"/>
        </w:rPr>
        <w:t>catégorie B</w:t>
      </w:r>
      <w:r>
        <w:rPr>
          <w:lang w:val="fr-FR"/>
        </w:rPr>
        <w:t>)</w:t>
      </w:r>
      <w:r w:rsidRPr="000712C1">
        <w:rPr>
          <w:lang w:val="fr-FR"/>
        </w:rPr>
        <w:t xml:space="preserve">, dans la colonne </w:t>
      </w:r>
      <w:r>
        <w:rPr>
          <w:lang w:val="fr-FR"/>
        </w:rPr>
        <w:t>4</w:t>
      </w:r>
      <w:r w:rsidRPr="000712C1">
        <w:rPr>
          <w:lang w:val="fr-FR"/>
        </w:rPr>
        <w:t>), remplacer « Jusqu’à nouvel ordre » par « </w:t>
      </w:r>
      <w:r>
        <w:rPr>
          <w:lang w:val="fr-FR"/>
        </w:rPr>
        <w:t>Entre le 1</w:t>
      </w:r>
      <w:r w:rsidRPr="00A9513D">
        <w:rPr>
          <w:vertAlign w:val="superscript"/>
          <w:lang w:val="fr-FR"/>
        </w:rPr>
        <w:t>er</w:t>
      </w:r>
      <w:r>
        <w:rPr>
          <w:lang w:val="fr-FR"/>
        </w:rPr>
        <w:t xml:space="preserve"> janvier 2015 et le </w:t>
      </w:r>
      <w:r w:rsidRPr="000712C1">
        <w:rPr>
          <w:lang w:val="fr-FR"/>
        </w:rPr>
        <w:t>31 décembre 202</w:t>
      </w:r>
      <w:r>
        <w:rPr>
          <w:lang w:val="fr-FR"/>
        </w:rPr>
        <w:t>8</w:t>
      </w:r>
      <w:r w:rsidRPr="000712C1">
        <w:rPr>
          <w:lang w:val="fr-FR"/>
        </w:rPr>
        <w:t> ».</w:t>
      </w:r>
      <w:r>
        <w:rPr>
          <w:lang w:val="fr-FR"/>
        </w:rPr>
        <w:t xml:space="preserve"> </w:t>
      </w:r>
      <w:r>
        <w:rPr>
          <w:rFonts w:eastAsiaTheme="minorHAnsi"/>
          <w:lang w:val="fr-FR" w:eastAsia="en-US"/>
        </w:rPr>
        <w:t>Après cette ligne, ajouter la nouvelle ligne suivante :</w:t>
      </w:r>
    </w:p>
    <w:tbl>
      <w:tblPr>
        <w:tblW w:w="82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1275"/>
        <w:gridCol w:w="1559"/>
      </w:tblGrid>
      <w:tr w:rsidR="00047B32" w:rsidRPr="000712C1" w14:paraId="25097AD6" w14:textId="77777777">
        <w:tc>
          <w:tcPr>
            <w:tcW w:w="1985" w:type="dxa"/>
            <w:vAlign w:val="center"/>
          </w:tcPr>
          <w:p w14:paraId="08C1B089" w14:textId="77777777" w:rsidR="00047B32" w:rsidRPr="000712C1" w:rsidRDefault="00047B32">
            <w:pPr>
              <w:tabs>
                <w:tab w:val="left" w:pos="1418"/>
              </w:tabs>
              <w:rPr>
                <w:szCs w:val="22"/>
                <w:lang w:val="fr-FR"/>
              </w:rPr>
            </w:pPr>
            <w:r>
              <w:rPr>
                <w:lang w:val="fr-FR"/>
              </w:rPr>
              <w:t>EN ISO 21011:[2023]</w:t>
            </w:r>
          </w:p>
        </w:tc>
        <w:tc>
          <w:tcPr>
            <w:tcW w:w="3402" w:type="dxa"/>
            <w:vAlign w:val="center"/>
          </w:tcPr>
          <w:p w14:paraId="099E30CB" w14:textId="77777777" w:rsidR="00047B32" w:rsidRPr="00FA542D" w:rsidRDefault="00047B32">
            <w:pPr>
              <w:widowControl w:val="0"/>
              <w:tabs>
                <w:tab w:val="left" w:pos="780"/>
              </w:tabs>
              <w:ind w:right="282"/>
              <w:rPr>
                <w:iCs/>
                <w:lang w:val="fr-FR"/>
              </w:rPr>
            </w:pPr>
            <w:r w:rsidRPr="00E874D3">
              <w:rPr>
                <w:iCs/>
                <w:lang w:val="fr-FR"/>
              </w:rPr>
              <w:t>Récipients cryogéniques - Robinets pour usage cryogénique</w:t>
            </w:r>
          </w:p>
        </w:tc>
        <w:tc>
          <w:tcPr>
            <w:tcW w:w="1275" w:type="dxa"/>
          </w:tcPr>
          <w:p w14:paraId="14C297FE" w14:textId="77777777" w:rsidR="00047B32" w:rsidRDefault="00047B32">
            <w:pPr>
              <w:tabs>
                <w:tab w:val="left" w:pos="1418"/>
              </w:tabs>
            </w:pPr>
            <w:r>
              <w:t>6.2.3.1, 6.2.3.3 et 6.2.3.4</w:t>
            </w:r>
          </w:p>
        </w:tc>
        <w:tc>
          <w:tcPr>
            <w:tcW w:w="1559" w:type="dxa"/>
            <w:vAlign w:val="center"/>
          </w:tcPr>
          <w:p w14:paraId="084DA040" w14:textId="77777777" w:rsidR="00047B32" w:rsidRPr="000712C1" w:rsidRDefault="00047B32">
            <w:pPr>
              <w:tabs>
                <w:tab w:val="left" w:pos="1418"/>
              </w:tabs>
              <w:rPr>
                <w:szCs w:val="22"/>
                <w:lang w:val="fr-FR"/>
              </w:rPr>
            </w:pPr>
            <w:r w:rsidRPr="000712C1">
              <w:rPr>
                <w:lang w:val="fr-FR"/>
              </w:rPr>
              <w:t>Jusqu’à nouvel ordre</w:t>
            </w:r>
          </w:p>
        </w:tc>
      </w:tr>
    </w:tbl>
    <w:p w14:paraId="77BA376F" w14:textId="77777777" w:rsidR="00047B32" w:rsidRDefault="00047B32" w:rsidP="00047B32">
      <w:pPr>
        <w:pStyle w:val="SingleTxtG"/>
        <w:spacing w:before="120"/>
        <w:ind w:left="2268" w:hanging="1134"/>
        <w:rPr>
          <w:i/>
          <w:iCs/>
          <w:lang w:val="fr-FR"/>
        </w:rPr>
      </w:pPr>
      <w:r>
        <w:rPr>
          <w:i/>
          <w:iCs/>
          <w:lang w:val="fr-FR"/>
        </w:rPr>
        <w:t>(Document de référence : document informel INF.23, proposition 3.3)</w:t>
      </w:r>
    </w:p>
    <w:p w14:paraId="3DED9968" w14:textId="77777777" w:rsidR="00047B32" w:rsidRPr="000712C1" w:rsidRDefault="00047B32" w:rsidP="00047B32">
      <w:pPr>
        <w:pStyle w:val="SingleTxtG"/>
        <w:spacing w:before="120"/>
        <w:rPr>
          <w:bCs/>
          <w:lang w:val="fr-FR"/>
        </w:rPr>
      </w:pPr>
      <w:r w:rsidRPr="000712C1">
        <w:rPr>
          <w:bCs/>
          <w:lang w:val="fr-FR"/>
        </w:rPr>
        <w:t>6.2.4.2</w:t>
      </w:r>
      <w:r w:rsidRPr="000712C1">
        <w:rPr>
          <w:bCs/>
          <w:lang w:val="fr-FR"/>
        </w:rPr>
        <w:tab/>
      </w:r>
      <w:r w:rsidRPr="000712C1">
        <w:rPr>
          <w:bCs/>
          <w:lang w:val="fr-FR"/>
        </w:rPr>
        <w:tab/>
        <w:t>Modifier le tableau comme suit :</w:t>
      </w:r>
    </w:p>
    <w:p w14:paraId="5F22FCD3" w14:textId="2D54BE01" w:rsidR="00047B32" w:rsidRPr="000712C1" w:rsidRDefault="00047B32" w:rsidP="00047B32">
      <w:pPr>
        <w:pStyle w:val="SingleTxtG"/>
        <w:ind w:left="2835" w:right="1133" w:hanging="567"/>
        <w:rPr>
          <w:lang w:val="fr-FR"/>
        </w:rPr>
      </w:pPr>
      <w:r w:rsidRPr="000712C1">
        <w:rPr>
          <w:rFonts w:cs="Arial"/>
          <w:szCs w:val="22"/>
          <w:lang w:val="fr-FR"/>
        </w:rPr>
        <w:t>–</w:t>
      </w:r>
      <w:r w:rsidRPr="000712C1">
        <w:rPr>
          <w:rFonts w:cs="Arial"/>
          <w:szCs w:val="22"/>
          <w:lang w:val="fr-FR"/>
        </w:rPr>
        <w:tab/>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EN ISO 11623:2015</w:t>
      </w:r>
      <w:r w:rsidRPr="000712C1">
        <w:rPr>
          <w:lang w:val="fr-FR"/>
        </w:rPr>
        <w:t>, dans la colonne 3), remplacer « Jusqu’à nouvel ordre » par « Jusqu’au 31 décembre 202</w:t>
      </w:r>
      <w:r>
        <w:rPr>
          <w:lang w:val="fr-FR"/>
        </w:rPr>
        <w:t>6</w:t>
      </w:r>
      <w:r w:rsidRPr="000712C1">
        <w:rPr>
          <w:lang w:val="fr-FR"/>
        </w:rPr>
        <w:t> ».</w:t>
      </w:r>
      <w:r>
        <w:rPr>
          <w:lang w:val="fr-FR"/>
        </w:rPr>
        <w:t xml:space="preserve"> </w:t>
      </w:r>
      <w:r>
        <w:rPr>
          <w:rFonts w:eastAsiaTheme="minorHAnsi"/>
          <w:lang w:val="fr-FR" w:eastAsia="en-US"/>
        </w:rPr>
        <w:t>Après cette ligne,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84"/>
        <w:gridCol w:w="1559"/>
      </w:tblGrid>
      <w:tr w:rsidR="00047B32" w:rsidRPr="000712C1" w14:paraId="7CCF8F21" w14:textId="77777777">
        <w:tc>
          <w:tcPr>
            <w:tcW w:w="1985" w:type="dxa"/>
            <w:vAlign w:val="center"/>
          </w:tcPr>
          <w:p w14:paraId="5C4A26E2" w14:textId="77777777" w:rsidR="00047B32" w:rsidRPr="000712C1" w:rsidRDefault="00047B32">
            <w:pPr>
              <w:tabs>
                <w:tab w:val="left" w:pos="1418"/>
              </w:tabs>
              <w:rPr>
                <w:szCs w:val="22"/>
                <w:lang w:val="fr-FR"/>
              </w:rPr>
            </w:pPr>
            <w:r w:rsidRPr="000712C1">
              <w:rPr>
                <w:bCs/>
                <w:lang w:val="fr-FR"/>
              </w:rPr>
              <w:t>EN ISO </w:t>
            </w:r>
            <w:r>
              <w:rPr>
                <w:bCs/>
                <w:lang w:val="fr-FR"/>
              </w:rPr>
              <w:t>11623:2023</w:t>
            </w:r>
          </w:p>
        </w:tc>
        <w:tc>
          <w:tcPr>
            <w:tcW w:w="4684" w:type="dxa"/>
            <w:vAlign w:val="center"/>
          </w:tcPr>
          <w:p w14:paraId="23C28C16" w14:textId="77777777" w:rsidR="00047B32" w:rsidRPr="00FA542D" w:rsidRDefault="00047B32">
            <w:pPr>
              <w:widowControl w:val="0"/>
              <w:tabs>
                <w:tab w:val="left" w:pos="780"/>
              </w:tabs>
              <w:ind w:right="282"/>
              <w:rPr>
                <w:iCs/>
                <w:lang w:val="fr-FR"/>
              </w:rPr>
            </w:pPr>
            <w:r w:rsidRPr="00FF6D82">
              <w:rPr>
                <w:iCs/>
                <w:lang w:val="fr-FR"/>
              </w:rPr>
              <w:t xml:space="preserve">Bouteilles à gaz - Bouteilles et tubes composites - Contrôles et essais périodiques </w:t>
            </w:r>
          </w:p>
        </w:tc>
        <w:tc>
          <w:tcPr>
            <w:tcW w:w="1559" w:type="dxa"/>
            <w:vAlign w:val="center"/>
          </w:tcPr>
          <w:p w14:paraId="7984F59D" w14:textId="77777777" w:rsidR="00047B32" w:rsidRPr="000712C1" w:rsidRDefault="00047B32">
            <w:pPr>
              <w:tabs>
                <w:tab w:val="left" w:pos="1418"/>
              </w:tabs>
              <w:rPr>
                <w:szCs w:val="22"/>
                <w:lang w:val="fr-FR"/>
              </w:rPr>
            </w:pPr>
            <w:r w:rsidRPr="000712C1">
              <w:rPr>
                <w:lang w:val="fr-FR"/>
              </w:rPr>
              <w:t>Jusqu’à nouvel ordre</w:t>
            </w:r>
          </w:p>
        </w:tc>
      </w:tr>
    </w:tbl>
    <w:p w14:paraId="41B2D202" w14:textId="77777777" w:rsidR="00047B32" w:rsidRDefault="00047B32" w:rsidP="00047B32">
      <w:pPr>
        <w:pStyle w:val="SingleTxtG"/>
        <w:spacing w:before="120"/>
        <w:ind w:left="2268" w:hanging="1134"/>
        <w:rPr>
          <w:i/>
          <w:iCs/>
          <w:lang w:val="fr-FR"/>
        </w:rPr>
      </w:pPr>
      <w:r>
        <w:rPr>
          <w:i/>
          <w:iCs/>
          <w:lang w:val="fr-FR"/>
        </w:rPr>
        <w:t>(Document de référence : document informel INF.23, proposition 3.1)</w:t>
      </w:r>
    </w:p>
    <w:p w14:paraId="042F7BA9" w14:textId="77777777" w:rsidR="00047B32" w:rsidRPr="00714D1B" w:rsidRDefault="00047B32" w:rsidP="00047B32">
      <w:pPr>
        <w:pStyle w:val="H23G"/>
        <w:ind w:right="1133"/>
        <w:rPr>
          <w:lang w:val="fr-FR"/>
        </w:rPr>
      </w:pPr>
      <w:r w:rsidRPr="00714D1B">
        <w:rPr>
          <w:lang w:val="fr-FR"/>
        </w:rPr>
        <w:tab/>
      </w:r>
      <w:r w:rsidRPr="00714D1B">
        <w:rPr>
          <w:lang w:val="fr-FR"/>
        </w:rPr>
        <w:tab/>
      </w:r>
      <w:bookmarkStart w:id="235" w:name="_Toc147845999"/>
      <w:bookmarkStart w:id="236" w:name="_Toc148357385"/>
      <w:bookmarkStart w:id="237" w:name="_Toc148358449"/>
      <w:r w:rsidRPr="00714D1B">
        <w:rPr>
          <w:lang w:val="fr-FR"/>
        </w:rPr>
        <w:t>Chapitre 6.8</w:t>
      </w:r>
      <w:bookmarkEnd w:id="235"/>
      <w:bookmarkEnd w:id="236"/>
      <w:bookmarkEnd w:id="237"/>
    </w:p>
    <w:p w14:paraId="2CA7A935" w14:textId="77777777" w:rsidR="00047B32" w:rsidRPr="00714D1B" w:rsidRDefault="00047B32" w:rsidP="00047B32">
      <w:pPr>
        <w:pStyle w:val="SingleTxtG"/>
        <w:ind w:left="2268" w:hanging="1134"/>
        <w:rPr>
          <w:lang w:val="fr-FR"/>
        </w:rPr>
      </w:pPr>
      <w:r w:rsidRPr="00714D1B">
        <w:rPr>
          <w:lang w:val="fr-FR"/>
        </w:rPr>
        <w:t>6.8.2.5.1</w:t>
      </w:r>
      <w:r w:rsidRPr="00714D1B">
        <w:rPr>
          <w:lang w:val="fr-FR"/>
        </w:rPr>
        <w:tab/>
        <w:t>À la fin de la dernière phrase, ajouter « (pour la classe 2, voir 6.8.3.5) ».</w:t>
      </w:r>
    </w:p>
    <w:p w14:paraId="3713338A" w14:textId="77777777" w:rsidR="00047B32" w:rsidRPr="00714D1B" w:rsidRDefault="00047B32" w:rsidP="00047B32">
      <w:pPr>
        <w:pStyle w:val="SingleTxtG"/>
        <w:ind w:left="2268" w:hanging="1134"/>
        <w:rPr>
          <w:i/>
          <w:iCs/>
          <w:lang w:val="fr-FR"/>
        </w:rPr>
      </w:pPr>
      <w:r w:rsidRPr="00714D1B">
        <w:rPr>
          <w:i/>
          <w:iCs/>
          <w:lang w:val="fr-FR"/>
        </w:rPr>
        <w:lastRenderedPageBreak/>
        <w:t>(Document de référence : document informel INF.46, proposition 10)</w:t>
      </w:r>
    </w:p>
    <w:p w14:paraId="76AD1470" w14:textId="77777777" w:rsidR="00047B32" w:rsidRPr="00714D1B" w:rsidRDefault="00047B32" w:rsidP="00047B32">
      <w:pPr>
        <w:spacing w:before="120" w:after="120"/>
        <w:ind w:left="2268" w:right="1134" w:hanging="1134"/>
        <w:jc w:val="both"/>
        <w:rPr>
          <w:lang w:val="fr-FR"/>
        </w:rPr>
      </w:pPr>
      <w:r w:rsidRPr="00714D1B">
        <w:rPr>
          <w:lang w:val="fr-FR"/>
        </w:rPr>
        <w:t>6.8.2.5.2</w:t>
      </w:r>
      <w:r w:rsidRPr="00714D1B">
        <w:rPr>
          <w:lang w:val="fr-FR"/>
        </w:rPr>
        <w:tab/>
      </w:r>
      <w:r w:rsidRPr="00911029">
        <w:rPr>
          <w:lang w:val="fr-FR"/>
        </w:rPr>
        <w:t>L’amendement dans la version anglaise ne s’applique pas au texte français.</w:t>
      </w:r>
    </w:p>
    <w:p w14:paraId="68F60EB0"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12)</w:t>
      </w:r>
    </w:p>
    <w:p w14:paraId="429E5579" w14:textId="77777777" w:rsidR="00047B32" w:rsidRDefault="00047B32" w:rsidP="00047B32">
      <w:pPr>
        <w:spacing w:before="120" w:after="120"/>
        <w:ind w:left="2268" w:right="1134" w:hanging="1134"/>
        <w:jc w:val="both"/>
        <w:rPr>
          <w:lang w:val="fr-FR"/>
        </w:rPr>
      </w:pPr>
      <w:r>
        <w:rPr>
          <w:lang w:val="fr-FR"/>
        </w:rPr>
        <w:t>6.8.2.6.1</w:t>
      </w:r>
      <w:r>
        <w:rPr>
          <w:lang w:val="fr-FR"/>
        </w:rPr>
        <w:tab/>
        <w:t>Dans le tableau, sous « </w:t>
      </w:r>
      <w:r w:rsidRPr="000616BA">
        <w:rPr>
          <w:b/>
          <w:bCs/>
          <w:i/>
          <w:iCs/>
          <w:lang w:val="fr-FR"/>
        </w:rPr>
        <w:t>Pour la conception et la construction des citernes</w:t>
      </w:r>
      <w:r>
        <w:rPr>
          <w:lang w:val="fr-FR"/>
        </w:rPr>
        <w:t> », supprimer la ligne pour EN 12972:2018.</w:t>
      </w:r>
    </w:p>
    <w:p w14:paraId="4F41CD23" w14:textId="4280B9E5" w:rsidR="00047B32" w:rsidRDefault="00047B32" w:rsidP="00047B32">
      <w:pPr>
        <w:spacing w:after="120"/>
        <w:ind w:left="2268" w:right="1134" w:hanging="1134"/>
        <w:jc w:val="both"/>
        <w:rPr>
          <w:lang w:val="fr-FR"/>
        </w:rPr>
      </w:pPr>
      <w:r>
        <w:rPr>
          <w:lang w:val="fr-FR"/>
        </w:rPr>
        <w:tab/>
      </w:r>
      <w:r w:rsidRPr="00714D1B">
        <w:rPr>
          <w:lang w:val="fr-FR"/>
        </w:rPr>
        <w:t>Dans le tableau, sous « </w:t>
      </w:r>
      <w:r w:rsidRPr="000616BA">
        <w:rPr>
          <w:b/>
          <w:bCs/>
          <w:i/>
          <w:iCs/>
          <w:lang w:val="fr-FR"/>
        </w:rPr>
        <w:t>Pour les équipements</w:t>
      </w:r>
      <w:r w:rsidRPr="00714D1B">
        <w:rPr>
          <w:lang w:val="fr-FR"/>
        </w:rPr>
        <w:t> » :</w:t>
      </w:r>
    </w:p>
    <w:p w14:paraId="2A678AD0" w14:textId="77777777" w:rsidR="00047B32" w:rsidRDefault="00047B32" w:rsidP="00047B32">
      <w:pPr>
        <w:spacing w:after="120"/>
        <w:ind w:left="2268" w:right="1134" w:hanging="1134"/>
        <w:jc w:val="both"/>
        <w:rPr>
          <w:bCs/>
          <w:lang w:val="fr-FR"/>
        </w:rPr>
      </w:pPr>
      <w:r>
        <w:rPr>
          <w:lang w:val="fr-FR"/>
        </w:rPr>
        <w:tab/>
        <w:t xml:space="preserve">- </w:t>
      </w:r>
      <w:r w:rsidRPr="00714D1B">
        <w:rPr>
          <w:lang w:val="fr-FR"/>
        </w:rPr>
        <w:t xml:space="preserve">(ADR :) Pour EN 12252:2005 + A1:2008, dans la colonne 3), </w:t>
      </w:r>
      <w:r w:rsidRPr="00714D1B">
        <w:rPr>
          <w:bCs/>
          <w:lang w:val="fr-FR"/>
        </w:rPr>
        <w:t>avant « 6.8.3.2 » ajouter « 6.8.2.2, » ;</w:t>
      </w:r>
    </w:p>
    <w:p w14:paraId="614511E5" w14:textId="5F686BB8" w:rsidR="00047B32" w:rsidRDefault="00047B32" w:rsidP="00047B32">
      <w:pPr>
        <w:spacing w:after="120"/>
        <w:ind w:left="2268" w:right="1134" w:hanging="1134"/>
        <w:jc w:val="both"/>
        <w:rPr>
          <w:bCs/>
          <w:lang w:val="fr-FR"/>
        </w:rPr>
      </w:pPr>
      <w:r>
        <w:rPr>
          <w:bCs/>
          <w:lang w:val="fr-FR"/>
        </w:rPr>
        <w:tab/>
        <w:t xml:space="preserve">- </w:t>
      </w:r>
      <w:r w:rsidRPr="00714D1B">
        <w:rPr>
          <w:lang w:val="fr-FR"/>
        </w:rPr>
        <w:t xml:space="preserve">(ADR :) Pour EN 12252:2014, dans la colonne 3), </w:t>
      </w:r>
      <w:r w:rsidRPr="00714D1B">
        <w:rPr>
          <w:bCs/>
          <w:lang w:val="fr-FR"/>
        </w:rPr>
        <w:t>avant « 6.8.3.2 » ajouter « 6.8.2.2, ».</w:t>
      </w:r>
    </w:p>
    <w:p w14:paraId="31CC7135" w14:textId="43F95067" w:rsidR="00047B32" w:rsidRPr="003203A9" w:rsidRDefault="00047B32" w:rsidP="00047B32">
      <w:pPr>
        <w:spacing w:after="120"/>
        <w:ind w:left="2268" w:right="1134" w:hanging="1134"/>
        <w:jc w:val="both"/>
        <w:rPr>
          <w:lang w:val="fr-FR"/>
        </w:rPr>
      </w:pPr>
      <w:r>
        <w:rPr>
          <w:bCs/>
          <w:lang w:val="fr-FR"/>
        </w:rPr>
        <w:tab/>
        <w:t xml:space="preserve">- </w:t>
      </w:r>
      <w:r>
        <w:rPr>
          <w:rFonts w:cs="Arial"/>
          <w:szCs w:val="22"/>
          <w:lang w:val="fr-FR"/>
        </w:rPr>
        <w:t xml:space="preserve">(ADR :) </w:t>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 xml:space="preserve">EN 1626:2008 </w:t>
      </w:r>
      <w:r w:rsidRPr="00344A78">
        <w:rPr>
          <w:lang w:val="fr-FR"/>
        </w:rPr>
        <w:t>(sauf</w:t>
      </w:r>
      <w:r>
        <w:rPr>
          <w:lang w:val="fr-FR"/>
        </w:rPr>
        <w:t xml:space="preserve"> </w:t>
      </w:r>
      <w:r w:rsidRPr="00344A78">
        <w:rPr>
          <w:lang w:val="fr-FR"/>
        </w:rPr>
        <w:t>les robinets de</w:t>
      </w:r>
      <w:r>
        <w:rPr>
          <w:lang w:val="fr-FR"/>
        </w:rPr>
        <w:t xml:space="preserve"> </w:t>
      </w:r>
      <w:r w:rsidRPr="00344A78">
        <w:rPr>
          <w:lang w:val="fr-FR"/>
        </w:rPr>
        <w:t>catégorie B</w:t>
      </w:r>
      <w:r>
        <w:rPr>
          <w:lang w:val="fr-FR"/>
        </w:rPr>
        <w:t>)</w:t>
      </w:r>
      <w:r w:rsidRPr="000712C1">
        <w:rPr>
          <w:lang w:val="fr-FR"/>
        </w:rPr>
        <w:t xml:space="preserve">, dans la colonne </w:t>
      </w:r>
      <w:r>
        <w:rPr>
          <w:lang w:val="fr-FR"/>
        </w:rPr>
        <w:t>4</w:t>
      </w:r>
      <w:r w:rsidRPr="000712C1">
        <w:rPr>
          <w:lang w:val="fr-FR"/>
        </w:rPr>
        <w:t>), remplacer « Jusqu’à nouvel ordre » par « </w:t>
      </w:r>
      <w:r>
        <w:rPr>
          <w:lang w:val="fr-FR"/>
        </w:rPr>
        <w:t>Entre le 1</w:t>
      </w:r>
      <w:r w:rsidRPr="00A9513D">
        <w:rPr>
          <w:vertAlign w:val="superscript"/>
          <w:lang w:val="fr-FR"/>
        </w:rPr>
        <w:t>er</w:t>
      </w:r>
      <w:r>
        <w:rPr>
          <w:lang w:val="fr-FR"/>
        </w:rPr>
        <w:t xml:space="preserve"> janvier 2015 et le </w:t>
      </w:r>
      <w:r w:rsidRPr="000712C1">
        <w:rPr>
          <w:lang w:val="fr-FR"/>
        </w:rPr>
        <w:t>31 décembre 202</w:t>
      </w:r>
      <w:r>
        <w:rPr>
          <w:lang w:val="fr-FR"/>
        </w:rPr>
        <w:t>8</w:t>
      </w:r>
      <w:r w:rsidRPr="000712C1">
        <w:rPr>
          <w:lang w:val="fr-FR"/>
        </w:rPr>
        <w:t> ».</w:t>
      </w:r>
      <w:r>
        <w:rPr>
          <w:lang w:val="fr-FR"/>
        </w:rPr>
        <w:t xml:space="preserve"> </w:t>
      </w:r>
      <w:r>
        <w:rPr>
          <w:rFonts w:eastAsiaTheme="minorHAnsi"/>
          <w:lang w:val="fr-FR" w:eastAsia="en-US"/>
        </w:rPr>
        <w:t>Après cette ligne, ajouter la nouvelle ligne suivante :</w:t>
      </w:r>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3"/>
        <w:gridCol w:w="1134"/>
        <w:gridCol w:w="1560"/>
        <w:gridCol w:w="567"/>
      </w:tblGrid>
      <w:tr w:rsidR="00047B32" w:rsidRPr="000712C1" w14:paraId="37B25513" w14:textId="77777777">
        <w:trPr>
          <w:trHeight w:val="20"/>
        </w:trPr>
        <w:tc>
          <w:tcPr>
            <w:tcW w:w="1418" w:type="dxa"/>
            <w:vAlign w:val="center"/>
          </w:tcPr>
          <w:p w14:paraId="0B1FD121" w14:textId="77777777" w:rsidR="00047B32" w:rsidRPr="000712C1" w:rsidRDefault="00047B32">
            <w:pPr>
              <w:tabs>
                <w:tab w:val="left" w:pos="1418"/>
              </w:tabs>
              <w:rPr>
                <w:szCs w:val="22"/>
                <w:lang w:val="fr-FR"/>
              </w:rPr>
            </w:pPr>
            <w:r>
              <w:rPr>
                <w:lang w:val="fr-FR"/>
              </w:rPr>
              <w:t>EN ISO 21011:[2023]</w:t>
            </w:r>
          </w:p>
        </w:tc>
        <w:tc>
          <w:tcPr>
            <w:tcW w:w="3543" w:type="dxa"/>
            <w:vAlign w:val="center"/>
          </w:tcPr>
          <w:p w14:paraId="5EA68E6B" w14:textId="77777777" w:rsidR="00047B32" w:rsidRPr="00FA542D" w:rsidRDefault="00047B32">
            <w:pPr>
              <w:widowControl w:val="0"/>
              <w:tabs>
                <w:tab w:val="left" w:pos="780"/>
              </w:tabs>
              <w:ind w:right="282"/>
              <w:rPr>
                <w:iCs/>
                <w:lang w:val="fr-FR"/>
              </w:rPr>
            </w:pPr>
            <w:r w:rsidRPr="00E874D3">
              <w:rPr>
                <w:iCs/>
                <w:lang w:val="fr-FR"/>
              </w:rPr>
              <w:t>Récipients cryogéniques - Robinets pour usage cryogénique</w:t>
            </w:r>
          </w:p>
        </w:tc>
        <w:tc>
          <w:tcPr>
            <w:tcW w:w="1134" w:type="dxa"/>
          </w:tcPr>
          <w:p w14:paraId="36B277E3" w14:textId="77777777" w:rsidR="00047B32" w:rsidRPr="000712C1" w:rsidRDefault="00047B32">
            <w:pPr>
              <w:tabs>
                <w:tab w:val="left" w:pos="1418"/>
              </w:tabs>
              <w:rPr>
                <w:lang w:val="fr-FR"/>
              </w:rPr>
            </w:pPr>
            <w:r w:rsidRPr="009405D3">
              <w:t>6.8.2.2.1</w:t>
            </w:r>
            <w:r>
              <w:t>,</w:t>
            </w:r>
            <w:r w:rsidRPr="007C7EEF">
              <w:t xml:space="preserve"> </w:t>
            </w:r>
            <w:r w:rsidRPr="009405D3">
              <w:t xml:space="preserve">6.8.2.4 </w:t>
            </w:r>
            <w:r>
              <w:t>et</w:t>
            </w:r>
            <w:r w:rsidRPr="009405D3">
              <w:t xml:space="preserve"> 6.8.3.4</w:t>
            </w:r>
          </w:p>
        </w:tc>
        <w:tc>
          <w:tcPr>
            <w:tcW w:w="1560" w:type="dxa"/>
            <w:vAlign w:val="center"/>
          </w:tcPr>
          <w:p w14:paraId="77AE1135" w14:textId="77777777" w:rsidR="00047B32" w:rsidRPr="000712C1" w:rsidRDefault="00047B32">
            <w:pPr>
              <w:tabs>
                <w:tab w:val="left" w:pos="1418"/>
              </w:tabs>
              <w:rPr>
                <w:szCs w:val="22"/>
                <w:lang w:val="fr-FR"/>
              </w:rPr>
            </w:pPr>
            <w:r w:rsidRPr="000712C1">
              <w:rPr>
                <w:lang w:val="fr-FR"/>
              </w:rPr>
              <w:t>Jusqu’à nouvel ordre</w:t>
            </w:r>
          </w:p>
        </w:tc>
        <w:tc>
          <w:tcPr>
            <w:tcW w:w="567" w:type="dxa"/>
          </w:tcPr>
          <w:p w14:paraId="6BD724F9" w14:textId="77777777" w:rsidR="00047B32" w:rsidRPr="000712C1" w:rsidRDefault="00047B32">
            <w:pPr>
              <w:rPr>
                <w:lang w:val="fr-FR"/>
              </w:rPr>
            </w:pPr>
          </w:p>
        </w:tc>
      </w:tr>
    </w:tbl>
    <w:p w14:paraId="4F76940A" w14:textId="77777777" w:rsidR="00047B32" w:rsidRDefault="00047B32" w:rsidP="00047B32">
      <w:pPr>
        <w:spacing w:before="120" w:after="120"/>
        <w:ind w:left="2268" w:right="1134" w:hanging="1134"/>
        <w:jc w:val="both"/>
        <w:rPr>
          <w:lang w:val="fr-FR"/>
        </w:rPr>
      </w:pPr>
      <w:r>
        <w:rPr>
          <w:rFonts w:cs="Arial"/>
          <w:szCs w:val="22"/>
          <w:lang w:val="fr-FR"/>
        </w:rPr>
        <w:tab/>
        <w:t xml:space="preserve">- (RID :) </w:t>
      </w:r>
      <w:r>
        <w:rPr>
          <w:lang w:val="fr-FR"/>
        </w:rPr>
        <w:t>A</w:t>
      </w:r>
      <w:r w:rsidRPr="000712C1">
        <w:rPr>
          <w:lang w:val="fr-FR"/>
        </w:rPr>
        <w:t>jouter la nouvelle ligne suivante :</w:t>
      </w:r>
    </w:p>
    <w:tbl>
      <w:tblPr>
        <w:tblW w:w="822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3"/>
        <w:gridCol w:w="1134"/>
        <w:gridCol w:w="1560"/>
        <w:gridCol w:w="567"/>
      </w:tblGrid>
      <w:tr w:rsidR="00047B32" w:rsidRPr="000712C1" w14:paraId="5C7AD691" w14:textId="77777777">
        <w:trPr>
          <w:trHeight w:val="20"/>
        </w:trPr>
        <w:tc>
          <w:tcPr>
            <w:tcW w:w="1418" w:type="dxa"/>
            <w:vAlign w:val="center"/>
          </w:tcPr>
          <w:p w14:paraId="131A312E" w14:textId="77777777" w:rsidR="00047B32" w:rsidRPr="000712C1" w:rsidRDefault="00047B32">
            <w:pPr>
              <w:tabs>
                <w:tab w:val="left" w:pos="1418"/>
              </w:tabs>
              <w:rPr>
                <w:szCs w:val="22"/>
                <w:lang w:val="fr-FR"/>
              </w:rPr>
            </w:pPr>
            <w:r>
              <w:rPr>
                <w:lang w:val="fr-FR"/>
              </w:rPr>
              <w:t>EN ISO 21011:[2023]</w:t>
            </w:r>
          </w:p>
        </w:tc>
        <w:tc>
          <w:tcPr>
            <w:tcW w:w="3543" w:type="dxa"/>
            <w:vAlign w:val="center"/>
          </w:tcPr>
          <w:p w14:paraId="6EDD7A9D" w14:textId="77777777" w:rsidR="00047B32" w:rsidRPr="00FA542D" w:rsidRDefault="00047B32">
            <w:pPr>
              <w:widowControl w:val="0"/>
              <w:tabs>
                <w:tab w:val="left" w:pos="780"/>
              </w:tabs>
              <w:ind w:right="282"/>
              <w:rPr>
                <w:iCs/>
                <w:lang w:val="fr-FR"/>
              </w:rPr>
            </w:pPr>
            <w:r w:rsidRPr="00E874D3">
              <w:rPr>
                <w:iCs/>
                <w:lang w:val="fr-FR"/>
              </w:rPr>
              <w:t>Récipients cryogéniques - Robinets pour usage cryogénique</w:t>
            </w:r>
          </w:p>
        </w:tc>
        <w:tc>
          <w:tcPr>
            <w:tcW w:w="1134" w:type="dxa"/>
          </w:tcPr>
          <w:p w14:paraId="41B5CF1F" w14:textId="77777777" w:rsidR="00047B32" w:rsidRPr="000712C1" w:rsidRDefault="00047B32">
            <w:pPr>
              <w:tabs>
                <w:tab w:val="left" w:pos="1418"/>
              </w:tabs>
              <w:rPr>
                <w:lang w:val="fr-FR"/>
              </w:rPr>
            </w:pPr>
            <w:r w:rsidRPr="009405D3">
              <w:t>6.8.2.2.1</w:t>
            </w:r>
            <w:r>
              <w:t>,</w:t>
            </w:r>
            <w:r w:rsidRPr="007C7EEF">
              <w:t xml:space="preserve"> </w:t>
            </w:r>
            <w:r w:rsidRPr="009405D3">
              <w:t xml:space="preserve">6.8.2.4 </w:t>
            </w:r>
            <w:r>
              <w:t>et</w:t>
            </w:r>
            <w:r w:rsidRPr="009405D3">
              <w:t xml:space="preserve"> 6.8.3.4</w:t>
            </w:r>
          </w:p>
        </w:tc>
        <w:tc>
          <w:tcPr>
            <w:tcW w:w="1560" w:type="dxa"/>
            <w:vAlign w:val="center"/>
          </w:tcPr>
          <w:p w14:paraId="76D7BC4A" w14:textId="77777777" w:rsidR="00047B32" w:rsidRPr="000712C1" w:rsidRDefault="00047B32">
            <w:pPr>
              <w:tabs>
                <w:tab w:val="left" w:pos="1418"/>
              </w:tabs>
              <w:rPr>
                <w:szCs w:val="22"/>
                <w:lang w:val="fr-FR"/>
              </w:rPr>
            </w:pPr>
            <w:r w:rsidRPr="000712C1">
              <w:rPr>
                <w:lang w:val="fr-FR"/>
              </w:rPr>
              <w:t>Jusqu’à nouvel ordre</w:t>
            </w:r>
          </w:p>
        </w:tc>
        <w:tc>
          <w:tcPr>
            <w:tcW w:w="567" w:type="dxa"/>
          </w:tcPr>
          <w:p w14:paraId="4D5F4F87" w14:textId="77777777" w:rsidR="00047B32" w:rsidRPr="000712C1" w:rsidRDefault="00047B32">
            <w:pPr>
              <w:rPr>
                <w:lang w:val="fr-FR"/>
              </w:rPr>
            </w:pPr>
          </w:p>
        </w:tc>
      </w:tr>
    </w:tbl>
    <w:p w14:paraId="6F86616C" w14:textId="77777777" w:rsidR="00047B32" w:rsidRPr="00714D1B" w:rsidRDefault="00047B32" w:rsidP="00047B32">
      <w:pPr>
        <w:pStyle w:val="SingleTxtG"/>
        <w:tabs>
          <w:tab w:val="clear" w:pos="2268"/>
        </w:tabs>
        <w:spacing w:before="120"/>
        <w:rPr>
          <w:i/>
          <w:iCs/>
          <w:lang w:val="fr-FR"/>
        </w:rPr>
      </w:pPr>
      <w:r w:rsidRPr="00714D1B">
        <w:rPr>
          <w:i/>
          <w:iCs/>
          <w:lang w:val="fr-FR"/>
        </w:rPr>
        <w:t>(Document de référence : document</w:t>
      </w:r>
      <w:r>
        <w:rPr>
          <w:i/>
          <w:iCs/>
          <w:lang w:val="fr-FR"/>
        </w:rPr>
        <w:t>s</w:t>
      </w:r>
      <w:r w:rsidRPr="00714D1B">
        <w:rPr>
          <w:i/>
          <w:iCs/>
          <w:lang w:val="fr-FR"/>
        </w:rPr>
        <w:t xml:space="preserve"> informel</w:t>
      </w:r>
      <w:r>
        <w:rPr>
          <w:i/>
          <w:iCs/>
          <w:lang w:val="fr-FR"/>
        </w:rPr>
        <w:t>s</w:t>
      </w:r>
      <w:r w:rsidRPr="00714D1B">
        <w:rPr>
          <w:i/>
          <w:iCs/>
          <w:lang w:val="fr-FR"/>
        </w:rPr>
        <w:t xml:space="preserve"> </w:t>
      </w:r>
      <w:r w:rsidRPr="0044729E">
        <w:rPr>
          <w:i/>
          <w:iCs/>
          <w:lang w:val="fr-FR"/>
        </w:rPr>
        <w:t>INF.23, proposition 3.3</w:t>
      </w:r>
      <w:r>
        <w:rPr>
          <w:i/>
          <w:iCs/>
          <w:lang w:val="fr-FR"/>
        </w:rPr>
        <w:t xml:space="preserve"> et </w:t>
      </w:r>
      <w:r w:rsidRPr="00714D1B">
        <w:rPr>
          <w:i/>
          <w:iCs/>
          <w:lang w:val="fr-FR"/>
        </w:rPr>
        <w:t>INF.46, proposition</w:t>
      </w:r>
      <w:r>
        <w:rPr>
          <w:i/>
          <w:iCs/>
          <w:lang w:val="fr-FR"/>
        </w:rPr>
        <w:t>s</w:t>
      </w:r>
      <w:r w:rsidRPr="00714D1B">
        <w:rPr>
          <w:i/>
          <w:iCs/>
          <w:lang w:val="fr-FR"/>
        </w:rPr>
        <w:t xml:space="preserve"> 7</w:t>
      </w:r>
      <w:r>
        <w:rPr>
          <w:i/>
          <w:iCs/>
          <w:lang w:val="fr-FR"/>
        </w:rPr>
        <w:t xml:space="preserve"> et 14</w:t>
      </w:r>
      <w:r w:rsidRPr="00714D1B">
        <w:rPr>
          <w:i/>
          <w:iCs/>
          <w:lang w:val="fr-FR"/>
        </w:rPr>
        <w:t>)</w:t>
      </w:r>
    </w:p>
    <w:p w14:paraId="115469E4" w14:textId="77777777" w:rsidR="00047B32" w:rsidRDefault="00047B32" w:rsidP="00047B32">
      <w:pPr>
        <w:spacing w:before="120" w:after="120"/>
        <w:ind w:left="2268" w:right="1134" w:hanging="1134"/>
        <w:jc w:val="both"/>
        <w:rPr>
          <w:lang w:val="fr-FR"/>
        </w:rPr>
      </w:pPr>
      <w:r>
        <w:rPr>
          <w:lang w:val="fr-FR"/>
        </w:rPr>
        <w:t>6.8.2.6.2</w:t>
      </w:r>
      <w:r>
        <w:rPr>
          <w:lang w:val="fr-FR"/>
        </w:rPr>
        <w:tab/>
        <w:t>Dans le tableau :</w:t>
      </w:r>
    </w:p>
    <w:p w14:paraId="6E6F1AD4" w14:textId="47563B63" w:rsidR="00047B32" w:rsidRDefault="00047B32" w:rsidP="00047B32">
      <w:pPr>
        <w:spacing w:before="120" w:after="120"/>
        <w:ind w:left="2268" w:right="1134" w:hanging="1134"/>
        <w:jc w:val="both"/>
        <w:rPr>
          <w:lang w:val="fr-FR"/>
        </w:rPr>
      </w:pPr>
      <w:r>
        <w:rPr>
          <w:lang w:val="fr-FR"/>
        </w:rPr>
        <w:tab/>
        <w:t>- Pour la ligne relative à la norme EN 12972:2018, en colonne 3), avant « 6.8.2.4 » ajouter « 6.8.2.3, ».</w:t>
      </w:r>
    </w:p>
    <w:p w14:paraId="37653066" w14:textId="52312ACB" w:rsidR="00047B32" w:rsidRPr="000712C1" w:rsidRDefault="00047B32" w:rsidP="00047B32">
      <w:pPr>
        <w:spacing w:before="120" w:after="120"/>
        <w:ind w:left="2268" w:right="1134" w:hanging="1134"/>
        <w:jc w:val="both"/>
        <w:rPr>
          <w:lang w:val="fr-FR"/>
        </w:rPr>
      </w:pPr>
      <w:r>
        <w:rPr>
          <w:lang w:val="fr-FR"/>
        </w:rPr>
        <w:tab/>
        <w:t xml:space="preserve">- (ADR :) </w:t>
      </w:r>
      <w:r>
        <w:rPr>
          <w:bCs/>
          <w:lang w:val="fr-FR"/>
        </w:rPr>
        <w:t>P</w:t>
      </w:r>
      <w:r w:rsidRPr="00E74938">
        <w:rPr>
          <w:bCs/>
          <w:lang w:val="fr-FR"/>
        </w:rPr>
        <w:t>our la ligne relative à la</w:t>
      </w:r>
      <w:r>
        <w:rPr>
          <w:lang w:val="fr-FR"/>
        </w:rPr>
        <w:t xml:space="preserve"> norme</w:t>
      </w:r>
      <w:r w:rsidRPr="000712C1">
        <w:rPr>
          <w:lang w:val="fr-FR"/>
        </w:rPr>
        <w:t xml:space="preserve"> </w:t>
      </w:r>
      <w:r>
        <w:rPr>
          <w:lang w:val="fr-FR"/>
        </w:rPr>
        <w:t>EN 14334:2014</w:t>
      </w:r>
      <w:r w:rsidRPr="000712C1">
        <w:rPr>
          <w:lang w:val="fr-FR"/>
        </w:rPr>
        <w:t xml:space="preserve">, dans la colonne </w:t>
      </w:r>
      <w:r>
        <w:rPr>
          <w:lang w:val="fr-FR"/>
        </w:rPr>
        <w:t>4</w:t>
      </w:r>
      <w:r w:rsidRPr="000712C1">
        <w:rPr>
          <w:lang w:val="fr-FR"/>
        </w:rPr>
        <w:t>), remplacer « Jusqu’à nouvel ordre » par « Jusqu’au 31 décembre 202</w:t>
      </w:r>
      <w:r>
        <w:rPr>
          <w:lang w:val="fr-FR"/>
        </w:rPr>
        <w:t>6</w:t>
      </w:r>
      <w:r w:rsidRPr="000712C1">
        <w:rPr>
          <w:lang w:val="fr-FR"/>
        </w:rPr>
        <w:t> ».</w:t>
      </w:r>
      <w:r>
        <w:rPr>
          <w:lang w:val="fr-FR"/>
        </w:rPr>
        <w:t xml:space="preserve"> </w:t>
      </w:r>
      <w:r>
        <w:rPr>
          <w:rFonts w:eastAsiaTheme="minorHAnsi"/>
          <w:lang w:val="fr-FR" w:eastAsia="en-US"/>
        </w:rPr>
        <w:t>Après cette ligne, ajouter la nouvelle ligne suivante :</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559"/>
        <w:gridCol w:w="1559"/>
      </w:tblGrid>
      <w:tr w:rsidR="00047B32" w:rsidRPr="000712C1" w14:paraId="614A9EBB" w14:textId="77777777">
        <w:tc>
          <w:tcPr>
            <w:tcW w:w="1985" w:type="dxa"/>
            <w:vAlign w:val="center"/>
          </w:tcPr>
          <w:p w14:paraId="3FFE9CC9" w14:textId="77777777" w:rsidR="00047B32" w:rsidRPr="000712C1" w:rsidRDefault="00047B32">
            <w:pPr>
              <w:tabs>
                <w:tab w:val="left" w:pos="1418"/>
              </w:tabs>
              <w:rPr>
                <w:szCs w:val="22"/>
                <w:lang w:val="fr-FR"/>
              </w:rPr>
            </w:pPr>
            <w:r>
              <w:rPr>
                <w:lang w:val="fr-FR"/>
              </w:rPr>
              <w:t>EN 14334:2023</w:t>
            </w:r>
          </w:p>
        </w:tc>
        <w:tc>
          <w:tcPr>
            <w:tcW w:w="3260" w:type="dxa"/>
            <w:vAlign w:val="center"/>
          </w:tcPr>
          <w:p w14:paraId="25D19BCB" w14:textId="77777777" w:rsidR="00047B32" w:rsidRDefault="00047B32">
            <w:pPr>
              <w:widowControl w:val="0"/>
              <w:tabs>
                <w:tab w:val="left" w:pos="780"/>
              </w:tabs>
              <w:ind w:right="282"/>
              <w:rPr>
                <w:iCs/>
                <w:lang w:val="fr-FR"/>
              </w:rPr>
            </w:pPr>
            <w:r w:rsidRPr="003532F5">
              <w:rPr>
                <w:iCs/>
                <w:lang w:val="fr-FR"/>
              </w:rPr>
              <w:t>Équipements pour GPL et leurs accessoires - Inspection et essais des véhicules citernes routiers pour GPL</w:t>
            </w:r>
          </w:p>
          <w:p w14:paraId="75528D3D" w14:textId="77777777" w:rsidR="00047B32" w:rsidRPr="00FC18F3" w:rsidRDefault="00047B32">
            <w:pPr>
              <w:widowControl w:val="0"/>
              <w:tabs>
                <w:tab w:val="left" w:pos="780"/>
              </w:tabs>
              <w:ind w:right="282"/>
              <w:rPr>
                <w:i/>
                <w:lang w:val="fr-FR"/>
              </w:rPr>
            </w:pPr>
            <w:r>
              <w:rPr>
                <w:i/>
                <w:lang w:val="fr-FR"/>
              </w:rPr>
              <w:t xml:space="preserve">NOTA : </w:t>
            </w:r>
            <w:r w:rsidRPr="00B66DBA">
              <w:rPr>
                <w:i/>
                <w:lang w:val="fr-FR"/>
              </w:rPr>
              <w:t xml:space="preserve">Cette norme ne doit </w:t>
            </w:r>
            <w:r>
              <w:rPr>
                <w:i/>
                <w:lang w:val="fr-FR"/>
              </w:rPr>
              <w:t>pas être</w:t>
            </w:r>
            <w:r w:rsidRPr="00B66DBA">
              <w:rPr>
                <w:i/>
                <w:lang w:val="fr-FR"/>
              </w:rPr>
              <w:t xml:space="preserve"> appliqu</w:t>
            </w:r>
            <w:r>
              <w:rPr>
                <w:i/>
                <w:lang w:val="fr-FR"/>
              </w:rPr>
              <w:t>ée</w:t>
            </w:r>
            <w:r w:rsidRPr="00B66DBA">
              <w:rPr>
                <w:i/>
                <w:lang w:val="fr-FR"/>
              </w:rPr>
              <w:t xml:space="preserve"> aux citernes fabriquées conformément à la norme EN 14025.</w:t>
            </w:r>
          </w:p>
        </w:tc>
        <w:tc>
          <w:tcPr>
            <w:tcW w:w="1559" w:type="dxa"/>
          </w:tcPr>
          <w:p w14:paraId="7B015CD6" w14:textId="77777777" w:rsidR="00047B32" w:rsidRPr="00825381" w:rsidRDefault="00047B32">
            <w:pPr>
              <w:tabs>
                <w:tab w:val="left" w:pos="1418"/>
              </w:tabs>
            </w:pPr>
            <w:r w:rsidRPr="00825381">
              <w:t>6.</w:t>
            </w:r>
            <w:r>
              <w:t>8</w:t>
            </w:r>
            <w:r w:rsidRPr="00825381">
              <w:t>.</w:t>
            </w:r>
            <w:r>
              <w:t>2</w:t>
            </w:r>
            <w:r w:rsidRPr="00825381">
              <w:t>.</w:t>
            </w:r>
            <w:r>
              <w:t>4</w:t>
            </w:r>
            <w:r w:rsidRPr="00825381">
              <w:t xml:space="preserve"> </w:t>
            </w:r>
            <w:r>
              <w:t>et</w:t>
            </w:r>
            <w:r w:rsidRPr="00825381">
              <w:t xml:space="preserve"> 6.</w:t>
            </w:r>
            <w:r>
              <w:t>8</w:t>
            </w:r>
            <w:r w:rsidRPr="00825381">
              <w:t>.3.4</w:t>
            </w:r>
            <w:r>
              <w:t>.9</w:t>
            </w:r>
          </w:p>
        </w:tc>
        <w:tc>
          <w:tcPr>
            <w:tcW w:w="1559" w:type="dxa"/>
            <w:vAlign w:val="center"/>
          </w:tcPr>
          <w:p w14:paraId="7E536B5C" w14:textId="77777777" w:rsidR="00047B32" w:rsidRPr="000712C1" w:rsidRDefault="00047B32">
            <w:pPr>
              <w:tabs>
                <w:tab w:val="left" w:pos="1418"/>
              </w:tabs>
              <w:rPr>
                <w:szCs w:val="22"/>
                <w:lang w:val="fr-FR"/>
              </w:rPr>
            </w:pPr>
            <w:r w:rsidRPr="000712C1">
              <w:rPr>
                <w:lang w:val="fr-FR"/>
              </w:rPr>
              <w:t>Jusqu’à nouvel ordre</w:t>
            </w:r>
          </w:p>
        </w:tc>
      </w:tr>
    </w:tbl>
    <w:p w14:paraId="06B864F2" w14:textId="77777777" w:rsidR="00047B32" w:rsidRPr="00714D1B" w:rsidRDefault="00047B32" w:rsidP="00047B32">
      <w:pPr>
        <w:pStyle w:val="SingleTxtG"/>
        <w:tabs>
          <w:tab w:val="clear" w:pos="2268"/>
        </w:tabs>
        <w:spacing w:before="120"/>
        <w:rPr>
          <w:i/>
          <w:iCs/>
          <w:lang w:val="fr-FR"/>
        </w:rPr>
      </w:pPr>
      <w:r w:rsidRPr="00714D1B">
        <w:rPr>
          <w:i/>
          <w:iCs/>
          <w:lang w:val="fr-FR"/>
        </w:rPr>
        <w:t>(Document de référence : document</w:t>
      </w:r>
      <w:r>
        <w:rPr>
          <w:i/>
          <w:iCs/>
          <w:lang w:val="fr-FR"/>
        </w:rPr>
        <w:t>s</w:t>
      </w:r>
      <w:r w:rsidRPr="00714D1B">
        <w:rPr>
          <w:i/>
          <w:iCs/>
          <w:lang w:val="fr-FR"/>
        </w:rPr>
        <w:t xml:space="preserve"> informel</w:t>
      </w:r>
      <w:r>
        <w:rPr>
          <w:i/>
          <w:iCs/>
          <w:lang w:val="fr-FR"/>
        </w:rPr>
        <w:t>s</w:t>
      </w:r>
      <w:r w:rsidRPr="00714D1B">
        <w:rPr>
          <w:i/>
          <w:iCs/>
          <w:lang w:val="fr-FR"/>
        </w:rPr>
        <w:t xml:space="preserve"> </w:t>
      </w:r>
      <w:r>
        <w:rPr>
          <w:i/>
          <w:iCs/>
          <w:lang w:val="fr-FR"/>
        </w:rPr>
        <w:t xml:space="preserve">INF.23, proposition 3.2 et </w:t>
      </w:r>
      <w:r w:rsidRPr="00714D1B">
        <w:rPr>
          <w:i/>
          <w:iCs/>
          <w:lang w:val="fr-FR"/>
        </w:rPr>
        <w:t xml:space="preserve">INF.46, proposition </w:t>
      </w:r>
      <w:r>
        <w:rPr>
          <w:i/>
          <w:iCs/>
          <w:lang w:val="fr-FR"/>
        </w:rPr>
        <w:t>15</w:t>
      </w:r>
      <w:r w:rsidRPr="00714D1B">
        <w:rPr>
          <w:i/>
          <w:iCs/>
          <w:lang w:val="fr-FR"/>
        </w:rPr>
        <w:t>)</w:t>
      </w:r>
    </w:p>
    <w:p w14:paraId="6B0558CD" w14:textId="77777777" w:rsidR="00047B32" w:rsidRPr="00714D1B" w:rsidRDefault="00047B32" w:rsidP="00047B32">
      <w:pPr>
        <w:spacing w:before="120" w:after="120"/>
        <w:ind w:left="2268" w:right="1134" w:hanging="1134"/>
        <w:jc w:val="both"/>
        <w:rPr>
          <w:lang w:val="fr-FR"/>
        </w:rPr>
      </w:pPr>
      <w:r w:rsidRPr="00736CDB">
        <w:rPr>
          <w:lang w:val="fr-FR"/>
        </w:rPr>
        <w:t>6.8.3.5.6</w:t>
      </w:r>
      <w:r w:rsidRPr="00736CDB">
        <w:rPr>
          <w:lang w:val="fr-FR"/>
        </w:rPr>
        <w:tab/>
        <w:t>L’amendement dans la version anglaise ne s’applique pas au texte français.</w:t>
      </w:r>
    </w:p>
    <w:p w14:paraId="472C95DA"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proposition 12)</w:t>
      </w:r>
    </w:p>
    <w:p w14:paraId="147D9CE5" w14:textId="77777777" w:rsidR="00047B32" w:rsidRDefault="00047B32" w:rsidP="00047B32">
      <w:pPr>
        <w:pStyle w:val="H23G"/>
        <w:ind w:right="1133"/>
      </w:pPr>
      <w:r>
        <w:tab/>
      </w:r>
      <w:r>
        <w:tab/>
      </w:r>
      <w:bookmarkStart w:id="238" w:name="_Toc147846000"/>
      <w:bookmarkStart w:id="239" w:name="_Toc148357386"/>
      <w:bookmarkStart w:id="240" w:name="_Toc148358450"/>
      <w:r>
        <w:t>Chapitre 7.3</w:t>
      </w:r>
      <w:bookmarkEnd w:id="238"/>
      <w:bookmarkEnd w:id="239"/>
      <w:bookmarkEnd w:id="240"/>
    </w:p>
    <w:p w14:paraId="31F8C8B8" w14:textId="77777777" w:rsidR="00047B32" w:rsidRDefault="00047B32" w:rsidP="00047B32">
      <w:pPr>
        <w:pStyle w:val="SingleTxtG"/>
        <w:ind w:left="2268" w:hanging="1134"/>
        <w:rPr>
          <w:lang w:val="fr-FR"/>
        </w:rPr>
      </w:pPr>
      <w:r>
        <w:rPr>
          <w:lang w:val="fr-FR"/>
        </w:rPr>
        <w:t>7.3.1.1</w:t>
      </w:r>
      <w:r>
        <w:rPr>
          <w:lang w:val="fr-FR"/>
        </w:rPr>
        <w:tab/>
      </w:r>
      <w:r>
        <w:rPr>
          <w:lang w:val="fr-FR"/>
        </w:rPr>
        <w:tab/>
        <w:t>Dans le dernier paragraphe, avant le nota, remplacer « </w:t>
      </w:r>
      <w:r w:rsidRPr="00F24B36">
        <w:rPr>
          <w:lang w:val="fr-FR"/>
        </w:rPr>
        <w:t>si ce type de transport</w:t>
      </w:r>
      <w:r>
        <w:rPr>
          <w:lang w:val="fr-FR"/>
        </w:rPr>
        <w:t xml:space="preserve"> </w:t>
      </w:r>
      <w:r w:rsidRPr="00F24B36">
        <w:rPr>
          <w:lang w:val="fr-FR"/>
        </w:rPr>
        <w:t xml:space="preserve">n'est pas explicitement interdit par d'autres dispositions </w:t>
      </w:r>
      <w:r>
        <w:rPr>
          <w:lang w:val="fr-FR"/>
        </w:rPr>
        <w:t>du RID/</w:t>
      </w:r>
      <w:r w:rsidRPr="00F24B36">
        <w:rPr>
          <w:lang w:val="fr-FR"/>
        </w:rPr>
        <w:t>de l'ADR</w:t>
      </w:r>
      <w:r>
        <w:rPr>
          <w:lang w:val="fr-FR"/>
        </w:rPr>
        <w:t> » par « lorsque les marchandises qu’ils ont contenues sont autorisées pour ce mode de transport » et ajouter la nouvelle phrase suivante à la fin : « </w:t>
      </w:r>
      <w:r w:rsidRPr="00F24B36">
        <w:rPr>
          <w:lang w:val="fr-FR"/>
        </w:rPr>
        <w:t xml:space="preserve">Les instructions de transport en vrac mentionnées aux colonnes (10) et (17) du tableau A </w:t>
      </w:r>
      <w:r>
        <w:rPr>
          <w:lang w:val="fr-FR"/>
        </w:rPr>
        <w:t xml:space="preserve">du chapitre 3.2 </w:t>
      </w:r>
      <w:r w:rsidRPr="00F24B36">
        <w:rPr>
          <w:lang w:val="fr-FR"/>
        </w:rPr>
        <w:t>pour ces marchandises doivent être appliquées</w:t>
      </w:r>
      <w:r>
        <w:rPr>
          <w:lang w:val="fr-FR"/>
        </w:rPr>
        <w:t>. ».</w:t>
      </w:r>
    </w:p>
    <w:p w14:paraId="30391848" w14:textId="77777777" w:rsidR="00047B32" w:rsidRDefault="00047B32" w:rsidP="00047B32">
      <w:pPr>
        <w:pStyle w:val="SingleTxtG"/>
        <w:ind w:left="2268" w:hanging="1134"/>
        <w:rPr>
          <w:i/>
          <w:iCs/>
          <w:lang w:val="fr-FR"/>
        </w:rPr>
      </w:pPr>
      <w:r w:rsidRPr="002F4EEE">
        <w:rPr>
          <w:i/>
          <w:iCs/>
          <w:lang w:val="fr-FR"/>
        </w:rPr>
        <w:lastRenderedPageBreak/>
        <w:t>(Document de référence :</w:t>
      </w:r>
      <w:r>
        <w:rPr>
          <w:i/>
          <w:iCs/>
          <w:lang w:val="fr-FR"/>
        </w:rPr>
        <w:t xml:space="preserve"> document informel INF.37 tel que modifié)</w:t>
      </w:r>
    </w:p>
    <w:p w14:paraId="1965490B" w14:textId="77777777" w:rsidR="00047B32" w:rsidRDefault="00047B32" w:rsidP="00047B32">
      <w:pPr>
        <w:spacing w:after="120"/>
        <w:ind w:left="2268" w:right="1134" w:hanging="1134"/>
        <w:jc w:val="both"/>
        <w:rPr>
          <w:iCs/>
          <w:lang w:val="fr-FR"/>
        </w:rPr>
      </w:pPr>
      <w:r>
        <w:rPr>
          <w:iCs/>
          <w:lang w:val="fr-FR"/>
        </w:rPr>
        <w:t>7.3.3.2.7</w:t>
      </w:r>
      <w:r>
        <w:rPr>
          <w:iCs/>
          <w:lang w:val="fr-FR"/>
        </w:rPr>
        <w:tab/>
        <w:t>Ajouter la nouvelle disposition AP12 suivante :</w:t>
      </w:r>
    </w:p>
    <w:p w14:paraId="5DAFD807" w14:textId="77777777" w:rsidR="00047B32" w:rsidRDefault="00047B32" w:rsidP="000616BA">
      <w:pPr>
        <w:pStyle w:val="SingleTxtG"/>
        <w:tabs>
          <w:tab w:val="clear" w:pos="1701"/>
          <w:tab w:val="clear" w:pos="2268"/>
          <w:tab w:val="clear" w:pos="2835"/>
        </w:tabs>
        <w:ind w:left="2268" w:hanging="1134"/>
        <w:rPr>
          <w:lang w:val="fr-FR"/>
        </w:rPr>
      </w:pPr>
      <w:r>
        <w:rPr>
          <w:iCs/>
          <w:lang w:val="fr-FR"/>
        </w:rPr>
        <w:t>« AP12</w:t>
      </w:r>
      <w:r>
        <w:rPr>
          <w:iCs/>
          <w:lang w:val="fr-FR"/>
        </w:rPr>
        <w:tab/>
      </w:r>
      <w:r>
        <w:rPr>
          <w:lang w:val="fr-FR"/>
        </w:rPr>
        <w:t>L</w:t>
      </w:r>
      <w:r w:rsidRPr="001B7735">
        <w:rPr>
          <w:lang w:val="fr-FR"/>
        </w:rPr>
        <w:t xml:space="preserve">es déchets </w:t>
      </w:r>
      <w:r>
        <w:rPr>
          <w:lang w:val="fr-FR"/>
        </w:rPr>
        <w:t xml:space="preserve">peuvent être transportés en vrac </w:t>
      </w:r>
      <w:r w:rsidRPr="001B7735">
        <w:rPr>
          <w:lang w:val="fr-FR"/>
        </w:rPr>
        <w:t xml:space="preserve">à condition </w:t>
      </w:r>
      <w:r>
        <w:rPr>
          <w:lang w:val="fr-FR"/>
        </w:rPr>
        <w:t>qu’ils</w:t>
      </w:r>
      <w:r w:rsidRPr="001B7735">
        <w:rPr>
          <w:lang w:val="fr-FR"/>
        </w:rPr>
        <w:t xml:space="preserve"> soient contenus dans un sac de la taille du </w:t>
      </w:r>
      <w:r>
        <w:rPr>
          <w:lang w:val="fr-FR"/>
        </w:rPr>
        <w:t>[</w:t>
      </w:r>
      <w:r w:rsidRPr="001B7735">
        <w:rPr>
          <w:lang w:val="fr-FR"/>
        </w:rPr>
        <w:t>compartiment de chargement</w:t>
      </w:r>
      <w:r>
        <w:rPr>
          <w:lang w:val="fr-FR"/>
        </w:rPr>
        <w:t>]</w:t>
      </w:r>
      <w:r w:rsidRPr="001B7735">
        <w:rPr>
          <w:lang w:val="fr-FR"/>
        </w:rPr>
        <w:t>, dénommé «</w:t>
      </w:r>
      <w:r>
        <w:rPr>
          <w:lang w:val="fr-FR"/>
        </w:rPr>
        <w:t> </w:t>
      </w:r>
      <w:r w:rsidRPr="001B7735">
        <w:rPr>
          <w:lang w:val="fr-FR"/>
        </w:rPr>
        <w:t>conteneur</w:t>
      </w:r>
      <w:r>
        <w:rPr>
          <w:lang w:val="fr-FR"/>
        </w:rPr>
        <w:t>-bag </w:t>
      </w:r>
      <w:r w:rsidRPr="001B7735">
        <w:rPr>
          <w:lang w:val="fr-FR"/>
        </w:rPr>
        <w:t>»</w:t>
      </w:r>
      <w:r>
        <w:rPr>
          <w:lang w:val="fr-FR"/>
        </w:rPr>
        <w:t>.</w:t>
      </w:r>
    </w:p>
    <w:p w14:paraId="3DFF64C0" w14:textId="434381D1" w:rsidR="00047B32" w:rsidRDefault="00047B32" w:rsidP="000616BA">
      <w:pPr>
        <w:pStyle w:val="SingleTxtG"/>
        <w:tabs>
          <w:tab w:val="clear" w:pos="1701"/>
          <w:tab w:val="clear" w:pos="2268"/>
          <w:tab w:val="clear" w:pos="2835"/>
        </w:tabs>
        <w:ind w:left="2268" w:hanging="1134"/>
        <w:rPr>
          <w:lang w:val="fr-FR"/>
        </w:rPr>
      </w:pPr>
      <w:r>
        <w:rPr>
          <w:lang w:val="fr-FR"/>
        </w:rPr>
        <w:tab/>
      </w:r>
      <w:r w:rsidRPr="001D3910">
        <w:rPr>
          <w:lang w:val="fr-FR"/>
        </w:rPr>
        <w:t>Le conteneur</w:t>
      </w:r>
      <w:r>
        <w:rPr>
          <w:lang w:val="fr-FR"/>
        </w:rPr>
        <w:t>-bag</w:t>
      </w:r>
      <w:r w:rsidRPr="001D3910">
        <w:rPr>
          <w:lang w:val="fr-FR"/>
        </w:rPr>
        <w:t xml:space="preserve"> est destiné à être chargé uniquement lorsqu’il est placé à l’intérieur d’un </w:t>
      </w:r>
      <w:r>
        <w:rPr>
          <w:lang w:val="fr-FR"/>
        </w:rPr>
        <w:t>[</w:t>
      </w:r>
      <w:r w:rsidRPr="001D3910">
        <w:rPr>
          <w:lang w:val="fr-FR"/>
        </w:rPr>
        <w:t>compartiment de chargement</w:t>
      </w:r>
      <w:r>
        <w:rPr>
          <w:lang w:val="fr-FR"/>
        </w:rPr>
        <w:t>]</w:t>
      </w:r>
      <w:r w:rsidRPr="001D3910">
        <w:rPr>
          <w:lang w:val="fr-FR"/>
        </w:rPr>
        <w:t xml:space="preserve"> en vrac à parois </w:t>
      </w:r>
      <w:r w:rsidRPr="00AA544F">
        <w:rPr>
          <w:lang w:val="fr-FR"/>
        </w:rPr>
        <w:t>rigides</w:t>
      </w:r>
      <w:r>
        <w:rPr>
          <w:lang w:val="fr-FR"/>
        </w:rPr>
        <w:t xml:space="preserve">. Il </w:t>
      </w:r>
      <w:r w:rsidRPr="00AA544F">
        <w:rPr>
          <w:lang w:val="fr-FR"/>
        </w:rPr>
        <w:t>n’est p</w:t>
      </w:r>
      <w:r w:rsidRPr="001D3910">
        <w:rPr>
          <w:lang w:val="fr-FR"/>
        </w:rPr>
        <w:t xml:space="preserve">as destiné à être manipulé ou utilisé seul à l’extérieur </w:t>
      </w:r>
      <w:r>
        <w:rPr>
          <w:lang w:val="fr-FR"/>
        </w:rPr>
        <w:t xml:space="preserve">de ce </w:t>
      </w:r>
      <w:r w:rsidR="00700E8C">
        <w:rPr>
          <w:lang w:val="fr-FR"/>
        </w:rPr>
        <w:t>[</w:t>
      </w:r>
      <w:r>
        <w:rPr>
          <w:lang w:val="fr-FR"/>
        </w:rPr>
        <w:t>compartiment</w:t>
      </w:r>
      <w:r w:rsidR="00700E8C">
        <w:rPr>
          <w:lang w:val="fr-FR"/>
        </w:rPr>
        <w:t>]</w:t>
      </w:r>
      <w:r w:rsidRPr="001D3910">
        <w:rPr>
          <w:lang w:val="fr-FR"/>
        </w:rPr>
        <w:t>.</w:t>
      </w:r>
    </w:p>
    <w:p w14:paraId="09C8FC49" w14:textId="77777777" w:rsidR="00047B32" w:rsidRDefault="00047B32" w:rsidP="000616BA">
      <w:pPr>
        <w:pStyle w:val="SingleTxtG"/>
        <w:tabs>
          <w:tab w:val="clear" w:pos="1701"/>
          <w:tab w:val="clear" w:pos="2268"/>
          <w:tab w:val="clear" w:pos="2835"/>
        </w:tabs>
        <w:ind w:left="2268" w:hanging="1134"/>
        <w:rPr>
          <w:lang w:val="fr-FR"/>
        </w:rPr>
      </w:pPr>
      <w:r>
        <w:rPr>
          <w:lang w:val="fr-FR"/>
        </w:rPr>
        <w:tab/>
        <w:t>A</w:t>
      </w:r>
      <w:r w:rsidRPr="001B7735">
        <w:rPr>
          <w:lang w:val="fr-FR"/>
        </w:rPr>
        <w:t>ux fins de la présente disposition</w:t>
      </w:r>
      <w:r>
        <w:rPr>
          <w:lang w:val="fr-FR"/>
        </w:rPr>
        <w:t>,</w:t>
      </w:r>
      <w:r w:rsidRPr="001B7735">
        <w:rPr>
          <w:lang w:val="fr-FR"/>
        </w:rPr>
        <w:t xml:space="preserve"> </w:t>
      </w:r>
      <w:r>
        <w:rPr>
          <w:lang w:val="fr-FR"/>
        </w:rPr>
        <w:t>l</w:t>
      </w:r>
      <w:r w:rsidRPr="001B7735">
        <w:rPr>
          <w:lang w:val="fr-FR"/>
        </w:rPr>
        <w:t>es conteneurs</w:t>
      </w:r>
      <w:r>
        <w:rPr>
          <w:lang w:val="fr-FR"/>
        </w:rPr>
        <w:t>-bag</w:t>
      </w:r>
      <w:r w:rsidRPr="001B7735">
        <w:rPr>
          <w:lang w:val="fr-FR"/>
        </w:rPr>
        <w:t xml:space="preserve"> doivent être </w:t>
      </w:r>
      <w:r>
        <w:rPr>
          <w:lang w:val="fr-FR"/>
        </w:rPr>
        <w:t>dotés</w:t>
      </w:r>
      <w:r w:rsidRPr="001B7735">
        <w:rPr>
          <w:lang w:val="fr-FR"/>
        </w:rPr>
        <w:t xml:space="preserve"> d'au moins deux doublures. </w:t>
      </w:r>
    </w:p>
    <w:p w14:paraId="7E832A86" w14:textId="0FD80120" w:rsidR="00047B32" w:rsidRDefault="00047B32" w:rsidP="000616BA">
      <w:pPr>
        <w:pStyle w:val="SingleTxtG"/>
        <w:tabs>
          <w:tab w:val="clear" w:pos="1701"/>
          <w:tab w:val="clear" w:pos="2268"/>
          <w:tab w:val="clear" w:pos="2835"/>
        </w:tabs>
        <w:ind w:left="2268" w:hanging="1134"/>
        <w:rPr>
          <w:lang w:val="fr-FR"/>
        </w:rPr>
      </w:pPr>
      <w:r>
        <w:rPr>
          <w:lang w:val="fr-FR"/>
        </w:rPr>
        <w:tab/>
      </w:r>
      <w:r w:rsidRPr="001B7735">
        <w:rPr>
          <w:lang w:val="fr-FR"/>
        </w:rPr>
        <w:t>La doublure intérieure doit être étanche à la poussière pour empêcher la libération de quantités dangereuses de fibres d</w:t>
      </w:r>
      <w:r>
        <w:rPr>
          <w:lang w:val="fr-FR"/>
        </w:rPr>
        <w:t>’</w:t>
      </w:r>
      <w:r w:rsidRPr="001B7735">
        <w:rPr>
          <w:lang w:val="fr-FR"/>
        </w:rPr>
        <w:t xml:space="preserve">amiante </w:t>
      </w:r>
      <w:r>
        <w:rPr>
          <w:lang w:val="fr-FR"/>
        </w:rPr>
        <w:t>durant</w:t>
      </w:r>
      <w:r w:rsidRPr="001B7735">
        <w:rPr>
          <w:lang w:val="fr-FR"/>
        </w:rPr>
        <w:t xml:space="preserve"> le transport. La doublure intérieure doit être constituée d</w:t>
      </w:r>
      <w:r>
        <w:rPr>
          <w:lang w:val="fr-FR"/>
        </w:rPr>
        <w:t>’</w:t>
      </w:r>
      <w:r w:rsidRPr="001B7735">
        <w:rPr>
          <w:lang w:val="fr-FR"/>
        </w:rPr>
        <w:t xml:space="preserve">un film de polyéthylène ou de polypropylène. </w:t>
      </w:r>
    </w:p>
    <w:p w14:paraId="090344C1" w14:textId="10D74D13" w:rsidR="00047B32" w:rsidRDefault="00047B32" w:rsidP="000616BA">
      <w:pPr>
        <w:pStyle w:val="SingleTxtG"/>
        <w:tabs>
          <w:tab w:val="clear" w:pos="1701"/>
          <w:tab w:val="clear" w:pos="2268"/>
          <w:tab w:val="clear" w:pos="2835"/>
        </w:tabs>
        <w:ind w:left="2268" w:hanging="1134"/>
        <w:rPr>
          <w:lang w:val="fr-FR"/>
        </w:rPr>
      </w:pPr>
      <w:r>
        <w:rPr>
          <w:lang w:val="fr-FR"/>
        </w:rPr>
        <w:tab/>
      </w:r>
      <w:r w:rsidRPr="001B7735">
        <w:rPr>
          <w:lang w:val="fr-FR"/>
        </w:rPr>
        <w:t xml:space="preserve">La doublure extérieure </w:t>
      </w:r>
      <w:r>
        <w:rPr>
          <w:lang w:val="fr-FR"/>
        </w:rPr>
        <w:t xml:space="preserve">est </w:t>
      </w:r>
      <w:r w:rsidRPr="001B7735">
        <w:rPr>
          <w:lang w:val="fr-FR"/>
        </w:rPr>
        <w:t xml:space="preserve">en polypropylène et munie d'un système de fermeture à glissière. </w:t>
      </w:r>
      <w:r>
        <w:rPr>
          <w:lang w:val="fr-FR"/>
        </w:rPr>
        <w:t>Elle</w:t>
      </w:r>
      <w:r w:rsidRPr="001B7735">
        <w:rPr>
          <w:lang w:val="fr-FR"/>
        </w:rPr>
        <w:t xml:space="preserve"> assure la résistance mécanique du conteneur-</w:t>
      </w:r>
      <w:r>
        <w:rPr>
          <w:lang w:val="fr-FR"/>
        </w:rPr>
        <w:t>bag</w:t>
      </w:r>
      <w:r w:rsidRPr="001B7735">
        <w:rPr>
          <w:lang w:val="fr-FR"/>
        </w:rPr>
        <w:t xml:space="preserve"> chargé de déchets aux chocs et contraintes </w:t>
      </w:r>
      <w:r>
        <w:rPr>
          <w:lang w:val="fr-FR"/>
        </w:rPr>
        <w:t xml:space="preserve">dans les conditions normales de </w:t>
      </w:r>
      <w:r w:rsidRPr="001B7735">
        <w:rPr>
          <w:lang w:val="fr-FR"/>
        </w:rPr>
        <w:t xml:space="preserve">transport, notamment lors du transfert de la </w:t>
      </w:r>
      <w:r w:rsidR="00532B3E">
        <w:rPr>
          <w:lang w:val="fr-FR"/>
        </w:rPr>
        <w:t>[</w:t>
      </w:r>
      <w:r w:rsidRPr="001B7735">
        <w:rPr>
          <w:lang w:val="fr-FR"/>
        </w:rPr>
        <w:t>benne</w:t>
      </w:r>
      <w:r w:rsidR="004A611D">
        <w:rPr>
          <w:lang w:val="fr-FR"/>
        </w:rPr>
        <w:t>]</w:t>
      </w:r>
      <w:r w:rsidRPr="001B7735">
        <w:rPr>
          <w:lang w:val="fr-FR"/>
        </w:rPr>
        <w:t xml:space="preserve"> chargée de conteneurs-</w:t>
      </w:r>
      <w:r>
        <w:rPr>
          <w:lang w:val="fr-FR"/>
        </w:rPr>
        <w:t>bag</w:t>
      </w:r>
      <w:r w:rsidRPr="001B7735">
        <w:rPr>
          <w:lang w:val="fr-FR"/>
        </w:rPr>
        <w:t xml:space="preserve"> entre </w:t>
      </w:r>
      <w:r>
        <w:rPr>
          <w:lang w:val="fr-FR"/>
        </w:rPr>
        <w:t>wagons/</w:t>
      </w:r>
      <w:r w:rsidRPr="001B7735">
        <w:rPr>
          <w:lang w:val="fr-FR"/>
        </w:rPr>
        <w:t>véhicules et entrepôts.</w:t>
      </w:r>
    </w:p>
    <w:p w14:paraId="5D714D25" w14:textId="77777777" w:rsidR="00047B32" w:rsidRPr="001B7735" w:rsidRDefault="00047B32" w:rsidP="000616BA">
      <w:pPr>
        <w:pStyle w:val="SingleTxtG"/>
        <w:tabs>
          <w:tab w:val="clear" w:pos="1701"/>
          <w:tab w:val="clear" w:pos="2268"/>
          <w:tab w:val="clear" w:pos="2835"/>
        </w:tabs>
        <w:ind w:left="2268" w:hanging="1134"/>
        <w:rPr>
          <w:lang w:val="fr-FR"/>
        </w:rPr>
      </w:pPr>
      <w:r>
        <w:rPr>
          <w:lang w:val="fr-FR"/>
        </w:rPr>
        <w:tab/>
        <w:t>Les c</w:t>
      </w:r>
      <w:r w:rsidRPr="001B7735">
        <w:rPr>
          <w:lang w:val="fr-FR"/>
        </w:rPr>
        <w:t>onteneurs-</w:t>
      </w:r>
      <w:r>
        <w:rPr>
          <w:lang w:val="fr-FR"/>
        </w:rPr>
        <w:t>bag</w:t>
      </w:r>
      <w:r w:rsidRPr="001B7735">
        <w:rPr>
          <w:lang w:val="fr-FR"/>
        </w:rPr>
        <w:t> </w:t>
      </w:r>
      <w:r>
        <w:rPr>
          <w:lang w:val="fr-FR"/>
        </w:rPr>
        <w:t>doivent</w:t>
      </w:r>
      <w:r w:rsidRPr="001B7735">
        <w:rPr>
          <w:lang w:val="fr-FR"/>
        </w:rPr>
        <w:t>:</w:t>
      </w:r>
    </w:p>
    <w:p w14:paraId="5EA964A6" w14:textId="77777777" w:rsidR="00047B32" w:rsidRPr="001B7735" w:rsidRDefault="00047B32" w:rsidP="00047B32">
      <w:pPr>
        <w:pStyle w:val="SingleTxtG"/>
        <w:tabs>
          <w:tab w:val="clear" w:pos="2268"/>
          <w:tab w:val="clear" w:pos="2835"/>
        </w:tabs>
        <w:ind w:left="2835" w:hanging="567"/>
        <w:rPr>
          <w:lang w:val="fr-FR"/>
        </w:rPr>
      </w:pPr>
      <w:r w:rsidRPr="001B7735">
        <w:rPr>
          <w:lang w:val="fr-FR"/>
        </w:rPr>
        <w:t>a)</w:t>
      </w:r>
      <w:r>
        <w:rPr>
          <w:lang w:val="fr-FR"/>
        </w:rPr>
        <w:tab/>
        <w:t>Ê</w:t>
      </w:r>
      <w:r w:rsidRPr="001B7735">
        <w:rPr>
          <w:lang w:val="fr-FR"/>
        </w:rPr>
        <w:t>tre conçu</w:t>
      </w:r>
      <w:r>
        <w:rPr>
          <w:lang w:val="fr-FR"/>
        </w:rPr>
        <w:t>s</w:t>
      </w:r>
      <w:r w:rsidRPr="001B7735">
        <w:rPr>
          <w:lang w:val="fr-FR"/>
        </w:rPr>
        <w:t xml:space="preserve"> pour résister à la perforation ou à la déchirure par les déchets ou objets contaminés en raison de leurs angles ou de leur rugosité</w:t>
      </w:r>
      <w:r>
        <w:rPr>
          <w:lang w:val="fr-FR"/>
        </w:rPr>
        <w:t> ;</w:t>
      </w:r>
    </w:p>
    <w:p w14:paraId="238716D6" w14:textId="77777777" w:rsidR="00047B32" w:rsidRDefault="00047B32" w:rsidP="00047B32">
      <w:pPr>
        <w:pStyle w:val="SingleTxtG"/>
        <w:tabs>
          <w:tab w:val="clear" w:pos="2268"/>
          <w:tab w:val="clear" w:pos="2835"/>
        </w:tabs>
        <w:ind w:left="2835" w:hanging="567"/>
        <w:rPr>
          <w:lang w:val="fr-FR"/>
        </w:rPr>
      </w:pPr>
      <w:r w:rsidRPr="001B7735">
        <w:rPr>
          <w:lang w:val="fr-FR"/>
        </w:rPr>
        <w:t>b)</w:t>
      </w:r>
      <w:r>
        <w:rPr>
          <w:lang w:val="fr-FR"/>
        </w:rPr>
        <w:tab/>
        <w:t>A</w:t>
      </w:r>
      <w:r w:rsidRPr="001B7735">
        <w:rPr>
          <w:lang w:val="fr-FR"/>
        </w:rPr>
        <w:t>voir un système de fermeture à glissière suffisamment étanche pour empêcher la libération de quantités dangereuses de fibres d'amiante pendant le transport. Les fermetures à lacets ou à rabat ne sont pas autorisées.</w:t>
      </w:r>
    </w:p>
    <w:p w14:paraId="1083E41D" w14:textId="77777777" w:rsidR="00047B32" w:rsidRDefault="00047B32" w:rsidP="00047B32">
      <w:pPr>
        <w:pStyle w:val="SingleTxtG"/>
        <w:tabs>
          <w:tab w:val="clear" w:pos="1701"/>
          <w:tab w:val="clear" w:pos="2268"/>
          <w:tab w:val="clear" w:pos="2835"/>
        </w:tabs>
        <w:ind w:left="2268" w:hanging="1134"/>
        <w:rPr>
          <w:lang w:val="fr-FR"/>
        </w:rPr>
      </w:pPr>
      <w:r>
        <w:rPr>
          <w:lang w:val="fr-FR"/>
        </w:rPr>
        <w:tab/>
      </w:r>
      <w:r w:rsidRPr="001B7735">
        <w:rPr>
          <w:lang w:val="fr-FR"/>
        </w:rPr>
        <w:t xml:space="preserve">Le </w:t>
      </w:r>
      <w:r>
        <w:rPr>
          <w:lang w:val="fr-FR"/>
        </w:rPr>
        <w:t>[</w:t>
      </w:r>
      <w:r w:rsidRPr="001B7735">
        <w:rPr>
          <w:lang w:val="fr-FR"/>
        </w:rPr>
        <w:t>compartiment de chargement</w:t>
      </w:r>
      <w:r>
        <w:rPr>
          <w:lang w:val="fr-FR"/>
        </w:rPr>
        <w:t>]</w:t>
      </w:r>
      <w:r w:rsidRPr="001B7735">
        <w:rPr>
          <w:lang w:val="fr-FR"/>
        </w:rPr>
        <w:t xml:space="preserve"> doit avoir des parois métalliques rigides d'une résistance suffisante pour l'usage auquel il est destiné. Les parois doivent être suffisamment hautes pour contenir </w:t>
      </w:r>
      <w:proofErr w:type="spellStart"/>
      <w:r w:rsidRPr="001B7735">
        <w:rPr>
          <w:lang w:val="fr-FR"/>
        </w:rPr>
        <w:t>complètement</w:t>
      </w:r>
      <w:proofErr w:type="spellEnd"/>
      <w:r w:rsidRPr="001B7735">
        <w:rPr>
          <w:lang w:val="fr-FR"/>
        </w:rPr>
        <w:t xml:space="preserve"> le conteneur-</w:t>
      </w:r>
      <w:r>
        <w:rPr>
          <w:lang w:val="fr-FR"/>
        </w:rPr>
        <w:t>bag</w:t>
      </w:r>
      <w:r w:rsidRPr="001B7735">
        <w:rPr>
          <w:lang w:val="fr-FR"/>
        </w:rPr>
        <w:t>.</w:t>
      </w:r>
      <w:r w:rsidRPr="00BD530C">
        <w:rPr>
          <w:b/>
          <w:lang w:val="fr-FR"/>
        </w:rPr>
        <w:t xml:space="preserve"> </w:t>
      </w:r>
      <w:r w:rsidRPr="00BD530C">
        <w:rPr>
          <w:lang w:val="fr-FR"/>
        </w:rPr>
        <w:t xml:space="preserve">À condition que le conteneur-bag offre une protection similaire, la bâche </w:t>
      </w:r>
      <w:r w:rsidRPr="00106A22">
        <w:rPr>
          <w:lang w:val="fr-FR"/>
        </w:rPr>
        <w:t>du wagon/véhicule</w:t>
      </w:r>
      <w:r w:rsidRPr="006C3892">
        <w:t xml:space="preserve"> </w:t>
      </w:r>
      <w:r w:rsidRPr="00BD530C">
        <w:rPr>
          <w:lang w:val="fr-FR"/>
        </w:rPr>
        <w:t>peut être supprimée lors de l'utilisation de la disposition VC1.</w:t>
      </w:r>
    </w:p>
    <w:p w14:paraId="2ED2F43E" w14:textId="6CAFE610" w:rsidR="00047B32" w:rsidRDefault="00047B32" w:rsidP="00047B32">
      <w:pPr>
        <w:pStyle w:val="SingleTxtG"/>
        <w:tabs>
          <w:tab w:val="clear" w:pos="1701"/>
          <w:tab w:val="clear" w:pos="2268"/>
          <w:tab w:val="clear" w:pos="2835"/>
        </w:tabs>
        <w:ind w:left="2268" w:hanging="1134"/>
        <w:rPr>
          <w:b/>
          <w:lang w:val="fr-FR"/>
        </w:rPr>
      </w:pPr>
      <w:r>
        <w:rPr>
          <w:lang w:val="fr-FR"/>
        </w:rPr>
        <w:tab/>
      </w:r>
      <w:r w:rsidRPr="00AA4324">
        <w:rPr>
          <w:lang w:val="fr-FR"/>
        </w:rPr>
        <w:t xml:space="preserve">Les objets contaminés par de l'amiante libre provenant </w:t>
      </w:r>
      <w:r>
        <w:rPr>
          <w:lang w:val="fr-FR"/>
        </w:rPr>
        <w:t>de structures</w:t>
      </w:r>
      <w:r w:rsidRPr="00AA4324">
        <w:rPr>
          <w:lang w:val="fr-FR"/>
        </w:rPr>
        <w:t xml:space="preserve"> ou de bâtiments endommagés, ainsi que les déchets de chantier contaminés par de l'amiante libre provenant </w:t>
      </w:r>
      <w:r>
        <w:rPr>
          <w:lang w:val="fr-FR"/>
        </w:rPr>
        <w:t>de structures</w:t>
      </w:r>
      <w:r w:rsidRPr="00AA4324">
        <w:rPr>
          <w:lang w:val="fr-FR"/>
        </w:rPr>
        <w:t xml:space="preserve"> ou de bâtiments </w:t>
      </w:r>
      <w:r>
        <w:rPr>
          <w:lang w:val="fr-FR"/>
        </w:rPr>
        <w:t>démolis ou rénovés</w:t>
      </w:r>
      <w:r w:rsidRPr="00AA4324">
        <w:rPr>
          <w:lang w:val="fr-FR"/>
        </w:rPr>
        <w:t xml:space="preserve"> tels que mentionnés à la disposition </w:t>
      </w:r>
      <w:r>
        <w:rPr>
          <w:lang w:val="fr-FR"/>
        </w:rPr>
        <w:t>spéciale</w:t>
      </w:r>
      <w:r w:rsidRPr="00AA4324">
        <w:rPr>
          <w:lang w:val="fr-FR"/>
        </w:rPr>
        <w:t xml:space="preserve"> </w:t>
      </w:r>
      <w:r>
        <w:rPr>
          <w:lang w:val="fr-FR"/>
        </w:rPr>
        <w:t>678</w:t>
      </w:r>
      <w:r w:rsidRPr="00AA4324">
        <w:rPr>
          <w:lang w:val="fr-FR"/>
        </w:rPr>
        <w:t xml:space="preserve"> b) iii), iv) et v), sont transportés dans un conteneur</w:t>
      </w:r>
      <w:r>
        <w:rPr>
          <w:lang w:val="fr-FR"/>
        </w:rPr>
        <w:t>-bag</w:t>
      </w:r>
      <w:r w:rsidRPr="00AA4324">
        <w:rPr>
          <w:lang w:val="fr-FR"/>
        </w:rPr>
        <w:t xml:space="preserve"> </w:t>
      </w:r>
      <w:r>
        <w:rPr>
          <w:lang w:val="fr-FR"/>
        </w:rPr>
        <w:t>placé dans</w:t>
      </w:r>
      <w:r w:rsidRPr="00AA4324">
        <w:rPr>
          <w:lang w:val="fr-FR"/>
        </w:rPr>
        <w:t xml:space="preserve"> un deuxième </w:t>
      </w:r>
      <w:r>
        <w:rPr>
          <w:lang w:val="fr-FR"/>
        </w:rPr>
        <w:t>conteneur-bag</w:t>
      </w:r>
      <w:r w:rsidRPr="00AA4324">
        <w:rPr>
          <w:lang w:val="fr-FR"/>
        </w:rPr>
        <w:t xml:space="preserve"> du même type. La masse totale de déchets contenus ne doit pas dépasser 7 tonnes.</w:t>
      </w:r>
    </w:p>
    <w:p w14:paraId="6DF0C1D7" w14:textId="77777777" w:rsidR="00047B32" w:rsidRDefault="00047B32" w:rsidP="00047B32">
      <w:pPr>
        <w:pStyle w:val="SingleTxtG"/>
        <w:tabs>
          <w:tab w:val="clear" w:pos="1701"/>
          <w:tab w:val="clear" w:pos="2268"/>
          <w:tab w:val="clear" w:pos="2835"/>
        </w:tabs>
        <w:ind w:left="2268" w:hanging="1134"/>
        <w:rPr>
          <w:lang w:val="fr-FR"/>
        </w:rPr>
      </w:pPr>
      <w:r>
        <w:rPr>
          <w:lang w:val="fr-FR"/>
        </w:rPr>
        <w:tab/>
      </w:r>
      <w:r w:rsidRPr="00AA4324">
        <w:rPr>
          <w:lang w:val="fr-FR"/>
        </w:rPr>
        <w:t>Dans tous les cas, la masse maximale de déchets ne doit pas dépasser la capacité spécifiée par le fabricant du conteneur-</w:t>
      </w:r>
      <w:r>
        <w:rPr>
          <w:lang w:val="fr-FR"/>
        </w:rPr>
        <w:t>bag</w:t>
      </w:r>
      <w:r w:rsidRPr="00AA4324">
        <w:rPr>
          <w:lang w:val="fr-FR"/>
        </w:rPr>
        <w:t>.</w:t>
      </w:r>
      <w:r>
        <w:rPr>
          <w:lang w:val="fr-FR"/>
        </w:rPr>
        <w:t> »</w:t>
      </w:r>
    </w:p>
    <w:p w14:paraId="484954B5"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4)</w:t>
      </w:r>
    </w:p>
    <w:p w14:paraId="40438A7B" w14:textId="35BF52B3" w:rsidR="00047B32" w:rsidRDefault="00047B32" w:rsidP="000616BA">
      <w:pPr>
        <w:pStyle w:val="H23G"/>
        <w:rPr>
          <w:lang w:val="fr-FR"/>
        </w:rPr>
      </w:pPr>
      <w:r>
        <w:rPr>
          <w:lang w:val="fr-FR"/>
        </w:rPr>
        <w:tab/>
      </w:r>
      <w:r>
        <w:rPr>
          <w:lang w:val="fr-FR"/>
        </w:rPr>
        <w:tab/>
      </w:r>
      <w:bookmarkStart w:id="241" w:name="_Toc147846001"/>
      <w:bookmarkStart w:id="242" w:name="_Toc148357387"/>
      <w:bookmarkStart w:id="243" w:name="_Toc148358451"/>
      <w:r w:rsidRPr="00E83C26">
        <w:rPr>
          <w:lang w:val="fr-FR"/>
        </w:rPr>
        <w:t>Chapitre 7.5</w:t>
      </w:r>
      <w:bookmarkEnd w:id="241"/>
      <w:bookmarkEnd w:id="242"/>
      <w:bookmarkEnd w:id="243"/>
    </w:p>
    <w:p w14:paraId="7A246BA5" w14:textId="77777777" w:rsidR="00047B32" w:rsidRDefault="00047B32" w:rsidP="00047B32">
      <w:pPr>
        <w:pStyle w:val="SingleTxtG"/>
        <w:rPr>
          <w:lang w:val="fr-FR"/>
        </w:rPr>
      </w:pPr>
      <w:r>
        <w:rPr>
          <w:lang w:val="fr-FR"/>
        </w:rPr>
        <w:t>7.5.11</w:t>
      </w:r>
      <w:r>
        <w:rPr>
          <w:lang w:val="fr-FR"/>
        </w:rPr>
        <w:tab/>
      </w:r>
      <w:r>
        <w:rPr>
          <w:lang w:val="fr-FR"/>
        </w:rPr>
        <w:tab/>
      </w:r>
      <w:r w:rsidRPr="00AA4324">
        <w:rPr>
          <w:lang w:val="fr-FR"/>
        </w:rPr>
        <w:t xml:space="preserve">Ajouter </w:t>
      </w:r>
      <w:r>
        <w:rPr>
          <w:lang w:val="fr-FR"/>
        </w:rPr>
        <w:t>la</w:t>
      </w:r>
      <w:r w:rsidRPr="00AA4324">
        <w:rPr>
          <w:lang w:val="fr-FR"/>
        </w:rPr>
        <w:t xml:space="preserve"> nouvelle disposition </w:t>
      </w:r>
      <w:r>
        <w:rPr>
          <w:lang w:val="fr-FR"/>
        </w:rPr>
        <w:t>CW38/</w:t>
      </w:r>
      <w:r w:rsidRPr="00AA4324">
        <w:rPr>
          <w:lang w:val="fr-FR"/>
        </w:rPr>
        <w:t>CV</w:t>
      </w:r>
      <w:r>
        <w:rPr>
          <w:lang w:val="fr-FR"/>
        </w:rPr>
        <w:t>38 suivante :</w:t>
      </w:r>
      <w:r w:rsidRPr="00AA4324">
        <w:rPr>
          <w:lang w:val="fr-FR"/>
        </w:rPr>
        <w:t xml:space="preserve"> </w:t>
      </w:r>
    </w:p>
    <w:p w14:paraId="62428669" w14:textId="77777777" w:rsidR="00047B32" w:rsidRPr="00AA4324" w:rsidRDefault="00047B32" w:rsidP="00047B32">
      <w:pPr>
        <w:pStyle w:val="SingleTxtG"/>
        <w:ind w:left="2268" w:hanging="1134"/>
        <w:rPr>
          <w:lang w:val="fr-FR"/>
        </w:rPr>
      </w:pPr>
      <w:r w:rsidRPr="00AA4324">
        <w:rPr>
          <w:lang w:val="fr-FR"/>
        </w:rPr>
        <w:t>«</w:t>
      </w:r>
      <w:r>
        <w:rPr>
          <w:lang w:val="fr-FR"/>
        </w:rPr>
        <w:t> CW38/</w:t>
      </w:r>
      <w:r w:rsidRPr="00AA4324">
        <w:rPr>
          <w:lang w:val="fr-FR"/>
        </w:rPr>
        <w:t>CV</w:t>
      </w:r>
      <w:r>
        <w:rPr>
          <w:lang w:val="fr-FR"/>
        </w:rPr>
        <w:t>38</w:t>
      </w:r>
      <w:r>
        <w:rPr>
          <w:lang w:val="fr-FR"/>
        </w:rPr>
        <w:tab/>
      </w:r>
      <w:r w:rsidRPr="00AA4324">
        <w:rPr>
          <w:lang w:val="fr-FR"/>
        </w:rPr>
        <w:t xml:space="preserve">Les </w:t>
      </w:r>
      <w:r>
        <w:rPr>
          <w:lang w:val="fr-FR"/>
        </w:rPr>
        <w:t>[</w:t>
      </w:r>
      <w:r w:rsidRPr="00AA4324">
        <w:rPr>
          <w:lang w:val="fr-FR"/>
        </w:rPr>
        <w:t>bennes</w:t>
      </w:r>
      <w:r>
        <w:rPr>
          <w:lang w:val="fr-FR"/>
        </w:rPr>
        <w:t>]</w:t>
      </w:r>
      <w:r w:rsidRPr="00AA4324">
        <w:rPr>
          <w:lang w:val="fr-FR"/>
        </w:rPr>
        <w:t xml:space="preserve"> ne doivent pas comporter d'arêtes vives internes (marches intérieures, etc.) susceptibles de déchirer le conteneur-</w:t>
      </w:r>
      <w:r>
        <w:rPr>
          <w:lang w:val="fr-FR"/>
        </w:rPr>
        <w:t>bag</w:t>
      </w:r>
      <w:r w:rsidRPr="00AA4324">
        <w:rPr>
          <w:lang w:val="fr-FR"/>
        </w:rPr>
        <w:t xml:space="preserve"> lors du déchargement. Les </w:t>
      </w:r>
      <w:r>
        <w:rPr>
          <w:lang w:val="fr-FR"/>
        </w:rPr>
        <w:t>[</w:t>
      </w:r>
      <w:r w:rsidRPr="00AA4324">
        <w:rPr>
          <w:lang w:val="fr-FR"/>
        </w:rPr>
        <w:t>bennes</w:t>
      </w:r>
      <w:r>
        <w:rPr>
          <w:lang w:val="fr-FR"/>
        </w:rPr>
        <w:t>]</w:t>
      </w:r>
      <w:r w:rsidRPr="00AA4324">
        <w:rPr>
          <w:lang w:val="fr-FR"/>
        </w:rPr>
        <w:t xml:space="preserve"> doivent être contrôlées avant toute opération de chargement.</w:t>
      </w:r>
    </w:p>
    <w:p w14:paraId="2D2B5285"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Les conteneurs-</w:t>
      </w:r>
      <w:r>
        <w:rPr>
          <w:lang w:val="fr-FR"/>
        </w:rPr>
        <w:t>bag</w:t>
      </w:r>
      <w:r w:rsidRPr="00AA4324">
        <w:rPr>
          <w:lang w:val="fr-FR"/>
        </w:rPr>
        <w:t xml:space="preserve"> doivent être placés dans les </w:t>
      </w:r>
      <w:r>
        <w:rPr>
          <w:lang w:val="fr-FR"/>
        </w:rPr>
        <w:t>[</w:t>
      </w:r>
      <w:r w:rsidRPr="00AA4324">
        <w:rPr>
          <w:lang w:val="fr-FR"/>
        </w:rPr>
        <w:t>bennes</w:t>
      </w:r>
      <w:r>
        <w:rPr>
          <w:lang w:val="fr-FR"/>
        </w:rPr>
        <w:t>]</w:t>
      </w:r>
      <w:r w:rsidRPr="00AA4324">
        <w:rPr>
          <w:lang w:val="fr-FR"/>
        </w:rPr>
        <w:t xml:space="preserve"> pour les opérations de transport avant toute opération de remplissage. La doublure extérieure des conteneurs-</w:t>
      </w:r>
      <w:r>
        <w:rPr>
          <w:lang w:val="fr-FR"/>
        </w:rPr>
        <w:t>bag</w:t>
      </w:r>
      <w:r w:rsidRPr="00AA4324">
        <w:rPr>
          <w:lang w:val="fr-FR"/>
        </w:rPr>
        <w:t xml:space="preserve"> doit être positionnée </w:t>
      </w:r>
      <w:proofErr w:type="gramStart"/>
      <w:r w:rsidRPr="00AA4324">
        <w:rPr>
          <w:lang w:val="fr-FR"/>
        </w:rPr>
        <w:t>de manière à ce</w:t>
      </w:r>
      <w:proofErr w:type="gramEnd"/>
      <w:r w:rsidRPr="00AA4324">
        <w:rPr>
          <w:lang w:val="fr-FR"/>
        </w:rPr>
        <w:t xml:space="preserve"> que </w:t>
      </w:r>
      <w:r>
        <w:rPr>
          <w:lang w:val="fr-FR"/>
        </w:rPr>
        <w:t>le curseur</w:t>
      </w:r>
      <w:r w:rsidRPr="00AA4324">
        <w:rPr>
          <w:lang w:val="fr-FR"/>
        </w:rPr>
        <w:t xml:space="preserve"> de</w:t>
      </w:r>
      <w:r>
        <w:rPr>
          <w:lang w:val="fr-FR"/>
        </w:rPr>
        <w:t xml:space="preserve"> la</w:t>
      </w:r>
      <w:r w:rsidRPr="00AA4324">
        <w:rPr>
          <w:lang w:val="fr-FR"/>
        </w:rPr>
        <w:t xml:space="preserve"> </w:t>
      </w:r>
      <w:r w:rsidRPr="00AA4324">
        <w:rPr>
          <w:lang w:val="fr-FR"/>
        </w:rPr>
        <w:lastRenderedPageBreak/>
        <w:t xml:space="preserve">fermeture </w:t>
      </w:r>
      <w:r>
        <w:rPr>
          <w:lang w:val="fr-FR"/>
        </w:rPr>
        <w:t>à glissière soit</w:t>
      </w:r>
      <w:r w:rsidRPr="00AA4324">
        <w:rPr>
          <w:lang w:val="fr-FR"/>
        </w:rPr>
        <w:t xml:space="preserve"> du côté avant de la </w:t>
      </w:r>
      <w:r>
        <w:rPr>
          <w:lang w:val="fr-FR"/>
        </w:rPr>
        <w:t>[</w:t>
      </w:r>
      <w:r w:rsidRPr="00AA4324">
        <w:rPr>
          <w:lang w:val="fr-FR"/>
        </w:rPr>
        <w:t>benne</w:t>
      </w:r>
      <w:r>
        <w:rPr>
          <w:lang w:val="fr-FR"/>
        </w:rPr>
        <w:t>] en position fermée</w:t>
      </w:r>
      <w:r w:rsidRPr="00AA4324">
        <w:rPr>
          <w:lang w:val="fr-FR"/>
        </w:rPr>
        <w:t>. Après remplissage, les conteneurs</w:t>
      </w:r>
      <w:r>
        <w:rPr>
          <w:lang w:val="fr-FR"/>
        </w:rPr>
        <w:t>-bag</w:t>
      </w:r>
      <w:r w:rsidRPr="00AA4324">
        <w:rPr>
          <w:lang w:val="fr-FR"/>
        </w:rPr>
        <w:t xml:space="preserve"> doivent être fermés conformément aux instructions du fabricant.</w:t>
      </w:r>
    </w:p>
    <w:p w14:paraId="72099320"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Une fois chargés, les conteneurs-</w:t>
      </w:r>
      <w:r>
        <w:rPr>
          <w:lang w:val="fr-FR"/>
        </w:rPr>
        <w:t>bag</w:t>
      </w:r>
      <w:r w:rsidRPr="00AA4324">
        <w:rPr>
          <w:lang w:val="fr-FR"/>
        </w:rPr>
        <w:t xml:space="preserve"> ne doivent pas être soulevés ni transférés d'une </w:t>
      </w:r>
      <w:r>
        <w:rPr>
          <w:lang w:val="fr-FR"/>
        </w:rPr>
        <w:t>[</w:t>
      </w:r>
      <w:r w:rsidRPr="00AA4324">
        <w:rPr>
          <w:lang w:val="fr-FR"/>
        </w:rPr>
        <w:t>benne</w:t>
      </w:r>
      <w:r>
        <w:rPr>
          <w:lang w:val="fr-FR"/>
        </w:rPr>
        <w:t>]</w:t>
      </w:r>
      <w:r w:rsidRPr="00AA4324">
        <w:rPr>
          <w:lang w:val="fr-FR"/>
        </w:rPr>
        <w:t xml:space="preserve"> à </w:t>
      </w:r>
      <w:r>
        <w:rPr>
          <w:lang w:val="fr-FR"/>
        </w:rPr>
        <w:t xml:space="preserve">une </w:t>
      </w:r>
      <w:r w:rsidRPr="00AA4324">
        <w:rPr>
          <w:lang w:val="fr-FR"/>
        </w:rPr>
        <w:t>autre. Plusieurs conteneurs-</w:t>
      </w:r>
      <w:r>
        <w:rPr>
          <w:lang w:val="fr-FR"/>
        </w:rPr>
        <w:t>bag</w:t>
      </w:r>
      <w:r w:rsidRPr="00AA4324">
        <w:rPr>
          <w:lang w:val="fr-FR"/>
        </w:rPr>
        <w:t xml:space="preserve"> remplis ne doivent pas être chargés dans la même </w:t>
      </w:r>
      <w:r>
        <w:rPr>
          <w:lang w:val="fr-FR"/>
        </w:rPr>
        <w:t>[</w:t>
      </w:r>
      <w:r w:rsidRPr="00AA4324">
        <w:rPr>
          <w:lang w:val="fr-FR"/>
        </w:rPr>
        <w:t>benne</w:t>
      </w:r>
      <w:r>
        <w:rPr>
          <w:lang w:val="fr-FR"/>
        </w:rPr>
        <w:t>]</w:t>
      </w:r>
      <w:r w:rsidRPr="00AA4324">
        <w:rPr>
          <w:lang w:val="fr-FR"/>
        </w:rPr>
        <w:t>.</w:t>
      </w:r>
    </w:p>
    <w:p w14:paraId="745E3885"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 xml:space="preserve">Après toute opération de remplissage, et après leur fermeture, les </w:t>
      </w:r>
      <w:r>
        <w:rPr>
          <w:lang w:val="fr-FR"/>
        </w:rPr>
        <w:t xml:space="preserve">surfaces externes des </w:t>
      </w:r>
      <w:r w:rsidRPr="00AA4324">
        <w:rPr>
          <w:lang w:val="fr-FR"/>
        </w:rPr>
        <w:t>conteneurs</w:t>
      </w:r>
      <w:r>
        <w:rPr>
          <w:lang w:val="fr-FR"/>
        </w:rPr>
        <w:t>-bag</w:t>
      </w:r>
      <w:r w:rsidRPr="00AA4324">
        <w:rPr>
          <w:lang w:val="fr-FR"/>
        </w:rPr>
        <w:t xml:space="preserve"> doivent être décontaminé</w:t>
      </w:r>
      <w:r>
        <w:rPr>
          <w:lang w:val="fr-FR"/>
        </w:rPr>
        <w:t>e</w:t>
      </w:r>
      <w:r w:rsidRPr="00AA4324">
        <w:rPr>
          <w:lang w:val="fr-FR"/>
        </w:rPr>
        <w:t>s.</w:t>
      </w:r>
    </w:p>
    <w:p w14:paraId="5DAB36EF" w14:textId="77777777" w:rsidR="00047B32" w:rsidRPr="00AA4324" w:rsidRDefault="00047B32" w:rsidP="00047B32">
      <w:pPr>
        <w:pStyle w:val="SingleTxtG"/>
        <w:tabs>
          <w:tab w:val="clear" w:pos="1701"/>
        </w:tabs>
        <w:ind w:left="2268" w:hanging="1134"/>
        <w:rPr>
          <w:lang w:val="fr-FR"/>
        </w:rPr>
      </w:pPr>
      <w:r>
        <w:rPr>
          <w:lang w:val="fr-FR"/>
        </w:rPr>
        <w:tab/>
      </w:r>
      <w:r w:rsidRPr="00AA4324">
        <w:rPr>
          <w:lang w:val="fr-FR"/>
        </w:rPr>
        <w:t>Le déchargement des conteneurs-</w:t>
      </w:r>
      <w:r>
        <w:rPr>
          <w:lang w:val="fr-FR"/>
        </w:rPr>
        <w:t>bag</w:t>
      </w:r>
      <w:r w:rsidRPr="00AA4324">
        <w:rPr>
          <w:lang w:val="fr-FR"/>
        </w:rPr>
        <w:t xml:space="preserve"> transportés dans des </w:t>
      </w:r>
      <w:r>
        <w:rPr>
          <w:lang w:val="fr-FR"/>
        </w:rPr>
        <w:t>[</w:t>
      </w:r>
      <w:r w:rsidRPr="00AA4324">
        <w:rPr>
          <w:lang w:val="fr-FR"/>
        </w:rPr>
        <w:t>bennes</w:t>
      </w:r>
      <w:r>
        <w:rPr>
          <w:lang w:val="fr-FR"/>
        </w:rPr>
        <w:t>]</w:t>
      </w:r>
      <w:r w:rsidRPr="00AA4324">
        <w:rPr>
          <w:lang w:val="fr-FR"/>
        </w:rPr>
        <w:t xml:space="preserve"> amovibles s'effectue avec la </w:t>
      </w:r>
      <w:r>
        <w:rPr>
          <w:lang w:val="fr-FR"/>
        </w:rPr>
        <w:t>[</w:t>
      </w:r>
      <w:r w:rsidRPr="00AA4324">
        <w:rPr>
          <w:lang w:val="fr-FR"/>
        </w:rPr>
        <w:t>benne</w:t>
      </w:r>
      <w:r>
        <w:rPr>
          <w:lang w:val="fr-FR"/>
        </w:rPr>
        <w:t>]</w:t>
      </w:r>
      <w:r w:rsidRPr="00AA4324">
        <w:rPr>
          <w:lang w:val="fr-FR"/>
        </w:rPr>
        <w:t xml:space="preserve"> posée au sol.</w:t>
      </w:r>
    </w:p>
    <w:p w14:paraId="0C6748F7" w14:textId="77777777" w:rsidR="00047B32" w:rsidRDefault="00047B32" w:rsidP="00047B32">
      <w:pPr>
        <w:pStyle w:val="SingleTxtG"/>
        <w:tabs>
          <w:tab w:val="clear" w:pos="1701"/>
        </w:tabs>
        <w:ind w:left="2268" w:hanging="1134"/>
        <w:rPr>
          <w:lang w:val="fr-FR"/>
        </w:rPr>
      </w:pPr>
      <w:r>
        <w:rPr>
          <w:lang w:val="fr-FR"/>
        </w:rPr>
        <w:tab/>
      </w:r>
      <w:r w:rsidRPr="00AA4324">
        <w:rPr>
          <w:lang w:val="fr-FR"/>
        </w:rPr>
        <w:t xml:space="preserve">Le déchargement par basculement de la </w:t>
      </w:r>
      <w:r>
        <w:rPr>
          <w:lang w:val="fr-FR"/>
        </w:rPr>
        <w:t>[</w:t>
      </w:r>
      <w:r w:rsidRPr="00AA4324">
        <w:rPr>
          <w:lang w:val="fr-FR"/>
        </w:rPr>
        <w:t>benne</w:t>
      </w:r>
      <w:r>
        <w:rPr>
          <w:lang w:val="fr-FR"/>
        </w:rPr>
        <w:t>]</w:t>
      </w:r>
      <w:r w:rsidRPr="00AA4324">
        <w:rPr>
          <w:lang w:val="fr-FR"/>
        </w:rPr>
        <w:t xml:space="preserve"> de conteneurs-</w:t>
      </w:r>
      <w:r>
        <w:rPr>
          <w:lang w:val="fr-FR"/>
        </w:rPr>
        <w:t>bag</w:t>
      </w:r>
      <w:r w:rsidRPr="00AA4324">
        <w:rPr>
          <w:lang w:val="fr-FR"/>
        </w:rPr>
        <w:t xml:space="preserve"> remplis de déchets de travaux routiers ou de sols contaminés par de l'amiante libre est autorisé, à condition de respecter un protocole de déchargement convenu conjointement entre le transporteur et le destinataire, afin d'éviter que les conteneurs-</w:t>
      </w:r>
      <w:r>
        <w:rPr>
          <w:lang w:val="fr-FR"/>
        </w:rPr>
        <w:t>bag</w:t>
      </w:r>
      <w:r w:rsidRPr="00AA4324">
        <w:rPr>
          <w:lang w:val="fr-FR"/>
        </w:rPr>
        <w:t xml:space="preserve"> ne se déchirent lors du déchargement. Le protocole doit garantir que les conteneurs-</w:t>
      </w:r>
      <w:r>
        <w:rPr>
          <w:lang w:val="fr-FR"/>
        </w:rPr>
        <w:t>bag</w:t>
      </w:r>
      <w:r w:rsidRPr="00AA4324">
        <w:rPr>
          <w:lang w:val="fr-FR"/>
        </w:rPr>
        <w:t xml:space="preserve"> ne tombent pas ou ne se </w:t>
      </w:r>
      <w:r>
        <w:rPr>
          <w:lang w:val="fr-FR"/>
        </w:rPr>
        <w:t>déchirent</w:t>
      </w:r>
      <w:r w:rsidRPr="00AA4324">
        <w:rPr>
          <w:lang w:val="fr-FR"/>
        </w:rPr>
        <w:t xml:space="preserve"> pas pendant l'opération de déchargement.</w:t>
      </w:r>
      <w:r>
        <w:rPr>
          <w:lang w:val="fr-FR"/>
        </w:rPr>
        <w:t> »</w:t>
      </w:r>
    </w:p>
    <w:p w14:paraId="7166F2E9" w14:textId="77777777" w:rsidR="00047B32" w:rsidRDefault="00047B32" w:rsidP="00047B32">
      <w:pPr>
        <w:pStyle w:val="SingleTxtG"/>
        <w:tabs>
          <w:tab w:val="clear" w:pos="2268"/>
        </w:tabs>
        <w:rPr>
          <w:i/>
          <w:iCs/>
          <w:lang w:val="fr-FR"/>
        </w:rPr>
      </w:pPr>
      <w:r w:rsidRPr="002F4EEE">
        <w:rPr>
          <w:i/>
          <w:iCs/>
          <w:lang w:val="fr-FR"/>
        </w:rPr>
        <w:t>(</w:t>
      </w:r>
      <w:r>
        <w:rPr>
          <w:i/>
          <w:iCs/>
          <w:lang w:val="fr-FR"/>
        </w:rPr>
        <w:t>R</w:t>
      </w:r>
      <w:r w:rsidRPr="002F4EEE">
        <w:rPr>
          <w:i/>
          <w:iCs/>
          <w:lang w:val="fr-FR"/>
        </w:rPr>
        <w:t>éférence :</w:t>
      </w:r>
      <w:r>
        <w:rPr>
          <w:i/>
          <w:iCs/>
          <w:lang w:val="fr-FR"/>
        </w:rPr>
        <w:t xml:space="preserve"> document informel INF.41/Rev.1, option sans définition, proposition 4)</w:t>
      </w:r>
    </w:p>
    <w:p w14:paraId="1581C3EA" w14:textId="77777777" w:rsidR="00047B32" w:rsidRDefault="00047B32" w:rsidP="00047B32">
      <w:pPr>
        <w:pStyle w:val="H23G"/>
        <w:ind w:right="1133"/>
        <w:rPr>
          <w:lang w:val="fr-FR"/>
        </w:rPr>
      </w:pPr>
      <w:r>
        <w:rPr>
          <w:lang w:val="fr-FR"/>
        </w:rPr>
        <w:tab/>
      </w:r>
      <w:r>
        <w:rPr>
          <w:lang w:val="fr-FR"/>
        </w:rPr>
        <w:tab/>
      </w:r>
      <w:bookmarkStart w:id="244" w:name="_Toc147846002"/>
      <w:bookmarkStart w:id="245" w:name="_Toc148357388"/>
      <w:bookmarkStart w:id="246" w:name="_Toc148358452"/>
      <w:r w:rsidRPr="005407AC">
        <w:rPr>
          <w:lang w:val="fr-FR"/>
        </w:rPr>
        <w:t>Document ECE/TRANS/WP.15/AC.1/202</w:t>
      </w:r>
      <w:r>
        <w:rPr>
          <w:lang w:val="fr-FR"/>
        </w:rPr>
        <w:t>3</w:t>
      </w:r>
      <w:r w:rsidRPr="005407AC">
        <w:rPr>
          <w:lang w:val="fr-FR"/>
        </w:rPr>
        <w:t>/23/</w:t>
      </w:r>
      <w:r>
        <w:rPr>
          <w:lang w:val="fr-FR"/>
        </w:rPr>
        <w:t>Add</w:t>
      </w:r>
      <w:r w:rsidRPr="005407AC">
        <w:rPr>
          <w:lang w:val="fr-FR"/>
        </w:rPr>
        <w:t xml:space="preserve">.1 adopté tel que </w:t>
      </w:r>
      <w:r>
        <w:rPr>
          <w:lang w:val="fr-FR"/>
        </w:rPr>
        <w:t>modifié</w:t>
      </w:r>
      <w:r w:rsidRPr="005407AC">
        <w:rPr>
          <w:lang w:val="fr-FR"/>
        </w:rPr>
        <w:t xml:space="preserve"> dans le</w:t>
      </w:r>
      <w:r>
        <w:rPr>
          <w:lang w:val="fr-FR"/>
        </w:rPr>
        <w:t>s</w:t>
      </w:r>
      <w:r w:rsidRPr="005407AC">
        <w:rPr>
          <w:lang w:val="fr-FR"/>
        </w:rPr>
        <w:t xml:space="preserve"> document</w:t>
      </w:r>
      <w:r>
        <w:rPr>
          <w:lang w:val="fr-FR"/>
        </w:rPr>
        <w:t>s</w:t>
      </w:r>
      <w:r w:rsidRPr="005407AC">
        <w:rPr>
          <w:lang w:val="fr-FR"/>
        </w:rPr>
        <w:t xml:space="preserve"> </w:t>
      </w:r>
      <w:r>
        <w:rPr>
          <w:lang w:val="fr-FR"/>
        </w:rPr>
        <w:t xml:space="preserve">informels </w:t>
      </w:r>
      <w:r w:rsidRPr="005407AC">
        <w:rPr>
          <w:lang w:val="fr-FR"/>
        </w:rPr>
        <w:t>INF.</w:t>
      </w:r>
      <w:r>
        <w:rPr>
          <w:lang w:val="fr-FR"/>
        </w:rPr>
        <w:t>9 et INF.16</w:t>
      </w:r>
      <w:r w:rsidRPr="005407AC">
        <w:rPr>
          <w:lang w:val="fr-FR"/>
        </w:rPr>
        <w:t xml:space="preserve"> et avec les modifications suivantes :</w:t>
      </w:r>
      <w:bookmarkEnd w:id="244"/>
      <w:bookmarkEnd w:id="245"/>
      <w:bookmarkEnd w:id="246"/>
    </w:p>
    <w:p w14:paraId="2E45B7CF" w14:textId="77777777" w:rsidR="00047B32" w:rsidRDefault="00047B32" w:rsidP="00047B32">
      <w:pPr>
        <w:pStyle w:val="H4G"/>
        <w:rPr>
          <w:lang w:val="fr-FR"/>
        </w:rPr>
      </w:pPr>
      <w:r>
        <w:rPr>
          <w:lang w:val="fr-FR"/>
        </w:rPr>
        <w:tab/>
      </w:r>
      <w:r>
        <w:rPr>
          <w:lang w:val="fr-FR"/>
        </w:rPr>
        <w:tab/>
        <w:t xml:space="preserve">Chapitre 1.1 : </w:t>
      </w:r>
    </w:p>
    <w:p w14:paraId="43A944D5" w14:textId="77777777" w:rsidR="00047B32" w:rsidRDefault="00047B32" w:rsidP="00047B32">
      <w:pPr>
        <w:pStyle w:val="SingleTxtG"/>
        <w:spacing w:before="120"/>
        <w:ind w:left="2268" w:hanging="1134"/>
        <w:rPr>
          <w:lang w:val="fr-FR"/>
        </w:rPr>
      </w:pPr>
      <w:r>
        <w:rPr>
          <w:lang w:val="fr-FR"/>
        </w:rPr>
        <w:t>1.1.3.6.3</w:t>
      </w:r>
      <w:r w:rsidRPr="00714D1B">
        <w:rPr>
          <w:lang w:val="fr-FR"/>
        </w:rPr>
        <w:tab/>
      </w:r>
      <w:r>
        <w:rPr>
          <w:lang w:val="fr-FR"/>
        </w:rPr>
        <w:t>Modifier la rédaction de l’amendement pour lire comme suit :</w:t>
      </w:r>
    </w:p>
    <w:p w14:paraId="4FC287E7" w14:textId="77777777" w:rsidR="00047B32" w:rsidRPr="000E1639" w:rsidRDefault="00047B32" w:rsidP="00047B32">
      <w:pPr>
        <w:pStyle w:val="SingleTxtG"/>
        <w:spacing w:before="120"/>
        <w:ind w:left="2268" w:hanging="1134"/>
        <w:rPr>
          <w:lang w:val="fr-FR"/>
        </w:rPr>
      </w:pPr>
      <w:r>
        <w:rPr>
          <w:lang w:val="fr-FR"/>
        </w:rPr>
        <w:t>« </w:t>
      </w:r>
      <w:r w:rsidRPr="000E1639">
        <w:rPr>
          <w:lang w:val="fr-FR"/>
        </w:rPr>
        <w:t>1.1.3.6.3</w:t>
      </w:r>
      <w:r w:rsidRPr="000E1639">
        <w:rPr>
          <w:lang w:val="fr-FR"/>
        </w:rPr>
        <w:tab/>
        <w:t xml:space="preserve">Dans le tableau : </w:t>
      </w:r>
    </w:p>
    <w:p w14:paraId="74E491AA" w14:textId="77777777" w:rsidR="00047B32" w:rsidRPr="000E1639" w:rsidRDefault="00047B32" w:rsidP="00047B32">
      <w:pPr>
        <w:pStyle w:val="SingleTxtG"/>
        <w:spacing w:before="120"/>
        <w:ind w:left="2268" w:hanging="1134"/>
        <w:rPr>
          <w:lang w:val="fr-FR"/>
        </w:rPr>
      </w:pPr>
      <w:r>
        <w:rPr>
          <w:lang w:val="fr-FR"/>
        </w:rPr>
        <w:tab/>
      </w:r>
      <w:r>
        <w:rPr>
          <w:lang w:val="fr-FR"/>
        </w:rPr>
        <w:tab/>
        <w:t xml:space="preserve">- </w:t>
      </w:r>
      <w:r w:rsidRPr="000E1639">
        <w:rPr>
          <w:lang w:val="fr-FR"/>
        </w:rPr>
        <w:t>Pour la catégorie de transport 2, dans la deuxième colonne, pour la classe 9, ajouter remplacer «</w:t>
      </w:r>
      <w:r>
        <w:rPr>
          <w:lang w:val="fr-FR"/>
        </w:rPr>
        <w:t> </w:t>
      </w:r>
      <w:r w:rsidRPr="000E1639">
        <w:rPr>
          <w:lang w:val="fr-FR"/>
        </w:rPr>
        <w:t>et 3536</w:t>
      </w:r>
      <w:r>
        <w:rPr>
          <w:lang w:val="fr-FR"/>
        </w:rPr>
        <w:t> </w:t>
      </w:r>
      <w:r w:rsidRPr="000E1639">
        <w:rPr>
          <w:lang w:val="fr-FR"/>
        </w:rPr>
        <w:t>» par «</w:t>
      </w:r>
      <w:r>
        <w:rPr>
          <w:lang w:val="fr-FR"/>
        </w:rPr>
        <w:t> </w:t>
      </w:r>
      <w:r w:rsidRPr="000E1639">
        <w:rPr>
          <w:lang w:val="fr-FR"/>
        </w:rPr>
        <w:t>, 3536, 3551</w:t>
      </w:r>
      <w:r>
        <w:rPr>
          <w:lang w:val="fr-FR"/>
        </w:rPr>
        <w:t xml:space="preserve"> et</w:t>
      </w:r>
      <w:r w:rsidRPr="000E1639">
        <w:rPr>
          <w:lang w:val="fr-FR"/>
        </w:rPr>
        <w:t xml:space="preserve"> 3552</w:t>
      </w:r>
      <w:r>
        <w:rPr>
          <w:lang w:val="fr-FR"/>
        </w:rPr>
        <w:t> </w:t>
      </w:r>
      <w:r w:rsidRPr="000E1639">
        <w:rPr>
          <w:lang w:val="fr-FR"/>
        </w:rPr>
        <w:t>»</w:t>
      </w:r>
      <w:r>
        <w:rPr>
          <w:lang w:val="fr-FR"/>
        </w:rPr>
        <w:t> </w:t>
      </w:r>
      <w:r w:rsidRPr="000E1639">
        <w:rPr>
          <w:lang w:val="fr-FR"/>
        </w:rPr>
        <w:t xml:space="preserve">; </w:t>
      </w:r>
    </w:p>
    <w:p w14:paraId="7FB52469" w14:textId="77777777" w:rsidR="00047B32" w:rsidRPr="000E1639" w:rsidRDefault="00047B32" w:rsidP="00047B32">
      <w:pPr>
        <w:pStyle w:val="SingleTxtG"/>
        <w:spacing w:before="120"/>
        <w:ind w:left="2268" w:hanging="1134"/>
        <w:rPr>
          <w:lang w:val="fr-FR"/>
        </w:rPr>
      </w:pPr>
      <w:r>
        <w:rPr>
          <w:lang w:val="fr-FR"/>
        </w:rPr>
        <w:tab/>
      </w:r>
      <w:r>
        <w:rPr>
          <w:lang w:val="fr-FR"/>
        </w:rPr>
        <w:tab/>
        <w:t xml:space="preserve">- </w:t>
      </w:r>
      <w:r w:rsidRPr="000E1639">
        <w:rPr>
          <w:lang w:val="fr-FR"/>
        </w:rPr>
        <w:t xml:space="preserve">Pour la catégorie de transport 3, dans la deuxième colonne, pour la classe 8, </w:t>
      </w:r>
      <w:r>
        <w:rPr>
          <w:lang w:val="fr-FR"/>
        </w:rPr>
        <w:t xml:space="preserve">remplacer « et 3506 » par « , 3506 et </w:t>
      </w:r>
      <w:r w:rsidRPr="000E1639">
        <w:rPr>
          <w:lang w:val="fr-FR"/>
        </w:rPr>
        <w:t>3554</w:t>
      </w:r>
      <w:r>
        <w:rPr>
          <w:lang w:val="fr-FR"/>
        </w:rPr>
        <w:t> </w:t>
      </w:r>
      <w:r w:rsidRPr="000E1639">
        <w:rPr>
          <w:lang w:val="fr-FR"/>
        </w:rPr>
        <w:t>»</w:t>
      </w:r>
      <w:r>
        <w:rPr>
          <w:lang w:val="fr-FR"/>
        </w:rPr>
        <w:t> </w:t>
      </w:r>
      <w:r w:rsidRPr="000E1639">
        <w:rPr>
          <w:lang w:val="fr-FR"/>
        </w:rPr>
        <w:t xml:space="preserve">; </w:t>
      </w:r>
    </w:p>
    <w:p w14:paraId="6342C182" w14:textId="77777777" w:rsidR="00047B32" w:rsidRDefault="00047B32" w:rsidP="00047B32">
      <w:pPr>
        <w:pStyle w:val="SingleTxtG"/>
        <w:spacing w:before="120"/>
        <w:ind w:left="2268" w:hanging="1134"/>
        <w:rPr>
          <w:lang w:val="fr-FR"/>
        </w:rPr>
      </w:pPr>
      <w:r>
        <w:rPr>
          <w:lang w:val="fr-FR"/>
        </w:rPr>
        <w:tab/>
      </w:r>
      <w:r>
        <w:rPr>
          <w:lang w:val="fr-FR"/>
        </w:rPr>
        <w:tab/>
        <w:t xml:space="preserve">- </w:t>
      </w:r>
      <w:r w:rsidRPr="000E1639">
        <w:rPr>
          <w:lang w:val="fr-FR"/>
        </w:rPr>
        <w:t xml:space="preserve">Pour la catégorie de transport 4, dans la deuxième colonne, pour la classe 9, </w:t>
      </w:r>
      <w:r>
        <w:rPr>
          <w:lang w:val="fr-FR"/>
        </w:rPr>
        <w:t xml:space="preserve">remplacer « et 3548 » par « 3548 et </w:t>
      </w:r>
      <w:r w:rsidRPr="000E1639">
        <w:rPr>
          <w:lang w:val="fr-FR"/>
        </w:rPr>
        <w:t>3559</w:t>
      </w:r>
      <w:r>
        <w:rPr>
          <w:lang w:val="fr-FR"/>
        </w:rPr>
        <w:t> </w:t>
      </w:r>
      <w:r w:rsidRPr="000E1639">
        <w:rPr>
          <w:lang w:val="fr-FR"/>
        </w:rPr>
        <w:t>».</w:t>
      </w:r>
      <w:r>
        <w:rPr>
          <w:lang w:val="fr-FR"/>
        </w:rPr>
        <w:t> »</w:t>
      </w:r>
    </w:p>
    <w:p w14:paraId="130691B0" w14:textId="77777777" w:rsidR="00047B32" w:rsidRPr="00714D1B" w:rsidRDefault="00047B32" w:rsidP="00047B32">
      <w:pPr>
        <w:pStyle w:val="H4G"/>
        <w:rPr>
          <w:lang w:val="fr-FR" w:eastAsia="fr-FR"/>
        </w:rPr>
      </w:pPr>
      <w:r w:rsidRPr="00714D1B">
        <w:rPr>
          <w:lang w:val="fr-FR" w:eastAsia="fr-FR"/>
        </w:rPr>
        <w:tab/>
      </w:r>
      <w:r w:rsidRPr="00714D1B">
        <w:rPr>
          <w:lang w:val="fr-FR" w:eastAsia="fr-FR"/>
        </w:rPr>
        <w:tab/>
        <w:t>Chapitre 1.6</w:t>
      </w:r>
    </w:p>
    <w:p w14:paraId="7E0FD145" w14:textId="77777777" w:rsidR="00047B32" w:rsidRPr="00714D1B" w:rsidRDefault="00047B32" w:rsidP="00047B32">
      <w:pPr>
        <w:pStyle w:val="SingleTxtG"/>
        <w:ind w:left="2268" w:hanging="1134"/>
        <w:rPr>
          <w:lang w:val="fr-FR"/>
        </w:rPr>
      </w:pPr>
      <w:r w:rsidRPr="00714D1B">
        <w:rPr>
          <w:lang w:val="fr-FR"/>
        </w:rPr>
        <w:t>Supprimer les nouvelles mesures transitoires 1.6.3.62 et 1.6.3.63 figurant entre crochets.</w:t>
      </w:r>
    </w:p>
    <w:p w14:paraId="3FDC3715" w14:textId="77777777" w:rsidR="00047B32" w:rsidRPr="00714D1B" w:rsidRDefault="00047B32" w:rsidP="00047B32">
      <w:pPr>
        <w:pStyle w:val="SingleTxtG"/>
        <w:ind w:left="2268" w:hanging="1134"/>
        <w:rPr>
          <w:lang w:val="fr-FR"/>
        </w:rPr>
      </w:pPr>
      <w:r w:rsidRPr="00714D1B">
        <w:rPr>
          <w:lang w:val="fr-FR"/>
        </w:rPr>
        <w:t>Supprimer les nouvelles mesures transitoires 1.6.4.66 et 1.6.4.67 figurant entre crochets.</w:t>
      </w:r>
    </w:p>
    <w:p w14:paraId="7E39F392" w14:textId="77777777" w:rsidR="00047B32" w:rsidRDefault="00047B32" w:rsidP="00047B32">
      <w:pPr>
        <w:pStyle w:val="H4G"/>
        <w:rPr>
          <w:lang w:val="fr-FR"/>
        </w:rPr>
      </w:pPr>
      <w:r>
        <w:rPr>
          <w:lang w:val="fr-FR"/>
        </w:rPr>
        <w:tab/>
      </w:r>
      <w:r>
        <w:rPr>
          <w:lang w:val="fr-FR"/>
        </w:rPr>
        <w:tab/>
        <w:t xml:space="preserve">Chapitre 3.2 : </w:t>
      </w:r>
    </w:p>
    <w:p w14:paraId="10422B2B" w14:textId="77777777" w:rsidR="00047B32" w:rsidRPr="00275A7D" w:rsidRDefault="00047B32" w:rsidP="00047B32">
      <w:pPr>
        <w:pStyle w:val="SingleTxtG"/>
        <w:spacing w:before="120"/>
        <w:ind w:left="2268" w:hanging="1134"/>
        <w:rPr>
          <w:lang w:val="fr-FR"/>
        </w:rPr>
      </w:pPr>
      <w:r w:rsidRPr="00275A7D">
        <w:rPr>
          <w:lang w:val="fr-FR"/>
        </w:rPr>
        <w:t>3.2.1</w:t>
      </w:r>
      <w:r w:rsidRPr="00275A7D">
        <w:rPr>
          <w:lang w:val="fr-FR"/>
        </w:rPr>
        <w:tab/>
      </w:r>
      <w:r w:rsidRPr="00275A7D">
        <w:rPr>
          <w:lang w:val="fr-FR"/>
        </w:rPr>
        <w:tab/>
      </w:r>
      <w:r>
        <w:rPr>
          <w:lang w:val="fr-FR"/>
        </w:rPr>
        <w:t xml:space="preserve">La modification </w:t>
      </w:r>
      <w:r w:rsidRPr="00911029">
        <w:rPr>
          <w:lang w:val="fr-FR"/>
        </w:rPr>
        <w:t>dans la version anglaise ne s’applique pas au texte français.</w:t>
      </w:r>
    </w:p>
    <w:p w14:paraId="557EBF4D" w14:textId="77777777" w:rsidR="00047B32" w:rsidRPr="00714D1B" w:rsidRDefault="00047B32" w:rsidP="00047B32">
      <w:pPr>
        <w:pStyle w:val="H4G"/>
        <w:rPr>
          <w:lang w:val="fr-FR" w:eastAsia="fr-FR"/>
        </w:rPr>
      </w:pPr>
      <w:r w:rsidRPr="00714D1B">
        <w:rPr>
          <w:lang w:val="fr-FR" w:eastAsia="fr-FR"/>
        </w:rPr>
        <w:tab/>
      </w:r>
      <w:r w:rsidRPr="00714D1B">
        <w:rPr>
          <w:lang w:val="fr-FR" w:eastAsia="fr-FR"/>
        </w:rPr>
        <w:tab/>
        <w:t>Chapitre 3.2, tableau A</w:t>
      </w:r>
    </w:p>
    <w:p w14:paraId="7A7DCD07" w14:textId="77777777" w:rsidR="00047B32" w:rsidRPr="00714D1B" w:rsidRDefault="00047B32" w:rsidP="00047B32">
      <w:pPr>
        <w:pStyle w:val="SingleTxtG"/>
        <w:ind w:left="2268" w:hanging="1134"/>
        <w:rPr>
          <w:rFonts w:eastAsia="SimSun"/>
          <w:lang w:val="fr-FR"/>
        </w:rPr>
      </w:pPr>
      <w:r w:rsidRPr="00714D1B">
        <w:rPr>
          <w:lang w:val="fr-FR"/>
        </w:rPr>
        <w:t xml:space="preserve">Pour </w:t>
      </w:r>
      <w:r w:rsidRPr="00714D1B">
        <w:rPr>
          <w:rFonts w:eastAsia="SimSun"/>
          <w:lang w:val="fr-FR"/>
        </w:rPr>
        <w:t>les Nos ONU 1391 et 3482, supprimer l’amendement entre crochets.</w:t>
      </w:r>
    </w:p>
    <w:p w14:paraId="472F8080" w14:textId="77777777" w:rsidR="00047B32" w:rsidRPr="00714D1B" w:rsidRDefault="00047B32" w:rsidP="00047B32">
      <w:pPr>
        <w:pStyle w:val="SingleTxtG"/>
        <w:ind w:left="2268" w:hanging="1134"/>
        <w:rPr>
          <w:rFonts w:eastAsia="SimSun"/>
          <w:lang w:val="fr-FR"/>
        </w:rPr>
      </w:pPr>
      <w:r w:rsidRPr="00714D1B">
        <w:rPr>
          <w:rFonts w:eastAsia="SimSun"/>
          <w:lang w:val="fr-FR"/>
        </w:rPr>
        <w:t>Pour le No ONU 1835, groupe d’emballage II, supprimer l’amendement entre crochets.</w:t>
      </w:r>
    </w:p>
    <w:p w14:paraId="04618B31" w14:textId="77777777" w:rsidR="00047B32" w:rsidRPr="00714D1B" w:rsidRDefault="00047B32" w:rsidP="00047B32">
      <w:pPr>
        <w:pStyle w:val="SingleTxtG"/>
        <w:ind w:left="2268" w:hanging="1134"/>
        <w:rPr>
          <w:rFonts w:eastAsia="SimSun"/>
          <w:lang w:val="fr-FR"/>
        </w:rPr>
      </w:pPr>
      <w:r w:rsidRPr="00714D1B">
        <w:rPr>
          <w:rFonts w:eastAsia="SimSun"/>
          <w:lang w:val="fr-FR"/>
        </w:rPr>
        <w:t>Pour le No ONU 3423 (RID et ADR), supprimer les crochets.</w:t>
      </w:r>
    </w:p>
    <w:p w14:paraId="2D257E5D" w14:textId="77777777" w:rsidR="00047B32" w:rsidRDefault="00047B32" w:rsidP="00047B32">
      <w:pPr>
        <w:pStyle w:val="SingleTxtG"/>
        <w:tabs>
          <w:tab w:val="clear" w:pos="2268"/>
        </w:tabs>
        <w:rPr>
          <w:rFonts w:eastAsia="SimSun"/>
          <w:lang w:val="fr-FR"/>
        </w:rPr>
      </w:pPr>
      <w:r w:rsidRPr="00714D1B">
        <w:rPr>
          <w:rFonts w:eastAsia="SimSun"/>
          <w:lang w:val="fr-FR"/>
        </w:rPr>
        <w:t xml:space="preserve">Pour les nouvelles rubriques </w:t>
      </w:r>
      <w:r>
        <w:rPr>
          <w:rFonts w:eastAsia="SimSun"/>
          <w:lang w:val="fr-FR"/>
        </w:rPr>
        <w:t>:</w:t>
      </w:r>
    </w:p>
    <w:p w14:paraId="126D8C08" w14:textId="07D45B4C" w:rsidR="00047B32" w:rsidRDefault="00047B32" w:rsidP="00047B32">
      <w:pPr>
        <w:pStyle w:val="SingleTxtG"/>
        <w:tabs>
          <w:tab w:val="clear" w:pos="1701"/>
          <w:tab w:val="clear" w:pos="2268"/>
        </w:tabs>
        <w:ind w:left="2268" w:hanging="1134"/>
        <w:rPr>
          <w:rFonts w:eastAsia="SimSun"/>
          <w:lang w:val="fr-FR"/>
        </w:rPr>
      </w:pPr>
      <w:r>
        <w:rPr>
          <w:rFonts w:eastAsia="SimSun"/>
          <w:lang w:val="fr-FR"/>
        </w:rPr>
        <w:tab/>
      </w:r>
      <w:r>
        <w:rPr>
          <w:lang w:val="fr-FR"/>
        </w:rPr>
        <w:t xml:space="preserve">(RID et ADR :) Pour le No ONU 0514, remplacer les informations en colonne (9b) par « MP23 ». Pour les Nos ONU </w:t>
      </w:r>
      <w:r w:rsidRPr="00FC3002">
        <w:rPr>
          <w:lang w:val="fr-FR"/>
        </w:rPr>
        <w:t>3551</w:t>
      </w:r>
      <w:r>
        <w:rPr>
          <w:lang w:val="fr-FR"/>
        </w:rPr>
        <w:t xml:space="preserve"> et</w:t>
      </w:r>
      <w:r w:rsidRPr="00FC3002">
        <w:rPr>
          <w:lang w:val="fr-FR"/>
        </w:rPr>
        <w:t xml:space="preserve"> 3552, </w:t>
      </w:r>
      <w:r>
        <w:rPr>
          <w:lang w:val="fr-FR"/>
        </w:rPr>
        <w:t>ajouter « 677 » en colonne (6).</w:t>
      </w:r>
    </w:p>
    <w:p w14:paraId="0FA1C502" w14:textId="57D18F6A" w:rsidR="00047B32" w:rsidRDefault="00047B32" w:rsidP="00047B32">
      <w:pPr>
        <w:pStyle w:val="SingleTxtG"/>
        <w:tabs>
          <w:tab w:val="clear" w:pos="1701"/>
          <w:tab w:val="clear" w:pos="2268"/>
        </w:tabs>
        <w:ind w:left="2268" w:hanging="1134"/>
        <w:rPr>
          <w:rFonts w:eastAsia="SimSun"/>
          <w:lang w:val="fr-FR"/>
        </w:rPr>
      </w:pPr>
      <w:r>
        <w:rPr>
          <w:rFonts w:eastAsia="SimSun"/>
          <w:lang w:val="fr-FR"/>
        </w:rPr>
        <w:tab/>
      </w:r>
      <w:r w:rsidRPr="00714D1B">
        <w:rPr>
          <w:rFonts w:eastAsia="SimSun"/>
          <w:lang w:val="fr-FR"/>
        </w:rPr>
        <w:t>(RID et ADR</w:t>
      </w:r>
      <w:r>
        <w:rPr>
          <w:rFonts w:eastAsia="SimSun"/>
          <w:lang w:val="fr-FR"/>
        </w:rPr>
        <w:t xml:space="preserve"> :</w:t>
      </w:r>
      <w:r w:rsidRPr="00714D1B">
        <w:rPr>
          <w:rFonts w:eastAsia="SimSun"/>
          <w:lang w:val="fr-FR"/>
        </w:rPr>
        <w:t>)</w:t>
      </w:r>
      <w:r>
        <w:rPr>
          <w:rFonts w:eastAsia="SimSun"/>
          <w:lang w:val="fr-FR"/>
        </w:rPr>
        <w:t xml:space="preserve"> Pour les Nos </w:t>
      </w:r>
      <w:r w:rsidRPr="00714D1B">
        <w:rPr>
          <w:rFonts w:eastAsia="SimSun"/>
          <w:lang w:val="fr-FR"/>
        </w:rPr>
        <w:t xml:space="preserve">ONU 3553 et 3560, </w:t>
      </w:r>
      <w:r>
        <w:rPr>
          <w:rFonts w:eastAsia="SimSun"/>
          <w:lang w:val="fr-FR"/>
        </w:rPr>
        <w:t xml:space="preserve">dans les colonnes (12) et (13), </w:t>
      </w:r>
      <w:r w:rsidRPr="00714D1B">
        <w:rPr>
          <w:rFonts w:eastAsia="SimSun"/>
          <w:lang w:val="fr-FR"/>
        </w:rPr>
        <w:t>supprimer les crochets.</w:t>
      </w:r>
    </w:p>
    <w:p w14:paraId="4C0F96BF" w14:textId="1D77B365" w:rsidR="00047B32" w:rsidRDefault="00047B32" w:rsidP="00047B32">
      <w:pPr>
        <w:pStyle w:val="SingleTxtG"/>
        <w:spacing w:before="120"/>
        <w:ind w:left="2268" w:hanging="1134"/>
        <w:rPr>
          <w:lang w:val="fr-FR"/>
        </w:rPr>
      </w:pPr>
      <w:r>
        <w:rPr>
          <w:lang w:val="fr-FR"/>
        </w:rPr>
        <w:lastRenderedPageBreak/>
        <w:tab/>
      </w:r>
      <w:r>
        <w:rPr>
          <w:lang w:val="fr-FR"/>
        </w:rPr>
        <w:tab/>
        <w:t>(ADR :) Pour le No ONU 3560, supprimer les crochets en colonne (14).</w:t>
      </w:r>
    </w:p>
    <w:p w14:paraId="0D16FFFF" w14:textId="1429F406" w:rsidR="00047B32" w:rsidRPr="00E4446F" w:rsidRDefault="00047B32" w:rsidP="00047B32">
      <w:pPr>
        <w:pStyle w:val="SingleTxtG"/>
        <w:spacing w:before="120"/>
        <w:ind w:left="2268" w:hanging="1134"/>
        <w:rPr>
          <w:lang w:val="fr-FR"/>
        </w:rPr>
      </w:pPr>
      <w:r>
        <w:rPr>
          <w:lang w:val="fr-FR"/>
        </w:rPr>
        <w:tab/>
      </w:r>
      <w:r>
        <w:rPr>
          <w:lang w:val="fr-FR"/>
        </w:rPr>
        <w:tab/>
        <w:t>(RID :) Supprimer la colonne (14).</w:t>
      </w:r>
    </w:p>
    <w:p w14:paraId="46678E9C" w14:textId="77777777" w:rsidR="00047B32" w:rsidRDefault="00047B32" w:rsidP="00047B32">
      <w:pPr>
        <w:pStyle w:val="H4G"/>
        <w:rPr>
          <w:lang w:val="fr-FR"/>
        </w:rPr>
      </w:pPr>
      <w:r>
        <w:rPr>
          <w:lang w:val="fr-FR"/>
        </w:rPr>
        <w:tab/>
      </w:r>
      <w:r>
        <w:rPr>
          <w:lang w:val="fr-FR"/>
        </w:rPr>
        <w:tab/>
        <w:t xml:space="preserve">Chapitre 3.3 : </w:t>
      </w:r>
    </w:p>
    <w:p w14:paraId="0DD6E0A0" w14:textId="77777777" w:rsidR="00047B32" w:rsidRDefault="00047B32" w:rsidP="00047B32">
      <w:pPr>
        <w:pStyle w:val="SingleTxtG"/>
        <w:spacing w:before="120"/>
        <w:ind w:left="2268" w:hanging="1134"/>
        <w:rPr>
          <w:lang w:val="fr-FR"/>
        </w:rPr>
      </w:pPr>
      <w:r>
        <w:rPr>
          <w:lang w:val="fr-FR"/>
        </w:rPr>
        <w:t>DS 400</w:t>
      </w:r>
      <w:r>
        <w:rPr>
          <w:lang w:val="fr-FR"/>
        </w:rPr>
        <w:tab/>
        <w:t>À l’alinéa a), remplacer « doit être » par « est ». À l’alinéa d), remplacer « doit pouvoir résister » par « peut résister ». À l’alinéa e), première phrase, remplacer « doivent être protégées » par « sont protégées ». À l’alinéa e), deuxième phrase, remplacer « </w:t>
      </w:r>
      <w:r>
        <w:t xml:space="preserve">doit être </w:t>
      </w:r>
      <w:r>
        <w:rPr>
          <w:lang w:val="fr-FR"/>
        </w:rPr>
        <w:t>» par « est ». À l’alinéa f), remplacer « doit contenir » par « contient ».</w:t>
      </w:r>
    </w:p>
    <w:p w14:paraId="07740776" w14:textId="77777777" w:rsidR="00047B32" w:rsidRDefault="00047B32" w:rsidP="00047B32">
      <w:pPr>
        <w:pStyle w:val="SingleTxtG"/>
        <w:spacing w:before="120"/>
        <w:ind w:left="2268" w:hanging="1134"/>
      </w:pPr>
      <w:r>
        <w:rPr>
          <w:lang w:val="fr-FR"/>
        </w:rPr>
        <w:t>DS 406</w:t>
      </w:r>
      <w:r>
        <w:rPr>
          <w:lang w:val="fr-FR"/>
        </w:rPr>
        <w:tab/>
        <w:t>Remplacer « </w:t>
      </w:r>
      <w:r w:rsidRPr="00C73773">
        <w:t>Cette rubrique peut être transportée</w:t>
      </w:r>
      <w:r>
        <w:t> » par « Les matières de cette</w:t>
      </w:r>
      <w:r w:rsidRPr="00C73773">
        <w:t xml:space="preserve"> rubrique </w:t>
      </w:r>
      <w:r>
        <w:t>peuvent</w:t>
      </w:r>
      <w:r w:rsidRPr="00C73773">
        <w:t xml:space="preserve"> être transportée</w:t>
      </w:r>
      <w:r>
        <w:t>s ».</w:t>
      </w:r>
    </w:p>
    <w:p w14:paraId="094EE93A" w14:textId="77777777" w:rsidR="00047B32" w:rsidRDefault="00047B32" w:rsidP="00047B32">
      <w:pPr>
        <w:pStyle w:val="SingleTxtG"/>
        <w:spacing w:before="120"/>
        <w:ind w:left="2268" w:hanging="1134"/>
        <w:rPr>
          <w:lang w:val="fr-FR"/>
        </w:rPr>
      </w:pPr>
      <w:r>
        <w:rPr>
          <w:lang w:val="fr-FR"/>
        </w:rPr>
        <w:t>DS 407</w:t>
      </w:r>
      <w:r>
        <w:rPr>
          <w:lang w:val="fr-FR"/>
        </w:rPr>
        <w:tab/>
        <w:t>À l’alinéa c), remplacer « doit être » par « est ». À l’alinéa d), remplacer « ne sera » par « n’est ». Dans la note de bas de page *, dans le texte français, remplacer « l’autorisation » par « l’approbation ».</w:t>
      </w:r>
    </w:p>
    <w:p w14:paraId="335601C1" w14:textId="77777777" w:rsidR="00047B32" w:rsidRDefault="00047B32" w:rsidP="00047B32">
      <w:pPr>
        <w:pStyle w:val="H4G"/>
        <w:rPr>
          <w:lang w:val="fr-FR"/>
        </w:rPr>
      </w:pPr>
      <w:r>
        <w:rPr>
          <w:lang w:val="fr-FR"/>
        </w:rPr>
        <w:tab/>
      </w:r>
      <w:r>
        <w:rPr>
          <w:lang w:val="fr-FR"/>
        </w:rPr>
        <w:tab/>
        <w:t xml:space="preserve">Chapitre 4.1 : </w:t>
      </w:r>
    </w:p>
    <w:p w14:paraId="058E1EFC" w14:textId="77777777" w:rsidR="00047B32" w:rsidRDefault="00047B32" w:rsidP="00047B32">
      <w:pPr>
        <w:pStyle w:val="SingleTxtG"/>
        <w:spacing w:before="120"/>
        <w:ind w:left="2268" w:hanging="1134"/>
        <w:rPr>
          <w:lang w:val="fr-FR"/>
        </w:rPr>
      </w:pPr>
      <w:r>
        <w:rPr>
          <w:lang w:val="fr-FR"/>
        </w:rPr>
        <w:t>4.1.4.1, P006</w:t>
      </w:r>
      <w:r>
        <w:rPr>
          <w:lang w:val="fr-FR"/>
        </w:rPr>
        <w:tab/>
        <w:t xml:space="preserve">La modification </w:t>
      </w:r>
      <w:r w:rsidRPr="00911029">
        <w:rPr>
          <w:lang w:val="fr-FR"/>
        </w:rPr>
        <w:t>dans la version anglaise ne s’applique pas au texte français.</w:t>
      </w:r>
    </w:p>
    <w:p w14:paraId="3847632B" w14:textId="77777777" w:rsidR="00047B32" w:rsidRPr="00D33BA5" w:rsidRDefault="00047B32" w:rsidP="00047B32">
      <w:pPr>
        <w:pStyle w:val="SingleTxtG"/>
        <w:spacing w:before="120"/>
        <w:ind w:left="2268" w:hanging="1134"/>
        <w:rPr>
          <w:lang w:val="fr-FR"/>
        </w:rPr>
      </w:pPr>
      <w:r w:rsidRPr="00D33BA5">
        <w:rPr>
          <w:rFonts w:eastAsiaTheme="minorHAnsi"/>
          <w:lang w:val="fr-FR" w:eastAsia="en-US"/>
        </w:rPr>
        <w:t>4.1.6.8</w:t>
      </w:r>
      <w:r w:rsidRPr="00D33BA5">
        <w:rPr>
          <w:rFonts w:eastAsiaTheme="minorHAnsi"/>
          <w:lang w:val="fr-FR" w:eastAsia="en-US"/>
        </w:rPr>
        <w:tab/>
      </w:r>
      <w:r w:rsidRPr="00D33BA5">
        <w:rPr>
          <w:lang w:val="fr-FR"/>
        </w:rPr>
        <w:tab/>
        <w:t>Dans la version française, modifier la rédaction de l’amendement pour lire :</w:t>
      </w:r>
    </w:p>
    <w:p w14:paraId="25B43640" w14:textId="77777777" w:rsidR="00047B32" w:rsidRPr="00D33BA5" w:rsidRDefault="00047B32" w:rsidP="00047B32">
      <w:pPr>
        <w:tabs>
          <w:tab w:val="left" w:pos="2268"/>
        </w:tabs>
        <w:suppressAutoHyphens/>
        <w:autoSpaceDN w:val="0"/>
        <w:spacing w:after="120"/>
        <w:ind w:left="2268" w:right="1134" w:hanging="1134"/>
        <w:jc w:val="both"/>
        <w:rPr>
          <w:rFonts w:eastAsiaTheme="minorHAnsi"/>
          <w:lang w:val="fr-FR" w:eastAsia="en-US"/>
        </w:rPr>
      </w:pPr>
      <w:r w:rsidRPr="00D33BA5">
        <w:rPr>
          <w:rFonts w:eastAsiaTheme="minorHAnsi"/>
          <w:lang w:val="fr-FR" w:eastAsia="en-US"/>
        </w:rPr>
        <w:t>« 4.1.6.8</w:t>
      </w:r>
      <w:r w:rsidRPr="00D33BA5">
        <w:rPr>
          <w:rFonts w:eastAsiaTheme="minorHAnsi"/>
          <w:lang w:val="fr-FR" w:eastAsia="en-US"/>
        </w:rPr>
        <w:tab/>
        <w:t>À l’alinéa b), remplacer « ou ouverts » par « ou par des chapeaux ouverts ». À l’alinéa d), remplacer « dans des cadres protecteurs » par « dans des cadres ». »</w:t>
      </w:r>
    </w:p>
    <w:p w14:paraId="0D91EF9F" w14:textId="77777777" w:rsidR="00047B32" w:rsidRDefault="00047B32" w:rsidP="00047B32">
      <w:pPr>
        <w:pStyle w:val="H4G"/>
        <w:rPr>
          <w:lang w:val="fr-FR"/>
        </w:rPr>
      </w:pPr>
      <w:r>
        <w:rPr>
          <w:lang w:val="fr-FR"/>
        </w:rPr>
        <w:tab/>
      </w:r>
      <w:r>
        <w:rPr>
          <w:lang w:val="fr-FR"/>
        </w:rPr>
        <w:tab/>
        <w:t xml:space="preserve">Chapitre 4.2 : </w:t>
      </w:r>
    </w:p>
    <w:p w14:paraId="32A26D58" w14:textId="77777777" w:rsidR="00047B32" w:rsidRDefault="00047B32" w:rsidP="00047B32">
      <w:pPr>
        <w:pStyle w:val="SingleTxtG"/>
        <w:spacing w:before="120"/>
        <w:ind w:left="2268" w:hanging="1134"/>
        <w:rPr>
          <w:lang w:val="fr-FR"/>
        </w:rPr>
      </w:pPr>
      <w:r>
        <w:rPr>
          <w:lang w:val="fr-FR"/>
        </w:rPr>
        <w:t>4.2.5.2.6</w:t>
      </w:r>
      <w:r>
        <w:rPr>
          <w:lang w:val="fr-FR"/>
        </w:rPr>
        <w:tab/>
        <w:t>Dans la version française, modifier la rédaction de l’amendement pour lire :</w:t>
      </w:r>
    </w:p>
    <w:p w14:paraId="1C49A6DB" w14:textId="77777777" w:rsidR="00047B32" w:rsidRDefault="00047B32" w:rsidP="00047B32">
      <w:pPr>
        <w:tabs>
          <w:tab w:val="left" w:pos="2268"/>
        </w:tabs>
        <w:suppressAutoHyphens/>
        <w:autoSpaceDN w:val="0"/>
        <w:spacing w:after="120"/>
        <w:ind w:left="2268" w:right="1134" w:hanging="1134"/>
        <w:jc w:val="both"/>
        <w:rPr>
          <w:rFonts w:eastAsiaTheme="minorHAnsi"/>
          <w:lang w:val="fr-FR" w:eastAsia="en-US"/>
        </w:rPr>
      </w:pPr>
      <w:r>
        <w:rPr>
          <w:lang w:val="fr-FR"/>
        </w:rPr>
        <w:t>« </w:t>
      </w:r>
      <w:r>
        <w:rPr>
          <w:rFonts w:eastAsiaTheme="minorHAnsi"/>
          <w:lang w:val="fr-FR" w:eastAsia="en-US"/>
        </w:rPr>
        <w:t>4.2.5.2.6</w:t>
      </w:r>
      <w:r>
        <w:rPr>
          <w:rFonts w:eastAsiaTheme="minorHAnsi"/>
          <w:lang w:val="fr-FR" w:eastAsia="en-US"/>
        </w:rPr>
        <w:tab/>
        <w:t>Dans la deuxième phrase, remplacer « l’épaisseur minimale du réservoir en PRF » par « l’épaisseur minimale du réservoir</w:t>
      </w:r>
      <w:r w:rsidRPr="00B6324F">
        <w:rPr>
          <w:rFonts w:eastAsiaTheme="minorHAnsi"/>
          <w:lang w:val="fr-FR" w:eastAsia="en-US"/>
        </w:rPr>
        <w:t xml:space="preserve"> </w:t>
      </w:r>
      <w:r>
        <w:rPr>
          <w:rFonts w:eastAsiaTheme="minorHAnsi"/>
          <w:lang w:val="fr-FR" w:eastAsia="en-US"/>
        </w:rPr>
        <w:t>pour les citernes mobiles en PRF ».</w:t>
      </w:r>
    </w:p>
    <w:p w14:paraId="5092E9E3" w14:textId="77777777" w:rsidR="00047B32" w:rsidRDefault="00047B32" w:rsidP="00047B32">
      <w:pPr>
        <w:pStyle w:val="H4G"/>
        <w:rPr>
          <w:lang w:val="fr-FR"/>
        </w:rPr>
      </w:pPr>
      <w:r>
        <w:rPr>
          <w:lang w:val="fr-FR"/>
        </w:rPr>
        <w:tab/>
      </w:r>
      <w:r>
        <w:rPr>
          <w:lang w:val="fr-FR"/>
        </w:rPr>
        <w:tab/>
        <w:t xml:space="preserve">Chapitre 7.5 : </w:t>
      </w:r>
    </w:p>
    <w:p w14:paraId="2F238A80" w14:textId="77777777" w:rsidR="00047B32" w:rsidRPr="00275A7D" w:rsidRDefault="00047B32" w:rsidP="00047B32">
      <w:pPr>
        <w:pStyle w:val="SingleTxtG"/>
        <w:spacing w:before="120"/>
        <w:ind w:left="2268" w:hanging="1134"/>
        <w:rPr>
          <w:lang w:val="fr-FR"/>
        </w:rPr>
      </w:pPr>
      <w:r>
        <w:rPr>
          <w:lang w:val="fr-FR"/>
        </w:rPr>
        <w:t>7.5.11, CV29</w:t>
      </w:r>
      <w:r w:rsidRPr="00275A7D">
        <w:rPr>
          <w:lang w:val="fr-FR"/>
        </w:rPr>
        <w:tab/>
      </w:r>
      <w:r>
        <w:rPr>
          <w:lang w:val="fr-FR"/>
        </w:rPr>
        <w:t xml:space="preserve">La modification </w:t>
      </w:r>
      <w:r w:rsidRPr="00911029">
        <w:rPr>
          <w:lang w:val="fr-FR"/>
        </w:rPr>
        <w:t>dans la version anglaise ne s’applique pas au texte français.</w:t>
      </w:r>
    </w:p>
    <w:p w14:paraId="01850C99"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w:t>
      </w:r>
      <w:r>
        <w:rPr>
          <w:i/>
          <w:iCs/>
          <w:lang w:val="fr-FR"/>
        </w:rPr>
        <w:t xml:space="preserve"> et discussion à la séance plénière</w:t>
      </w:r>
      <w:r w:rsidRPr="00714D1B">
        <w:rPr>
          <w:i/>
          <w:iCs/>
          <w:lang w:val="fr-FR"/>
        </w:rPr>
        <w:t>)</w:t>
      </w:r>
    </w:p>
    <w:p w14:paraId="6840F09E" w14:textId="77777777" w:rsidR="00047B32" w:rsidRPr="00714D1B" w:rsidRDefault="00047B32" w:rsidP="00047B32">
      <w:pPr>
        <w:pStyle w:val="H23G"/>
        <w:spacing w:line="18" w:lineRule="atLeast"/>
        <w:rPr>
          <w:lang w:val="fr-FR"/>
        </w:rPr>
      </w:pPr>
      <w:r>
        <w:rPr>
          <w:lang w:val="fr-FR"/>
        </w:rPr>
        <w:tab/>
      </w:r>
      <w:r>
        <w:rPr>
          <w:lang w:val="fr-FR"/>
        </w:rPr>
        <w:tab/>
      </w:r>
      <w:bookmarkStart w:id="247" w:name="_Toc147846003"/>
      <w:bookmarkStart w:id="248" w:name="_Toc148357389"/>
      <w:bookmarkStart w:id="249" w:name="_Toc148358453"/>
      <w:r w:rsidRPr="00714D1B">
        <w:rPr>
          <w:lang w:val="fr-FR"/>
        </w:rPr>
        <w:t>Modifications du rapport ECE/TRANS/WP.15/AC.1/16</w:t>
      </w:r>
      <w:r>
        <w:rPr>
          <w:lang w:val="fr-FR"/>
        </w:rPr>
        <w:t>6</w:t>
      </w:r>
      <w:r w:rsidRPr="00714D1B">
        <w:rPr>
          <w:lang w:val="fr-FR"/>
        </w:rPr>
        <w:t>, annexe</w:t>
      </w:r>
      <w:bookmarkEnd w:id="247"/>
      <w:bookmarkEnd w:id="248"/>
      <w:bookmarkEnd w:id="249"/>
    </w:p>
    <w:p w14:paraId="1E5BCF98" w14:textId="77777777" w:rsidR="00047B32" w:rsidRDefault="00047B32" w:rsidP="00047B32">
      <w:pPr>
        <w:pStyle w:val="SingleTxtG"/>
        <w:spacing w:before="120"/>
        <w:ind w:left="2268" w:hanging="1134"/>
        <w:rPr>
          <w:lang w:val="fr-FR"/>
        </w:rPr>
      </w:pPr>
      <w:r>
        <w:rPr>
          <w:lang w:val="fr-FR"/>
        </w:rPr>
        <w:t>Supprimer les crochets pour les amendements au chapitre 6.2 et 6.8.</w:t>
      </w:r>
    </w:p>
    <w:p w14:paraId="4337B244" w14:textId="77777777" w:rsidR="00047B32" w:rsidRPr="00714D1B" w:rsidRDefault="00047B32" w:rsidP="00047B32">
      <w:pPr>
        <w:pStyle w:val="H23G"/>
        <w:spacing w:line="18" w:lineRule="atLeast"/>
        <w:rPr>
          <w:lang w:val="fr-FR"/>
        </w:rPr>
      </w:pPr>
      <w:r w:rsidRPr="00714D1B">
        <w:rPr>
          <w:lang w:val="fr-FR"/>
        </w:rPr>
        <w:tab/>
      </w:r>
      <w:r w:rsidRPr="00714D1B">
        <w:rPr>
          <w:lang w:val="fr-FR"/>
        </w:rPr>
        <w:tab/>
      </w:r>
      <w:bookmarkStart w:id="250" w:name="_Toc147846004"/>
      <w:bookmarkStart w:id="251" w:name="_Toc148357390"/>
      <w:bookmarkStart w:id="252" w:name="_Toc148358454"/>
      <w:r w:rsidRPr="00714D1B">
        <w:rPr>
          <w:lang w:val="fr-FR"/>
        </w:rPr>
        <w:t>Modifications du rapport ECE/TRANS/WP.15/AC.1/168, annexe II</w:t>
      </w:r>
      <w:bookmarkEnd w:id="250"/>
      <w:bookmarkEnd w:id="251"/>
      <w:bookmarkEnd w:id="252"/>
    </w:p>
    <w:p w14:paraId="4ABEAF72" w14:textId="77777777" w:rsidR="00047B32" w:rsidRPr="00714D1B" w:rsidRDefault="00047B32" w:rsidP="00047B32">
      <w:pPr>
        <w:pStyle w:val="SingleTxtG"/>
        <w:spacing w:line="18" w:lineRule="atLeast"/>
        <w:ind w:left="2268" w:hanging="1134"/>
        <w:rPr>
          <w:lang w:val="fr-FR"/>
        </w:rPr>
      </w:pPr>
      <w:r w:rsidRPr="00714D1B">
        <w:rPr>
          <w:lang w:val="fr-FR"/>
        </w:rPr>
        <w:t xml:space="preserve">1.6.3.xx et 1.6.4.xx </w:t>
      </w:r>
      <w:r w:rsidRPr="00714D1B">
        <w:rPr>
          <w:lang w:val="fr-FR"/>
        </w:rPr>
        <w:tab/>
        <w:t>Supprimer les crochets.</w:t>
      </w:r>
    </w:p>
    <w:p w14:paraId="105D92F7" w14:textId="77777777" w:rsidR="00047B32" w:rsidRPr="00714D1B" w:rsidRDefault="00047B32" w:rsidP="00047B32">
      <w:pPr>
        <w:pStyle w:val="SingleTxtG"/>
        <w:ind w:left="2268" w:hanging="1134"/>
        <w:rPr>
          <w:i/>
          <w:iCs/>
          <w:lang w:val="fr-FR"/>
        </w:rPr>
      </w:pPr>
      <w:r w:rsidRPr="00714D1B">
        <w:rPr>
          <w:i/>
          <w:iCs/>
          <w:lang w:val="fr-FR"/>
        </w:rPr>
        <w:t>(Document de référence : document informel INF.46, point 1)</w:t>
      </w:r>
    </w:p>
    <w:p w14:paraId="70DBCC71" w14:textId="77777777" w:rsidR="00047B32" w:rsidRPr="00714D1B" w:rsidRDefault="00047B32" w:rsidP="00047B32">
      <w:pPr>
        <w:pStyle w:val="SingleTxtG"/>
        <w:spacing w:line="18" w:lineRule="atLeast"/>
        <w:ind w:left="2268" w:hanging="1134"/>
        <w:rPr>
          <w:lang w:val="fr-FR"/>
        </w:rPr>
      </w:pPr>
      <w:r w:rsidRPr="00714D1B">
        <w:rPr>
          <w:lang w:val="fr-FR"/>
        </w:rPr>
        <w:t>6.8.2.2.11</w:t>
      </w:r>
      <w:r w:rsidRPr="00714D1B">
        <w:rPr>
          <w:lang w:val="fr-FR"/>
        </w:rPr>
        <w:tab/>
        <w:t>Supprimer les crochets et modifier la version française pour lire comme suit :</w:t>
      </w:r>
    </w:p>
    <w:p w14:paraId="3B3F0C87" w14:textId="77777777" w:rsidR="00047B32" w:rsidRPr="00714D1B" w:rsidRDefault="00047B32" w:rsidP="00047B32">
      <w:pPr>
        <w:pStyle w:val="SingleTxtG"/>
        <w:spacing w:line="18" w:lineRule="atLeast"/>
        <w:ind w:left="2268" w:hanging="1134"/>
        <w:rPr>
          <w:lang w:val="fr-FR"/>
        </w:rPr>
      </w:pPr>
      <w:r w:rsidRPr="00714D1B">
        <w:rPr>
          <w:lang w:val="fr-FR"/>
        </w:rPr>
        <w:t>« 6.8.2.2.11</w:t>
      </w:r>
      <w:r w:rsidRPr="00714D1B">
        <w:rPr>
          <w:lang w:val="fr-FR"/>
        </w:rPr>
        <w:tab/>
        <w:t>Modifier pour lire comme suit :</w:t>
      </w:r>
    </w:p>
    <w:p w14:paraId="7CD06C15" w14:textId="77777777" w:rsidR="00047B32" w:rsidRPr="00714D1B" w:rsidRDefault="00047B32" w:rsidP="00047B32">
      <w:pPr>
        <w:pStyle w:val="SingleTxtG"/>
        <w:spacing w:line="18" w:lineRule="atLeast"/>
        <w:ind w:left="2268" w:hanging="1134"/>
        <w:rPr>
          <w:lang w:val="fr-FR"/>
        </w:rPr>
      </w:pPr>
      <w:r w:rsidRPr="00714D1B">
        <w:rPr>
          <w:lang w:val="fr-FR"/>
        </w:rPr>
        <w:t>« 6.8.2.2.11</w:t>
      </w:r>
      <w:r w:rsidRPr="00714D1B">
        <w:rPr>
          <w:lang w:val="fr-FR"/>
        </w:rPr>
        <w:tab/>
        <w:t>Les jauges de niveau ne doivent ni faire partie des réservoirs, ni être montées sur ces derniers</w:t>
      </w:r>
      <w:r>
        <w:rPr>
          <w:lang w:val="fr-FR"/>
        </w:rPr>
        <w:t>,</w:t>
      </w:r>
      <w:r w:rsidRPr="00714D1B">
        <w:rPr>
          <w:lang w:val="fr-FR"/>
        </w:rPr>
        <w:t xml:space="preserve"> si elles comportent un matériau transparent pouvant, à tout moment, entrer en contact direct avec la matière transportée dans le réservoir. »</w:t>
      </w:r>
    </w:p>
    <w:p w14:paraId="62CF680C" w14:textId="77777777" w:rsidR="00047B32" w:rsidRDefault="00047B32" w:rsidP="00047B32">
      <w:pPr>
        <w:pStyle w:val="SingleTxtG"/>
        <w:ind w:left="2268" w:hanging="1134"/>
        <w:rPr>
          <w:i/>
          <w:iCs/>
          <w:lang w:val="fr-FR"/>
        </w:rPr>
      </w:pPr>
      <w:r w:rsidRPr="00714D1B">
        <w:rPr>
          <w:i/>
          <w:iCs/>
          <w:lang w:val="fr-FR"/>
        </w:rPr>
        <w:t>(Document de référence : document informel INF.46</w:t>
      </w:r>
      <w:r>
        <w:rPr>
          <w:i/>
          <w:iCs/>
          <w:lang w:val="fr-FR"/>
        </w:rPr>
        <w:t>, point 1</w:t>
      </w:r>
      <w:r w:rsidRPr="00714D1B">
        <w:rPr>
          <w:i/>
          <w:iCs/>
          <w:lang w:val="fr-FR"/>
        </w:rPr>
        <w:t>)</w:t>
      </w:r>
    </w:p>
    <w:p w14:paraId="7357E169" w14:textId="77777777" w:rsidR="00772A71" w:rsidRDefault="00772A71" w:rsidP="00772A71">
      <w:pPr>
        <w:spacing w:after="200" w:line="276" w:lineRule="auto"/>
        <w:rPr>
          <w:b/>
          <w:sz w:val="28"/>
          <w:lang w:val="fr-FR"/>
        </w:rPr>
      </w:pPr>
      <w:r>
        <w:rPr>
          <w:lang w:val="fr-FR"/>
        </w:rPr>
        <w:br w:type="page"/>
      </w:r>
    </w:p>
    <w:p w14:paraId="0D6F6798" w14:textId="424328C1" w:rsidR="00772A71" w:rsidRDefault="00772A71" w:rsidP="00772A71">
      <w:pPr>
        <w:pStyle w:val="HChG"/>
        <w:rPr>
          <w:lang w:val="fr-FR"/>
        </w:rPr>
      </w:pPr>
      <w:bookmarkStart w:id="253" w:name="_Toc147830542"/>
      <w:bookmarkStart w:id="254" w:name="_Toc147846005"/>
      <w:bookmarkStart w:id="255" w:name="_Toc148357391"/>
      <w:bookmarkStart w:id="256" w:name="_Toc148358455"/>
      <w:r>
        <w:rPr>
          <w:lang w:val="fr-FR"/>
        </w:rPr>
        <w:lastRenderedPageBreak/>
        <w:t>Annexe III</w:t>
      </w:r>
      <w:bookmarkEnd w:id="253"/>
      <w:bookmarkEnd w:id="254"/>
      <w:bookmarkEnd w:id="255"/>
      <w:bookmarkEnd w:id="256"/>
    </w:p>
    <w:p w14:paraId="49D78F77" w14:textId="0E9BECE2" w:rsidR="00047B32" w:rsidRPr="008B3506" w:rsidRDefault="00047B32" w:rsidP="00047B32">
      <w:pPr>
        <w:pStyle w:val="H1G"/>
        <w:ind w:right="1133"/>
        <w:rPr>
          <w:b w:val="0"/>
          <w:bCs/>
          <w:lang w:val="fr-FR"/>
        </w:rPr>
      </w:pPr>
      <w:r>
        <w:rPr>
          <w:lang w:val="fr-FR"/>
        </w:rPr>
        <w:tab/>
      </w:r>
      <w:bookmarkStart w:id="257" w:name="_Toc147830543"/>
      <w:bookmarkStart w:id="258" w:name="_Toc147846006"/>
      <w:r>
        <w:rPr>
          <w:lang w:val="fr-FR"/>
        </w:rPr>
        <w:tab/>
      </w:r>
      <w:bookmarkStart w:id="259" w:name="_Toc148357392"/>
      <w:bookmarkStart w:id="260" w:name="_Toc148358456"/>
      <w:r>
        <w:rPr>
          <w:lang w:val="fr-FR"/>
        </w:rPr>
        <w:t xml:space="preserve">Projet d’amendements </w:t>
      </w:r>
      <w:r w:rsidR="00E362D8" w:rsidRPr="000616BA">
        <w:rPr>
          <w:szCs w:val="24"/>
          <w:lang w:val="fr-FR"/>
        </w:rPr>
        <w:t>au RID, à l’ADR et à l’ADN pour entrée en vigueur le 1</w:t>
      </w:r>
      <w:r w:rsidR="00E362D8" w:rsidRPr="000616BA">
        <w:rPr>
          <w:szCs w:val="24"/>
          <w:vertAlign w:val="superscript"/>
          <w:lang w:val="fr-FR"/>
        </w:rPr>
        <w:t>er</w:t>
      </w:r>
      <w:r w:rsidR="00E362D8" w:rsidRPr="000616BA">
        <w:rPr>
          <w:szCs w:val="24"/>
          <w:lang w:val="fr-FR"/>
        </w:rPr>
        <w:t> janvier 2025</w:t>
      </w:r>
      <w:r w:rsidR="00E362D8">
        <w:rPr>
          <w:sz w:val="28"/>
          <w:szCs w:val="28"/>
          <w:lang w:val="fr-FR"/>
        </w:rPr>
        <w:t xml:space="preserve"> </w:t>
      </w:r>
      <w:r>
        <w:rPr>
          <w:lang w:val="fr-FR"/>
        </w:rPr>
        <w:t xml:space="preserve">pour examen et finalisation par la </w:t>
      </w:r>
      <w:r w:rsidRPr="008A7BD0">
        <w:rPr>
          <w:lang w:val="fr-FR"/>
        </w:rPr>
        <w:t>Commission d’experts du RID</w:t>
      </w:r>
      <w:r>
        <w:rPr>
          <w:lang w:val="fr-FR"/>
        </w:rPr>
        <w:t>,</w:t>
      </w:r>
      <w:r w:rsidRPr="008A7BD0">
        <w:rPr>
          <w:lang w:val="fr-FR"/>
        </w:rPr>
        <w:t xml:space="preserve"> </w:t>
      </w:r>
      <w:r>
        <w:rPr>
          <w:lang w:val="fr-FR"/>
        </w:rPr>
        <w:t>le</w:t>
      </w:r>
      <w:r w:rsidRPr="008A7BD0">
        <w:rPr>
          <w:lang w:val="fr-FR"/>
        </w:rPr>
        <w:t xml:space="preserve"> Groupe de travail des transports de marchandises dangereuses</w:t>
      </w:r>
      <w:r>
        <w:rPr>
          <w:lang w:val="fr-FR"/>
        </w:rPr>
        <w:t xml:space="preserve"> et le </w:t>
      </w:r>
      <w:r w:rsidRPr="00A475C9">
        <w:rPr>
          <w:rFonts w:ascii="Times New Roman Bold" w:hAnsi="Times New Roman Bold"/>
          <w:spacing w:val="4"/>
          <w:lang w:val="fr-FR"/>
        </w:rPr>
        <w:t>Comité de sécurité de l’ADN</w:t>
      </w:r>
      <w:bookmarkEnd w:id="257"/>
      <w:bookmarkEnd w:id="258"/>
      <w:bookmarkEnd w:id="259"/>
      <w:bookmarkEnd w:id="260"/>
    </w:p>
    <w:p w14:paraId="6DA7B2C7" w14:textId="77777777" w:rsidR="00047B32" w:rsidRDefault="00047B32" w:rsidP="00047B32">
      <w:pPr>
        <w:pStyle w:val="H23G"/>
        <w:ind w:right="1133"/>
      </w:pPr>
      <w:r>
        <w:tab/>
      </w:r>
      <w:r>
        <w:tab/>
      </w:r>
      <w:bookmarkStart w:id="261" w:name="_Toc147846007"/>
      <w:bookmarkStart w:id="262" w:name="_Toc148357393"/>
      <w:bookmarkStart w:id="263" w:name="_Toc148358457"/>
      <w:r>
        <w:t>Chapitre 4.1</w:t>
      </w:r>
      <w:bookmarkEnd w:id="261"/>
      <w:bookmarkEnd w:id="262"/>
      <w:bookmarkEnd w:id="263"/>
    </w:p>
    <w:p w14:paraId="5582615F" w14:textId="77777777" w:rsidR="00047B32" w:rsidRPr="00BC2093" w:rsidRDefault="00047B32" w:rsidP="00047B32">
      <w:pPr>
        <w:pStyle w:val="SingleTxtG"/>
        <w:spacing w:before="120"/>
        <w:rPr>
          <w:lang w:val="fr-FR"/>
        </w:rPr>
      </w:pPr>
      <w:r>
        <w:rPr>
          <w:lang w:val="fr-FR"/>
        </w:rPr>
        <w:t>[4.1.1.5</w:t>
      </w:r>
      <w:r>
        <w:rPr>
          <w:lang w:val="fr-FR"/>
        </w:rPr>
        <w:tab/>
        <w:t xml:space="preserve">Ajouter le nouveau </w:t>
      </w:r>
      <w:r w:rsidRPr="00BC2093">
        <w:rPr>
          <w:lang w:val="fr-FR"/>
        </w:rPr>
        <w:t>4.1.1.</w:t>
      </w:r>
      <w:r>
        <w:rPr>
          <w:lang w:val="fr-FR"/>
        </w:rPr>
        <w:t>5.3</w:t>
      </w:r>
      <w:r w:rsidRPr="00BC2093">
        <w:rPr>
          <w:lang w:val="fr-FR"/>
        </w:rPr>
        <w:t xml:space="preserve"> suivant</w:t>
      </w:r>
      <w:r>
        <w:rPr>
          <w:lang w:val="fr-FR"/>
        </w:rPr>
        <w:t> </w:t>
      </w:r>
      <w:r w:rsidRPr="00BC2093">
        <w:rPr>
          <w:lang w:val="fr-FR"/>
        </w:rPr>
        <w:t>:</w:t>
      </w:r>
    </w:p>
    <w:p w14:paraId="05DE54B4" w14:textId="77777777" w:rsidR="00047B32" w:rsidRPr="00B81B99" w:rsidRDefault="00047B32" w:rsidP="00047B32">
      <w:pPr>
        <w:pStyle w:val="SingleTxtG"/>
        <w:ind w:left="2268" w:hanging="1134"/>
        <w:rPr>
          <w:lang w:val="fr-FR"/>
        </w:rPr>
      </w:pPr>
      <w:r>
        <w:rPr>
          <w:lang w:val="fr-FR"/>
        </w:rPr>
        <w:t>« </w:t>
      </w:r>
      <w:r w:rsidRPr="00B81B99">
        <w:rPr>
          <w:lang w:val="fr-FR"/>
        </w:rPr>
        <w:t>4.1.1.5.3</w:t>
      </w:r>
      <w:r w:rsidRPr="00B81B99">
        <w:rPr>
          <w:lang w:val="fr-FR"/>
        </w:rPr>
        <w:tab/>
        <w:t xml:space="preserve"> Pour le transport de déchets, autres que des objets, des emballages intérieurs de tailles et de formes différentes, contenant des liquides ou des solides, peuvent être emballés ensemble dans un emballage extérieur, à condition que</w:t>
      </w:r>
      <w:r>
        <w:rPr>
          <w:lang w:val="fr-FR"/>
        </w:rPr>
        <w:t xml:space="preserve"> </w:t>
      </w:r>
      <w:r w:rsidRPr="00F713B3">
        <w:rPr>
          <w:lang w:val="fr-FR"/>
        </w:rPr>
        <w:t>les conditions suivantes soient</w:t>
      </w:r>
      <w:r>
        <w:rPr>
          <w:lang w:val="fr-FR"/>
        </w:rPr>
        <w:t xml:space="preserve"> </w:t>
      </w:r>
      <w:r w:rsidRPr="00F713B3">
        <w:rPr>
          <w:lang w:val="fr-FR"/>
        </w:rPr>
        <w:t>remplies</w:t>
      </w:r>
      <w:r w:rsidRPr="00B81B99">
        <w:rPr>
          <w:lang w:val="fr-FR"/>
        </w:rPr>
        <w:t> :</w:t>
      </w:r>
    </w:p>
    <w:p w14:paraId="3D64330A" w14:textId="77777777" w:rsidR="00047B32" w:rsidRPr="00B81B99" w:rsidRDefault="00047B32" w:rsidP="00047B32">
      <w:pPr>
        <w:pStyle w:val="SingleTxtG"/>
        <w:ind w:left="2835" w:hanging="567"/>
        <w:rPr>
          <w:bCs/>
          <w:color w:val="000000"/>
          <w:lang w:val="fr-FR"/>
        </w:rPr>
      </w:pPr>
      <w:r>
        <w:rPr>
          <w:bCs/>
          <w:color w:val="000000"/>
          <w:lang w:val="fr-FR"/>
        </w:rPr>
        <w:t>a)</w:t>
      </w:r>
      <w:r>
        <w:rPr>
          <w:bCs/>
          <w:color w:val="000000"/>
          <w:lang w:val="fr-FR"/>
        </w:rPr>
        <w:tab/>
      </w:r>
      <w:r w:rsidRPr="007E2847">
        <w:rPr>
          <w:bCs/>
          <w:color w:val="000000"/>
          <w:lang w:val="fr-FR"/>
        </w:rPr>
        <w:t xml:space="preserve">Les déchets transportés dans chaque emballage intérieur ne </w:t>
      </w:r>
      <w:r>
        <w:rPr>
          <w:bCs/>
          <w:color w:val="000000"/>
          <w:lang w:val="fr-FR"/>
        </w:rPr>
        <w:t>sont</w:t>
      </w:r>
      <w:r w:rsidRPr="007E2847">
        <w:rPr>
          <w:bCs/>
          <w:color w:val="000000"/>
          <w:lang w:val="fr-FR"/>
        </w:rPr>
        <w:t xml:space="preserve"> pas classés dans les classes 1, 2, 6.2 ou 7</w:t>
      </w:r>
      <w:r>
        <w:rPr>
          <w:bCs/>
          <w:color w:val="000000"/>
          <w:lang w:val="fr-FR"/>
        </w:rPr>
        <w:t> </w:t>
      </w:r>
      <w:r w:rsidRPr="00B81B99">
        <w:rPr>
          <w:bCs/>
          <w:color w:val="000000"/>
          <w:lang w:val="fr-FR"/>
        </w:rPr>
        <w:t xml:space="preserve">; </w:t>
      </w:r>
    </w:p>
    <w:p w14:paraId="4806E292" w14:textId="7D4B4649" w:rsidR="00047B32" w:rsidRPr="00B81B99" w:rsidRDefault="00047B32" w:rsidP="00047B32">
      <w:pPr>
        <w:pStyle w:val="SingleTxtG"/>
        <w:ind w:left="2835" w:hanging="567"/>
        <w:rPr>
          <w:bCs/>
          <w:color w:val="000000"/>
          <w:lang w:val="fr-FR"/>
        </w:rPr>
      </w:pPr>
      <w:r>
        <w:rPr>
          <w:bCs/>
          <w:color w:val="000000"/>
          <w:lang w:val="fr-FR"/>
        </w:rPr>
        <w:t>b)</w:t>
      </w:r>
      <w:r>
        <w:rPr>
          <w:bCs/>
          <w:color w:val="000000"/>
          <w:lang w:val="fr-FR"/>
        </w:rPr>
        <w:tab/>
        <w:t>En dérogation des</w:t>
      </w:r>
      <w:r w:rsidRPr="00B81B99">
        <w:rPr>
          <w:bCs/>
          <w:color w:val="000000"/>
          <w:lang w:val="fr-FR"/>
        </w:rPr>
        <w:t xml:space="preserve"> [</w:t>
      </w:r>
      <w:proofErr w:type="spellStart"/>
      <w:r w:rsidRPr="00B81B99">
        <w:rPr>
          <w:bCs/>
          <w:color w:val="000000"/>
          <w:lang w:val="fr-FR"/>
        </w:rPr>
        <w:t>xxxx</w:t>
      </w:r>
      <w:proofErr w:type="spellEnd"/>
      <w:r w:rsidRPr="00B81B99">
        <w:rPr>
          <w:bCs/>
          <w:color w:val="000000"/>
          <w:lang w:val="fr-FR"/>
        </w:rPr>
        <w:t>],</w:t>
      </w:r>
    </w:p>
    <w:p w14:paraId="4B2ED002" w14:textId="77777777" w:rsidR="00047B32" w:rsidRPr="00B81B99" w:rsidRDefault="00047B32" w:rsidP="00047B32">
      <w:pPr>
        <w:pStyle w:val="SingleTxtG"/>
        <w:ind w:left="3261" w:hanging="426"/>
        <w:rPr>
          <w:bCs/>
          <w:color w:val="000000"/>
          <w:lang w:val="fr-FR"/>
        </w:rPr>
      </w:pPr>
      <w:r>
        <w:rPr>
          <w:bCs/>
          <w:color w:val="000000"/>
          <w:lang w:val="fr-FR"/>
        </w:rPr>
        <w:t>i)</w:t>
      </w:r>
      <w:r>
        <w:rPr>
          <w:bCs/>
          <w:color w:val="000000"/>
          <w:lang w:val="fr-FR"/>
        </w:rPr>
        <w:tab/>
        <w:t xml:space="preserve">L’emballage extérieur est d’un des types suivants : </w:t>
      </w:r>
    </w:p>
    <w:p w14:paraId="5DEEB5D1" w14:textId="17171973" w:rsidR="00047B32" w:rsidRPr="006C3892" w:rsidRDefault="00047B32" w:rsidP="00047B32">
      <w:pPr>
        <w:pStyle w:val="SingleTxtG"/>
        <w:ind w:left="3686" w:hanging="425"/>
        <w:rPr>
          <w:bCs/>
          <w:color w:val="000000"/>
          <w:lang w:val="en-GB"/>
        </w:rPr>
      </w:pPr>
      <w:r w:rsidRPr="006C3892">
        <w:rPr>
          <w:bCs/>
          <w:color w:val="000000"/>
          <w:lang w:val="en-GB"/>
        </w:rPr>
        <w:t>-</w:t>
      </w:r>
      <w:r w:rsidRPr="006C3892">
        <w:rPr>
          <w:bCs/>
          <w:color w:val="000000"/>
          <w:lang w:val="en-GB"/>
        </w:rPr>
        <w:tab/>
        <w:t xml:space="preserve">1H2, 1A2, 3A2, 3H1, 3H2, 4A </w:t>
      </w:r>
      <w:proofErr w:type="spellStart"/>
      <w:r w:rsidRPr="006C3892">
        <w:rPr>
          <w:bCs/>
          <w:color w:val="000000"/>
          <w:lang w:val="en-GB"/>
        </w:rPr>
        <w:t>ou</w:t>
      </w:r>
      <w:proofErr w:type="spellEnd"/>
      <w:r w:rsidRPr="006C3892">
        <w:rPr>
          <w:bCs/>
          <w:color w:val="000000"/>
          <w:lang w:val="en-GB"/>
        </w:rPr>
        <w:t xml:space="preserve"> 4H</w:t>
      </w:r>
      <w:proofErr w:type="gramStart"/>
      <w:r w:rsidRPr="006C3892">
        <w:rPr>
          <w:bCs/>
          <w:color w:val="000000"/>
          <w:lang w:val="en-GB"/>
        </w:rPr>
        <w:t>2 ;</w:t>
      </w:r>
      <w:proofErr w:type="gramEnd"/>
    </w:p>
    <w:p w14:paraId="29C1EBA4" w14:textId="77777777" w:rsidR="00047B32" w:rsidRPr="006C3892" w:rsidRDefault="00047B32" w:rsidP="00047B32">
      <w:pPr>
        <w:pStyle w:val="SingleTxtG"/>
        <w:ind w:left="3686" w:hanging="425"/>
        <w:rPr>
          <w:bCs/>
          <w:color w:val="000000"/>
          <w:lang w:val="en-GB"/>
        </w:rPr>
      </w:pPr>
      <w:r w:rsidRPr="006C3892">
        <w:rPr>
          <w:bCs/>
          <w:color w:val="000000"/>
          <w:lang w:val="en-GB"/>
        </w:rPr>
        <w:t xml:space="preserve">- </w:t>
      </w:r>
      <w:r w:rsidRPr="006C3892">
        <w:rPr>
          <w:bCs/>
          <w:color w:val="000000"/>
          <w:lang w:val="en-GB"/>
        </w:rPr>
        <w:tab/>
        <w:t xml:space="preserve">11A, 11H1 </w:t>
      </w:r>
      <w:proofErr w:type="spellStart"/>
      <w:r w:rsidRPr="006C3892">
        <w:rPr>
          <w:bCs/>
          <w:color w:val="000000"/>
          <w:lang w:val="en-GB"/>
        </w:rPr>
        <w:t>ou</w:t>
      </w:r>
      <w:proofErr w:type="spellEnd"/>
      <w:r w:rsidRPr="006C3892">
        <w:rPr>
          <w:bCs/>
          <w:color w:val="000000"/>
          <w:lang w:val="en-GB"/>
        </w:rPr>
        <w:t xml:space="preserve"> 11H</w:t>
      </w:r>
      <w:proofErr w:type="gramStart"/>
      <w:r w:rsidRPr="006C3892">
        <w:rPr>
          <w:bCs/>
          <w:color w:val="000000"/>
          <w:lang w:val="en-GB"/>
        </w:rPr>
        <w:t>2 ;</w:t>
      </w:r>
      <w:proofErr w:type="gramEnd"/>
    </w:p>
    <w:p w14:paraId="0F79CED1" w14:textId="77777777" w:rsidR="00047B32" w:rsidRPr="00B81B99" w:rsidRDefault="00047B32" w:rsidP="00047B32">
      <w:pPr>
        <w:pStyle w:val="SingleTxtG"/>
        <w:ind w:left="3686" w:hanging="425"/>
        <w:rPr>
          <w:bCs/>
          <w:color w:val="000000"/>
          <w:lang w:val="fr-FR"/>
        </w:rPr>
      </w:pPr>
      <w:r>
        <w:rPr>
          <w:bCs/>
          <w:color w:val="000000"/>
          <w:lang w:val="fr-FR"/>
        </w:rPr>
        <w:t xml:space="preserve">- </w:t>
      </w:r>
      <w:r>
        <w:rPr>
          <w:bCs/>
          <w:color w:val="000000"/>
          <w:lang w:val="fr-FR"/>
        </w:rPr>
        <w:tab/>
      </w:r>
      <w:r w:rsidRPr="00B81B99">
        <w:rPr>
          <w:bCs/>
          <w:color w:val="000000"/>
          <w:lang w:val="fr-FR"/>
        </w:rPr>
        <w:t xml:space="preserve">50A </w:t>
      </w:r>
      <w:r>
        <w:rPr>
          <w:bCs/>
          <w:color w:val="000000"/>
          <w:lang w:val="fr-FR"/>
        </w:rPr>
        <w:t>ou</w:t>
      </w:r>
      <w:r w:rsidRPr="00B81B99">
        <w:rPr>
          <w:bCs/>
          <w:color w:val="000000"/>
          <w:lang w:val="fr-FR"/>
        </w:rPr>
        <w:t xml:space="preserve"> 50H</w:t>
      </w:r>
      <w:r>
        <w:rPr>
          <w:bCs/>
          <w:color w:val="000000"/>
          <w:lang w:val="fr-FR"/>
        </w:rPr>
        <w:t> </w:t>
      </w:r>
      <w:r w:rsidRPr="00B81B99">
        <w:rPr>
          <w:bCs/>
          <w:color w:val="000000"/>
          <w:lang w:val="fr-FR"/>
        </w:rPr>
        <w:t>;</w:t>
      </w:r>
      <w:r>
        <w:rPr>
          <w:bCs/>
          <w:color w:val="000000"/>
          <w:lang w:val="fr-FR"/>
        </w:rPr>
        <w:t xml:space="preserve"> </w:t>
      </w:r>
    </w:p>
    <w:p w14:paraId="4EFFF267" w14:textId="372AC5B5" w:rsidR="00047B32" w:rsidRPr="00B81B99" w:rsidRDefault="00047B32" w:rsidP="00047B32">
      <w:pPr>
        <w:pStyle w:val="SingleTxtG"/>
        <w:ind w:left="3261" w:hanging="426"/>
        <w:rPr>
          <w:bCs/>
          <w:color w:val="000000"/>
          <w:lang w:val="fr-FR"/>
        </w:rPr>
      </w:pPr>
      <w:r>
        <w:rPr>
          <w:bCs/>
          <w:color w:val="000000"/>
          <w:lang w:val="fr-FR"/>
        </w:rPr>
        <w:t>ii)</w:t>
      </w:r>
      <w:r>
        <w:rPr>
          <w:bCs/>
          <w:color w:val="000000"/>
          <w:lang w:val="fr-FR"/>
        </w:rPr>
        <w:tab/>
        <w:t>L’emballage extérieur a subi les épreuves du groupe d’emballage </w:t>
      </w:r>
      <w:r w:rsidRPr="00B81B99">
        <w:rPr>
          <w:bCs/>
          <w:color w:val="000000"/>
          <w:lang w:val="fr-FR"/>
        </w:rPr>
        <w:t>I</w:t>
      </w:r>
      <w:r>
        <w:rPr>
          <w:bCs/>
          <w:color w:val="000000"/>
          <w:lang w:val="fr-FR"/>
        </w:rPr>
        <w:t> </w:t>
      </w:r>
      <w:r w:rsidRPr="00B81B99">
        <w:rPr>
          <w:bCs/>
          <w:color w:val="000000"/>
          <w:lang w:val="fr-FR"/>
        </w:rPr>
        <w:t xml:space="preserve">; </w:t>
      </w:r>
    </w:p>
    <w:p w14:paraId="4C034863" w14:textId="7EEF7BC1" w:rsidR="00047B32" w:rsidRPr="00B81B99" w:rsidRDefault="00047B32" w:rsidP="00047B32">
      <w:pPr>
        <w:pStyle w:val="SingleTxtG"/>
        <w:ind w:left="3261" w:hanging="426"/>
        <w:rPr>
          <w:bCs/>
          <w:color w:val="000000"/>
          <w:lang w:val="fr-FR"/>
        </w:rPr>
      </w:pPr>
      <w:r w:rsidRPr="00590E14">
        <w:rPr>
          <w:bCs/>
          <w:color w:val="000000"/>
          <w:lang w:val="fr-FR"/>
        </w:rPr>
        <w:t>iii)</w:t>
      </w:r>
      <w:r w:rsidRPr="00590E14">
        <w:rPr>
          <w:bCs/>
          <w:color w:val="000000"/>
          <w:lang w:val="fr-FR"/>
        </w:rPr>
        <w:tab/>
        <w:t xml:space="preserve">Il n’est pas nécessaire que l’emballage extérieur subisse les épreuves prévues pour les emballages destinés à contenir des matières liquides mais il doit être </w:t>
      </w:r>
      <w:r w:rsidRPr="00590E14">
        <w:rPr>
          <w:lang w:val="fr-FR"/>
        </w:rPr>
        <w:t>capable</w:t>
      </w:r>
      <w:r w:rsidRPr="00590E14">
        <w:rPr>
          <w:bCs/>
          <w:color w:val="000000"/>
          <w:lang w:val="fr-FR"/>
        </w:rPr>
        <w:t xml:space="preserve"> de retenir les matières liquides dans les conditions normales de transport ;</w:t>
      </w:r>
      <w:r w:rsidRPr="00B81B99">
        <w:rPr>
          <w:bCs/>
          <w:color w:val="000000"/>
          <w:lang w:val="fr-FR"/>
        </w:rPr>
        <w:t xml:space="preserve"> </w:t>
      </w:r>
    </w:p>
    <w:p w14:paraId="34FCD82E" w14:textId="446B947F" w:rsidR="00047B32" w:rsidRPr="00B81B99" w:rsidRDefault="00047B32" w:rsidP="00047B32">
      <w:pPr>
        <w:pStyle w:val="SingleTxtG"/>
        <w:ind w:left="3261" w:hanging="426"/>
        <w:rPr>
          <w:bCs/>
          <w:color w:val="000000"/>
          <w:lang w:val="fr-FR"/>
        </w:rPr>
      </w:pPr>
      <w:r>
        <w:rPr>
          <w:bCs/>
          <w:color w:val="000000"/>
          <w:lang w:val="fr-FR"/>
        </w:rPr>
        <w:t>iv)</w:t>
      </w:r>
      <w:r>
        <w:rPr>
          <w:bCs/>
          <w:color w:val="000000"/>
          <w:lang w:val="fr-FR"/>
        </w:rPr>
        <w:tab/>
      </w:r>
      <w:r w:rsidRPr="005773DA">
        <w:rPr>
          <w:bCs/>
          <w:color w:val="000000"/>
          <w:lang w:val="fr-FR"/>
        </w:rPr>
        <w:t xml:space="preserve">Un matériau de rembourrage suffisant </w:t>
      </w:r>
      <w:r>
        <w:rPr>
          <w:bCs/>
          <w:color w:val="000000"/>
          <w:lang w:val="fr-FR"/>
        </w:rPr>
        <w:t>est</w:t>
      </w:r>
      <w:r w:rsidRPr="005773DA">
        <w:rPr>
          <w:bCs/>
          <w:color w:val="000000"/>
          <w:lang w:val="fr-FR"/>
        </w:rPr>
        <w:t xml:space="preserve"> utilisé pour empêcher tout mouvement </w:t>
      </w:r>
      <w:r>
        <w:rPr>
          <w:bCs/>
          <w:color w:val="000000"/>
          <w:lang w:val="fr-FR"/>
        </w:rPr>
        <w:t>significatif</w:t>
      </w:r>
      <w:r w:rsidRPr="005773DA">
        <w:rPr>
          <w:bCs/>
          <w:color w:val="000000"/>
          <w:lang w:val="fr-FR"/>
        </w:rPr>
        <w:t xml:space="preserve"> des emballages intérieurs dans des conditions normales de transport</w:t>
      </w:r>
      <w:r>
        <w:rPr>
          <w:bCs/>
          <w:color w:val="000000"/>
          <w:lang w:val="fr-FR"/>
        </w:rPr>
        <w:t> ;</w:t>
      </w:r>
    </w:p>
    <w:p w14:paraId="62FE2ADC" w14:textId="2EBFA3C9" w:rsidR="00047B32" w:rsidRPr="00B70A0D" w:rsidRDefault="00047B32" w:rsidP="00047B32">
      <w:pPr>
        <w:pStyle w:val="SingleTxtG"/>
        <w:ind w:left="3261" w:hanging="426"/>
        <w:rPr>
          <w:rFonts w:ascii="TimesNewRomanPSMT" w:hAnsi="TimesNewRomanPSMT" w:cs="TimesNewRomanPSMT"/>
        </w:rPr>
      </w:pPr>
      <w:r>
        <w:rPr>
          <w:bCs/>
          <w:color w:val="000000"/>
          <w:lang w:val="fr-FR"/>
        </w:rPr>
        <w:t>v)</w:t>
      </w:r>
      <w:r>
        <w:rPr>
          <w:bCs/>
          <w:color w:val="000000"/>
          <w:lang w:val="fr-FR"/>
        </w:rPr>
        <w:tab/>
      </w:r>
      <w:r w:rsidRPr="004D6C9E">
        <w:rPr>
          <w:bCs/>
          <w:color w:val="000000"/>
          <w:lang w:val="fr-FR"/>
        </w:rPr>
        <w:t xml:space="preserve">Si l’emballage extérieur contient des emballages intérieurs susceptibles de se briser facilement, tels que ceux en verre, en porcelaine ou en grès, ou </w:t>
      </w:r>
      <w:r>
        <w:rPr>
          <w:bCs/>
          <w:color w:val="000000"/>
          <w:lang w:val="fr-FR"/>
        </w:rPr>
        <w:t xml:space="preserve">des </w:t>
      </w:r>
      <w:r w:rsidRPr="004D6C9E">
        <w:rPr>
          <w:bCs/>
          <w:color w:val="000000"/>
          <w:lang w:val="fr-FR"/>
        </w:rPr>
        <w:t xml:space="preserve">emballages intérieurs non étanches, l’emballage extérieur </w:t>
      </w:r>
      <w:r>
        <w:rPr>
          <w:bCs/>
          <w:color w:val="000000"/>
          <w:lang w:val="fr-FR"/>
        </w:rPr>
        <w:t>a</w:t>
      </w:r>
      <w:r w:rsidRPr="004D6C9E">
        <w:rPr>
          <w:bCs/>
          <w:color w:val="000000"/>
          <w:lang w:val="fr-FR"/>
        </w:rPr>
        <w:t xml:space="preserve"> un moyen de retenir tout liquide libre qui pourrait s’échapper des emballages intérieurs pendant le transport, par exemple un matériau absorbant ou </w:t>
      </w:r>
      <w:r>
        <w:rPr>
          <w:bCs/>
          <w:color w:val="000000"/>
          <w:lang w:val="fr-FR"/>
        </w:rPr>
        <w:t xml:space="preserve">tout </w:t>
      </w:r>
      <w:r w:rsidRPr="004D6C9E">
        <w:rPr>
          <w:bCs/>
          <w:color w:val="000000"/>
          <w:lang w:val="fr-FR"/>
        </w:rPr>
        <w:t>autre moyen de rétention aussi efficace;</w:t>
      </w:r>
      <w:r w:rsidRPr="004D6C9E">
        <w:t xml:space="preserve"> </w:t>
      </w:r>
    </w:p>
    <w:p w14:paraId="4BBF2512" w14:textId="77777777" w:rsidR="00047B32" w:rsidRPr="00B81B99" w:rsidRDefault="00047B32" w:rsidP="00047B32">
      <w:pPr>
        <w:pStyle w:val="SingleTxtG"/>
        <w:ind w:left="3261" w:hanging="426"/>
        <w:rPr>
          <w:bCs/>
          <w:color w:val="000000"/>
          <w:lang w:val="fr-FR"/>
        </w:rPr>
      </w:pPr>
      <w:r>
        <w:rPr>
          <w:bCs/>
          <w:color w:val="000000"/>
          <w:lang w:val="fr-FR"/>
        </w:rPr>
        <w:t>vi)</w:t>
      </w:r>
      <w:r>
        <w:rPr>
          <w:bCs/>
          <w:color w:val="000000"/>
          <w:lang w:val="fr-FR"/>
        </w:rPr>
        <w:tab/>
        <w:t xml:space="preserve">Dans le cas d’un </w:t>
      </w:r>
      <w:r w:rsidRPr="00EA33EF">
        <w:rPr>
          <w:bCs/>
          <w:color w:val="000000"/>
          <w:lang w:val="fr-FR"/>
        </w:rPr>
        <w:t>emballage extérieur en polyéthylène, la preuve d’une compatibilité chimique suffisante est réputée avoir été fournie si la compatibilité chimique du matériau de l’emballage extérieur avec tous les liquides de référence décrits au 6.1.6.1 a été vérifiée dans le cadre d’une épreuve du modèle type et de l’agrément pour l’emballage du même matériau avec le code 1H1 ou 3H1;</w:t>
      </w:r>
    </w:p>
    <w:p w14:paraId="7EFDF3A2" w14:textId="4BCA9E61" w:rsidR="00047B32" w:rsidRPr="00B81B99" w:rsidRDefault="00047B32" w:rsidP="00047B32">
      <w:pPr>
        <w:pStyle w:val="SingleTxtG"/>
        <w:ind w:left="2835" w:hanging="567"/>
        <w:rPr>
          <w:bCs/>
          <w:color w:val="000000"/>
          <w:lang w:val="fr-FR"/>
        </w:rPr>
      </w:pPr>
      <w:r>
        <w:rPr>
          <w:bCs/>
          <w:color w:val="000000"/>
          <w:lang w:val="fr-FR"/>
        </w:rPr>
        <w:t>c)</w:t>
      </w:r>
      <w:r>
        <w:rPr>
          <w:bCs/>
          <w:color w:val="000000"/>
          <w:lang w:val="fr-FR"/>
        </w:rPr>
        <w:tab/>
        <w:t>Selon les</w:t>
      </w:r>
      <w:r w:rsidRPr="0019178A">
        <w:rPr>
          <w:bCs/>
          <w:color w:val="000000"/>
          <w:lang w:val="fr-FR"/>
        </w:rPr>
        <w:t xml:space="preserve"> déchets identifiés dans chaque emballage intérieur, les emballages intérieurs ne sont emballés ensemble dans un emballage extérieur approprié que par du personnel formé et compétent conformément au 1.3.2.2, en utilisant des instructions ou des procédures assurant la conformité avec le 4.1.1.6 et les dispositions relatives à l’emballage en commun du 4.1.10.4</w:t>
      </w:r>
      <w:r w:rsidRPr="00B81B99">
        <w:rPr>
          <w:bCs/>
          <w:color w:val="000000"/>
          <w:lang w:val="fr-FR"/>
        </w:rPr>
        <w:t>;</w:t>
      </w:r>
    </w:p>
    <w:p w14:paraId="6F7894B8" w14:textId="3E0E75D1" w:rsidR="00047B32" w:rsidRPr="00B81B99" w:rsidRDefault="00047B32" w:rsidP="00047B32">
      <w:pPr>
        <w:pStyle w:val="SingleTxtG"/>
        <w:ind w:left="2835" w:hanging="567"/>
        <w:rPr>
          <w:bCs/>
          <w:color w:val="000000"/>
          <w:lang w:val="fr-FR"/>
        </w:rPr>
      </w:pPr>
      <w:r>
        <w:rPr>
          <w:bCs/>
          <w:color w:val="000000"/>
          <w:lang w:val="fr-FR"/>
        </w:rPr>
        <w:lastRenderedPageBreak/>
        <w:t>d)</w:t>
      </w:r>
      <w:r>
        <w:rPr>
          <w:bCs/>
          <w:color w:val="000000"/>
          <w:lang w:val="fr-FR"/>
        </w:rPr>
        <w:tab/>
      </w:r>
      <w:r w:rsidRPr="0001740B">
        <w:rPr>
          <w:bCs/>
          <w:color w:val="000000"/>
          <w:lang w:val="fr-FR"/>
        </w:rPr>
        <w:t xml:space="preserve">Les déchets contenus dans un </w:t>
      </w:r>
      <w:r>
        <w:rPr>
          <w:bCs/>
          <w:color w:val="000000"/>
          <w:lang w:val="fr-FR"/>
        </w:rPr>
        <w:t xml:space="preserve">même </w:t>
      </w:r>
      <w:r w:rsidRPr="0001740B">
        <w:rPr>
          <w:bCs/>
          <w:color w:val="000000"/>
          <w:lang w:val="fr-FR"/>
        </w:rPr>
        <w:t xml:space="preserve">emballage extérieur sont affectés à la rubrique la plus appropriée. Plus d’une </w:t>
      </w:r>
      <w:r>
        <w:rPr>
          <w:bCs/>
          <w:color w:val="000000"/>
          <w:lang w:val="fr-FR"/>
        </w:rPr>
        <w:t>rubrique</w:t>
      </w:r>
      <w:r w:rsidRPr="0001740B">
        <w:rPr>
          <w:bCs/>
          <w:color w:val="000000"/>
          <w:lang w:val="fr-FR"/>
        </w:rPr>
        <w:t xml:space="preserve"> peut être utilisée, si nécessaire. </w:t>
      </w:r>
      <w:r w:rsidRPr="00310F8E">
        <w:rPr>
          <w:bCs/>
          <w:color w:val="000000"/>
          <w:lang w:val="fr-FR"/>
        </w:rPr>
        <w:t>Par dérogation au 5.1.4, le seul marquage et étiquetage sur l’emballage extérieur correspond à la ou aux rubriques affectées à l’emballage extérieur.</w:t>
      </w:r>
      <w:r>
        <w:rPr>
          <w:bCs/>
          <w:color w:val="000000"/>
          <w:lang w:val="fr-FR"/>
        </w:rPr>
        <w:t> »]</w:t>
      </w:r>
    </w:p>
    <w:p w14:paraId="7FEE553F" w14:textId="3F4F5D86" w:rsidR="00047B32" w:rsidRDefault="00047B32" w:rsidP="00047B32">
      <w:pPr>
        <w:pStyle w:val="SingleTxtG"/>
        <w:tabs>
          <w:tab w:val="clear" w:pos="2268"/>
        </w:tabs>
        <w:rPr>
          <w:i/>
          <w:iCs/>
          <w:lang w:val="fr-FR"/>
        </w:rPr>
      </w:pPr>
      <w:r w:rsidRPr="002F4EEE">
        <w:rPr>
          <w:i/>
          <w:iCs/>
          <w:lang w:val="fr-FR"/>
        </w:rPr>
        <w:t>(Document de référence :</w:t>
      </w:r>
      <w:r>
        <w:rPr>
          <w:i/>
          <w:iCs/>
          <w:lang w:val="fr-FR"/>
        </w:rPr>
        <w:t xml:space="preserve"> document informel INF.39/Rev.1)</w:t>
      </w:r>
    </w:p>
    <w:p w14:paraId="75493C35" w14:textId="62C3A921" w:rsidR="00047B32" w:rsidRDefault="00047B32" w:rsidP="00047B32">
      <w:pPr>
        <w:pStyle w:val="H23G"/>
        <w:ind w:right="1133"/>
      </w:pPr>
      <w:r>
        <w:tab/>
      </w:r>
      <w:r>
        <w:tab/>
      </w:r>
      <w:bookmarkStart w:id="264" w:name="_Toc147846008"/>
      <w:bookmarkStart w:id="265" w:name="_Toc148357394"/>
      <w:bookmarkStart w:id="266" w:name="_Toc148358458"/>
      <w:r>
        <w:t>Chapitre 5.4</w:t>
      </w:r>
      <w:bookmarkEnd w:id="264"/>
      <w:bookmarkEnd w:id="265"/>
      <w:bookmarkEnd w:id="266"/>
    </w:p>
    <w:p w14:paraId="1597B3DE" w14:textId="77777777" w:rsidR="00047B32" w:rsidRPr="00BC2093" w:rsidRDefault="00047B32" w:rsidP="00047B32">
      <w:pPr>
        <w:pStyle w:val="SingleTxtG"/>
        <w:spacing w:before="120"/>
        <w:rPr>
          <w:lang w:val="fr-FR"/>
        </w:rPr>
      </w:pPr>
      <w:r>
        <w:rPr>
          <w:lang w:val="fr-FR"/>
        </w:rPr>
        <w:t>[5.4.1.1.3</w:t>
      </w:r>
      <w:r>
        <w:rPr>
          <w:lang w:val="fr-FR"/>
        </w:rPr>
        <w:tab/>
        <w:t xml:space="preserve">Ajouter le nouveau 5.4.1.1.3.3 </w:t>
      </w:r>
      <w:r w:rsidRPr="00BC2093">
        <w:rPr>
          <w:lang w:val="fr-FR"/>
        </w:rPr>
        <w:t>suivant</w:t>
      </w:r>
      <w:r>
        <w:rPr>
          <w:lang w:val="fr-FR"/>
        </w:rPr>
        <w:t> </w:t>
      </w:r>
      <w:r w:rsidRPr="00BC2093">
        <w:rPr>
          <w:lang w:val="fr-FR"/>
        </w:rPr>
        <w:t>:</w:t>
      </w:r>
    </w:p>
    <w:p w14:paraId="77DC13CD" w14:textId="77777777" w:rsidR="00047B32" w:rsidRPr="00B81B99" w:rsidRDefault="00047B32" w:rsidP="00047B32">
      <w:pPr>
        <w:pStyle w:val="SingleTxtG"/>
        <w:ind w:left="2268" w:hanging="1134"/>
        <w:rPr>
          <w:lang w:val="fr-FR"/>
        </w:rPr>
      </w:pPr>
      <w:r>
        <w:rPr>
          <w:lang w:val="fr-FR"/>
        </w:rPr>
        <w:t>« </w:t>
      </w:r>
      <w:r w:rsidRPr="00B81B99">
        <w:rPr>
          <w:lang w:val="fr-FR"/>
        </w:rPr>
        <w:t>5.4.1.1.3.</w:t>
      </w:r>
      <w:r>
        <w:rPr>
          <w:lang w:val="fr-FR"/>
        </w:rPr>
        <w:t>3</w:t>
      </w:r>
      <w:r>
        <w:rPr>
          <w:lang w:val="fr-FR"/>
        </w:rPr>
        <w:tab/>
        <w:t xml:space="preserve">Dispositions particulières pour le transport de déchets dans des emballages intérieurs emballés ensemble dans un emballage extérieur </w:t>
      </w:r>
    </w:p>
    <w:p w14:paraId="50F09C9A" w14:textId="77777777" w:rsidR="00047B32" w:rsidRPr="00B81B99" w:rsidRDefault="00047B32" w:rsidP="00047B32">
      <w:pPr>
        <w:pStyle w:val="SingleTxtG"/>
        <w:ind w:left="2268"/>
        <w:rPr>
          <w:lang w:val="fr-FR"/>
        </w:rPr>
      </w:pPr>
      <w:r w:rsidRPr="00794C36">
        <w:rPr>
          <w:lang w:val="fr-FR"/>
        </w:rPr>
        <w:t xml:space="preserve">Pour le transport conformément au 4.1.1.5.3, </w:t>
      </w:r>
      <w:r>
        <w:rPr>
          <w:lang w:val="fr-FR"/>
        </w:rPr>
        <w:t>la</w:t>
      </w:r>
      <w:r w:rsidRPr="00794C36">
        <w:rPr>
          <w:lang w:val="fr-FR"/>
        </w:rPr>
        <w:t xml:space="preserve"> mention </w:t>
      </w:r>
      <w:r>
        <w:rPr>
          <w:lang w:val="fr-FR"/>
        </w:rPr>
        <w:t xml:space="preserve">suivante </w:t>
      </w:r>
      <w:r w:rsidRPr="00794C36">
        <w:rPr>
          <w:lang w:val="fr-FR"/>
        </w:rPr>
        <w:t>doit figurer dans le document de transport</w:t>
      </w:r>
      <w:r>
        <w:rPr>
          <w:lang w:val="fr-FR"/>
        </w:rPr>
        <w:t> </w:t>
      </w:r>
      <w:r w:rsidRPr="00794C36">
        <w:rPr>
          <w:lang w:val="fr-FR"/>
        </w:rPr>
        <w:t xml:space="preserve">: « Transport conformément au 4.1.1.5.3 ». </w:t>
      </w:r>
      <w:r>
        <w:rPr>
          <w:lang w:val="fr-FR"/>
        </w:rPr>
        <w:t>La</w:t>
      </w:r>
      <w:r w:rsidRPr="00794C36">
        <w:rPr>
          <w:lang w:val="fr-FR"/>
        </w:rPr>
        <w:t xml:space="preserve"> mention supplémentaire prescrite au 5.4.1.1.3.2 </w:t>
      </w:r>
      <w:r>
        <w:rPr>
          <w:lang w:val="fr-FR"/>
        </w:rPr>
        <w:t>n’est</w:t>
      </w:r>
      <w:r w:rsidRPr="00794C36">
        <w:rPr>
          <w:lang w:val="fr-FR"/>
        </w:rPr>
        <w:t xml:space="preserve"> pas nécessaire.</w:t>
      </w:r>
      <w:r>
        <w:rPr>
          <w:lang w:val="fr-FR"/>
        </w:rPr>
        <w:t xml:space="preserve"> Par exemple </w:t>
      </w:r>
      <w:r w:rsidRPr="00B81B99">
        <w:rPr>
          <w:lang w:val="fr-FR"/>
        </w:rPr>
        <w:t>:</w:t>
      </w:r>
    </w:p>
    <w:p w14:paraId="39B4A6F9" w14:textId="77777777" w:rsidR="00047B32" w:rsidRPr="00B81B99" w:rsidRDefault="00047B32" w:rsidP="00047B32">
      <w:pPr>
        <w:pStyle w:val="SingleTxtG"/>
        <w:ind w:left="2268"/>
        <w:rPr>
          <w:lang w:val="fr-FR"/>
        </w:rPr>
      </w:pPr>
      <w:r>
        <w:rPr>
          <w:lang w:val="fr-FR"/>
        </w:rPr>
        <w:t>« </w:t>
      </w:r>
      <w:r w:rsidRPr="00B81B99">
        <w:rPr>
          <w:lang w:val="fr-FR"/>
        </w:rPr>
        <w:t xml:space="preserve">UN 1993, </w:t>
      </w:r>
      <w:r>
        <w:rPr>
          <w:lang w:val="fr-FR"/>
        </w:rPr>
        <w:t>DÉCHET</w:t>
      </w:r>
      <w:r w:rsidRPr="00B81B99">
        <w:rPr>
          <w:lang w:val="fr-FR"/>
        </w:rPr>
        <w:t xml:space="preserve"> </w:t>
      </w:r>
      <w:r>
        <w:rPr>
          <w:lang w:val="fr-FR"/>
        </w:rPr>
        <w:t>LIQUIDE INFLAMMABLE</w:t>
      </w:r>
      <w:r w:rsidRPr="00B81B99">
        <w:rPr>
          <w:lang w:val="fr-FR"/>
        </w:rPr>
        <w:t>, N.</w:t>
      </w:r>
      <w:r>
        <w:rPr>
          <w:lang w:val="fr-FR"/>
        </w:rPr>
        <w:t>S</w:t>
      </w:r>
      <w:r w:rsidRPr="00B81B99">
        <w:rPr>
          <w:lang w:val="fr-FR"/>
        </w:rPr>
        <w:t>.</w:t>
      </w:r>
      <w:r>
        <w:rPr>
          <w:lang w:val="fr-FR"/>
        </w:rPr>
        <w:t>A</w:t>
      </w:r>
      <w:r w:rsidRPr="00B81B99">
        <w:rPr>
          <w:lang w:val="fr-FR"/>
        </w:rPr>
        <w:t xml:space="preserve">., 3, III, </w:t>
      </w:r>
      <w:r>
        <w:rPr>
          <w:lang w:val="fr-FR"/>
        </w:rPr>
        <w:t xml:space="preserve">(ADR :) </w:t>
      </w:r>
      <w:r w:rsidRPr="00B81B99">
        <w:rPr>
          <w:lang w:val="fr-FR"/>
        </w:rPr>
        <w:t xml:space="preserve">(E); </w:t>
      </w:r>
      <w:r>
        <w:rPr>
          <w:lang w:val="fr-FR"/>
        </w:rPr>
        <w:t>TRANSPORT CONFORMÉMENT AU</w:t>
      </w:r>
      <w:r w:rsidRPr="00B81B99">
        <w:rPr>
          <w:lang w:val="fr-FR"/>
        </w:rPr>
        <w:t xml:space="preserve"> 4.1.1.5.3</w:t>
      </w:r>
      <w:r>
        <w:rPr>
          <w:lang w:val="fr-FR"/>
        </w:rPr>
        <w:t> »</w:t>
      </w:r>
    </w:p>
    <w:p w14:paraId="62766EEE" w14:textId="77777777" w:rsidR="00047B32" w:rsidRPr="00B81B99" w:rsidRDefault="00047B32" w:rsidP="00047B32">
      <w:pPr>
        <w:pStyle w:val="SingleTxtG"/>
        <w:ind w:left="2268"/>
        <w:rPr>
          <w:lang w:val="fr-FR"/>
        </w:rPr>
      </w:pPr>
      <w:r w:rsidRPr="00836529">
        <w:rPr>
          <w:lang w:val="fr-FR"/>
        </w:rPr>
        <w:t>Les informations contenues dans le document de transport conformément au 5.4.1.1 doivent être fondées sur la ou les rubriques attribuées à l’emballage extérieur conformément au 4.1.1.5.3 d). Il n’est pas nécessaire d’ajouter le nom technique, tel qu’il est prescrit au chapitre 3.3, disposition spéciale 274.</w:t>
      </w:r>
      <w:r>
        <w:rPr>
          <w:lang w:val="fr-FR"/>
        </w:rPr>
        <w:t> »]</w:t>
      </w:r>
    </w:p>
    <w:p w14:paraId="748A7D72" w14:textId="5A94E694" w:rsidR="00047B32" w:rsidRDefault="00047B32" w:rsidP="00047B32">
      <w:pPr>
        <w:pStyle w:val="SingleTxtG"/>
        <w:tabs>
          <w:tab w:val="clear" w:pos="2268"/>
        </w:tabs>
        <w:rPr>
          <w:i/>
          <w:iCs/>
          <w:lang w:val="fr-FR"/>
        </w:rPr>
      </w:pPr>
      <w:r w:rsidRPr="002F4EEE">
        <w:rPr>
          <w:i/>
          <w:iCs/>
          <w:lang w:val="fr-FR"/>
        </w:rPr>
        <w:t>(Document de référence :</w:t>
      </w:r>
      <w:r>
        <w:rPr>
          <w:i/>
          <w:iCs/>
          <w:lang w:val="fr-FR"/>
        </w:rPr>
        <w:t xml:space="preserve"> document informel INF.39/Rev.1)</w:t>
      </w:r>
    </w:p>
    <w:p w14:paraId="14A26171" w14:textId="51E26165" w:rsidR="000E4AF3" w:rsidRPr="007444F9" w:rsidRDefault="007444F9" w:rsidP="007444F9">
      <w:pPr>
        <w:spacing w:before="240"/>
        <w:jc w:val="center"/>
        <w:rPr>
          <w:u w:val="single"/>
        </w:rPr>
      </w:pPr>
      <w:r>
        <w:rPr>
          <w:u w:val="single"/>
        </w:rPr>
        <w:tab/>
      </w:r>
      <w:r>
        <w:rPr>
          <w:u w:val="single"/>
        </w:rPr>
        <w:tab/>
      </w:r>
      <w:r>
        <w:rPr>
          <w:u w:val="single"/>
        </w:rPr>
        <w:tab/>
      </w:r>
    </w:p>
    <w:sectPr w:rsidR="000E4AF3" w:rsidRPr="007444F9" w:rsidSect="002B4EE5">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4F1" w14:textId="77777777" w:rsidR="005D5C30" w:rsidRDefault="005D5C30" w:rsidP="00F95C08">
      <w:pPr>
        <w:spacing w:line="240" w:lineRule="auto"/>
      </w:pPr>
    </w:p>
  </w:endnote>
  <w:endnote w:type="continuationSeparator" w:id="0">
    <w:p w14:paraId="7BAE3A9D" w14:textId="77777777" w:rsidR="005D5C30" w:rsidRPr="00AC3823" w:rsidRDefault="005D5C30" w:rsidP="00AC3823">
      <w:pPr>
        <w:pStyle w:val="Pieddepage"/>
      </w:pPr>
    </w:p>
  </w:endnote>
  <w:endnote w:type="continuationNotice" w:id="1">
    <w:p w14:paraId="63A4061E" w14:textId="77777777" w:rsidR="005D5C30" w:rsidRDefault="005D5C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67BA" w14:textId="77777777" w:rsidR="002B4EE5" w:rsidRPr="002B4EE5" w:rsidRDefault="002B4EE5" w:rsidP="002B4EE5">
    <w:pPr>
      <w:pStyle w:val="Pieddepage"/>
      <w:tabs>
        <w:tab w:val="right" w:pos="9638"/>
      </w:tabs>
      <w:rPr>
        <w:sz w:val="18"/>
      </w:rPr>
    </w:pPr>
    <w:r w:rsidRPr="002B4EE5">
      <w:rPr>
        <w:b/>
        <w:sz w:val="18"/>
      </w:rPr>
      <w:fldChar w:fldCharType="begin"/>
    </w:r>
    <w:r w:rsidRPr="002B4EE5">
      <w:rPr>
        <w:b/>
        <w:sz w:val="18"/>
      </w:rPr>
      <w:instrText xml:space="preserve"> PAGE  \* MERGEFORMAT </w:instrText>
    </w:r>
    <w:r w:rsidRPr="002B4EE5">
      <w:rPr>
        <w:b/>
        <w:sz w:val="18"/>
      </w:rPr>
      <w:fldChar w:fldCharType="separate"/>
    </w:r>
    <w:r w:rsidRPr="002B4EE5">
      <w:rPr>
        <w:b/>
        <w:noProof/>
        <w:sz w:val="18"/>
      </w:rPr>
      <w:t>2</w:t>
    </w:r>
    <w:r w:rsidRPr="002B4E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BBC" w14:textId="77777777" w:rsidR="002B4EE5" w:rsidRPr="002B4EE5" w:rsidRDefault="002B4EE5" w:rsidP="002B4EE5">
    <w:pPr>
      <w:pStyle w:val="Pieddepage"/>
      <w:tabs>
        <w:tab w:val="right" w:pos="9638"/>
      </w:tabs>
      <w:rPr>
        <w:b/>
        <w:sz w:val="18"/>
      </w:rPr>
    </w:pPr>
    <w:r>
      <w:tab/>
    </w:r>
    <w:r w:rsidRPr="002B4EE5">
      <w:rPr>
        <w:b/>
        <w:sz w:val="18"/>
      </w:rPr>
      <w:fldChar w:fldCharType="begin"/>
    </w:r>
    <w:r w:rsidRPr="002B4EE5">
      <w:rPr>
        <w:b/>
        <w:sz w:val="18"/>
      </w:rPr>
      <w:instrText xml:space="preserve"> PAGE  \* MERGEFORMAT </w:instrText>
    </w:r>
    <w:r w:rsidRPr="002B4EE5">
      <w:rPr>
        <w:b/>
        <w:sz w:val="18"/>
      </w:rPr>
      <w:fldChar w:fldCharType="separate"/>
    </w:r>
    <w:r w:rsidRPr="002B4EE5">
      <w:rPr>
        <w:b/>
        <w:noProof/>
        <w:sz w:val="18"/>
      </w:rPr>
      <w:t>3</w:t>
    </w:r>
    <w:r w:rsidRPr="002B4E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B32E" w14:textId="7DD6BBDE" w:rsidR="000D3EE9" w:rsidRPr="002B4EE5" w:rsidRDefault="00B50675" w:rsidP="0001207F">
    <w:pPr>
      <w:pStyle w:val="Pieddepage"/>
      <w:spacing w:before="120"/>
      <w:rPr>
        <w:sz w:val="20"/>
      </w:rPr>
    </w:pPr>
    <w:r w:rsidRPr="000942EE">
      <w:rPr>
        <w:noProof/>
        <w:lang w:eastAsia="fr-CH"/>
      </w:rPr>
      <w:drawing>
        <wp:anchor distT="0" distB="0" distL="114300" distR="114300" simplePos="0" relativeHeight="251658240" behindDoc="0" locked="0" layoutInCell="1" allowOverlap="0" wp14:anchorId="729DB202" wp14:editId="52AEEF94">
          <wp:simplePos x="0" y="0"/>
          <wp:positionH relativeFrom="margin">
            <wp:posOffset>4280753</wp:posOffset>
          </wp:positionH>
          <wp:positionV relativeFrom="margin">
            <wp:posOffset>9154368</wp:posOffset>
          </wp:positionV>
          <wp:extent cx="1105200" cy="234000"/>
          <wp:effectExtent l="0" t="0" r="0"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14:anchorId="161AD438" wp14:editId="76457345">
          <wp:simplePos x="0" y="0"/>
          <wp:positionH relativeFrom="column">
            <wp:posOffset>5445457</wp:posOffset>
          </wp:positionH>
          <wp:positionV relativeFrom="paragraph">
            <wp:posOffset>-259307</wp:posOffset>
          </wp:positionV>
          <wp:extent cx="638175" cy="638175"/>
          <wp:effectExtent l="0" t="0" r="9525" b="9525"/>
          <wp:wrapNone/>
          <wp:docPr id="19091572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GE.23-20044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9941" w14:textId="77777777" w:rsidR="005D5C30" w:rsidRPr="00AC3823" w:rsidRDefault="005D5C30" w:rsidP="00AC3823">
      <w:pPr>
        <w:pStyle w:val="Pieddepage"/>
        <w:tabs>
          <w:tab w:val="right" w:pos="2155"/>
        </w:tabs>
        <w:spacing w:after="80" w:line="240" w:lineRule="atLeast"/>
        <w:ind w:left="680"/>
        <w:rPr>
          <w:u w:val="single"/>
        </w:rPr>
      </w:pPr>
      <w:r>
        <w:rPr>
          <w:u w:val="single"/>
        </w:rPr>
        <w:tab/>
      </w:r>
    </w:p>
  </w:footnote>
  <w:footnote w:type="continuationSeparator" w:id="0">
    <w:p w14:paraId="48AD86E4" w14:textId="77777777" w:rsidR="005D5C30" w:rsidRPr="00AC3823" w:rsidRDefault="005D5C30" w:rsidP="00AC3823">
      <w:pPr>
        <w:pStyle w:val="Pieddepage"/>
        <w:tabs>
          <w:tab w:val="right" w:pos="2155"/>
        </w:tabs>
        <w:spacing w:after="80" w:line="240" w:lineRule="atLeast"/>
        <w:ind w:left="680"/>
        <w:rPr>
          <w:u w:val="single"/>
        </w:rPr>
      </w:pPr>
      <w:r>
        <w:rPr>
          <w:u w:val="single"/>
        </w:rPr>
        <w:tab/>
      </w:r>
    </w:p>
  </w:footnote>
  <w:footnote w:type="continuationNotice" w:id="1">
    <w:p w14:paraId="198F57DC" w14:textId="77777777" w:rsidR="005D5C30" w:rsidRPr="00AC3823" w:rsidRDefault="005D5C3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8222" w14:textId="36CB08DF" w:rsidR="002B4EE5" w:rsidRPr="002B4EE5" w:rsidRDefault="00406B7E" w:rsidP="00406B7E">
    <w:pPr>
      <w:pStyle w:val="En-tte"/>
    </w:pPr>
    <w:r>
      <w:t>ECE/TRANS/WP.15/AC.1</w:t>
    </w:r>
    <w:r w:rsidR="00B64B04">
      <w:t>/1</w:t>
    </w:r>
    <w:r>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0856" w14:textId="2B00B33A" w:rsidR="002B4EE5" w:rsidRPr="002B4EE5" w:rsidRDefault="001B7C63" w:rsidP="002B4EE5">
    <w:pPr>
      <w:pStyle w:val="En-tte"/>
      <w:jc w:val="right"/>
    </w:pPr>
    <w:fldSimple w:instr=" TITLE  \* MERGEFORMAT ">
      <w:r w:rsidR="001B686A">
        <w:t>ECE/TRANS/WP.15/AC.1/170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70877221">
    <w:abstractNumId w:val="12"/>
  </w:num>
  <w:num w:numId="2" w16cid:durableId="722023396">
    <w:abstractNumId w:val="11"/>
  </w:num>
  <w:num w:numId="3" w16cid:durableId="1100492553">
    <w:abstractNumId w:val="10"/>
  </w:num>
  <w:num w:numId="4" w16cid:durableId="1887643415">
    <w:abstractNumId w:val="8"/>
  </w:num>
  <w:num w:numId="5" w16cid:durableId="1855225042">
    <w:abstractNumId w:val="3"/>
  </w:num>
  <w:num w:numId="6" w16cid:durableId="205261411">
    <w:abstractNumId w:val="2"/>
  </w:num>
  <w:num w:numId="7" w16cid:durableId="682171162">
    <w:abstractNumId w:val="1"/>
  </w:num>
  <w:num w:numId="8" w16cid:durableId="393311355">
    <w:abstractNumId w:val="0"/>
  </w:num>
  <w:num w:numId="9" w16cid:durableId="1513300043">
    <w:abstractNumId w:val="9"/>
  </w:num>
  <w:num w:numId="10" w16cid:durableId="550460482">
    <w:abstractNumId w:val="7"/>
  </w:num>
  <w:num w:numId="11" w16cid:durableId="1452287455">
    <w:abstractNumId w:val="6"/>
  </w:num>
  <w:num w:numId="12" w16cid:durableId="360277597">
    <w:abstractNumId w:val="5"/>
  </w:num>
  <w:num w:numId="13" w16cid:durableId="1712345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B4EE5"/>
    <w:rsid w:val="00011C12"/>
    <w:rsid w:val="0001207F"/>
    <w:rsid w:val="000137E3"/>
    <w:rsid w:val="00013A67"/>
    <w:rsid w:val="00013D6A"/>
    <w:rsid w:val="00016448"/>
    <w:rsid w:val="00017F94"/>
    <w:rsid w:val="0002075C"/>
    <w:rsid w:val="0002235B"/>
    <w:rsid w:val="00023842"/>
    <w:rsid w:val="0002445D"/>
    <w:rsid w:val="00027DDD"/>
    <w:rsid w:val="000334F9"/>
    <w:rsid w:val="00035658"/>
    <w:rsid w:val="000438D4"/>
    <w:rsid w:val="00044461"/>
    <w:rsid w:val="00044810"/>
    <w:rsid w:val="0004639C"/>
    <w:rsid w:val="00047B32"/>
    <w:rsid w:val="00050C17"/>
    <w:rsid w:val="00056583"/>
    <w:rsid w:val="000616BA"/>
    <w:rsid w:val="000659BB"/>
    <w:rsid w:val="000763A9"/>
    <w:rsid w:val="0007796D"/>
    <w:rsid w:val="0008623A"/>
    <w:rsid w:val="00092A2B"/>
    <w:rsid w:val="000942EE"/>
    <w:rsid w:val="000A0408"/>
    <w:rsid w:val="000A2633"/>
    <w:rsid w:val="000A52BF"/>
    <w:rsid w:val="000B7790"/>
    <w:rsid w:val="000C5AFA"/>
    <w:rsid w:val="000C60A1"/>
    <w:rsid w:val="000D3EE9"/>
    <w:rsid w:val="000D62F3"/>
    <w:rsid w:val="000E4AF3"/>
    <w:rsid w:val="000F5B42"/>
    <w:rsid w:val="000F783E"/>
    <w:rsid w:val="00101C02"/>
    <w:rsid w:val="00106A22"/>
    <w:rsid w:val="00111F2F"/>
    <w:rsid w:val="001146FA"/>
    <w:rsid w:val="0011558F"/>
    <w:rsid w:val="00115D42"/>
    <w:rsid w:val="001400BC"/>
    <w:rsid w:val="001433FD"/>
    <w:rsid w:val="0014365E"/>
    <w:rsid w:val="00143694"/>
    <w:rsid w:val="00143E32"/>
    <w:rsid w:val="001457B7"/>
    <w:rsid w:val="00152B83"/>
    <w:rsid w:val="001541D3"/>
    <w:rsid w:val="00156B77"/>
    <w:rsid w:val="00161F41"/>
    <w:rsid w:val="0016336D"/>
    <w:rsid w:val="00165A1E"/>
    <w:rsid w:val="00170908"/>
    <w:rsid w:val="001757E1"/>
    <w:rsid w:val="00176178"/>
    <w:rsid w:val="00177140"/>
    <w:rsid w:val="001846CB"/>
    <w:rsid w:val="001A081D"/>
    <w:rsid w:val="001B0D10"/>
    <w:rsid w:val="001B178C"/>
    <w:rsid w:val="001B63C3"/>
    <w:rsid w:val="001B686A"/>
    <w:rsid w:val="001B7C63"/>
    <w:rsid w:val="001C506E"/>
    <w:rsid w:val="001C53EE"/>
    <w:rsid w:val="001C67A7"/>
    <w:rsid w:val="001C6B73"/>
    <w:rsid w:val="001D0F93"/>
    <w:rsid w:val="001D400F"/>
    <w:rsid w:val="001D6060"/>
    <w:rsid w:val="001D76E1"/>
    <w:rsid w:val="001D79FD"/>
    <w:rsid w:val="001E1216"/>
    <w:rsid w:val="001F525A"/>
    <w:rsid w:val="00200236"/>
    <w:rsid w:val="002011ED"/>
    <w:rsid w:val="0020277C"/>
    <w:rsid w:val="002027B3"/>
    <w:rsid w:val="00207397"/>
    <w:rsid w:val="0021084C"/>
    <w:rsid w:val="00210F27"/>
    <w:rsid w:val="00215810"/>
    <w:rsid w:val="00223272"/>
    <w:rsid w:val="002261A3"/>
    <w:rsid w:val="00240333"/>
    <w:rsid w:val="00240C43"/>
    <w:rsid w:val="00244648"/>
    <w:rsid w:val="00246EF2"/>
    <w:rsid w:val="0024779E"/>
    <w:rsid w:val="00254107"/>
    <w:rsid w:val="002549C4"/>
    <w:rsid w:val="002572DD"/>
    <w:rsid w:val="00274788"/>
    <w:rsid w:val="002832AC"/>
    <w:rsid w:val="00284013"/>
    <w:rsid w:val="002B1F33"/>
    <w:rsid w:val="002B4EE5"/>
    <w:rsid w:val="002C3666"/>
    <w:rsid w:val="002C63AC"/>
    <w:rsid w:val="002D6540"/>
    <w:rsid w:val="002D7C93"/>
    <w:rsid w:val="002E2A57"/>
    <w:rsid w:val="002E4CAB"/>
    <w:rsid w:val="002E7028"/>
    <w:rsid w:val="0032126C"/>
    <w:rsid w:val="00324085"/>
    <w:rsid w:val="003260E1"/>
    <w:rsid w:val="00330667"/>
    <w:rsid w:val="003414F4"/>
    <w:rsid w:val="00341B5A"/>
    <w:rsid w:val="0035057B"/>
    <w:rsid w:val="00365BAB"/>
    <w:rsid w:val="00371FCE"/>
    <w:rsid w:val="0037241C"/>
    <w:rsid w:val="003819FF"/>
    <w:rsid w:val="003A0446"/>
    <w:rsid w:val="003A33A4"/>
    <w:rsid w:val="003B74B5"/>
    <w:rsid w:val="003D73B1"/>
    <w:rsid w:val="003E22C2"/>
    <w:rsid w:val="004061C1"/>
    <w:rsid w:val="00406B7E"/>
    <w:rsid w:val="00410D06"/>
    <w:rsid w:val="004118E3"/>
    <w:rsid w:val="00412070"/>
    <w:rsid w:val="00424534"/>
    <w:rsid w:val="0042707A"/>
    <w:rsid w:val="00441B4A"/>
    <w:rsid w:val="00441C3B"/>
    <w:rsid w:val="00446B0A"/>
    <w:rsid w:val="00446FE5"/>
    <w:rsid w:val="00447410"/>
    <w:rsid w:val="00450BF2"/>
    <w:rsid w:val="00451423"/>
    <w:rsid w:val="00452396"/>
    <w:rsid w:val="00453600"/>
    <w:rsid w:val="004567BF"/>
    <w:rsid w:val="00456D9E"/>
    <w:rsid w:val="00467B67"/>
    <w:rsid w:val="00471288"/>
    <w:rsid w:val="00474C59"/>
    <w:rsid w:val="0047542C"/>
    <w:rsid w:val="0048548F"/>
    <w:rsid w:val="00487C72"/>
    <w:rsid w:val="00491D41"/>
    <w:rsid w:val="0049687C"/>
    <w:rsid w:val="004A5A6E"/>
    <w:rsid w:val="004A611D"/>
    <w:rsid w:val="004A6686"/>
    <w:rsid w:val="004B4ED4"/>
    <w:rsid w:val="004B5DA2"/>
    <w:rsid w:val="004C2C01"/>
    <w:rsid w:val="004D024D"/>
    <w:rsid w:val="004D0A33"/>
    <w:rsid w:val="004D0D3A"/>
    <w:rsid w:val="004D47BD"/>
    <w:rsid w:val="004D717B"/>
    <w:rsid w:val="004E25D4"/>
    <w:rsid w:val="004E468C"/>
    <w:rsid w:val="004E73B3"/>
    <w:rsid w:val="004F12C8"/>
    <w:rsid w:val="004F172C"/>
    <w:rsid w:val="004F23FD"/>
    <w:rsid w:val="0050117C"/>
    <w:rsid w:val="0051174E"/>
    <w:rsid w:val="00512978"/>
    <w:rsid w:val="0052353D"/>
    <w:rsid w:val="0052766A"/>
    <w:rsid w:val="005316B0"/>
    <w:rsid w:val="0053283A"/>
    <w:rsid w:val="00532B3E"/>
    <w:rsid w:val="00537B93"/>
    <w:rsid w:val="0054415F"/>
    <w:rsid w:val="005505B7"/>
    <w:rsid w:val="00557573"/>
    <w:rsid w:val="005578D7"/>
    <w:rsid w:val="005679BD"/>
    <w:rsid w:val="00573928"/>
    <w:rsid w:val="00573BE5"/>
    <w:rsid w:val="005746F3"/>
    <w:rsid w:val="00580D85"/>
    <w:rsid w:val="00586ED3"/>
    <w:rsid w:val="005872F1"/>
    <w:rsid w:val="00596AA9"/>
    <w:rsid w:val="00597905"/>
    <w:rsid w:val="005A1C48"/>
    <w:rsid w:val="005A284C"/>
    <w:rsid w:val="005A32C2"/>
    <w:rsid w:val="005A6880"/>
    <w:rsid w:val="005B0BD2"/>
    <w:rsid w:val="005B2C99"/>
    <w:rsid w:val="005B4D0F"/>
    <w:rsid w:val="005B7C05"/>
    <w:rsid w:val="005B7E0B"/>
    <w:rsid w:val="005C213D"/>
    <w:rsid w:val="005C5DB6"/>
    <w:rsid w:val="005D47DE"/>
    <w:rsid w:val="005D5C30"/>
    <w:rsid w:val="005E1B10"/>
    <w:rsid w:val="005E1C23"/>
    <w:rsid w:val="005E257E"/>
    <w:rsid w:val="005E3439"/>
    <w:rsid w:val="00614149"/>
    <w:rsid w:val="00614302"/>
    <w:rsid w:val="0062519F"/>
    <w:rsid w:val="00630121"/>
    <w:rsid w:val="006364F5"/>
    <w:rsid w:val="00636FF9"/>
    <w:rsid w:val="0064102B"/>
    <w:rsid w:val="00642CCF"/>
    <w:rsid w:val="00645CF9"/>
    <w:rsid w:val="00645D1D"/>
    <w:rsid w:val="00653EE6"/>
    <w:rsid w:val="00661912"/>
    <w:rsid w:val="00667CF8"/>
    <w:rsid w:val="00673077"/>
    <w:rsid w:val="006838BC"/>
    <w:rsid w:val="00697F64"/>
    <w:rsid w:val="006A0653"/>
    <w:rsid w:val="006A1B62"/>
    <w:rsid w:val="006A2907"/>
    <w:rsid w:val="006A2FDB"/>
    <w:rsid w:val="006B02C3"/>
    <w:rsid w:val="006B5E20"/>
    <w:rsid w:val="006B7CD7"/>
    <w:rsid w:val="006C3045"/>
    <w:rsid w:val="006C3892"/>
    <w:rsid w:val="006C79E8"/>
    <w:rsid w:val="006D0671"/>
    <w:rsid w:val="006D7577"/>
    <w:rsid w:val="006E0014"/>
    <w:rsid w:val="006E13B9"/>
    <w:rsid w:val="006E2E26"/>
    <w:rsid w:val="006F19F7"/>
    <w:rsid w:val="006F711A"/>
    <w:rsid w:val="00700E8C"/>
    <w:rsid w:val="00703459"/>
    <w:rsid w:val="00703D0F"/>
    <w:rsid w:val="00706363"/>
    <w:rsid w:val="007101E9"/>
    <w:rsid w:val="007158BB"/>
    <w:rsid w:val="0071601D"/>
    <w:rsid w:val="00721B47"/>
    <w:rsid w:val="00726EB1"/>
    <w:rsid w:val="00732CE3"/>
    <w:rsid w:val="00736814"/>
    <w:rsid w:val="00742515"/>
    <w:rsid w:val="007444F9"/>
    <w:rsid w:val="0074641A"/>
    <w:rsid w:val="0075162A"/>
    <w:rsid w:val="0075410D"/>
    <w:rsid w:val="00755958"/>
    <w:rsid w:val="00755AAD"/>
    <w:rsid w:val="007602FC"/>
    <w:rsid w:val="00772A71"/>
    <w:rsid w:val="0078742E"/>
    <w:rsid w:val="00797129"/>
    <w:rsid w:val="00797AF0"/>
    <w:rsid w:val="007A62E6"/>
    <w:rsid w:val="007B1099"/>
    <w:rsid w:val="007B2550"/>
    <w:rsid w:val="007C0F43"/>
    <w:rsid w:val="007C1FC8"/>
    <w:rsid w:val="007D4AD6"/>
    <w:rsid w:val="007D7928"/>
    <w:rsid w:val="007E53E4"/>
    <w:rsid w:val="007F71EC"/>
    <w:rsid w:val="00800140"/>
    <w:rsid w:val="00800AE5"/>
    <w:rsid w:val="00802A03"/>
    <w:rsid w:val="0080354D"/>
    <w:rsid w:val="00804B74"/>
    <w:rsid w:val="0080684C"/>
    <w:rsid w:val="00810430"/>
    <w:rsid w:val="008118F7"/>
    <w:rsid w:val="008136FA"/>
    <w:rsid w:val="008144CB"/>
    <w:rsid w:val="008150EC"/>
    <w:rsid w:val="00815246"/>
    <w:rsid w:val="00817466"/>
    <w:rsid w:val="008204DA"/>
    <w:rsid w:val="0084137D"/>
    <w:rsid w:val="00843EAA"/>
    <w:rsid w:val="008535AD"/>
    <w:rsid w:val="008556AB"/>
    <w:rsid w:val="008571D0"/>
    <w:rsid w:val="00862878"/>
    <w:rsid w:val="00870691"/>
    <w:rsid w:val="00871C75"/>
    <w:rsid w:val="00872E54"/>
    <w:rsid w:val="008767E8"/>
    <w:rsid w:val="00876913"/>
    <w:rsid w:val="008776DC"/>
    <w:rsid w:val="00883006"/>
    <w:rsid w:val="00883605"/>
    <w:rsid w:val="00883A51"/>
    <w:rsid w:val="00897BBA"/>
    <w:rsid w:val="008A1F77"/>
    <w:rsid w:val="008A3F64"/>
    <w:rsid w:val="008A661B"/>
    <w:rsid w:val="008A750C"/>
    <w:rsid w:val="008B66E1"/>
    <w:rsid w:val="008C152E"/>
    <w:rsid w:val="008D0A06"/>
    <w:rsid w:val="008E6043"/>
    <w:rsid w:val="008E69C9"/>
    <w:rsid w:val="008E6AEE"/>
    <w:rsid w:val="008E6FEB"/>
    <w:rsid w:val="008F1391"/>
    <w:rsid w:val="008F19EA"/>
    <w:rsid w:val="008F34C7"/>
    <w:rsid w:val="008F4CDE"/>
    <w:rsid w:val="00901BB0"/>
    <w:rsid w:val="0091734C"/>
    <w:rsid w:val="009224CB"/>
    <w:rsid w:val="00923696"/>
    <w:rsid w:val="009337F3"/>
    <w:rsid w:val="00934572"/>
    <w:rsid w:val="00935746"/>
    <w:rsid w:val="00943E7D"/>
    <w:rsid w:val="0094693A"/>
    <w:rsid w:val="00947D69"/>
    <w:rsid w:val="00953CF0"/>
    <w:rsid w:val="00961E7B"/>
    <w:rsid w:val="009705C8"/>
    <w:rsid w:val="00970C3F"/>
    <w:rsid w:val="00971407"/>
    <w:rsid w:val="00975EED"/>
    <w:rsid w:val="0097614A"/>
    <w:rsid w:val="00977912"/>
    <w:rsid w:val="00980071"/>
    <w:rsid w:val="00987AD4"/>
    <w:rsid w:val="009964B8"/>
    <w:rsid w:val="009A1D06"/>
    <w:rsid w:val="009B27F8"/>
    <w:rsid w:val="009B510D"/>
    <w:rsid w:val="009C1CF4"/>
    <w:rsid w:val="009C7C04"/>
    <w:rsid w:val="009D489E"/>
    <w:rsid w:val="009D65AA"/>
    <w:rsid w:val="009E0D30"/>
    <w:rsid w:val="009F02C9"/>
    <w:rsid w:val="009F4FA6"/>
    <w:rsid w:val="009F7A65"/>
    <w:rsid w:val="00A0041C"/>
    <w:rsid w:val="00A0313B"/>
    <w:rsid w:val="00A16186"/>
    <w:rsid w:val="00A22329"/>
    <w:rsid w:val="00A226C0"/>
    <w:rsid w:val="00A23850"/>
    <w:rsid w:val="00A24EEE"/>
    <w:rsid w:val="00A30353"/>
    <w:rsid w:val="00A3503D"/>
    <w:rsid w:val="00A566DA"/>
    <w:rsid w:val="00A62D91"/>
    <w:rsid w:val="00A646AE"/>
    <w:rsid w:val="00A86F57"/>
    <w:rsid w:val="00A87603"/>
    <w:rsid w:val="00A90D54"/>
    <w:rsid w:val="00A9744B"/>
    <w:rsid w:val="00A975CA"/>
    <w:rsid w:val="00A97805"/>
    <w:rsid w:val="00AA113A"/>
    <w:rsid w:val="00AA142D"/>
    <w:rsid w:val="00AA2C8C"/>
    <w:rsid w:val="00AC04A8"/>
    <w:rsid w:val="00AC0687"/>
    <w:rsid w:val="00AC3823"/>
    <w:rsid w:val="00AC5306"/>
    <w:rsid w:val="00AD05C6"/>
    <w:rsid w:val="00AD6D3E"/>
    <w:rsid w:val="00AE13C1"/>
    <w:rsid w:val="00AE323C"/>
    <w:rsid w:val="00AF201B"/>
    <w:rsid w:val="00AF6DC3"/>
    <w:rsid w:val="00AF6F1F"/>
    <w:rsid w:val="00AF7257"/>
    <w:rsid w:val="00AF774C"/>
    <w:rsid w:val="00B00181"/>
    <w:rsid w:val="00B00B0D"/>
    <w:rsid w:val="00B05569"/>
    <w:rsid w:val="00B057DE"/>
    <w:rsid w:val="00B1284E"/>
    <w:rsid w:val="00B14360"/>
    <w:rsid w:val="00B15573"/>
    <w:rsid w:val="00B16BB0"/>
    <w:rsid w:val="00B17622"/>
    <w:rsid w:val="00B22692"/>
    <w:rsid w:val="00B23973"/>
    <w:rsid w:val="00B24648"/>
    <w:rsid w:val="00B247C1"/>
    <w:rsid w:val="00B247C3"/>
    <w:rsid w:val="00B256D9"/>
    <w:rsid w:val="00B40927"/>
    <w:rsid w:val="00B41921"/>
    <w:rsid w:val="00B42CB8"/>
    <w:rsid w:val="00B42F79"/>
    <w:rsid w:val="00B50675"/>
    <w:rsid w:val="00B50E25"/>
    <w:rsid w:val="00B5155E"/>
    <w:rsid w:val="00B64918"/>
    <w:rsid w:val="00B64B04"/>
    <w:rsid w:val="00B737B6"/>
    <w:rsid w:val="00B743C4"/>
    <w:rsid w:val="00B765F7"/>
    <w:rsid w:val="00B81252"/>
    <w:rsid w:val="00B842E4"/>
    <w:rsid w:val="00B90E41"/>
    <w:rsid w:val="00B95703"/>
    <w:rsid w:val="00B9719F"/>
    <w:rsid w:val="00BA0CA9"/>
    <w:rsid w:val="00BA5B65"/>
    <w:rsid w:val="00BB508C"/>
    <w:rsid w:val="00BC614E"/>
    <w:rsid w:val="00BD52C4"/>
    <w:rsid w:val="00BE1B05"/>
    <w:rsid w:val="00BE40D9"/>
    <w:rsid w:val="00BE691F"/>
    <w:rsid w:val="00BF2CF5"/>
    <w:rsid w:val="00C02897"/>
    <w:rsid w:val="00C03F8D"/>
    <w:rsid w:val="00C04B5E"/>
    <w:rsid w:val="00C1626B"/>
    <w:rsid w:val="00C17EEC"/>
    <w:rsid w:val="00C21BEB"/>
    <w:rsid w:val="00C34AA8"/>
    <w:rsid w:val="00C42E79"/>
    <w:rsid w:val="00C523A4"/>
    <w:rsid w:val="00C66A47"/>
    <w:rsid w:val="00C714C9"/>
    <w:rsid w:val="00C7322C"/>
    <w:rsid w:val="00C7616F"/>
    <w:rsid w:val="00C76F01"/>
    <w:rsid w:val="00C80542"/>
    <w:rsid w:val="00CB16B5"/>
    <w:rsid w:val="00CC056D"/>
    <w:rsid w:val="00CC42F6"/>
    <w:rsid w:val="00CC7DCF"/>
    <w:rsid w:val="00CD7A46"/>
    <w:rsid w:val="00CE0608"/>
    <w:rsid w:val="00CE4AE5"/>
    <w:rsid w:val="00CE674F"/>
    <w:rsid w:val="00CE7C8A"/>
    <w:rsid w:val="00CF783E"/>
    <w:rsid w:val="00D1621F"/>
    <w:rsid w:val="00D1785A"/>
    <w:rsid w:val="00D21E49"/>
    <w:rsid w:val="00D240A4"/>
    <w:rsid w:val="00D244BB"/>
    <w:rsid w:val="00D25FCF"/>
    <w:rsid w:val="00D2657B"/>
    <w:rsid w:val="00D3439C"/>
    <w:rsid w:val="00D361A2"/>
    <w:rsid w:val="00D44CF3"/>
    <w:rsid w:val="00D46C8C"/>
    <w:rsid w:val="00D54354"/>
    <w:rsid w:val="00D55873"/>
    <w:rsid w:val="00D6010A"/>
    <w:rsid w:val="00D6017C"/>
    <w:rsid w:val="00D639A7"/>
    <w:rsid w:val="00D74A54"/>
    <w:rsid w:val="00D76B1A"/>
    <w:rsid w:val="00D77F53"/>
    <w:rsid w:val="00D85164"/>
    <w:rsid w:val="00D85CEC"/>
    <w:rsid w:val="00D9020E"/>
    <w:rsid w:val="00D930AF"/>
    <w:rsid w:val="00D956BC"/>
    <w:rsid w:val="00D958B3"/>
    <w:rsid w:val="00D95BCB"/>
    <w:rsid w:val="00DA3E7C"/>
    <w:rsid w:val="00DA44D1"/>
    <w:rsid w:val="00DB1831"/>
    <w:rsid w:val="00DB3438"/>
    <w:rsid w:val="00DB5369"/>
    <w:rsid w:val="00DC639F"/>
    <w:rsid w:val="00DD1140"/>
    <w:rsid w:val="00DD3BFD"/>
    <w:rsid w:val="00DD74A0"/>
    <w:rsid w:val="00DE239D"/>
    <w:rsid w:val="00DF4193"/>
    <w:rsid w:val="00DF431C"/>
    <w:rsid w:val="00DF5F7F"/>
    <w:rsid w:val="00DF65D6"/>
    <w:rsid w:val="00DF6678"/>
    <w:rsid w:val="00E00C7B"/>
    <w:rsid w:val="00E06EDD"/>
    <w:rsid w:val="00E2755D"/>
    <w:rsid w:val="00E32E8E"/>
    <w:rsid w:val="00E35096"/>
    <w:rsid w:val="00E350FC"/>
    <w:rsid w:val="00E362D8"/>
    <w:rsid w:val="00E368F7"/>
    <w:rsid w:val="00E40535"/>
    <w:rsid w:val="00E425AD"/>
    <w:rsid w:val="00E428C8"/>
    <w:rsid w:val="00E43A81"/>
    <w:rsid w:val="00E44E42"/>
    <w:rsid w:val="00E604D3"/>
    <w:rsid w:val="00E60AA0"/>
    <w:rsid w:val="00E62BE9"/>
    <w:rsid w:val="00E64142"/>
    <w:rsid w:val="00E83336"/>
    <w:rsid w:val="00E87FEB"/>
    <w:rsid w:val="00E934C9"/>
    <w:rsid w:val="00E935E3"/>
    <w:rsid w:val="00E94F84"/>
    <w:rsid w:val="00EA7D15"/>
    <w:rsid w:val="00EB1CB3"/>
    <w:rsid w:val="00EB5663"/>
    <w:rsid w:val="00EC031B"/>
    <w:rsid w:val="00EC353F"/>
    <w:rsid w:val="00ED0CE2"/>
    <w:rsid w:val="00ED2E74"/>
    <w:rsid w:val="00ED5B5F"/>
    <w:rsid w:val="00ED6184"/>
    <w:rsid w:val="00ED6E90"/>
    <w:rsid w:val="00EE7FEA"/>
    <w:rsid w:val="00EF2E22"/>
    <w:rsid w:val="00EF476E"/>
    <w:rsid w:val="00EF6EEF"/>
    <w:rsid w:val="00F04CA1"/>
    <w:rsid w:val="00F05016"/>
    <w:rsid w:val="00F0592C"/>
    <w:rsid w:val="00F06ED4"/>
    <w:rsid w:val="00F1079F"/>
    <w:rsid w:val="00F1086D"/>
    <w:rsid w:val="00F26BD5"/>
    <w:rsid w:val="00F27B17"/>
    <w:rsid w:val="00F27BB3"/>
    <w:rsid w:val="00F32C74"/>
    <w:rsid w:val="00F35FC1"/>
    <w:rsid w:val="00F43289"/>
    <w:rsid w:val="00F44F42"/>
    <w:rsid w:val="00F50E9D"/>
    <w:rsid w:val="00F600E8"/>
    <w:rsid w:val="00F6262F"/>
    <w:rsid w:val="00F660DF"/>
    <w:rsid w:val="00F67222"/>
    <w:rsid w:val="00F77175"/>
    <w:rsid w:val="00F856C2"/>
    <w:rsid w:val="00F876A1"/>
    <w:rsid w:val="00F95C08"/>
    <w:rsid w:val="00F973E9"/>
    <w:rsid w:val="00FA3877"/>
    <w:rsid w:val="00FA7DFE"/>
    <w:rsid w:val="00FB1120"/>
    <w:rsid w:val="00FB6EA0"/>
    <w:rsid w:val="00FC668A"/>
    <w:rsid w:val="00FD1581"/>
    <w:rsid w:val="00FD6D3D"/>
    <w:rsid w:val="00FE0EC9"/>
    <w:rsid w:val="00FE1D33"/>
    <w:rsid w:val="00FE1D7E"/>
    <w:rsid w:val="00FE42BA"/>
    <w:rsid w:val="00FE7123"/>
    <w:rsid w:val="00FF05FD"/>
    <w:rsid w:val="00FF49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2C13"/>
  <w15:docId w15:val="{231AC0D5-84DE-4A86-997B-61D03A6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71"/>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qFormat/>
    <w:rsid w:val="0001207F"/>
    <w:rPr>
      <w:b/>
      <w:sz w:val="28"/>
    </w:rPr>
  </w:style>
  <w:style w:type="character" w:styleId="Marquedecommentaire">
    <w:name w:val="annotation reference"/>
    <w:basedOn w:val="Policepardfaut"/>
    <w:uiPriority w:val="99"/>
    <w:semiHidden/>
    <w:unhideWhenUsed/>
    <w:rsid w:val="00CC7DCF"/>
    <w:rPr>
      <w:sz w:val="16"/>
      <w:szCs w:val="16"/>
    </w:rPr>
  </w:style>
  <w:style w:type="paragraph" w:styleId="Commentaire">
    <w:name w:val="annotation text"/>
    <w:basedOn w:val="Normal"/>
    <w:link w:val="CommentaireCar"/>
    <w:uiPriority w:val="99"/>
    <w:unhideWhenUsed/>
    <w:rsid w:val="00CC7DCF"/>
    <w:pPr>
      <w:spacing w:line="240" w:lineRule="auto"/>
    </w:pPr>
  </w:style>
  <w:style w:type="character" w:customStyle="1" w:styleId="CommentaireCar">
    <w:name w:val="Commentaire Car"/>
    <w:basedOn w:val="Policepardfaut"/>
    <w:link w:val="Commentaire"/>
    <w:uiPriority w:val="99"/>
    <w:rsid w:val="00CC7DCF"/>
  </w:style>
  <w:style w:type="paragraph" w:styleId="Objetducommentaire">
    <w:name w:val="annotation subject"/>
    <w:basedOn w:val="Commentaire"/>
    <w:next w:val="Commentaire"/>
    <w:link w:val="ObjetducommentaireCar"/>
    <w:uiPriority w:val="99"/>
    <w:semiHidden/>
    <w:unhideWhenUsed/>
    <w:rsid w:val="00CC7DCF"/>
    <w:rPr>
      <w:b/>
      <w:bCs/>
    </w:rPr>
  </w:style>
  <w:style w:type="character" w:customStyle="1" w:styleId="ObjetducommentaireCar">
    <w:name w:val="Objet du commentaire Car"/>
    <w:basedOn w:val="CommentaireCar"/>
    <w:link w:val="Objetducommentaire"/>
    <w:uiPriority w:val="99"/>
    <w:semiHidden/>
    <w:rsid w:val="00CC7DCF"/>
    <w:rPr>
      <w:b/>
      <w:bCs/>
    </w:rPr>
  </w:style>
  <w:style w:type="character" w:customStyle="1" w:styleId="H1GChar">
    <w:name w:val="_ H_1_G Char"/>
    <w:link w:val="H1G"/>
    <w:qFormat/>
    <w:rsid w:val="009224CB"/>
    <w:rPr>
      <w:b/>
      <w:sz w:val="24"/>
    </w:rPr>
  </w:style>
  <w:style w:type="character" w:customStyle="1" w:styleId="H23GChar">
    <w:name w:val="_ H_2/3_G Char"/>
    <w:link w:val="H23G"/>
    <w:locked/>
    <w:rsid w:val="009224CB"/>
    <w:rPr>
      <w:b/>
    </w:rPr>
  </w:style>
  <w:style w:type="paragraph" w:styleId="Rvision">
    <w:name w:val="Revision"/>
    <w:hidden/>
    <w:uiPriority w:val="99"/>
    <w:semiHidden/>
    <w:rsid w:val="00092A2B"/>
    <w:pPr>
      <w:spacing w:line="240" w:lineRule="auto"/>
    </w:pPr>
  </w:style>
  <w:style w:type="character" w:customStyle="1" w:styleId="SingleTxtGCar">
    <w:name w:val="_ Single Txt_G Car"/>
    <w:rsid w:val="00047B32"/>
    <w:rPr>
      <w:lang w:val="en-GB" w:eastAsia="en-US"/>
    </w:rPr>
  </w:style>
  <w:style w:type="paragraph" w:styleId="TM1">
    <w:name w:val="toc 1"/>
    <w:basedOn w:val="Normal"/>
    <w:next w:val="Normal"/>
    <w:autoRedefine/>
    <w:uiPriority w:val="39"/>
    <w:unhideWhenUsed/>
    <w:rsid w:val="005B7C05"/>
    <w:pPr>
      <w:spacing w:after="100"/>
    </w:pPr>
  </w:style>
  <w:style w:type="paragraph" w:styleId="TM2">
    <w:name w:val="toc 2"/>
    <w:basedOn w:val="Normal"/>
    <w:next w:val="Normal"/>
    <w:autoRedefine/>
    <w:uiPriority w:val="39"/>
    <w:unhideWhenUsed/>
    <w:rsid w:val="005B7C05"/>
    <w:pPr>
      <w:spacing w:after="100"/>
      <w:ind w:left="200"/>
    </w:pPr>
  </w:style>
  <w:style w:type="paragraph" w:styleId="TM3">
    <w:name w:val="toc 3"/>
    <w:basedOn w:val="Normal"/>
    <w:next w:val="Normal"/>
    <w:autoRedefine/>
    <w:uiPriority w:val="39"/>
    <w:unhideWhenUsed/>
    <w:rsid w:val="005B7C05"/>
    <w:pPr>
      <w:spacing w:after="100"/>
      <w:ind w:left="400"/>
    </w:pPr>
  </w:style>
  <w:style w:type="paragraph" w:styleId="En-ttedetabledesmatires">
    <w:name w:val="TOC Heading"/>
    <w:basedOn w:val="Titre1"/>
    <w:next w:val="Normal"/>
    <w:uiPriority w:val="39"/>
    <w:unhideWhenUsed/>
    <w:qFormat/>
    <w:rsid w:val="005B7C05"/>
    <w:pPr>
      <w:tabs>
        <w:tab w:val="clear" w:pos="1701"/>
        <w:tab w:val="clear" w:pos="2268"/>
        <w:tab w:val="clear" w:pos="2835"/>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3960">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21136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unece-bodies-dealing-transport-dangerous-good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20practical-information-deleg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CU\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4AD6C88A-F95D-4A36-9DE9-8603B6305AD3}">
  <ds:schemaRefs>
    <ds:schemaRef ds:uri="http://schemas.openxmlformats.org/officeDocument/2006/bibliography"/>
  </ds:schemaRefs>
</ds:datastoreItem>
</file>

<file path=customXml/itemProps3.xml><?xml version="1.0" encoding="utf-8"?>
<ds:datastoreItem xmlns:ds="http://schemas.openxmlformats.org/officeDocument/2006/customXml" ds:itemID="{52FBA3B9-B6F3-478E-A0D9-2C6F2B85326A}"/>
</file>

<file path=customXml/itemProps4.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4</TotalTime>
  <Pages>27</Pages>
  <Words>10784</Words>
  <Characters>58796</Characters>
  <Application>Microsoft Office Word</Application>
  <DocSecurity>0</DocSecurity>
  <Lines>1132</Lines>
  <Paragraphs>495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69553</CharactersWithSpaces>
  <SharedDoc>false</SharedDoc>
  <HLinks>
    <vt:vector size="12" baseType="variant">
      <vt:variant>
        <vt:i4>8192045</vt:i4>
      </vt:variant>
      <vt:variant>
        <vt:i4>231</vt:i4>
      </vt:variant>
      <vt:variant>
        <vt:i4>0</vt:i4>
      </vt:variant>
      <vt:variant>
        <vt:i4>5</vt:i4>
      </vt:variant>
      <vt:variant>
        <vt:lpwstr>https://unece.org/transport/dangerous-goods/unece-bodies-dealing-transport-dangerous-goods</vt:lpwstr>
      </vt:variant>
      <vt:variant>
        <vt:lpwstr/>
      </vt:variant>
      <vt:variant>
        <vt:i4>7733367</vt:i4>
      </vt:variant>
      <vt:variant>
        <vt:i4>228</vt:i4>
      </vt:variant>
      <vt:variant>
        <vt:i4>0</vt:i4>
      </vt:variant>
      <vt:variant>
        <vt:i4>5</vt:i4>
      </vt:variant>
      <vt:variant>
        <vt:lpwstr>https://unece.org/ practical-information-delegates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ECE/TRANS/WP.15/AC.1/170</dc:title>
  <dc:subject/>
  <dc:creator>Christine CHAUTAGNAT</dc:creator>
  <cp:keywords/>
  <dc:description/>
  <cp:lastModifiedBy>Christine CHAUTAGNAT</cp:lastModifiedBy>
  <cp:revision>3</cp:revision>
  <cp:lastPrinted>2023-10-18T14:24:00Z</cp:lastPrinted>
  <dcterms:created xsi:type="dcterms:W3CDTF">2023-10-18T14:23:00Z</dcterms:created>
  <dcterms:modified xsi:type="dcterms:W3CDTF">2023-10-18T14:27:00Z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