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D0A2C" w14:paraId="5DE290B7" w14:textId="77777777" w:rsidTr="00F01738">
        <w:trPr>
          <w:trHeight w:hRule="exact" w:val="851"/>
        </w:trPr>
        <w:tc>
          <w:tcPr>
            <w:tcW w:w="1276" w:type="dxa"/>
            <w:tcBorders>
              <w:bottom w:val="single" w:sz="4" w:space="0" w:color="auto"/>
            </w:tcBorders>
          </w:tcPr>
          <w:p w14:paraId="556F2819" w14:textId="77777777" w:rsidR="00132EA9" w:rsidRPr="004D0A2C" w:rsidRDefault="00132EA9" w:rsidP="00BD5A78">
            <w:pPr>
              <w:pStyle w:val="HChG"/>
              <w:rPr>
                <w:lang w:val="fr-FR"/>
              </w:rPr>
            </w:pPr>
          </w:p>
        </w:tc>
        <w:tc>
          <w:tcPr>
            <w:tcW w:w="2268" w:type="dxa"/>
            <w:tcBorders>
              <w:bottom w:val="single" w:sz="4" w:space="0" w:color="auto"/>
            </w:tcBorders>
            <w:vAlign w:val="bottom"/>
          </w:tcPr>
          <w:p w14:paraId="2462208C" w14:textId="77777777" w:rsidR="00132EA9" w:rsidRPr="004D0A2C" w:rsidRDefault="00132EA9" w:rsidP="00F01738">
            <w:pPr>
              <w:spacing w:after="80" w:line="300" w:lineRule="exact"/>
              <w:rPr>
                <w:sz w:val="28"/>
                <w:lang w:val="fr-FR"/>
              </w:rPr>
            </w:pPr>
            <w:r w:rsidRPr="004D0A2C">
              <w:rPr>
                <w:sz w:val="28"/>
                <w:lang w:val="fr-FR"/>
              </w:rPr>
              <w:t>Nations Unies</w:t>
            </w:r>
          </w:p>
        </w:tc>
        <w:tc>
          <w:tcPr>
            <w:tcW w:w="6095" w:type="dxa"/>
            <w:gridSpan w:val="2"/>
            <w:tcBorders>
              <w:bottom w:val="single" w:sz="4" w:space="0" w:color="auto"/>
            </w:tcBorders>
            <w:vAlign w:val="bottom"/>
          </w:tcPr>
          <w:p w14:paraId="6387700D" w14:textId="4CF26898" w:rsidR="00132EA9" w:rsidRPr="004D0A2C" w:rsidRDefault="006F26A8" w:rsidP="006F26A8">
            <w:pPr>
              <w:jc w:val="right"/>
              <w:rPr>
                <w:lang w:val="fr-FR"/>
              </w:rPr>
            </w:pPr>
            <w:r w:rsidRPr="004D0A2C">
              <w:rPr>
                <w:sz w:val="40"/>
                <w:lang w:val="fr-FR"/>
              </w:rPr>
              <w:t>ST</w:t>
            </w:r>
            <w:r w:rsidRPr="004D0A2C">
              <w:rPr>
                <w:lang w:val="fr-FR"/>
              </w:rPr>
              <w:t>/SG/AC</w:t>
            </w:r>
            <w:r w:rsidR="009C65BB" w:rsidRPr="004D0A2C">
              <w:rPr>
                <w:lang w:val="fr-FR"/>
              </w:rPr>
              <w:t>.</w:t>
            </w:r>
            <w:r w:rsidRPr="004D0A2C">
              <w:rPr>
                <w:lang w:val="fr-FR"/>
              </w:rPr>
              <w:t>10/C</w:t>
            </w:r>
            <w:r w:rsidR="009C65BB" w:rsidRPr="004D0A2C">
              <w:rPr>
                <w:lang w:val="fr-FR"/>
              </w:rPr>
              <w:t>.</w:t>
            </w:r>
            <w:r w:rsidRPr="004D0A2C">
              <w:rPr>
                <w:lang w:val="fr-FR"/>
              </w:rPr>
              <w:t>3/124</w:t>
            </w:r>
          </w:p>
        </w:tc>
      </w:tr>
      <w:tr w:rsidR="00132EA9" w:rsidRPr="004D0A2C" w14:paraId="375C3E85" w14:textId="77777777" w:rsidTr="00F01738">
        <w:trPr>
          <w:trHeight w:hRule="exact" w:val="2835"/>
        </w:trPr>
        <w:tc>
          <w:tcPr>
            <w:tcW w:w="1276" w:type="dxa"/>
            <w:tcBorders>
              <w:top w:val="single" w:sz="4" w:space="0" w:color="auto"/>
              <w:bottom w:val="single" w:sz="12" w:space="0" w:color="auto"/>
            </w:tcBorders>
          </w:tcPr>
          <w:p w14:paraId="57D6AF32" w14:textId="77777777" w:rsidR="00132EA9" w:rsidRPr="004D0A2C" w:rsidRDefault="00132EA9" w:rsidP="00F01738">
            <w:pPr>
              <w:spacing w:before="120"/>
              <w:jc w:val="center"/>
              <w:rPr>
                <w:lang w:val="fr-FR"/>
              </w:rPr>
            </w:pPr>
            <w:r w:rsidRPr="004D0A2C">
              <w:rPr>
                <w:noProof/>
                <w:lang w:val="fr-FR" w:eastAsia="fr-CH"/>
              </w:rPr>
              <w:drawing>
                <wp:inline distT="0" distB="0" distL="0" distR="0" wp14:anchorId="27C41BDC" wp14:editId="296D89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0BEE86" w14:textId="77777777" w:rsidR="00132EA9" w:rsidRPr="004D0A2C" w:rsidRDefault="00132EA9" w:rsidP="00F01738">
            <w:pPr>
              <w:spacing w:before="120" w:line="420" w:lineRule="exact"/>
              <w:rPr>
                <w:b/>
                <w:sz w:val="40"/>
                <w:szCs w:val="40"/>
                <w:lang w:val="fr-FR"/>
              </w:rPr>
            </w:pPr>
            <w:r w:rsidRPr="004D0A2C">
              <w:rPr>
                <w:b/>
                <w:sz w:val="40"/>
                <w:szCs w:val="40"/>
                <w:lang w:val="fr-FR"/>
              </w:rPr>
              <w:t>Secrétariat</w:t>
            </w:r>
          </w:p>
        </w:tc>
        <w:tc>
          <w:tcPr>
            <w:tcW w:w="2835" w:type="dxa"/>
            <w:tcBorders>
              <w:top w:val="single" w:sz="4" w:space="0" w:color="auto"/>
              <w:bottom w:val="single" w:sz="12" w:space="0" w:color="auto"/>
            </w:tcBorders>
          </w:tcPr>
          <w:p w14:paraId="46FE66E2" w14:textId="37F14DEB" w:rsidR="00132EA9" w:rsidRPr="004D0A2C" w:rsidRDefault="006F26A8" w:rsidP="00F01738">
            <w:pPr>
              <w:spacing w:before="240"/>
              <w:rPr>
                <w:lang w:val="fr-FR"/>
              </w:rPr>
            </w:pPr>
            <w:r w:rsidRPr="004D0A2C">
              <w:rPr>
                <w:lang w:val="fr-FR"/>
              </w:rPr>
              <w:t>Distr</w:t>
            </w:r>
            <w:r w:rsidR="009C65BB" w:rsidRPr="004D0A2C">
              <w:rPr>
                <w:lang w:val="fr-FR"/>
              </w:rPr>
              <w:t>.</w:t>
            </w:r>
            <w:r w:rsidRPr="004D0A2C">
              <w:rPr>
                <w:lang w:val="fr-FR"/>
              </w:rPr>
              <w:t xml:space="preserve"> générale</w:t>
            </w:r>
          </w:p>
          <w:p w14:paraId="3BE22E8A" w14:textId="77777777" w:rsidR="006F26A8" w:rsidRPr="004D0A2C" w:rsidRDefault="006F26A8" w:rsidP="006F26A8">
            <w:pPr>
              <w:spacing w:line="240" w:lineRule="exact"/>
              <w:rPr>
                <w:lang w:val="fr-FR"/>
              </w:rPr>
            </w:pPr>
            <w:r w:rsidRPr="004D0A2C">
              <w:rPr>
                <w:lang w:val="fr-FR"/>
              </w:rPr>
              <w:t>21 juillet 2023</w:t>
            </w:r>
          </w:p>
          <w:p w14:paraId="3EBF9998" w14:textId="77777777" w:rsidR="006F26A8" w:rsidRPr="004D0A2C" w:rsidRDefault="006F26A8" w:rsidP="006F26A8">
            <w:pPr>
              <w:spacing w:line="240" w:lineRule="exact"/>
              <w:rPr>
                <w:lang w:val="fr-FR"/>
              </w:rPr>
            </w:pPr>
            <w:r w:rsidRPr="004D0A2C">
              <w:rPr>
                <w:lang w:val="fr-FR"/>
              </w:rPr>
              <w:t>Français</w:t>
            </w:r>
          </w:p>
          <w:p w14:paraId="7ECA70F4" w14:textId="6F34AEB7" w:rsidR="006F26A8" w:rsidRPr="004D0A2C" w:rsidRDefault="006F26A8" w:rsidP="006F26A8">
            <w:pPr>
              <w:spacing w:line="240" w:lineRule="exact"/>
              <w:rPr>
                <w:lang w:val="fr-FR"/>
              </w:rPr>
            </w:pPr>
            <w:r w:rsidRPr="004D0A2C">
              <w:rPr>
                <w:lang w:val="fr-FR"/>
              </w:rPr>
              <w:t>Original</w:t>
            </w:r>
            <w:r w:rsidR="00AD27B0" w:rsidRPr="004D0A2C">
              <w:rPr>
                <w:lang w:val="fr-FR"/>
              </w:rPr>
              <w:t> :</w:t>
            </w:r>
            <w:r w:rsidRPr="004D0A2C">
              <w:rPr>
                <w:lang w:val="fr-FR"/>
              </w:rPr>
              <w:t xml:space="preserve"> anglais</w:t>
            </w:r>
          </w:p>
        </w:tc>
      </w:tr>
    </w:tbl>
    <w:p w14:paraId="1191A61D" w14:textId="367B3EA8" w:rsidR="006F26A8" w:rsidRPr="004D0A2C" w:rsidRDefault="006F26A8" w:rsidP="000305D3">
      <w:pPr>
        <w:spacing w:before="120"/>
        <w:rPr>
          <w:b/>
          <w:sz w:val="24"/>
          <w:szCs w:val="24"/>
          <w:lang w:val="fr-FR"/>
        </w:rPr>
      </w:pPr>
      <w:r w:rsidRPr="004D0A2C">
        <w:rPr>
          <w:b/>
          <w:sz w:val="24"/>
          <w:szCs w:val="24"/>
          <w:lang w:val="fr-FR"/>
        </w:rPr>
        <w:t>Comité d</w:t>
      </w:r>
      <w:r w:rsidR="00AD27B0" w:rsidRPr="004D0A2C">
        <w:rPr>
          <w:b/>
          <w:sz w:val="24"/>
          <w:szCs w:val="24"/>
          <w:lang w:val="fr-FR"/>
        </w:rPr>
        <w:t>’</w:t>
      </w:r>
      <w:r w:rsidRPr="004D0A2C">
        <w:rPr>
          <w:b/>
          <w:sz w:val="24"/>
          <w:szCs w:val="24"/>
          <w:lang w:val="fr-FR"/>
        </w:rPr>
        <w:t>experts du transport des marchandises dangereuses</w:t>
      </w:r>
      <w:r w:rsidRPr="004D0A2C">
        <w:rPr>
          <w:b/>
          <w:sz w:val="24"/>
          <w:szCs w:val="24"/>
          <w:lang w:val="fr-FR"/>
        </w:rPr>
        <w:br/>
        <w:t>et du Système général harmonisé de classification</w:t>
      </w:r>
      <w:r w:rsidRPr="004D0A2C">
        <w:rPr>
          <w:b/>
          <w:sz w:val="24"/>
          <w:szCs w:val="24"/>
          <w:lang w:val="fr-FR"/>
        </w:rPr>
        <w:br/>
        <w:t>et d</w:t>
      </w:r>
      <w:r w:rsidR="00AD27B0" w:rsidRPr="004D0A2C">
        <w:rPr>
          <w:b/>
          <w:sz w:val="24"/>
          <w:szCs w:val="24"/>
          <w:lang w:val="fr-FR"/>
        </w:rPr>
        <w:t>’</w:t>
      </w:r>
      <w:r w:rsidRPr="004D0A2C">
        <w:rPr>
          <w:b/>
          <w:sz w:val="24"/>
          <w:szCs w:val="24"/>
          <w:lang w:val="fr-FR"/>
        </w:rPr>
        <w:t>étiquetage des produits chimiques</w:t>
      </w:r>
    </w:p>
    <w:p w14:paraId="1B9E5897" w14:textId="21E7DEA2" w:rsidR="006F26A8" w:rsidRPr="004D0A2C" w:rsidRDefault="006F26A8" w:rsidP="000305D3">
      <w:pPr>
        <w:spacing w:before="120"/>
        <w:rPr>
          <w:b/>
          <w:lang w:val="fr-FR"/>
        </w:rPr>
      </w:pPr>
      <w:r w:rsidRPr="004D0A2C">
        <w:rPr>
          <w:b/>
          <w:lang w:val="fr-FR"/>
        </w:rPr>
        <w:t>Sous-Comité d</w:t>
      </w:r>
      <w:r w:rsidR="00AD27B0" w:rsidRPr="004D0A2C">
        <w:rPr>
          <w:b/>
          <w:lang w:val="fr-FR"/>
        </w:rPr>
        <w:t>’</w:t>
      </w:r>
      <w:r w:rsidRPr="004D0A2C">
        <w:rPr>
          <w:b/>
          <w:lang w:val="fr-FR"/>
        </w:rPr>
        <w:t>experts du transport des marchandises dangereuses</w:t>
      </w:r>
    </w:p>
    <w:p w14:paraId="24B95939" w14:textId="6956F750" w:rsidR="006F26A8" w:rsidRPr="004D0A2C" w:rsidRDefault="006F26A8" w:rsidP="000305D3">
      <w:pPr>
        <w:spacing w:before="120"/>
        <w:rPr>
          <w:b/>
          <w:lang w:val="fr-FR"/>
        </w:rPr>
      </w:pPr>
      <w:r w:rsidRPr="004D0A2C">
        <w:rPr>
          <w:b/>
          <w:bCs/>
          <w:lang w:val="fr-FR"/>
        </w:rPr>
        <w:t>Soixante-deuxième</w:t>
      </w:r>
      <w:r w:rsidRPr="004D0A2C">
        <w:rPr>
          <w:b/>
          <w:lang w:val="fr-FR"/>
        </w:rPr>
        <w:t xml:space="preserve"> session</w:t>
      </w:r>
    </w:p>
    <w:p w14:paraId="75A0944E" w14:textId="626B89E6" w:rsidR="006F26A8" w:rsidRPr="004D0A2C" w:rsidRDefault="006F26A8" w:rsidP="000305D3">
      <w:pPr>
        <w:rPr>
          <w:lang w:val="fr-FR"/>
        </w:rPr>
      </w:pPr>
      <w:r w:rsidRPr="004D0A2C">
        <w:rPr>
          <w:lang w:val="fr-FR"/>
        </w:rPr>
        <w:t>Genève, 3-7 juillet 2023</w:t>
      </w:r>
    </w:p>
    <w:p w14:paraId="2C6661CF" w14:textId="69EFCAA0" w:rsidR="006F26A8" w:rsidRPr="004D0A2C" w:rsidRDefault="006F26A8" w:rsidP="000305D3">
      <w:pPr>
        <w:rPr>
          <w:lang w:val="fr-FR"/>
        </w:rPr>
      </w:pPr>
      <w:r w:rsidRPr="004D0A2C">
        <w:rPr>
          <w:lang w:val="fr-FR"/>
        </w:rPr>
        <w:t>Point 17 de l</w:t>
      </w:r>
      <w:r w:rsidR="00AD27B0" w:rsidRPr="004D0A2C">
        <w:rPr>
          <w:lang w:val="fr-FR"/>
        </w:rPr>
        <w:t>’</w:t>
      </w:r>
      <w:r w:rsidRPr="004D0A2C">
        <w:rPr>
          <w:lang w:val="fr-FR"/>
        </w:rPr>
        <w:t>ordre du jour provisoire</w:t>
      </w:r>
    </w:p>
    <w:p w14:paraId="2B1FD466" w14:textId="1642E384" w:rsidR="006F26A8" w:rsidRPr="004D0A2C" w:rsidRDefault="006F26A8" w:rsidP="0009745C">
      <w:pPr>
        <w:rPr>
          <w:b/>
          <w:bCs/>
          <w:lang w:val="fr-FR"/>
        </w:rPr>
      </w:pPr>
      <w:r w:rsidRPr="004D0A2C">
        <w:rPr>
          <w:b/>
          <w:bCs/>
          <w:lang w:val="fr-FR"/>
        </w:rPr>
        <w:t>Adoption du rapport</w:t>
      </w:r>
    </w:p>
    <w:p w14:paraId="101786FD" w14:textId="5F371DC2" w:rsidR="006F26A8" w:rsidRPr="004D0A2C" w:rsidRDefault="006F26A8" w:rsidP="006F26A8">
      <w:pPr>
        <w:pStyle w:val="HChG"/>
        <w:rPr>
          <w:rFonts w:ascii="Times New Roman Bold" w:hAnsi="Times New Roman Bold"/>
          <w:spacing w:val="-2"/>
          <w:lang w:val="fr-FR"/>
        </w:rPr>
      </w:pPr>
      <w:r w:rsidRPr="004D0A2C">
        <w:rPr>
          <w:lang w:val="fr-FR"/>
        </w:rPr>
        <w:tab/>
      </w:r>
      <w:r w:rsidRPr="004D0A2C">
        <w:rPr>
          <w:lang w:val="fr-FR"/>
        </w:rPr>
        <w:tab/>
      </w:r>
      <w:r w:rsidRPr="004D0A2C">
        <w:rPr>
          <w:rFonts w:ascii="Times New Roman Bold" w:hAnsi="Times New Roman Bold"/>
          <w:spacing w:val="-2"/>
          <w:lang w:val="fr-FR"/>
        </w:rPr>
        <w:t>Rapport du Sous-Comité d</w:t>
      </w:r>
      <w:r w:rsidR="00AD27B0" w:rsidRPr="004D0A2C">
        <w:rPr>
          <w:rFonts w:ascii="Times New Roman Bold" w:hAnsi="Times New Roman Bold"/>
          <w:spacing w:val="-2"/>
          <w:lang w:val="fr-FR"/>
        </w:rPr>
        <w:t>’</w:t>
      </w:r>
      <w:r w:rsidRPr="004D0A2C">
        <w:rPr>
          <w:rFonts w:ascii="Times New Roman Bold" w:hAnsi="Times New Roman Bold"/>
          <w:spacing w:val="-2"/>
          <w:lang w:val="fr-FR"/>
        </w:rPr>
        <w:t xml:space="preserve">experts du transport </w:t>
      </w:r>
      <w:r w:rsidRPr="004D0A2C">
        <w:rPr>
          <w:rFonts w:ascii="Times New Roman Bold" w:hAnsi="Times New Roman Bold"/>
          <w:spacing w:val="-4"/>
          <w:lang w:val="fr-FR"/>
        </w:rPr>
        <w:t>des marchandises dangereuses sur sa soixante-deuxième session</w:t>
      </w:r>
    </w:p>
    <w:p w14:paraId="71A256D9" w14:textId="77777777" w:rsidR="006F26A8" w:rsidRPr="004D0A2C" w:rsidRDefault="006F26A8" w:rsidP="006F26A8">
      <w:pPr>
        <w:pStyle w:val="SingleTxtG"/>
        <w:rPr>
          <w:lang w:val="fr-FR"/>
        </w:rPr>
      </w:pPr>
      <w:r w:rsidRPr="004D0A2C">
        <w:rPr>
          <w:lang w:val="fr-FR"/>
        </w:rPr>
        <w:t>tenue à Genève du 3 au 7 juillet 2023</w:t>
      </w:r>
    </w:p>
    <w:p w14:paraId="68557204" w14:textId="5B26110C" w:rsidR="006F26A8" w:rsidRPr="004D0A2C" w:rsidRDefault="006F26A8" w:rsidP="006F26A8">
      <w:pPr>
        <w:spacing w:after="120"/>
        <w:rPr>
          <w:sz w:val="28"/>
          <w:lang w:val="fr-FR"/>
        </w:rPr>
      </w:pPr>
      <w:r w:rsidRPr="004D0A2C">
        <w:rPr>
          <w:sz w:val="28"/>
          <w:lang w:val="fr-FR"/>
        </w:rPr>
        <w:t>Table des matières</w:t>
      </w:r>
    </w:p>
    <w:p w14:paraId="7AAE2CD4" w14:textId="72B3C809" w:rsidR="006F26A8" w:rsidRPr="004D0A2C" w:rsidRDefault="006F26A8" w:rsidP="006F26A8">
      <w:pPr>
        <w:tabs>
          <w:tab w:val="right" w:pos="8929"/>
          <w:tab w:val="right" w:pos="9638"/>
        </w:tabs>
        <w:spacing w:after="120"/>
        <w:ind w:left="283"/>
        <w:rPr>
          <w:i/>
          <w:sz w:val="18"/>
          <w:lang w:val="fr-FR"/>
        </w:rPr>
      </w:pPr>
      <w:r w:rsidRPr="004D0A2C">
        <w:rPr>
          <w:i/>
          <w:sz w:val="18"/>
          <w:lang w:val="fr-FR"/>
        </w:rPr>
        <w:tab/>
        <w:t>Paragraphes</w:t>
      </w:r>
      <w:r w:rsidRPr="004D0A2C">
        <w:rPr>
          <w:i/>
          <w:sz w:val="18"/>
          <w:lang w:val="fr-FR"/>
        </w:rPr>
        <w:tab/>
        <w:t>Page</w:t>
      </w:r>
    </w:p>
    <w:p w14:paraId="57BFC435" w14:textId="13594AD4"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I</w:t>
      </w:r>
      <w:r w:rsidR="009C65BB" w:rsidRPr="004D0A2C">
        <w:rPr>
          <w:lang w:val="fr-FR"/>
        </w:rPr>
        <w:t>.</w:t>
      </w:r>
      <w:r w:rsidRPr="004D0A2C">
        <w:rPr>
          <w:lang w:val="fr-FR"/>
        </w:rPr>
        <w:tab/>
      </w:r>
      <w:r w:rsidR="003C6342" w:rsidRPr="004D0A2C">
        <w:rPr>
          <w:lang w:val="fr-FR"/>
        </w:rPr>
        <w:t>Participation</w:t>
      </w:r>
      <w:r w:rsidRPr="004D0A2C">
        <w:rPr>
          <w:lang w:val="fr-FR"/>
        </w:rPr>
        <w:tab/>
      </w:r>
      <w:r w:rsidRPr="004D0A2C">
        <w:rPr>
          <w:lang w:val="fr-FR"/>
        </w:rPr>
        <w:tab/>
      </w:r>
      <w:r w:rsidR="003E7FC5">
        <w:rPr>
          <w:lang w:val="fr-FR"/>
        </w:rPr>
        <w:t>1-6</w:t>
      </w:r>
      <w:r w:rsidRPr="004D0A2C">
        <w:rPr>
          <w:lang w:val="fr-FR"/>
        </w:rPr>
        <w:tab/>
      </w:r>
      <w:r w:rsidR="00566E07">
        <w:rPr>
          <w:lang w:val="fr-FR"/>
        </w:rPr>
        <w:t>5</w:t>
      </w:r>
    </w:p>
    <w:p w14:paraId="5DADF38E" w14:textId="666FC9F8"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II</w:t>
      </w:r>
      <w:r w:rsidR="009C65BB" w:rsidRPr="004D0A2C">
        <w:rPr>
          <w:lang w:val="fr-FR"/>
        </w:rPr>
        <w:t>.</w:t>
      </w:r>
      <w:r w:rsidRPr="004D0A2C">
        <w:rPr>
          <w:lang w:val="fr-FR"/>
        </w:rPr>
        <w:tab/>
      </w:r>
      <w:r w:rsidR="00367323" w:rsidRPr="004D0A2C">
        <w:rPr>
          <w:lang w:val="fr-FR"/>
        </w:rPr>
        <w:t>Questions d’organisation</w:t>
      </w:r>
      <w:r w:rsidRPr="004D0A2C">
        <w:rPr>
          <w:lang w:val="fr-FR"/>
        </w:rPr>
        <w:tab/>
      </w:r>
      <w:r w:rsidRPr="004D0A2C">
        <w:rPr>
          <w:lang w:val="fr-FR"/>
        </w:rPr>
        <w:tab/>
      </w:r>
      <w:r w:rsidR="003E7FC5">
        <w:rPr>
          <w:lang w:val="fr-FR"/>
        </w:rPr>
        <w:t>7-9</w:t>
      </w:r>
      <w:r w:rsidRPr="004D0A2C">
        <w:rPr>
          <w:lang w:val="fr-FR"/>
        </w:rPr>
        <w:tab/>
      </w:r>
      <w:r w:rsidR="00566E07">
        <w:rPr>
          <w:lang w:val="fr-FR"/>
        </w:rPr>
        <w:t>5</w:t>
      </w:r>
    </w:p>
    <w:p w14:paraId="38B22BF5" w14:textId="594478F7"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III</w:t>
      </w:r>
      <w:r w:rsidR="009C65BB" w:rsidRPr="004D0A2C">
        <w:rPr>
          <w:lang w:val="fr-FR"/>
        </w:rPr>
        <w:t>.</w:t>
      </w:r>
      <w:r w:rsidRPr="004D0A2C">
        <w:rPr>
          <w:lang w:val="fr-FR"/>
        </w:rPr>
        <w:tab/>
      </w:r>
      <w:r w:rsidR="00367323" w:rsidRPr="004D0A2C">
        <w:rPr>
          <w:lang w:val="fr-FR"/>
        </w:rPr>
        <w:t>Adoption de l’ordre du jour (point 1 de l’ordre du jour)</w:t>
      </w:r>
      <w:r w:rsidRPr="004D0A2C">
        <w:rPr>
          <w:lang w:val="fr-FR"/>
        </w:rPr>
        <w:tab/>
      </w:r>
      <w:r w:rsidRPr="004D0A2C">
        <w:rPr>
          <w:lang w:val="fr-FR"/>
        </w:rPr>
        <w:tab/>
      </w:r>
      <w:r w:rsidR="003E7FC5">
        <w:rPr>
          <w:lang w:val="fr-FR"/>
        </w:rPr>
        <w:t>10-14</w:t>
      </w:r>
      <w:r w:rsidRPr="004D0A2C">
        <w:rPr>
          <w:lang w:val="fr-FR"/>
        </w:rPr>
        <w:tab/>
      </w:r>
      <w:r w:rsidR="00566E07">
        <w:rPr>
          <w:lang w:val="fr-FR"/>
        </w:rPr>
        <w:t>6</w:t>
      </w:r>
    </w:p>
    <w:p w14:paraId="4B0A1A9C" w14:textId="0D851DEE"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IV</w:t>
      </w:r>
      <w:r w:rsidR="009C65BB" w:rsidRPr="004D0A2C">
        <w:rPr>
          <w:lang w:val="fr-FR"/>
        </w:rPr>
        <w:t>.</w:t>
      </w:r>
      <w:r w:rsidRPr="004D0A2C">
        <w:rPr>
          <w:lang w:val="fr-FR"/>
        </w:rPr>
        <w:tab/>
      </w:r>
      <w:r w:rsidR="000767B8" w:rsidRPr="004D0A2C">
        <w:rPr>
          <w:lang w:val="fr-FR"/>
        </w:rPr>
        <w:t>Explosifs et questions connexes (point 2 de l’ordre du jour)</w:t>
      </w:r>
      <w:r w:rsidRPr="004D0A2C">
        <w:rPr>
          <w:lang w:val="fr-FR"/>
        </w:rPr>
        <w:tab/>
      </w:r>
      <w:r w:rsidRPr="004D0A2C">
        <w:rPr>
          <w:lang w:val="fr-FR"/>
        </w:rPr>
        <w:tab/>
      </w:r>
      <w:r w:rsidR="003E7FC5">
        <w:rPr>
          <w:lang w:val="fr-FR"/>
        </w:rPr>
        <w:t>15-38</w:t>
      </w:r>
      <w:r w:rsidRPr="004D0A2C">
        <w:rPr>
          <w:lang w:val="fr-FR"/>
        </w:rPr>
        <w:tab/>
      </w:r>
      <w:r w:rsidR="00566E07">
        <w:rPr>
          <w:lang w:val="fr-FR"/>
        </w:rPr>
        <w:t>6</w:t>
      </w:r>
    </w:p>
    <w:p w14:paraId="65BDB632" w14:textId="3337D76F"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0767B8" w:rsidRPr="004D0A2C">
        <w:rPr>
          <w:lang w:val="fr-FR"/>
        </w:rPr>
        <w:t>Examen des épreuves de la série 6</w:t>
      </w:r>
      <w:r w:rsidRPr="004D0A2C">
        <w:rPr>
          <w:lang w:val="fr-FR"/>
        </w:rPr>
        <w:tab/>
      </w:r>
      <w:r w:rsidRPr="004D0A2C">
        <w:rPr>
          <w:lang w:val="fr-FR"/>
        </w:rPr>
        <w:tab/>
      </w:r>
      <w:r w:rsidR="003E7FC5">
        <w:rPr>
          <w:lang w:val="fr-FR"/>
        </w:rPr>
        <w:t>18</w:t>
      </w:r>
      <w:r w:rsidRPr="004D0A2C">
        <w:rPr>
          <w:lang w:val="fr-FR"/>
        </w:rPr>
        <w:tab/>
      </w:r>
      <w:r w:rsidR="00566E07">
        <w:rPr>
          <w:lang w:val="fr-FR"/>
        </w:rPr>
        <w:t>6</w:t>
      </w:r>
    </w:p>
    <w:p w14:paraId="5955BEA3" w14:textId="2E1A5F90"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0767B8" w:rsidRPr="004D0A2C">
        <w:rPr>
          <w:lang w:val="fr-FR"/>
        </w:rPr>
        <w:t>Amélioration des épreuves de la série 8</w:t>
      </w:r>
      <w:r w:rsidRPr="004D0A2C">
        <w:rPr>
          <w:lang w:val="fr-FR"/>
        </w:rPr>
        <w:tab/>
      </w:r>
      <w:r w:rsidRPr="004D0A2C">
        <w:rPr>
          <w:lang w:val="fr-FR"/>
        </w:rPr>
        <w:tab/>
      </w:r>
      <w:r w:rsidR="003E7FC5">
        <w:rPr>
          <w:lang w:val="fr-FR"/>
        </w:rPr>
        <w:t>19</w:t>
      </w:r>
      <w:r w:rsidRPr="004D0A2C">
        <w:rPr>
          <w:lang w:val="fr-FR"/>
        </w:rPr>
        <w:tab/>
      </w:r>
      <w:r w:rsidR="00566E07">
        <w:rPr>
          <w:lang w:val="fr-FR"/>
        </w:rPr>
        <w:t>7</w:t>
      </w:r>
    </w:p>
    <w:p w14:paraId="588543DF" w14:textId="1AE091D9"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0767B8" w:rsidRPr="004D0A2C">
        <w:rPr>
          <w:lang w:val="fr-FR"/>
        </w:rPr>
        <w:t xml:space="preserve">Révision des épreuves des parties I, II et III du Manuel d’épreuves </w:t>
      </w:r>
      <w:r w:rsidR="000767B8" w:rsidRPr="004D0A2C">
        <w:rPr>
          <w:lang w:val="fr-FR"/>
        </w:rPr>
        <w:br/>
        <w:t>et de critères</w:t>
      </w:r>
      <w:r w:rsidRPr="004D0A2C">
        <w:rPr>
          <w:lang w:val="fr-FR"/>
        </w:rPr>
        <w:tab/>
      </w:r>
      <w:r w:rsidRPr="004D0A2C">
        <w:rPr>
          <w:lang w:val="fr-FR"/>
        </w:rPr>
        <w:tab/>
      </w:r>
      <w:r w:rsidR="00F31A32">
        <w:rPr>
          <w:lang w:val="fr-FR"/>
        </w:rPr>
        <w:t>20</w:t>
      </w:r>
      <w:r w:rsidRPr="004D0A2C">
        <w:rPr>
          <w:lang w:val="fr-FR"/>
        </w:rPr>
        <w:tab/>
      </w:r>
      <w:r w:rsidR="00566E07">
        <w:rPr>
          <w:lang w:val="fr-FR"/>
        </w:rPr>
        <w:t>7</w:t>
      </w:r>
    </w:p>
    <w:p w14:paraId="09A1B8A5" w14:textId="44C4BE6A"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D</w:t>
      </w:r>
      <w:r w:rsidR="009C65BB" w:rsidRPr="004D0A2C">
        <w:rPr>
          <w:lang w:val="fr-FR"/>
        </w:rPr>
        <w:t>.</w:t>
      </w:r>
      <w:r w:rsidRPr="004D0A2C">
        <w:rPr>
          <w:lang w:val="fr-FR"/>
        </w:rPr>
        <w:tab/>
      </w:r>
      <w:r w:rsidR="000767B8" w:rsidRPr="004D0A2C">
        <w:rPr>
          <w:lang w:val="fr-FR"/>
        </w:rPr>
        <w:t>Détonateurs normalisés « UN »</w:t>
      </w:r>
      <w:r w:rsidRPr="004D0A2C">
        <w:rPr>
          <w:lang w:val="fr-FR"/>
        </w:rPr>
        <w:tab/>
      </w:r>
      <w:r w:rsidRPr="004D0A2C">
        <w:rPr>
          <w:lang w:val="fr-FR"/>
        </w:rPr>
        <w:tab/>
      </w:r>
      <w:r w:rsidR="00F31A32">
        <w:rPr>
          <w:lang w:val="fr-FR"/>
        </w:rPr>
        <w:t>21</w:t>
      </w:r>
      <w:r w:rsidRPr="004D0A2C">
        <w:rPr>
          <w:lang w:val="fr-FR"/>
        </w:rPr>
        <w:tab/>
      </w:r>
      <w:r w:rsidR="00566E07">
        <w:rPr>
          <w:lang w:val="fr-FR"/>
        </w:rPr>
        <w:t>7</w:t>
      </w:r>
    </w:p>
    <w:p w14:paraId="033268E6" w14:textId="3A37363C"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E</w:t>
      </w:r>
      <w:r w:rsidR="009C65BB" w:rsidRPr="004D0A2C">
        <w:rPr>
          <w:lang w:val="fr-FR"/>
        </w:rPr>
        <w:t>.</w:t>
      </w:r>
      <w:r w:rsidRPr="004D0A2C">
        <w:rPr>
          <w:lang w:val="fr-FR"/>
        </w:rPr>
        <w:tab/>
      </w:r>
      <w:r w:rsidR="000767B8" w:rsidRPr="004D0A2C">
        <w:rPr>
          <w:lang w:val="fr-FR"/>
        </w:rPr>
        <w:t>Échantillons énergétiques</w:t>
      </w:r>
      <w:r w:rsidRPr="004D0A2C">
        <w:rPr>
          <w:lang w:val="fr-FR"/>
        </w:rPr>
        <w:tab/>
      </w:r>
      <w:r w:rsidRPr="004D0A2C">
        <w:rPr>
          <w:lang w:val="fr-FR"/>
        </w:rPr>
        <w:tab/>
      </w:r>
      <w:r w:rsidR="00F31A32">
        <w:rPr>
          <w:lang w:val="fr-FR"/>
        </w:rPr>
        <w:t>22</w:t>
      </w:r>
      <w:r w:rsidRPr="004D0A2C">
        <w:rPr>
          <w:lang w:val="fr-FR"/>
        </w:rPr>
        <w:tab/>
      </w:r>
      <w:r w:rsidR="00566E07">
        <w:rPr>
          <w:lang w:val="fr-FR"/>
        </w:rPr>
        <w:t>7</w:t>
      </w:r>
    </w:p>
    <w:p w14:paraId="435FB5A7" w14:textId="736F11CA"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F</w:t>
      </w:r>
      <w:r w:rsidR="009C65BB" w:rsidRPr="004D0A2C">
        <w:rPr>
          <w:lang w:val="fr-FR"/>
        </w:rPr>
        <w:t>.</w:t>
      </w:r>
      <w:r w:rsidRPr="004D0A2C">
        <w:rPr>
          <w:lang w:val="fr-FR"/>
        </w:rPr>
        <w:tab/>
      </w:r>
      <w:r w:rsidR="00E55263" w:rsidRPr="004D0A2C">
        <w:rPr>
          <w:lang w:val="fr-FR"/>
        </w:rPr>
        <w:t xml:space="preserve">Examen des prescriptions en matière d’emballage et de transport </w:t>
      </w:r>
      <w:r w:rsidR="00E55263">
        <w:rPr>
          <w:lang w:val="fr-FR"/>
        </w:rPr>
        <w:br/>
      </w:r>
      <w:r w:rsidR="00E55263" w:rsidRPr="004D0A2C">
        <w:rPr>
          <w:lang w:val="fr-FR"/>
        </w:rPr>
        <w:t>des</w:t>
      </w:r>
      <w:r w:rsidR="00E55263">
        <w:rPr>
          <w:lang w:val="fr-FR"/>
        </w:rPr>
        <w:t xml:space="preserve"> </w:t>
      </w:r>
      <w:r w:rsidR="00E55263" w:rsidRPr="004D0A2C">
        <w:rPr>
          <w:lang w:val="fr-FR"/>
        </w:rPr>
        <w:t>émulsions de nitrate d’ammonium</w:t>
      </w:r>
      <w:r w:rsidRPr="004D0A2C">
        <w:rPr>
          <w:lang w:val="fr-FR"/>
        </w:rPr>
        <w:tab/>
      </w:r>
      <w:r w:rsidRPr="004D0A2C">
        <w:rPr>
          <w:lang w:val="fr-FR"/>
        </w:rPr>
        <w:tab/>
      </w:r>
      <w:r w:rsidR="00F31A32">
        <w:rPr>
          <w:lang w:val="fr-FR"/>
        </w:rPr>
        <w:t>23</w:t>
      </w:r>
      <w:r w:rsidRPr="004D0A2C">
        <w:rPr>
          <w:lang w:val="fr-FR"/>
        </w:rPr>
        <w:tab/>
      </w:r>
      <w:r w:rsidR="00566E07">
        <w:rPr>
          <w:lang w:val="fr-FR"/>
        </w:rPr>
        <w:t>7</w:t>
      </w:r>
    </w:p>
    <w:p w14:paraId="0B4565AD" w14:textId="36433189"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G</w:t>
      </w:r>
      <w:r w:rsidR="009C65BB" w:rsidRPr="004D0A2C">
        <w:rPr>
          <w:lang w:val="fr-FR"/>
        </w:rPr>
        <w:t>.</w:t>
      </w:r>
      <w:r w:rsidRPr="004D0A2C">
        <w:rPr>
          <w:lang w:val="fr-FR"/>
        </w:rPr>
        <w:tab/>
      </w:r>
      <w:r w:rsidR="00930368" w:rsidRPr="004D0A2C">
        <w:rPr>
          <w:lang w:val="fr-FR"/>
        </w:rPr>
        <w:t>Électrification et carburants de substitution et leur incidence sur le transport</w:t>
      </w:r>
      <w:r w:rsidR="00930368">
        <w:rPr>
          <w:lang w:val="fr-FR"/>
        </w:rPr>
        <w:br/>
      </w:r>
      <w:r w:rsidR="00930368" w:rsidRPr="004D0A2C">
        <w:rPr>
          <w:lang w:val="fr-FR"/>
        </w:rPr>
        <w:t>des explosifs</w:t>
      </w:r>
      <w:r w:rsidRPr="004D0A2C">
        <w:rPr>
          <w:lang w:val="fr-FR"/>
        </w:rPr>
        <w:tab/>
      </w:r>
      <w:r w:rsidRPr="004D0A2C">
        <w:rPr>
          <w:lang w:val="fr-FR"/>
        </w:rPr>
        <w:tab/>
      </w:r>
      <w:r w:rsidR="00F31A32">
        <w:rPr>
          <w:lang w:val="fr-FR"/>
        </w:rPr>
        <w:t>24</w:t>
      </w:r>
      <w:r w:rsidRPr="004D0A2C">
        <w:rPr>
          <w:lang w:val="fr-FR"/>
        </w:rPr>
        <w:tab/>
      </w:r>
      <w:r w:rsidR="00AB6415">
        <w:rPr>
          <w:lang w:val="fr-FR"/>
        </w:rPr>
        <w:t>8</w:t>
      </w:r>
    </w:p>
    <w:p w14:paraId="5272866F" w14:textId="2F3CEC7C"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H</w:t>
      </w:r>
      <w:r w:rsidR="009C65BB" w:rsidRPr="004D0A2C">
        <w:rPr>
          <w:lang w:val="fr-FR"/>
        </w:rPr>
        <w:t>.</w:t>
      </w:r>
      <w:r w:rsidRPr="004D0A2C">
        <w:rPr>
          <w:lang w:val="fr-FR"/>
        </w:rPr>
        <w:tab/>
      </w:r>
      <w:r w:rsidR="00930368" w:rsidRPr="004D0A2C">
        <w:rPr>
          <w:lang w:val="fr-FR"/>
        </w:rPr>
        <w:t>Autres questions</w:t>
      </w:r>
      <w:r w:rsidRPr="004D0A2C">
        <w:rPr>
          <w:lang w:val="fr-FR"/>
        </w:rPr>
        <w:tab/>
      </w:r>
      <w:r w:rsidRPr="004D0A2C">
        <w:rPr>
          <w:lang w:val="fr-FR"/>
        </w:rPr>
        <w:tab/>
      </w:r>
      <w:r w:rsidR="00F31A32">
        <w:rPr>
          <w:lang w:val="fr-FR"/>
        </w:rPr>
        <w:t>25-38</w:t>
      </w:r>
      <w:r w:rsidRPr="004D0A2C">
        <w:rPr>
          <w:lang w:val="fr-FR"/>
        </w:rPr>
        <w:tab/>
      </w:r>
      <w:r w:rsidR="00AB6415">
        <w:rPr>
          <w:lang w:val="fr-FR"/>
        </w:rPr>
        <w:t>8</w:t>
      </w:r>
    </w:p>
    <w:p w14:paraId="017708FB" w14:textId="41B1FE29"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930368" w:rsidRPr="004D0A2C">
        <w:rPr>
          <w:lang w:val="fr-FR"/>
        </w:rPr>
        <w:t xml:space="preserve">Amendement à la section 51.4.4.2 e) du Manuel d’épreuves </w:t>
      </w:r>
      <w:r w:rsidR="00930368">
        <w:rPr>
          <w:lang w:val="fr-FR"/>
        </w:rPr>
        <w:br/>
      </w:r>
      <w:r w:rsidR="00930368" w:rsidRPr="004D0A2C">
        <w:rPr>
          <w:lang w:val="fr-FR"/>
        </w:rPr>
        <w:t>et de critères</w:t>
      </w:r>
      <w:r w:rsidRPr="004D0A2C">
        <w:rPr>
          <w:lang w:val="fr-FR"/>
        </w:rPr>
        <w:tab/>
      </w:r>
      <w:r w:rsidRPr="004D0A2C">
        <w:rPr>
          <w:lang w:val="fr-FR"/>
        </w:rPr>
        <w:tab/>
      </w:r>
      <w:r w:rsidR="00F31A32">
        <w:rPr>
          <w:lang w:val="fr-FR"/>
        </w:rPr>
        <w:t>25-26</w:t>
      </w:r>
      <w:r w:rsidRPr="004D0A2C">
        <w:rPr>
          <w:lang w:val="fr-FR"/>
        </w:rPr>
        <w:tab/>
      </w:r>
      <w:r w:rsidR="00AB6415">
        <w:rPr>
          <w:lang w:val="fr-FR"/>
        </w:rPr>
        <w:t>8</w:t>
      </w:r>
    </w:p>
    <w:p w14:paraId="47ADC15C" w14:textId="3F914E6C"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930368" w:rsidRPr="004D0A2C">
        <w:rPr>
          <w:lang w:val="fr-FR"/>
        </w:rPr>
        <w:t>Modification de la définition d’« effet explosif ou pyrotechnique »</w:t>
      </w:r>
      <w:r w:rsidRPr="004D0A2C">
        <w:rPr>
          <w:lang w:val="fr-FR"/>
        </w:rPr>
        <w:tab/>
      </w:r>
      <w:r w:rsidRPr="004D0A2C">
        <w:rPr>
          <w:lang w:val="fr-FR"/>
        </w:rPr>
        <w:tab/>
      </w:r>
      <w:r w:rsidR="00F31A32">
        <w:rPr>
          <w:lang w:val="fr-FR"/>
        </w:rPr>
        <w:t>27-28</w:t>
      </w:r>
      <w:r w:rsidRPr="004D0A2C">
        <w:rPr>
          <w:lang w:val="fr-FR"/>
        </w:rPr>
        <w:tab/>
      </w:r>
      <w:r w:rsidR="00AB6415">
        <w:rPr>
          <w:lang w:val="fr-FR"/>
        </w:rPr>
        <w:t>8</w:t>
      </w:r>
    </w:p>
    <w:p w14:paraId="4398C90C" w14:textId="77777777" w:rsidR="00930368" w:rsidRDefault="00930368">
      <w:pPr>
        <w:suppressAutoHyphens w:val="0"/>
        <w:kinsoku/>
        <w:overflowPunct/>
        <w:autoSpaceDE/>
        <w:autoSpaceDN/>
        <w:adjustRightInd/>
        <w:snapToGrid/>
        <w:spacing w:after="200" w:line="276" w:lineRule="auto"/>
        <w:rPr>
          <w:lang w:val="fr-FR"/>
        </w:rPr>
      </w:pPr>
      <w:r>
        <w:rPr>
          <w:lang w:val="fr-FR"/>
        </w:rPr>
        <w:br w:type="page"/>
      </w:r>
    </w:p>
    <w:p w14:paraId="0449E17D" w14:textId="237086AA"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lastRenderedPageBreak/>
        <w:t>3</w:t>
      </w:r>
      <w:r w:rsidR="009C65BB" w:rsidRPr="004D0A2C">
        <w:rPr>
          <w:lang w:val="fr-FR"/>
        </w:rPr>
        <w:t>.</w:t>
      </w:r>
      <w:r w:rsidRPr="004D0A2C">
        <w:rPr>
          <w:lang w:val="fr-FR"/>
        </w:rPr>
        <w:tab/>
      </w:r>
      <w:r w:rsidR="00930368" w:rsidRPr="004D0A2C">
        <w:rPr>
          <w:lang w:val="fr-FR"/>
        </w:rPr>
        <w:t xml:space="preserve">Réflexion concernant les modifications apportées au chapitre 2.17 </w:t>
      </w:r>
      <w:r w:rsidR="00930368">
        <w:rPr>
          <w:lang w:val="fr-FR"/>
        </w:rPr>
        <w:br/>
      </w:r>
      <w:r w:rsidR="00930368" w:rsidRPr="004D0A2C">
        <w:rPr>
          <w:lang w:val="fr-FR"/>
        </w:rPr>
        <w:t xml:space="preserve">(Matières explosibles désensibilisées) du Système général harmonisé </w:t>
      </w:r>
      <w:r w:rsidR="00930368">
        <w:rPr>
          <w:lang w:val="fr-FR"/>
        </w:rPr>
        <w:br/>
      </w:r>
      <w:r w:rsidR="00930368" w:rsidRPr="004D0A2C">
        <w:rPr>
          <w:lang w:val="fr-FR"/>
        </w:rPr>
        <w:t>et à la section 51 du Manuel d’épreuves et de critères</w:t>
      </w:r>
      <w:r w:rsidRPr="004D0A2C">
        <w:rPr>
          <w:lang w:val="fr-FR"/>
        </w:rPr>
        <w:tab/>
      </w:r>
      <w:r w:rsidRPr="004D0A2C">
        <w:rPr>
          <w:lang w:val="fr-FR"/>
        </w:rPr>
        <w:tab/>
      </w:r>
      <w:r w:rsidR="00F31A32">
        <w:rPr>
          <w:lang w:val="fr-FR"/>
        </w:rPr>
        <w:t>29-30</w:t>
      </w:r>
      <w:r w:rsidRPr="004D0A2C">
        <w:rPr>
          <w:lang w:val="fr-FR"/>
        </w:rPr>
        <w:tab/>
      </w:r>
      <w:r w:rsidR="00AB6415">
        <w:rPr>
          <w:lang w:val="fr-FR"/>
        </w:rPr>
        <w:t>8</w:t>
      </w:r>
    </w:p>
    <w:p w14:paraId="7AE1E6CA" w14:textId="07AC27A3"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4</w:t>
      </w:r>
      <w:r w:rsidR="009C65BB" w:rsidRPr="004D0A2C">
        <w:rPr>
          <w:lang w:val="fr-FR"/>
        </w:rPr>
        <w:t>.</w:t>
      </w:r>
      <w:r w:rsidRPr="004D0A2C">
        <w:rPr>
          <w:lang w:val="fr-FR"/>
        </w:rPr>
        <w:tab/>
      </w:r>
      <w:r w:rsidR="00930368" w:rsidRPr="004D0A2C">
        <w:rPr>
          <w:lang w:val="fr-FR"/>
        </w:rPr>
        <w:t>Proposition de modification de la définition des explosifs de la classe 1</w:t>
      </w:r>
      <w:r w:rsidRPr="004D0A2C">
        <w:rPr>
          <w:lang w:val="fr-FR"/>
        </w:rPr>
        <w:tab/>
      </w:r>
      <w:r w:rsidR="00F31A32">
        <w:rPr>
          <w:lang w:val="fr-FR"/>
        </w:rPr>
        <w:t>31</w:t>
      </w:r>
      <w:r w:rsidRPr="004D0A2C">
        <w:rPr>
          <w:lang w:val="fr-FR"/>
        </w:rPr>
        <w:tab/>
      </w:r>
      <w:r w:rsidR="00AB6415">
        <w:rPr>
          <w:lang w:val="fr-FR"/>
        </w:rPr>
        <w:t>8</w:t>
      </w:r>
    </w:p>
    <w:p w14:paraId="769A5BEB" w14:textId="34E339BF"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5</w:t>
      </w:r>
      <w:r w:rsidR="009C65BB" w:rsidRPr="004D0A2C">
        <w:rPr>
          <w:lang w:val="fr-FR"/>
        </w:rPr>
        <w:t>.</w:t>
      </w:r>
      <w:r w:rsidRPr="004D0A2C">
        <w:rPr>
          <w:lang w:val="fr-FR"/>
        </w:rPr>
        <w:tab/>
      </w:r>
      <w:r w:rsidR="00930368" w:rsidRPr="004D0A2C">
        <w:rPr>
          <w:lang w:val="fr-FR"/>
        </w:rPr>
        <w:t>Proposition visant à élargir la rubrique du n</w:t>
      </w:r>
      <w:r w:rsidR="00930368" w:rsidRPr="004D0A2C">
        <w:rPr>
          <w:vertAlign w:val="superscript"/>
          <w:lang w:val="fr-FR"/>
        </w:rPr>
        <w:t>o</w:t>
      </w:r>
      <w:r w:rsidR="00930368" w:rsidRPr="004D0A2C">
        <w:rPr>
          <w:lang w:val="fr-FR"/>
        </w:rPr>
        <w:t xml:space="preserve"> ONU 3375 pour tenir </w:t>
      </w:r>
      <w:r w:rsidR="00930368">
        <w:rPr>
          <w:lang w:val="fr-FR"/>
        </w:rPr>
        <w:br/>
      </w:r>
      <w:r w:rsidR="00930368" w:rsidRPr="004D0A2C">
        <w:rPr>
          <w:lang w:val="fr-FR"/>
        </w:rPr>
        <w:t>compte de tous les groupes d’emballage possibles</w:t>
      </w:r>
      <w:r w:rsidRPr="004D0A2C">
        <w:rPr>
          <w:lang w:val="fr-FR"/>
        </w:rPr>
        <w:tab/>
      </w:r>
      <w:r w:rsidRPr="004D0A2C">
        <w:rPr>
          <w:lang w:val="fr-FR"/>
        </w:rPr>
        <w:tab/>
      </w:r>
      <w:r w:rsidR="00F31A32">
        <w:rPr>
          <w:lang w:val="fr-FR"/>
        </w:rPr>
        <w:t>32</w:t>
      </w:r>
      <w:r w:rsidRPr="004D0A2C">
        <w:rPr>
          <w:lang w:val="fr-FR"/>
        </w:rPr>
        <w:tab/>
      </w:r>
      <w:r w:rsidR="00AB6415">
        <w:rPr>
          <w:lang w:val="fr-FR"/>
        </w:rPr>
        <w:t>9</w:t>
      </w:r>
    </w:p>
    <w:p w14:paraId="22D6B698" w14:textId="6DEFCBE1" w:rsidR="00F31A32" w:rsidRDefault="006F26A8" w:rsidP="006F26A8">
      <w:pPr>
        <w:tabs>
          <w:tab w:val="right" w:leader="dot" w:pos="7654"/>
          <w:tab w:val="right" w:pos="8929"/>
          <w:tab w:val="right" w:pos="9638"/>
        </w:tabs>
        <w:spacing w:after="120"/>
        <w:ind w:left="1984" w:hanging="425"/>
        <w:rPr>
          <w:lang w:val="fr-FR"/>
        </w:rPr>
      </w:pPr>
      <w:r w:rsidRPr="004D0A2C">
        <w:rPr>
          <w:lang w:val="fr-FR"/>
        </w:rPr>
        <w:t>6</w:t>
      </w:r>
      <w:r w:rsidR="009C65BB" w:rsidRPr="004D0A2C">
        <w:rPr>
          <w:lang w:val="fr-FR"/>
        </w:rPr>
        <w:t>.</w:t>
      </w:r>
      <w:r w:rsidRPr="004D0A2C">
        <w:rPr>
          <w:lang w:val="fr-FR"/>
        </w:rPr>
        <w:tab/>
      </w:r>
      <w:r w:rsidR="00861512" w:rsidRPr="004D0A2C">
        <w:rPr>
          <w:lang w:val="fr-FR"/>
        </w:rPr>
        <w:t xml:space="preserve">Instruction d’emballage P130 et contact métal contre métal entre </w:t>
      </w:r>
      <w:r w:rsidR="00861512">
        <w:rPr>
          <w:lang w:val="fr-FR"/>
        </w:rPr>
        <w:br/>
      </w:r>
      <w:r w:rsidR="00861512" w:rsidRPr="004D0A2C">
        <w:rPr>
          <w:lang w:val="fr-FR"/>
        </w:rPr>
        <w:t>les explosifs et leur emballage</w:t>
      </w:r>
      <w:r w:rsidRPr="004D0A2C">
        <w:rPr>
          <w:lang w:val="fr-FR"/>
        </w:rPr>
        <w:tab/>
      </w:r>
      <w:r w:rsidRPr="004D0A2C">
        <w:rPr>
          <w:lang w:val="fr-FR"/>
        </w:rPr>
        <w:tab/>
      </w:r>
      <w:r w:rsidR="00F31A32">
        <w:rPr>
          <w:lang w:val="fr-FR"/>
        </w:rPr>
        <w:t>33</w:t>
      </w:r>
      <w:r w:rsidRPr="004D0A2C">
        <w:rPr>
          <w:lang w:val="fr-FR"/>
        </w:rPr>
        <w:tab/>
      </w:r>
      <w:r w:rsidR="00AB6415">
        <w:rPr>
          <w:lang w:val="fr-FR"/>
        </w:rPr>
        <w:t>9</w:t>
      </w:r>
    </w:p>
    <w:p w14:paraId="0F8F2335" w14:textId="38D214CD"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7</w:t>
      </w:r>
      <w:r w:rsidR="009C65BB" w:rsidRPr="004D0A2C">
        <w:rPr>
          <w:lang w:val="fr-FR"/>
        </w:rPr>
        <w:t>.</w:t>
      </w:r>
      <w:r w:rsidRPr="004D0A2C">
        <w:rPr>
          <w:lang w:val="fr-FR"/>
        </w:rPr>
        <w:tab/>
      </w:r>
      <w:r w:rsidR="00861512" w:rsidRPr="004D0A2C">
        <w:rPr>
          <w:lang w:val="fr-FR"/>
        </w:rPr>
        <w:t xml:space="preserve">Matières qui polymérisent et température de polymérisation </w:t>
      </w:r>
      <w:r w:rsidR="00861512">
        <w:rPr>
          <w:lang w:val="fr-FR"/>
        </w:rPr>
        <w:br/>
      </w:r>
      <w:r w:rsidR="00861512" w:rsidRPr="004D0A2C">
        <w:rPr>
          <w:lang w:val="fr-FR"/>
        </w:rPr>
        <w:t>auto-accélérée</w:t>
      </w:r>
      <w:r w:rsidRPr="004D0A2C">
        <w:rPr>
          <w:lang w:val="fr-FR"/>
        </w:rPr>
        <w:tab/>
      </w:r>
      <w:r w:rsidRPr="004D0A2C">
        <w:rPr>
          <w:lang w:val="fr-FR"/>
        </w:rPr>
        <w:tab/>
      </w:r>
      <w:r w:rsidR="00F31A32">
        <w:rPr>
          <w:lang w:val="fr-FR"/>
        </w:rPr>
        <w:t>34</w:t>
      </w:r>
      <w:r w:rsidRPr="004D0A2C">
        <w:rPr>
          <w:lang w:val="fr-FR"/>
        </w:rPr>
        <w:tab/>
      </w:r>
      <w:r w:rsidR="00AB6415">
        <w:rPr>
          <w:lang w:val="fr-FR"/>
        </w:rPr>
        <w:t>9</w:t>
      </w:r>
    </w:p>
    <w:p w14:paraId="5D576B2E" w14:textId="0FDC1471"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8</w:t>
      </w:r>
      <w:r w:rsidR="009C65BB" w:rsidRPr="004D0A2C">
        <w:rPr>
          <w:lang w:val="fr-FR"/>
        </w:rPr>
        <w:t>.</w:t>
      </w:r>
      <w:r w:rsidRPr="004D0A2C">
        <w:rPr>
          <w:lang w:val="fr-FR"/>
        </w:rPr>
        <w:tab/>
      </w:r>
      <w:r w:rsidR="00861512" w:rsidRPr="004D0A2C">
        <w:rPr>
          <w:lang w:val="fr-FR"/>
        </w:rPr>
        <w:t>Rapport du groupe intersessions par correspondance des feux d’artifice</w:t>
      </w:r>
      <w:r w:rsidRPr="004D0A2C">
        <w:rPr>
          <w:lang w:val="fr-FR"/>
        </w:rPr>
        <w:tab/>
      </w:r>
      <w:r w:rsidR="00F31A32">
        <w:rPr>
          <w:lang w:val="fr-FR"/>
        </w:rPr>
        <w:t>35</w:t>
      </w:r>
      <w:r w:rsidRPr="004D0A2C">
        <w:rPr>
          <w:lang w:val="fr-FR"/>
        </w:rPr>
        <w:tab/>
      </w:r>
      <w:r w:rsidR="00AB6415">
        <w:rPr>
          <w:lang w:val="fr-FR"/>
        </w:rPr>
        <w:t>9</w:t>
      </w:r>
    </w:p>
    <w:p w14:paraId="21A631F7" w14:textId="1B23D115"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9</w:t>
      </w:r>
      <w:r w:rsidR="009C65BB" w:rsidRPr="004D0A2C">
        <w:rPr>
          <w:lang w:val="fr-FR"/>
        </w:rPr>
        <w:t>.</w:t>
      </w:r>
      <w:r w:rsidRPr="004D0A2C">
        <w:rPr>
          <w:lang w:val="fr-FR"/>
        </w:rPr>
        <w:tab/>
      </w:r>
      <w:r w:rsidR="00861512" w:rsidRPr="004D0A2C">
        <w:rPr>
          <w:lang w:val="fr-FR"/>
        </w:rPr>
        <w:t xml:space="preserve">Fin de la validité de certains agréments pour le classement de matières </w:t>
      </w:r>
      <w:r w:rsidR="00861512">
        <w:rPr>
          <w:lang w:val="fr-FR"/>
        </w:rPr>
        <w:br/>
      </w:r>
      <w:r w:rsidR="00861512" w:rsidRPr="004D0A2C">
        <w:rPr>
          <w:lang w:val="fr-FR"/>
        </w:rPr>
        <w:t xml:space="preserve">explosibles du fait de la prescription du Règlement type relative </w:t>
      </w:r>
      <w:r w:rsidR="00861512">
        <w:rPr>
          <w:lang w:val="fr-FR"/>
        </w:rPr>
        <w:br/>
      </w:r>
      <w:r w:rsidR="00861512" w:rsidRPr="004D0A2C">
        <w:rPr>
          <w:lang w:val="fr-FR"/>
        </w:rPr>
        <w:t>à l’épreuve de type 6 d)</w:t>
      </w:r>
      <w:r w:rsidRPr="004D0A2C">
        <w:rPr>
          <w:lang w:val="fr-FR"/>
        </w:rPr>
        <w:tab/>
      </w:r>
      <w:r w:rsidRPr="004D0A2C">
        <w:rPr>
          <w:lang w:val="fr-FR"/>
        </w:rPr>
        <w:tab/>
      </w:r>
      <w:r w:rsidR="00F31A32">
        <w:rPr>
          <w:lang w:val="fr-FR"/>
        </w:rPr>
        <w:t>36</w:t>
      </w:r>
      <w:r w:rsidRPr="004D0A2C">
        <w:rPr>
          <w:lang w:val="fr-FR"/>
        </w:rPr>
        <w:tab/>
      </w:r>
      <w:r w:rsidR="001143C8">
        <w:rPr>
          <w:lang w:val="fr-FR"/>
        </w:rPr>
        <w:t>9</w:t>
      </w:r>
    </w:p>
    <w:p w14:paraId="0AE3FCC1" w14:textId="7BCAB094"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10</w:t>
      </w:r>
      <w:r w:rsidR="009C65BB" w:rsidRPr="004D0A2C">
        <w:rPr>
          <w:lang w:val="fr-FR"/>
        </w:rPr>
        <w:t>.</w:t>
      </w:r>
      <w:r w:rsidRPr="004D0A2C">
        <w:rPr>
          <w:lang w:val="fr-FR"/>
        </w:rPr>
        <w:tab/>
      </w:r>
      <w:r w:rsidR="009D5724" w:rsidRPr="004D0A2C">
        <w:rPr>
          <w:lang w:val="fr-FR"/>
        </w:rPr>
        <w:t xml:space="preserve">Nouvelle disposition spéciale et disposition spéciale d’emballage </w:t>
      </w:r>
      <w:r w:rsidR="009D5724">
        <w:rPr>
          <w:lang w:val="fr-FR"/>
        </w:rPr>
        <w:br/>
      </w:r>
      <w:r w:rsidR="009D5724" w:rsidRPr="004D0A2C">
        <w:rPr>
          <w:lang w:val="fr-FR"/>
        </w:rPr>
        <w:t>du n</w:t>
      </w:r>
      <w:r w:rsidR="009D5724" w:rsidRPr="004D0A2C">
        <w:rPr>
          <w:vertAlign w:val="superscript"/>
          <w:lang w:val="fr-FR"/>
        </w:rPr>
        <w:t>o</w:t>
      </w:r>
      <w:r w:rsidR="009D5724" w:rsidRPr="004D0A2C">
        <w:rPr>
          <w:lang w:val="fr-FR"/>
        </w:rPr>
        <w:t> ONU 2029</w:t>
      </w:r>
      <w:r w:rsidRPr="004D0A2C">
        <w:rPr>
          <w:lang w:val="fr-FR"/>
        </w:rPr>
        <w:tab/>
      </w:r>
      <w:r w:rsidRPr="004D0A2C">
        <w:rPr>
          <w:lang w:val="fr-FR"/>
        </w:rPr>
        <w:tab/>
      </w:r>
      <w:r w:rsidR="00F31A32">
        <w:rPr>
          <w:lang w:val="fr-FR"/>
        </w:rPr>
        <w:t>37</w:t>
      </w:r>
      <w:r w:rsidRPr="004D0A2C">
        <w:rPr>
          <w:lang w:val="fr-FR"/>
        </w:rPr>
        <w:tab/>
      </w:r>
      <w:r w:rsidR="001143C8">
        <w:rPr>
          <w:lang w:val="fr-FR"/>
        </w:rPr>
        <w:t>9</w:t>
      </w:r>
    </w:p>
    <w:p w14:paraId="6581761C" w14:textId="53B05C60"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11</w:t>
      </w:r>
      <w:r w:rsidR="009C65BB" w:rsidRPr="004D0A2C">
        <w:rPr>
          <w:lang w:val="fr-FR"/>
        </w:rPr>
        <w:t>.</w:t>
      </w:r>
      <w:r w:rsidRPr="004D0A2C">
        <w:rPr>
          <w:lang w:val="fr-FR"/>
        </w:rPr>
        <w:tab/>
      </w:r>
      <w:r w:rsidR="009D5724" w:rsidRPr="004D0A2C">
        <w:rPr>
          <w:lang w:val="fr-FR"/>
        </w:rPr>
        <w:t xml:space="preserve">Ajout d’une rubrique consacrée au dioxime de 1,4-benzoquinone </w:t>
      </w:r>
      <w:r w:rsidR="009D5724">
        <w:rPr>
          <w:lang w:val="fr-FR"/>
        </w:rPr>
        <w:br/>
      </w:r>
      <w:r w:rsidR="009D5724" w:rsidRPr="004D0A2C">
        <w:rPr>
          <w:lang w:val="fr-FR"/>
        </w:rPr>
        <w:t>dans la division 1.4</w:t>
      </w:r>
      <w:r w:rsidRPr="004D0A2C">
        <w:rPr>
          <w:lang w:val="fr-FR"/>
        </w:rPr>
        <w:tab/>
      </w:r>
      <w:r w:rsidRPr="004D0A2C">
        <w:rPr>
          <w:lang w:val="fr-FR"/>
        </w:rPr>
        <w:tab/>
      </w:r>
      <w:r w:rsidR="00F31A32">
        <w:rPr>
          <w:lang w:val="fr-FR"/>
        </w:rPr>
        <w:t>38</w:t>
      </w:r>
      <w:r w:rsidRPr="004D0A2C">
        <w:rPr>
          <w:lang w:val="fr-FR"/>
        </w:rPr>
        <w:tab/>
      </w:r>
      <w:r w:rsidR="001143C8">
        <w:rPr>
          <w:lang w:val="fr-FR"/>
        </w:rPr>
        <w:t>9</w:t>
      </w:r>
    </w:p>
    <w:p w14:paraId="17597A51" w14:textId="107DF66F"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V</w:t>
      </w:r>
      <w:r w:rsidR="009C65BB" w:rsidRPr="004D0A2C">
        <w:rPr>
          <w:lang w:val="fr-FR"/>
        </w:rPr>
        <w:t>.</w:t>
      </w:r>
      <w:r w:rsidRPr="004D0A2C">
        <w:rPr>
          <w:lang w:val="fr-FR"/>
        </w:rPr>
        <w:tab/>
      </w:r>
      <w:r w:rsidR="009D5724" w:rsidRPr="004D0A2C">
        <w:rPr>
          <w:lang w:val="fr-FR"/>
        </w:rPr>
        <w:t>Inscription, classement et emballage</w:t>
      </w:r>
      <w:r w:rsidR="009D5724">
        <w:rPr>
          <w:lang w:val="fr-FR"/>
        </w:rPr>
        <w:t xml:space="preserve"> </w:t>
      </w:r>
      <w:r w:rsidR="009D5724" w:rsidRPr="004D0A2C">
        <w:rPr>
          <w:lang w:val="fr-FR"/>
        </w:rPr>
        <w:t>(point 3 de l’ordre du jour)</w:t>
      </w:r>
      <w:r w:rsidRPr="004D0A2C">
        <w:rPr>
          <w:lang w:val="fr-FR"/>
        </w:rPr>
        <w:tab/>
      </w:r>
      <w:r w:rsidRPr="004D0A2C">
        <w:rPr>
          <w:lang w:val="fr-FR"/>
        </w:rPr>
        <w:tab/>
      </w:r>
      <w:r w:rsidR="00F31A32">
        <w:rPr>
          <w:lang w:val="fr-FR"/>
        </w:rPr>
        <w:t>39-51</w:t>
      </w:r>
      <w:r w:rsidRPr="004D0A2C">
        <w:rPr>
          <w:lang w:val="fr-FR"/>
        </w:rPr>
        <w:tab/>
      </w:r>
      <w:r w:rsidR="00566E07">
        <w:rPr>
          <w:lang w:val="fr-FR"/>
        </w:rPr>
        <w:t>1</w:t>
      </w:r>
      <w:r w:rsidR="001143C8">
        <w:rPr>
          <w:lang w:val="fr-FR"/>
        </w:rPr>
        <w:t>0</w:t>
      </w:r>
    </w:p>
    <w:p w14:paraId="01257CA4" w14:textId="4CF819FF"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9D5724" w:rsidRPr="004D0A2C">
        <w:rPr>
          <w:lang w:val="fr-FR"/>
        </w:rPr>
        <w:t xml:space="preserve">Proposition visant à ajouter la classe 8 en tant que danger subsidiaire </w:t>
      </w:r>
      <w:r w:rsidR="009D5724" w:rsidRPr="004D0A2C">
        <w:rPr>
          <w:lang w:val="fr-FR"/>
        </w:rPr>
        <w:br/>
        <w:t>pour les n</w:t>
      </w:r>
      <w:r w:rsidR="009D5724" w:rsidRPr="004D0A2C">
        <w:rPr>
          <w:vertAlign w:val="superscript"/>
          <w:lang w:val="fr-FR"/>
        </w:rPr>
        <w:t>os</w:t>
      </w:r>
      <w:r w:rsidR="009D5724" w:rsidRPr="004D0A2C">
        <w:rPr>
          <w:lang w:val="fr-FR"/>
        </w:rPr>
        <w:t> ONU 1040, 1041 et 3300</w:t>
      </w:r>
      <w:r w:rsidRPr="004D0A2C">
        <w:rPr>
          <w:lang w:val="fr-FR"/>
        </w:rPr>
        <w:tab/>
      </w:r>
      <w:r w:rsidRPr="004D0A2C">
        <w:rPr>
          <w:lang w:val="fr-FR"/>
        </w:rPr>
        <w:tab/>
      </w:r>
      <w:r w:rsidR="00F31A32">
        <w:rPr>
          <w:lang w:val="fr-FR"/>
        </w:rPr>
        <w:t>39</w:t>
      </w:r>
      <w:r w:rsidRPr="004D0A2C">
        <w:rPr>
          <w:lang w:val="fr-FR"/>
        </w:rPr>
        <w:tab/>
      </w:r>
      <w:r w:rsidR="00566E07">
        <w:rPr>
          <w:lang w:val="fr-FR"/>
        </w:rPr>
        <w:t>1</w:t>
      </w:r>
      <w:r w:rsidR="001143C8">
        <w:rPr>
          <w:lang w:val="fr-FR"/>
        </w:rPr>
        <w:t>0</w:t>
      </w:r>
    </w:p>
    <w:p w14:paraId="162B4FD6" w14:textId="4FEAFAE6"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9D5724" w:rsidRPr="004D0A2C">
        <w:rPr>
          <w:lang w:val="fr-FR"/>
        </w:rPr>
        <w:t>Amendements aux dispositions spéciales 145 et 146</w:t>
      </w:r>
      <w:r w:rsidRPr="004D0A2C">
        <w:rPr>
          <w:lang w:val="fr-FR"/>
        </w:rPr>
        <w:tab/>
      </w:r>
      <w:r w:rsidRPr="004D0A2C">
        <w:rPr>
          <w:lang w:val="fr-FR"/>
        </w:rPr>
        <w:tab/>
      </w:r>
      <w:r w:rsidR="00F31A32">
        <w:rPr>
          <w:lang w:val="fr-FR"/>
        </w:rPr>
        <w:t>40</w:t>
      </w:r>
      <w:r w:rsidRPr="004D0A2C">
        <w:rPr>
          <w:lang w:val="fr-FR"/>
        </w:rPr>
        <w:tab/>
      </w:r>
      <w:r w:rsidR="00566E07">
        <w:rPr>
          <w:lang w:val="fr-FR"/>
        </w:rPr>
        <w:t>1</w:t>
      </w:r>
      <w:r w:rsidR="001143C8">
        <w:rPr>
          <w:lang w:val="fr-FR"/>
        </w:rPr>
        <w:t>0</w:t>
      </w:r>
    </w:p>
    <w:p w14:paraId="16A27753" w14:textId="428ABE0B"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9D5724" w:rsidRPr="004D0A2C">
        <w:rPr>
          <w:lang w:val="fr-FR"/>
        </w:rPr>
        <w:t>N</w:t>
      </w:r>
      <w:r w:rsidR="009D5724" w:rsidRPr="004D0A2C">
        <w:rPr>
          <w:vertAlign w:val="superscript"/>
          <w:lang w:val="fr-FR"/>
        </w:rPr>
        <w:t>o</w:t>
      </w:r>
      <w:r w:rsidR="009D5724" w:rsidRPr="004D0A2C">
        <w:rPr>
          <w:lang w:val="fr-FR"/>
        </w:rPr>
        <w:t xml:space="preserve"> ONU 1362 (CHARBON ACTIF) : situation actuelle et redéfinition </w:t>
      </w:r>
      <w:r w:rsidR="009D5724">
        <w:rPr>
          <w:lang w:val="fr-FR"/>
        </w:rPr>
        <w:br/>
      </w:r>
      <w:r w:rsidR="009D5724" w:rsidRPr="004D0A2C">
        <w:rPr>
          <w:lang w:val="fr-FR"/>
        </w:rPr>
        <w:t>par souci de clarté</w:t>
      </w:r>
      <w:r w:rsidRPr="004D0A2C">
        <w:rPr>
          <w:lang w:val="fr-FR"/>
        </w:rPr>
        <w:tab/>
      </w:r>
      <w:r w:rsidRPr="004D0A2C">
        <w:rPr>
          <w:lang w:val="fr-FR"/>
        </w:rPr>
        <w:tab/>
      </w:r>
      <w:r w:rsidR="00F31A32">
        <w:rPr>
          <w:lang w:val="fr-FR"/>
        </w:rPr>
        <w:t>41</w:t>
      </w:r>
      <w:r w:rsidRPr="004D0A2C">
        <w:rPr>
          <w:lang w:val="fr-FR"/>
        </w:rPr>
        <w:tab/>
      </w:r>
      <w:r w:rsidR="009D5724">
        <w:rPr>
          <w:lang w:val="fr-FR"/>
        </w:rPr>
        <w:t>1</w:t>
      </w:r>
      <w:r w:rsidR="001143C8">
        <w:rPr>
          <w:lang w:val="fr-FR"/>
        </w:rPr>
        <w:t>0</w:t>
      </w:r>
    </w:p>
    <w:p w14:paraId="71C85B11" w14:textId="5B9197A0"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D</w:t>
      </w:r>
      <w:r w:rsidR="009C65BB" w:rsidRPr="004D0A2C">
        <w:rPr>
          <w:lang w:val="fr-FR"/>
        </w:rPr>
        <w:t>.</w:t>
      </w:r>
      <w:r w:rsidRPr="004D0A2C">
        <w:rPr>
          <w:lang w:val="fr-FR"/>
        </w:rPr>
        <w:tab/>
      </w:r>
      <w:r w:rsidR="009D5724" w:rsidRPr="004D0A2C">
        <w:rPr>
          <w:lang w:val="fr-FR"/>
        </w:rPr>
        <w:t xml:space="preserve">Questions à examiner concernant les dispositifs médicaux alimentés </w:t>
      </w:r>
      <w:r w:rsidR="009D5724">
        <w:rPr>
          <w:lang w:val="fr-FR"/>
        </w:rPr>
        <w:br/>
      </w:r>
      <w:r w:rsidR="009D5724" w:rsidRPr="004D0A2C">
        <w:rPr>
          <w:lang w:val="fr-FR"/>
        </w:rPr>
        <w:t>par des piles ou batteries au lithium</w:t>
      </w:r>
      <w:r w:rsidRPr="004D0A2C">
        <w:rPr>
          <w:lang w:val="fr-FR"/>
        </w:rPr>
        <w:tab/>
      </w:r>
      <w:r w:rsidRPr="004D0A2C">
        <w:rPr>
          <w:lang w:val="fr-FR"/>
        </w:rPr>
        <w:tab/>
      </w:r>
      <w:r w:rsidR="00F31A32">
        <w:rPr>
          <w:lang w:val="fr-FR"/>
        </w:rPr>
        <w:t>42</w:t>
      </w:r>
      <w:r w:rsidRPr="004D0A2C">
        <w:rPr>
          <w:lang w:val="fr-FR"/>
        </w:rPr>
        <w:tab/>
      </w:r>
      <w:r w:rsidR="009D5724">
        <w:rPr>
          <w:lang w:val="fr-FR"/>
        </w:rPr>
        <w:t>1</w:t>
      </w:r>
      <w:r w:rsidR="001143C8">
        <w:rPr>
          <w:lang w:val="fr-FR"/>
        </w:rPr>
        <w:t>0</w:t>
      </w:r>
    </w:p>
    <w:p w14:paraId="2E5A8E4E" w14:textId="3175D2C6"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E</w:t>
      </w:r>
      <w:r w:rsidR="009C65BB" w:rsidRPr="004D0A2C">
        <w:rPr>
          <w:lang w:val="fr-FR"/>
        </w:rPr>
        <w:t>.</w:t>
      </w:r>
      <w:r w:rsidRPr="004D0A2C">
        <w:rPr>
          <w:lang w:val="fr-FR"/>
        </w:rPr>
        <w:tab/>
      </w:r>
      <w:r w:rsidR="009D5724" w:rsidRPr="004D0A2C">
        <w:rPr>
          <w:lang w:val="fr-FR"/>
        </w:rPr>
        <w:t xml:space="preserve">Modifications à apporter au 2.6.3.2 du Règlement type − Classification </w:t>
      </w:r>
      <w:r w:rsidR="009D5724">
        <w:rPr>
          <w:lang w:val="fr-FR"/>
        </w:rPr>
        <w:br/>
      </w:r>
      <w:r w:rsidR="009D5724" w:rsidRPr="004D0A2C">
        <w:rPr>
          <w:lang w:val="fr-FR"/>
        </w:rPr>
        <w:t>des matières infectieuses</w:t>
      </w:r>
      <w:r w:rsidRPr="004D0A2C">
        <w:rPr>
          <w:lang w:val="fr-FR"/>
        </w:rPr>
        <w:tab/>
      </w:r>
      <w:r w:rsidRPr="004D0A2C">
        <w:rPr>
          <w:lang w:val="fr-FR"/>
        </w:rPr>
        <w:tab/>
      </w:r>
      <w:r w:rsidR="00F31A32">
        <w:rPr>
          <w:lang w:val="fr-FR"/>
        </w:rPr>
        <w:t>43</w:t>
      </w:r>
      <w:r w:rsidRPr="004D0A2C">
        <w:rPr>
          <w:lang w:val="fr-FR"/>
        </w:rPr>
        <w:tab/>
      </w:r>
      <w:r w:rsidR="009D5724">
        <w:rPr>
          <w:lang w:val="fr-FR"/>
        </w:rPr>
        <w:t>1</w:t>
      </w:r>
      <w:r w:rsidR="001143C8">
        <w:rPr>
          <w:lang w:val="fr-FR"/>
        </w:rPr>
        <w:t>1</w:t>
      </w:r>
    </w:p>
    <w:p w14:paraId="63121097" w14:textId="44C1D9F6"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F</w:t>
      </w:r>
      <w:r w:rsidR="009C65BB" w:rsidRPr="004D0A2C">
        <w:rPr>
          <w:lang w:val="fr-FR"/>
        </w:rPr>
        <w:t>.</w:t>
      </w:r>
      <w:r w:rsidRPr="004D0A2C">
        <w:rPr>
          <w:lang w:val="fr-FR"/>
        </w:rPr>
        <w:tab/>
      </w:r>
      <w:r w:rsidR="00D33678" w:rsidRPr="004D0A2C">
        <w:rPr>
          <w:lang w:val="fr-FR"/>
        </w:rPr>
        <w:t xml:space="preserve">Produits actuels et futurs dans le secteur du gaz de pétrole liquéfié : </w:t>
      </w:r>
      <w:r w:rsidR="00D33678">
        <w:rPr>
          <w:lang w:val="fr-FR"/>
        </w:rPr>
        <w:br/>
      </w:r>
      <w:r w:rsidR="00D33678" w:rsidRPr="004D0A2C">
        <w:rPr>
          <w:lang w:val="fr-FR"/>
        </w:rPr>
        <w:t>proposition de nouveau numéro ONU</w:t>
      </w:r>
      <w:r w:rsidRPr="004D0A2C">
        <w:rPr>
          <w:lang w:val="fr-FR"/>
        </w:rPr>
        <w:tab/>
      </w:r>
      <w:r w:rsidRPr="004D0A2C">
        <w:rPr>
          <w:lang w:val="fr-FR"/>
        </w:rPr>
        <w:tab/>
      </w:r>
      <w:r w:rsidR="00F31A32">
        <w:rPr>
          <w:lang w:val="fr-FR"/>
        </w:rPr>
        <w:t>44</w:t>
      </w:r>
      <w:r w:rsidRPr="004D0A2C">
        <w:rPr>
          <w:lang w:val="fr-FR"/>
        </w:rPr>
        <w:tab/>
      </w:r>
      <w:r w:rsidR="00D33678">
        <w:rPr>
          <w:lang w:val="fr-FR"/>
        </w:rPr>
        <w:t>1</w:t>
      </w:r>
      <w:r w:rsidR="001143C8">
        <w:rPr>
          <w:lang w:val="fr-FR"/>
        </w:rPr>
        <w:t>1</w:t>
      </w:r>
    </w:p>
    <w:p w14:paraId="47134AEB" w14:textId="7C9789E7"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G</w:t>
      </w:r>
      <w:r w:rsidR="009C65BB" w:rsidRPr="004D0A2C">
        <w:rPr>
          <w:lang w:val="fr-FR"/>
        </w:rPr>
        <w:t>.</w:t>
      </w:r>
      <w:r w:rsidRPr="004D0A2C">
        <w:rPr>
          <w:lang w:val="fr-FR"/>
        </w:rPr>
        <w:tab/>
      </w:r>
      <w:r w:rsidR="00D33678" w:rsidRPr="004D0A2C">
        <w:rPr>
          <w:lang w:val="fr-FR"/>
        </w:rPr>
        <w:t>Emballages hermétiquement fermés</w:t>
      </w:r>
      <w:r w:rsidRPr="004D0A2C">
        <w:rPr>
          <w:lang w:val="fr-FR"/>
        </w:rPr>
        <w:tab/>
      </w:r>
      <w:r w:rsidRPr="004D0A2C">
        <w:rPr>
          <w:lang w:val="fr-FR"/>
        </w:rPr>
        <w:tab/>
      </w:r>
      <w:r w:rsidR="00F31A32">
        <w:rPr>
          <w:lang w:val="fr-FR"/>
        </w:rPr>
        <w:t>45</w:t>
      </w:r>
      <w:r w:rsidRPr="004D0A2C">
        <w:rPr>
          <w:lang w:val="fr-FR"/>
        </w:rPr>
        <w:tab/>
      </w:r>
      <w:r w:rsidR="00D33678">
        <w:rPr>
          <w:lang w:val="fr-FR"/>
        </w:rPr>
        <w:t>1</w:t>
      </w:r>
      <w:r w:rsidR="001143C8">
        <w:rPr>
          <w:lang w:val="fr-FR"/>
        </w:rPr>
        <w:t>1</w:t>
      </w:r>
    </w:p>
    <w:p w14:paraId="4A2DFFF3" w14:textId="77E8A2E2"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H</w:t>
      </w:r>
      <w:r w:rsidR="009C65BB" w:rsidRPr="004D0A2C">
        <w:rPr>
          <w:lang w:val="fr-FR"/>
        </w:rPr>
        <w:t>.</w:t>
      </w:r>
      <w:r w:rsidRPr="004D0A2C">
        <w:rPr>
          <w:lang w:val="fr-FR"/>
        </w:rPr>
        <w:tab/>
      </w:r>
      <w:r w:rsidR="00D33678" w:rsidRPr="004D0A2C">
        <w:rPr>
          <w:lang w:val="fr-FR"/>
        </w:rPr>
        <w:t>Classement du n</w:t>
      </w:r>
      <w:r w:rsidR="00D33678" w:rsidRPr="004D0A2C">
        <w:rPr>
          <w:vertAlign w:val="superscript"/>
          <w:lang w:val="fr-FR"/>
        </w:rPr>
        <w:t>o </w:t>
      </w:r>
      <w:r w:rsidR="00D33678" w:rsidRPr="004D0A2C">
        <w:rPr>
          <w:lang w:val="fr-FR"/>
        </w:rPr>
        <w:t>ONU </w:t>
      </w:r>
      <w:r w:rsidR="00D33678" w:rsidRPr="00304D0D">
        <w:rPr>
          <w:lang w:val="fr-FR"/>
        </w:rPr>
        <w:t>2372 BIS (DIMÉTHYLAMINO</w:t>
      </w:r>
      <w:r w:rsidR="00D33678" w:rsidRPr="004D0A2C">
        <w:rPr>
          <w:lang w:val="fr-FR"/>
        </w:rPr>
        <w:t>)-1,2 ÉTHANE</w:t>
      </w:r>
      <w:r w:rsidRPr="004D0A2C">
        <w:rPr>
          <w:lang w:val="fr-FR"/>
        </w:rPr>
        <w:tab/>
      </w:r>
      <w:r w:rsidRPr="004D0A2C">
        <w:rPr>
          <w:lang w:val="fr-FR"/>
        </w:rPr>
        <w:tab/>
      </w:r>
      <w:r w:rsidR="00F31A32">
        <w:rPr>
          <w:lang w:val="fr-FR"/>
        </w:rPr>
        <w:t>46</w:t>
      </w:r>
      <w:r w:rsidRPr="004D0A2C">
        <w:rPr>
          <w:lang w:val="fr-FR"/>
        </w:rPr>
        <w:tab/>
      </w:r>
      <w:r w:rsidR="00D33678">
        <w:rPr>
          <w:lang w:val="fr-FR"/>
        </w:rPr>
        <w:t>1</w:t>
      </w:r>
      <w:r w:rsidR="001143C8">
        <w:rPr>
          <w:lang w:val="fr-FR"/>
        </w:rPr>
        <w:t>1</w:t>
      </w:r>
    </w:p>
    <w:p w14:paraId="793B595A" w14:textId="5AC92288"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I</w:t>
      </w:r>
      <w:r w:rsidR="009C65BB" w:rsidRPr="004D0A2C">
        <w:rPr>
          <w:lang w:val="fr-FR"/>
        </w:rPr>
        <w:t>.</w:t>
      </w:r>
      <w:r w:rsidRPr="004D0A2C">
        <w:rPr>
          <w:lang w:val="fr-FR"/>
        </w:rPr>
        <w:tab/>
      </w:r>
      <w:r w:rsidR="00D33678" w:rsidRPr="004D0A2C">
        <w:rPr>
          <w:lang w:val="fr-FR"/>
        </w:rPr>
        <w:t xml:space="preserve">Rapport du groupe de travail informel par correspondance chargé </w:t>
      </w:r>
      <w:r w:rsidR="00D33678" w:rsidRPr="004D0A2C">
        <w:rPr>
          <w:lang w:val="fr-FR"/>
        </w:rPr>
        <w:br/>
        <w:t>de la distinction entre le n</w:t>
      </w:r>
      <w:r w:rsidR="00D33678" w:rsidRPr="004D0A2C">
        <w:rPr>
          <w:vertAlign w:val="superscript"/>
          <w:lang w:val="fr-FR"/>
        </w:rPr>
        <w:t>o </w:t>
      </w:r>
      <w:r w:rsidR="00D33678" w:rsidRPr="004D0A2C">
        <w:rPr>
          <w:lang w:val="fr-FR"/>
        </w:rPr>
        <w:t>ONU 1950 et le n</w:t>
      </w:r>
      <w:r w:rsidR="00D33678" w:rsidRPr="004D0A2C">
        <w:rPr>
          <w:vertAlign w:val="superscript"/>
          <w:lang w:val="fr-FR"/>
        </w:rPr>
        <w:t>o </w:t>
      </w:r>
      <w:r w:rsidR="00D33678" w:rsidRPr="004D0A2C">
        <w:rPr>
          <w:lang w:val="fr-FR"/>
        </w:rPr>
        <w:t>ONU 2037</w:t>
      </w:r>
      <w:r w:rsidRPr="004D0A2C">
        <w:rPr>
          <w:lang w:val="fr-FR"/>
        </w:rPr>
        <w:tab/>
      </w:r>
      <w:r w:rsidRPr="004D0A2C">
        <w:rPr>
          <w:lang w:val="fr-FR"/>
        </w:rPr>
        <w:tab/>
      </w:r>
      <w:r w:rsidR="00F31A32">
        <w:rPr>
          <w:lang w:val="fr-FR"/>
        </w:rPr>
        <w:t>47</w:t>
      </w:r>
      <w:r w:rsidRPr="004D0A2C">
        <w:rPr>
          <w:lang w:val="fr-FR"/>
        </w:rPr>
        <w:tab/>
      </w:r>
      <w:r w:rsidR="00D33678">
        <w:rPr>
          <w:lang w:val="fr-FR"/>
        </w:rPr>
        <w:t>1</w:t>
      </w:r>
      <w:r w:rsidR="00B97B20">
        <w:rPr>
          <w:lang w:val="fr-FR"/>
        </w:rPr>
        <w:t>2</w:t>
      </w:r>
    </w:p>
    <w:p w14:paraId="6124E31C" w14:textId="098E7C73"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J</w:t>
      </w:r>
      <w:r w:rsidR="009C65BB" w:rsidRPr="004D0A2C">
        <w:rPr>
          <w:lang w:val="fr-FR"/>
        </w:rPr>
        <w:t>.</w:t>
      </w:r>
      <w:r w:rsidRPr="004D0A2C">
        <w:rPr>
          <w:lang w:val="fr-FR"/>
        </w:rPr>
        <w:tab/>
      </w:r>
      <w:r w:rsidR="00D33678" w:rsidRPr="004D0A2C">
        <w:rPr>
          <w:lang w:val="fr-FR"/>
        </w:rPr>
        <w:t xml:space="preserve">Transport des liquides organiques porteurs d’hydrogène (LOHC) − </w:t>
      </w:r>
      <w:r w:rsidR="00D33678">
        <w:rPr>
          <w:lang w:val="fr-FR"/>
        </w:rPr>
        <w:br/>
      </w:r>
      <w:r w:rsidR="00D33678" w:rsidRPr="004D0A2C">
        <w:rPr>
          <w:lang w:val="fr-FR"/>
        </w:rPr>
        <w:t>nouvelle disposition spéciale pour le n</w:t>
      </w:r>
      <w:r w:rsidR="00D33678" w:rsidRPr="004D0A2C">
        <w:rPr>
          <w:vertAlign w:val="superscript"/>
          <w:lang w:val="fr-FR"/>
        </w:rPr>
        <w:t>o </w:t>
      </w:r>
      <w:r w:rsidR="00D33678" w:rsidRPr="004D0A2C">
        <w:rPr>
          <w:lang w:val="fr-FR"/>
        </w:rPr>
        <w:t>ONU 3082</w:t>
      </w:r>
      <w:r w:rsidRPr="004D0A2C">
        <w:rPr>
          <w:lang w:val="fr-FR"/>
        </w:rPr>
        <w:tab/>
      </w:r>
      <w:r w:rsidRPr="004D0A2C">
        <w:rPr>
          <w:lang w:val="fr-FR"/>
        </w:rPr>
        <w:tab/>
      </w:r>
      <w:r w:rsidR="00F31A32">
        <w:rPr>
          <w:lang w:val="fr-FR"/>
        </w:rPr>
        <w:t>48</w:t>
      </w:r>
      <w:r w:rsidRPr="004D0A2C">
        <w:rPr>
          <w:lang w:val="fr-FR"/>
        </w:rPr>
        <w:tab/>
      </w:r>
      <w:r w:rsidR="00D33678">
        <w:rPr>
          <w:lang w:val="fr-FR"/>
        </w:rPr>
        <w:t>1</w:t>
      </w:r>
      <w:r w:rsidR="00B97B20">
        <w:rPr>
          <w:lang w:val="fr-FR"/>
        </w:rPr>
        <w:t>2</w:t>
      </w:r>
    </w:p>
    <w:p w14:paraId="31BAE343" w14:textId="1D5478DB"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K</w:t>
      </w:r>
      <w:r w:rsidR="009C65BB" w:rsidRPr="004D0A2C">
        <w:rPr>
          <w:lang w:val="fr-FR"/>
        </w:rPr>
        <w:t>.</w:t>
      </w:r>
      <w:r w:rsidRPr="004D0A2C">
        <w:rPr>
          <w:lang w:val="fr-FR"/>
        </w:rPr>
        <w:tab/>
      </w:r>
      <w:r w:rsidR="00190716" w:rsidRPr="004D0A2C">
        <w:rPr>
          <w:lang w:val="fr-FR"/>
        </w:rPr>
        <w:t>Dispositions relatives au transport de petites quantités de peintures et </w:t>
      </w:r>
      <w:r w:rsidR="00190716">
        <w:rPr>
          <w:lang w:val="fr-FR"/>
        </w:rPr>
        <w:br/>
      </w:r>
      <w:r w:rsidR="00190716" w:rsidRPr="004D0A2C">
        <w:rPr>
          <w:lang w:val="fr-FR"/>
        </w:rPr>
        <w:t xml:space="preserve">d’encres d’imprimerie dangereuses pour l’environnement </w:t>
      </w:r>
      <w:r w:rsidR="00190716" w:rsidRPr="004D0A2C">
        <w:rPr>
          <w:lang w:val="fr-FR"/>
        </w:rPr>
        <w:br/>
        <w:t>(et de matières apparentées)</w:t>
      </w:r>
      <w:r w:rsidRPr="004D0A2C">
        <w:rPr>
          <w:lang w:val="fr-FR"/>
        </w:rPr>
        <w:tab/>
      </w:r>
      <w:r w:rsidRPr="004D0A2C">
        <w:rPr>
          <w:lang w:val="fr-FR"/>
        </w:rPr>
        <w:tab/>
      </w:r>
      <w:r w:rsidR="00F31A32">
        <w:rPr>
          <w:lang w:val="fr-FR"/>
        </w:rPr>
        <w:t>49-50</w:t>
      </w:r>
      <w:r w:rsidRPr="004D0A2C">
        <w:rPr>
          <w:lang w:val="fr-FR"/>
        </w:rPr>
        <w:tab/>
      </w:r>
      <w:r w:rsidR="00190716">
        <w:rPr>
          <w:lang w:val="fr-FR"/>
        </w:rPr>
        <w:t>1</w:t>
      </w:r>
      <w:r w:rsidR="00B97B20">
        <w:rPr>
          <w:lang w:val="fr-FR"/>
        </w:rPr>
        <w:t>2</w:t>
      </w:r>
    </w:p>
    <w:p w14:paraId="3F8FB172" w14:textId="2AFD1463"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L</w:t>
      </w:r>
      <w:r w:rsidR="009C65BB" w:rsidRPr="004D0A2C">
        <w:rPr>
          <w:lang w:val="fr-FR"/>
        </w:rPr>
        <w:t>.</w:t>
      </w:r>
      <w:r w:rsidRPr="004D0A2C">
        <w:rPr>
          <w:lang w:val="fr-FR"/>
        </w:rPr>
        <w:tab/>
      </w:r>
      <w:r w:rsidR="00190716" w:rsidRPr="004D0A2C">
        <w:rPr>
          <w:lang w:val="fr-FR"/>
        </w:rPr>
        <w:t xml:space="preserve">Ordre de prépondérance des classes : corrections à apporter aux 2.0.3.1 </w:t>
      </w:r>
      <w:r w:rsidR="00190716">
        <w:rPr>
          <w:lang w:val="fr-FR"/>
        </w:rPr>
        <w:br/>
      </w:r>
      <w:r w:rsidR="00190716" w:rsidRPr="004D0A2C">
        <w:rPr>
          <w:lang w:val="fr-FR"/>
        </w:rPr>
        <w:t>et 2.8.2.4 aux fins de leur harmonisation avec le 2.6.2.2.4.1</w:t>
      </w:r>
      <w:r w:rsidRPr="004D0A2C">
        <w:rPr>
          <w:lang w:val="fr-FR"/>
        </w:rPr>
        <w:tab/>
      </w:r>
      <w:r w:rsidRPr="004D0A2C">
        <w:rPr>
          <w:lang w:val="fr-FR"/>
        </w:rPr>
        <w:tab/>
      </w:r>
      <w:r w:rsidR="00F31A32">
        <w:rPr>
          <w:lang w:val="fr-FR"/>
        </w:rPr>
        <w:t>51</w:t>
      </w:r>
      <w:r w:rsidRPr="004D0A2C">
        <w:rPr>
          <w:lang w:val="fr-FR"/>
        </w:rPr>
        <w:tab/>
      </w:r>
      <w:r w:rsidR="00190716">
        <w:rPr>
          <w:lang w:val="fr-FR"/>
        </w:rPr>
        <w:t>1</w:t>
      </w:r>
      <w:r w:rsidR="00B97B20">
        <w:rPr>
          <w:lang w:val="fr-FR"/>
        </w:rPr>
        <w:t>2</w:t>
      </w:r>
    </w:p>
    <w:p w14:paraId="6CA46E95" w14:textId="13654641"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VI</w:t>
      </w:r>
      <w:r w:rsidR="009C65BB" w:rsidRPr="004D0A2C">
        <w:rPr>
          <w:lang w:val="fr-FR"/>
        </w:rPr>
        <w:t>.</w:t>
      </w:r>
      <w:r w:rsidRPr="004D0A2C">
        <w:rPr>
          <w:lang w:val="fr-FR"/>
        </w:rPr>
        <w:tab/>
      </w:r>
      <w:r w:rsidR="00190716" w:rsidRPr="004D0A2C">
        <w:rPr>
          <w:lang w:val="fr-FR"/>
        </w:rPr>
        <w:t>Systèmes de stockage de l’électricité (point 4 de l’ordre du jour)</w:t>
      </w:r>
      <w:r w:rsidRPr="004D0A2C">
        <w:rPr>
          <w:lang w:val="fr-FR"/>
        </w:rPr>
        <w:tab/>
      </w:r>
      <w:r w:rsidRPr="004D0A2C">
        <w:rPr>
          <w:lang w:val="fr-FR"/>
        </w:rPr>
        <w:tab/>
      </w:r>
      <w:r w:rsidR="00F31A32">
        <w:rPr>
          <w:lang w:val="fr-FR"/>
        </w:rPr>
        <w:t>52-66</w:t>
      </w:r>
      <w:r w:rsidRPr="004D0A2C">
        <w:rPr>
          <w:lang w:val="fr-FR"/>
        </w:rPr>
        <w:tab/>
      </w:r>
      <w:r w:rsidR="00190716">
        <w:rPr>
          <w:lang w:val="fr-FR"/>
        </w:rPr>
        <w:t>1</w:t>
      </w:r>
      <w:r w:rsidR="00B97B20">
        <w:rPr>
          <w:lang w:val="fr-FR"/>
        </w:rPr>
        <w:t>2</w:t>
      </w:r>
    </w:p>
    <w:p w14:paraId="7F09BB0C" w14:textId="01883783"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6C3DFD" w:rsidRPr="004D0A2C">
        <w:rPr>
          <w:lang w:val="fr-FR"/>
        </w:rPr>
        <w:t>Épreuves pour les batteries au lithium</w:t>
      </w:r>
      <w:r w:rsidRPr="004D0A2C">
        <w:rPr>
          <w:lang w:val="fr-FR"/>
        </w:rPr>
        <w:tab/>
      </w:r>
      <w:r w:rsidRPr="004D0A2C">
        <w:rPr>
          <w:lang w:val="fr-FR"/>
        </w:rPr>
        <w:tab/>
      </w:r>
      <w:r w:rsidR="00F31A32">
        <w:rPr>
          <w:lang w:val="fr-FR"/>
        </w:rPr>
        <w:t>52</w:t>
      </w:r>
      <w:r w:rsidRPr="004D0A2C">
        <w:rPr>
          <w:lang w:val="fr-FR"/>
        </w:rPr>
        <w:tab/>
      </w:r>
      <w:r w:rsidR="006C3DFD">
        <w:rPr>
          <w:lang w:val="fr-FR"/>
        </w:rPr>
        <w:t>1</w:t>
      </w:r>
      <w:r w:rsidR="00B97B20">
        <w:rPr>
          <w:lang w:val="fr-FR"/>
        </w:rPr>
        <w:t>2</w:t>
      </w:r>
    </w:p>
    <w:p w14:paraId="3359A89B" w14:textId="108A2763"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6C3DFD" w:rsidRPr="004D0A2C">
        <w:rPr>
          <w:lang w:val="fr-FR"/>
        </w:rPr>
        <w:t>Système de classification des batteries au lithium en fonction du danger</w:t>
      </w:r>
      <w:r w:rsidRPr="004D0A2C">
        <w:rPr>
          <w:lang w:val="fr-FR"/>
        </w:rPr>
        <w:tab/>
      </w:r>
      <w:r w:rsidRPr="004D0A2C">
        <w:rPr>
          <w:lang w:val="fr-FR"/>
        </w:rPr>
        <w:tab/>
      </w:r>
      <w:r w:rsidR="00F31A32">
        <w:rPr>
          <w:lang w:val="fr-FR"/>
        </w:rPr>
        <w:t>53-54</w:t>
      </w:r>
      <w:r w:rsidRPr="004D0A2C">
        <w:rPr>
          <w:lang w:val="fr-FR"/>
        </w:rPr>
        <w:tab/>
      </w:r>
      <w:r w:rsidR="006C3DFD">
        <w:rPr>
          <w:lang w:val="fr-FR"/>
        </w:rPr>
        <w:t>1</w:t>
      </w:r>
      <w:r w:rsidR="00B97B20">
        <w:rPr>
          <w:lang w:val="fr-FR"/>
        </w:rPr>
        <w:t>3</w:t>
      </w:r>
    </w:p>
    <w:p w14:paraId="11A615DB" w14:textId="1E3C8A49"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6C3DFD" w:rsidRPr="004D0A2C">
        <w:rPr>
          <w:lang w:val="fr-FR"/>
        </w:rPr>
        <w:t>Dispositions relatives au transport</w:t>
      </w:r>
      <w:r w:rsidRPr="004D0A2C">
        <w:rPr>
          <w:lang w:val="fr-FR"/>
        </w:rPr>
        <w:tab/>
      </w:r>
      <w:r w:rsidRPr="004D0A2C">
        <w:rPr>
          <w:lang w:val="fr-FR"/>
        </w:rPr>
        <w:tab/>
      </w:r>
      <w:r w:rsidR="00F31A32">
        <w:rPr>
          <w:lang w:val="fr-FR"/>
        </w:rPr>
        <w:t>55-59</w:t>
      </w:r>
      <w:r w:rsidRPr="004D0A2C">
        <w:rPr>
          <w:lang w:val="fr-FR"/>
        </w:rPr>
        <w:tab/>
      </w:r>
      <w:r w:rsidR="006C3DFD">
        <w:rPr>
          <w:lang w:val="fr-FR"/>
        </w:rPr>
        <w:t>1</w:t>
      </w:r>
      <w:r w:rsidR="00B97B20">
        <w:rPr>
          <w:lang w:val="fr-FR"/>
        </w:rPr>
        <w:t>3</w:t>
      </w:r>
    </w:p>
    <w:p w14:paraId="62035777" w14:textId="5DE39116"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6C3DFD" w:rsidRPr="004D0A2C">
        <w:rPr>
          <w:lang w:val="fr-FR"/>
        </w:rPr>
        <w:t>Modifications à apporter à la disposition spéciale 384 du Règlement type</w:t>
      </w:r>
      <w:r w:rsidRPr="004D0A2C">
        <w:rPr>
          <w:lang w:val="fr-FR"/>
        </w:rPr>
        <w:tab/>
      </w:r>
      <w:r w:rsidR="00F31A32">
        <w:rPr>
          <w:lang w:val="fr-FR"/>
        </w:rPr>
        <w:t>55</w:t>
      </w:r>
      <w:r w:rsidRPr="004D0A2C">
        <w:rPr>
          <w:lang w:val="fr-FR"/>
        </w:rPr>
        <w:tab/>
      </w:r>
      <w:r w:rsidR="006C3DFD">
        <w:rPr>
          <w:lang w:val="fr-FR"/>
        </w:rPr>
        <w:t>1</w:t>
      </w:r>
      <w:r w:rsidR="00B97B20">
        <w:rPr>
          <w:lang w:val="fr-FR"/>
        </w:rPr>
        <w:t>3</w:t>
      </w:r>
    </w:p>
    <w:p w14:paraId="353F5D07" w14:textId="4197C0A4"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lastRenderedPageBreak/>
        <w:t>2</w:t>
      </w:r>
      <w:r w:rsidR="009C65BB" w:rsidRPr="004D0A2C">
        <w:rPr>
          <w:lang w:val="fr-FR"/>
        </w:rPr>
        <w:t>.</w:t>
      </w:r>
      <w:r w:rsidRPr="004D0A2C">
        <w:rPr>
          <w:lang w:val="fr-FR"/>
        </w:rPr>
        <w:tab/>
      </w:r>
      <w:r w:rsidR="006C3DFD" w:rsidRPr="004D0A2C">
        <w:rPr>
          <w:lang w:val="fr-FR"/>
        </w:rPr>
        <w:t xml:space="preserve">Proposition visant à apposer la marque pour les batteries au lithium </w:t>
      </w:r>
      <w:r w:rsidR="006C3DFD">
        <w:rPr>
          <w:lang w:val="fr-FR"/>
        </w:rPr>
        <w:br/>
      </w:r>
      <w:r w:rsidR="006C3DFD" w:rsidRPr="004D0A2C">
        <w:rPr>
          <w:lang w:val="fr-FR"/>
        </w:rPr>
        <w:t>sur la même surface du colis que les étiquettes de danger</w:t>
      </w:r>
      <w:r w:rsidRPr="004D0A2C">
        <w:rPr>
          <w:lang w:val="fr-FR"/>
        </w:rPr>
        <w:tab/>
      </w:r>
      <w:r w:rsidRPr="004D0A2C">
        <w:rPr>
          <w:lang w:val="fr-FR"/>
        </w:rPr>
        <w:tab/>
      </w:r>
      <w:r w:rsidR="00F31A32">
        <w:rPr>
          <w:lang w:val="fr-FR"/>
        </w:rPr>
        <w:t>56</w:t>
      </w:r>
      <w:r w:rsidRPr="004D0A2C">
        <w:rPr>
          <w:lang w:val="fr-FR"/>
        </w:rPr>
        <w:tab/>
      </w:r>
      <w:r w:rsidR="006C3DFD">
        <w:rPr>
          <w:lang w:val="fr-FR"/>
        </w:rPr>
        <w:t>1</w:t>
      </w:r>
      <w:r w:rsidR="00B97B20">
        <w:rPr>
          <w:lang w:val="fr-FR"/>
        </w:rPr>
        <w:t>3</w:t>
      </w:r>
    </w:p>
    <w:p w14:paraId="5AE0A57D" w14:textId="4F47ADDA"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3</w:t>
      </w:r>
      <w:r w:rsidR="009C65BB" w:rsidRPr="004D0A2C">
        <w:rPr>
          <w:lang w:val="fr-FR"/>
        </w:rPr>
        <w:t>.</w:t>
      </w:r>
      <w:r w:rsidRPr="004D0A2C">
        <w:rPr>
          <w:lang w:val="fr-FR"/>
        </w:rPr>
        <w:tab/>
      </w:r>
      <w:r w:rsidR="006C3DFD" w:rsidRPr="004D0A2C">
        <w:rPr>
          <w:lang w:val="fr-FR"/>
        </w:rPr>
        <w:t xml:space="preserve">Questions à examiner concernant les dispositifs médicaux alimentés </w:t>
      </w:r>
      <w:r w:rsidR="006C3DFD">
        <w:rPr>
          <w:lang w:val="fr-FR"/>
        </w:rPr>
        <w:br/>
      </w:r>
      <w:r w:rsidR="006C3DFD" w:rsidRPr="004D0A2C">
        <w:rPr>
          <w:lang w:val="fr-FR"/>
        </w:rPr>
        <w:t>par des piles ou batteries au lithium</w:t>
      </w:r>
      <w:r w:rsidRPr="004D0A2C">
        <w:rPr>
          <w:lang w:val="fr-FR"/>
        </w:rPr>
        <w:tab/>
      </w:r>
      <w:r w:rsidRPr="004D0A2C">
        <w:rPr>
          <w:lang w:val="fr-FR"/>
        </w:rPr>
        <w:tab/>
      </w:r>
      <w:r w:rsidR="00F31A32">
        <w:rPr>
          <w:lang w:val="fr-FR"/>
        </w:rPr>
        <w:t>57-58</w:t>
      </w:r>
      <w:r w:rsidRPr="004D0A2C">
        <w:rPr>
          <w:lang w:val="fr-FR"/>
        </w:rPr>
        <w:tab/>
      </w:r>
      <w:r w:rsidR="006C3DFD">
        <w:rPr>
          <w:lang w:val="fr-FR"/>
        </w:rPr>
        <w:t>1</w:t>
      </w:r>
      <w:r w:rsidR="00B97B20">
        <w:rPr>
          <w:lang w:val="fr-FR"/>
        </w:rPr>
        <w:t>3</w:t>
      </w:r>
    </w:p>
    <w:p w14:paraId="7739A557" w14:textId="7ADC3F5A"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4</w:t>
      </w:r>
      <w:r w:rsidR="009C65BB" w:rsidRPr="004D0A2C">
        <w:rPr>
          <w:lang w:val="fr-FR"/>
        </w:rPr>
        <w:t>.</w:t>
      </w:r>
      <w:r w:rsidRPr="004D0A2C">
        <w:rPr>
          <w:lang w:val="fr-FR"/>
        </w:rPr>
        <w:tab/>
      </w:r>
      <w:r w:rsidR="006C3DFD" w:rsidRPr="004D0A2C">
        <w:rPr>
          <w:lang w:val="fr-FR"/>
        </w:rPr>
        <w:t xml:space="preserve">Dispositions concernant les batteries hybrides constituées de piles </w:t>
      </w:r>
      <w:r w:rsidR="006C3DFD">
        <w:rPr>
          <w:lang w:val="fr-FR"/>
        </w:rPr>
        <w:br/>
      </w:r>
      <w:r w:rsidR="006C3DFD" w:rsidRPr="004D0A2C">
        <w:rPr>
          <w:lang w:val="fr-FR"/>
        </w:rPr>
        <w:t>au lithium ionique et de piles au sodium ionique</w:t>
      </w:r>
      <w:r w:rsidRPr="004D0A2C">
        <w:rPr>
          <w:lang w:val="fr-FR"/>
        </w:rPr>
        <w:tab/>
      </w:r>
      <w:r w:rsidRPr="004D0A2C">
        <w:rPr>
          <w:lang w:val="fr-FR"/>
        </w:rPr>
        <w:tab/>
      </w:r>
      <w:r w:rsidR="00F31A32">
        <w:rPr>
          <w:lang w:val="fr-FR"/>
        </w:rPr>
        <w:t>59</w:t>
      </w:r>
      <w:r w:rsidRPr="004D0A2C">
        <w:rPr>
          <w:lang w:val="fr-FR"/>
        </w:rPr>
        <w:tab/>
      </w:r>
      <w:r w:rsidR="006C3DFD">
        <w:rPr>
          <w:lang w:val="fr-FR"/>
        </w:rPr>
        <w:t>1</w:t>
      </w:r>
      <w:r w:rsidR="00B97B20">
        <w:rPr>
          <w:lang w:val="fr-FR"/>
        </w:rPr>
        <w:t>4</w:t>
      </w:r>
    </w:p>
    <w:p w14:paraId="7CE4B598" w14:textId="7114B56D"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D</w:t>
      </w:r>
      <w:r w:rsidR="009C65BB" w:rsidRPr="004D0A2C">
        <w:rPr>
          <w:lang w:val="fr-FR"/>
        </w:rPr>
        <w:t>.</w:t>
      </w:r>
      <w:r w:rsidRPr="004D0A2C">
        <w:rPr>
          <w:lang w:val="fr-FR"/>
        </w:rPr>
        <w:tab/>
      </w:r>
      <w:r w:rsidR="006C3DFD" w:rsidRPr="004D0A2C">
        <w:rPr>
          <w:lang w:val="fr-FR"/>
        </w:rPr>
        <w:t>Batteries au lithium endommagées ou défectueuses</w:t>
      </w:r>
      <w:r w:rsidRPr="004D0A2C">
        <w:rPr>
          <w:lang w:val="fr-FR"/>
        </w:rPr>
        <w:tab/>
      </w:r>
      <w:r w:rsidRPr="004D0A2C">
        <w:rPr>
          <w:lang w:val="fr-FR"/>
        </w:rPr>
        <w:tab/>
      </w:r>
      <w:r w:rsidR="00F31A32">
        <w:rPr>
          <w:lang w:val="fr-FR"/>
        </w:rPr>
        <w:t>60-61</w:t>
      </w:r>
      <w:r w:rsidRPr="004D0A2C">
        <w:rPr>
          <w:lang w:val="fr-FR"/>
        </w:rPr>
        <w:tab/>
      </w:r>
      <w:r w:rsidR="006C3DFD">
        <w:rPr>
          <w:lang w:val="fr-FR"/>
        </w:rPr>
        <w:t>1</w:t>
      </w:r>
      <w:r w:rsidR="00B97B20">
        <w:rPr>
          <w:lang w:val="fr-FR"/>
        </w:rPr>
        <w:t>4</w:t>
      </w:r>
    </w:p>
    <w:p w14:paraId="6D1786B2" w14:textId="697D7472"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E</w:t>
      </w:r>
      <w:r w:rsidR="009C65BB" w:rsidRPr="004D0A2C">
        <w:rPr>
          <w:lang w:val="fr-FR"/>
        </w:rPr>
        <w:t>.</w:t>
      </w:r>
      <w:r w:rsidRPr="004D0A2C">
        <w:rPr>
          <w:lang w:val="fr-FR"/>
        </w:rPr>
        <w:tab/>
      </w:r>
      <w:r w:rsidR="006F0372" w:rsidRPr="004D0A2C">
        <w:rPr>
          <w:lang w:val="fr-FR"/>
        </w:rPr>
        <w:t>Batteries au sodium ionique</w:t>
      </w:r>
      <w:r w:rsidRPr="004D0A2C">
        <w:rPr>
          <w:lang w:val="fr-FR"/>
        </w:rPr>
        <w:tab/>
      </w:r>
      <w:r w:rsidRPr="004D0A2C">
        <w:rPr>
          <w:lang w:val="fr-FR"/>
        </w:rPr>
        <w:tab/>
      </w:r>
      <w:r w:rsidR="00F31A32">
        <w:rPr>
          <w:lang w:val="fr-FR"/>
        </w:rPr>
        <w:t>62-65</w:t>
      </w:r>
      <w:r w:rsidRPr="004D0A2C">
        <w:rPr>
          <w:lang w:val="fr-FR"/>
        </w:rPr>
        <w:tab/>
      </w:r>
      <w:r w:rsidR="006F0372">
        <w:rPr>
          <w:lang w:val="fr-FR"/>
        </w:rPr>
        <w:t>1</w:t>
      </w:r>
      <w:r w:rsidR="00B97B20">
        <w:rPr>
          <w:lang w:val="fr-FR"/>
        </w:rPr>
        <w:t>4</w:t>
      </w:r>
    </w:p>
    <w:p w14:paraId="3A974BE2" w14:textId="69CD1A25"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F</w:t>
      </w:r>
      <w:r w:rsidR="009C65BB" w:rsidRPr="004D0A2C">
        <w:rPr>
          <w:lang w:val="fr-FR"/>
        </w:rPr>
        <w:t>.</w:t>
      </w:r>
      <w:r w:rsidRPr="004D0A2C">
        <w:rPr>
          <w:lang w:val="fr-FR"/>
        </w:rPr>
        <w:tab/>
      </w:r>
      <w:r w:rsidR="006F0372" w:rsidRPr="004D0A2C">
        <w:rPr>
          <w:lang w:val="fr-FR"/>
        </w:rPr>
        <w:t>Autres questions</w:t>
      </w:r>
      <w:r w:rsidRPr="004D0A2C">
        <w:rPr>
          <w:lang w:val="fr-FR"/>
        </w:rPr>
        <w:tab/>
      </w:r>
      <w:r w:rsidRPr="004D0A2C">
        <w:rPr>
          <w:lang w:val="fr-FR"/>
        </w:rPr>
        <w:tab/>
      </w:r>
      <w:r w:rsidR="00F31A32">
        <w:rPr>
          <w:lang w:val="fr-FR"/>
        </w:rPr>
        <w:t>66</w:t>
      </w:r>
      <w:r w:rsidRPr="004D0A2C">
        <w:rPr>
          <w:lang w:val="fr-FR"/>
        </w:rPr>
        <w:tab/>
      </w:r>
      <w:r w:rsidR="006F0372">
        <w:rPr>
          <w:lang w:val="fr-FR"/>
        </w:rPr>
        <w:t>1</w:t>
      </w:r>
      <w:r w:rsidR="00B97B20">
        <w:rPr>
          <w:lang w:val="fr-FR"/>
        </w:rPr>
        <w:t>5</w:t>
      </w:r>
    </w:p>
    <w:p w14:paraId="1B4E9548" w14:textId="15F61229"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VII</w:t>
      </w:r>
      <w:r w:rsidR="009C65BB" w:rsidRPr="004D0A2C">
        <w:rPr>
          <w:lang w:val="fr-FR"/>
        </w:rPr>
        <w:t>.</w:t>
      </w:r>
      <w:r w:rsidRPr="004D0A2C">
        <w:rPr>
          <w:lang w:val="fr-FR"/>
        </w:rPr>
        <w:tab/>
      </w:r>
      <w:r w:rsidR="000651E9" w:rsidRPr="004D0A2C">
        <w:rPr>
          <w:lang w:val="fr-FR"/>
        </w:rPr>
        <w:t>Transport de gaz (point 5 de l’ordre du jour)</w:t>
      </w:r>
      <w:r w:rsidRPr="004D0A2C">
        <w:rPr>
          <w:lang w:val="fr-FR"/>
        </w:rPr>
        <w:tab/>
      </w:r>
      <w:r w:rsidRPr="004D0A2C">
        <w:rPr>
          <w:lang w:val="fr-FR"/>
        </w:rPr>
        <w:tab/>
      </w:r>
      <w:r w:rsidR="00F31A32">
        <w:rPr>
          <w:lang w:val="fr-FR"/>
        </w:rPr>
        <w:t>67-71</w:t>
      </w:r>
      <w:r w:rsidRPr="004D0A2C">
        <w:rPr>
          <w:lang w:val="fr-FR"/>
        </w:rPr>
        <w:tab/>
      </w:r>
      <w:r w:rsidR="000651E9">
        <w:rPr>
          <w:lang w:val="fr-FR"/>
        </w:rPr>
        <w:t>1</w:t>
      </w:r>
      <w:r w:rsidR="00B97B20">
        <w:rPr>
          <w:lang w:val="fr-FR"/>
        </w:rPr>
        <w:t>5</w:t>
      </w:r>
    </w:p>
    <w:p w14:paraId="30C86699" w14:textId="1436EB8D"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0651E9" w:rsidRPr="004D0A2C">
        <w:rPr>
          <w:lang w:val="fr-FR"/>
        </w:rPr>
        <w:t>Reconnaissance universelle des récipients à pression ONU et non ONU</w:t>
      </w:r>
      <w:r w:rsidRPr="004D0A2C">
        <w:rPr>
          <w:lang w:val="fr-FR"/>
        </w:rPr>
        <w:tab/>
      </w:r>
      <w:r w:rsidRPr="004D0A2C">
        <w:rPr>
          <w:lang w:val="fr-FR"/>
        </w:rPr>
        <w:tab/>
      </w:r>
      <w:r w:rsidR="00F31A32">
        <w:rPr>
          <w:lang w:val="fr-FR"/>
        </w:rPr>
        <w:t>67</w:t>
      </w:r>
      <w:r w:rsidRPr="004D0A2C">
        <w:rPr>
          <w:lang w:val="fr-FR"/>
        </w:rPr>
        <w:tab/>
      </w:r>
      <w:r w:rsidR="000651E9">
        <w:rPr>
          <w:lang w:val="fr-FR"/>
        </w:rPr>
        <w:t>1</w:t>
      </w:r>
      <w:r w:rsidR="00B97B20">
        <w:rPr>
          <w:lang w:val="fr-FR"/>
        </w:rPr>
        <w:t>5</w:t>
      </w:r>
    </w:p>
    <w:p w14:paraId="1314BFEB" w14:textId="3A453A2F"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0651E9" w:rsidRPr="004D0A2C">
        <w:rPr>
          <w:lang w:val="fr-FR"/>
        </w:rPr>
        <w:t>Gaz de la division 2.2 transportés en quantités limitées</w:t>
      </w:r>
      <w:r w:rsidRPr="004D0A2C">
        <w:rPr>
          <w:lang w:val="fr-FR"/>
        </w:rPr>
        <w:tab/>
      </w:r>
      <w:r w:rsidRPr="004D0A2C">
        <w:rPr>
          <w:lang w:val="fr-FR"/>
        </w:rPr>
        <w:tab/>
      </w:r>
      <w:r w:rsidR="00F31A32">
        <w:rPr>
          <w:lang w:val="fr-FR"/>
        </w:rPr>
        <w:t>68</w:t>
      </w:r>
      <w:r w:rsidRPr="004D0A2C">
        <w:rPr>
          <w:lang w:val="fr-FR"/>
        </w:rPr>
        <w:tab/>
      </w:r>
      <w:r w:rsidR="000651E9">
        <w:rPr>
          <w:lang w:val="fr-FR"/>
        </w:rPr>
        <w:t>1</w:t>
      </w:r>
      <w:r w:rsidR="00B97B20">
        <w:rPr>
          <w:lang w:val="fr-FR"/>
        </w:rPr>
        <w:t>5</w:t>
      </w:r>
    </w:p>
    <w:p w14:paraId="1E136706" w14:textId="078AFF64"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0651E9" w:rsidRPr="004D0A2C">
        <w:rPr>
          <w:lang w:val="fr-FR"/>
        </w:rPr>
        <w:t>Autres questions</w:t>
      </w:r>
      <w:r w:rsidRPr="004D0A2C">
        <w:rPr>
          <w:lang w:val="fr-FR"/>
        </w:rPr>
        <w:tab/>
      </w:r>
      <w:r w:rsidRPr="004D0A2C">
        <w:rPr>
          <w:lang w:val="fr-FR"/>
        </w:rPr>
        <w:tab/>
      </w:r>
      <w:r w:rsidR="00F31A32">
        <w:rPr>
          <w:lang w:val="fr-FR"/>
        </w:rPr>
        <w:t>69-71</w:t>
      </w:r>
      <w:r w:rsidRPr="004D0A2C">
        <w:rPr>
          <w:lang w:val="fr-FR"/>
        </w:rPr>
        <w:tab/>
      </w:r>
      <w:r w:rsidR="000651E9">
        <w:rPr>
          <w:lang w:val="fr-FR"/>
        </w:rPr>
        <w:t>1</w:t>
      </w:r>
      <w:r w:rsidR="00B97B20">
        <w:rPr>
          <w:lang w:val="fr-FR"/>
        </w:rPr>
        <w:t>5</w:t>
      </w:r>
    </w:p>
    <w:p w14:paraId="39BD25B9" w14:textId="5B1B0032"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0651E9" w:rsidRPr="004D0A2C">
        <w:rPr>
          <w:lang w:val="fr-FR"/>
        </w:rPr>
        <w:t xml:space="preserve">Rapport du groupe de travail intersessions de la limite du produit pV </w:t>
      </w:r>
      <w:r w:rsidR="000651E9" w:rsidRPr="004D0A2C">
        <w:rPr>
          <w:lang w:val="fr-FR"/>
        </w:rPr>
        <w:br/>
        <w:t>pour les récipients à pression</w:t>
      </w:r>
      <w:r w:rsidRPr="004D0A2C">
        <w:rPr>
          <w:lang w:val="fr-FR"/>
        </w:rPr>
        <w:tab/>
      </w:r>
      <w:r w:rsidRPr="004D0A2C">
        <w:rPr>
          <w:lang w:val="fr-FR"/>
        </w:rPr>
        <w:tab/>
      </w:r>
      <w:r w:rsidR="00F31A32">
        <w:rPr>
          <w:lang w:val="fr-FR"/>
        </w:rPr>
        <w:t>69-70</w:t>
      </w:r>
      <w:r w:rsidRPr="004D0A2C">
        <w:rPr>
          <w:lang w:val="fr-FR"/>
        </w:rPr>
        <w:tab/>
      </w:r>
      <w:r w:rsidR="000651E9">
        <w:rPr>
          <w:lang w:val="fr-FR"/>
        </w:rPr>
        <w:t>1</w:t>
      </w:r>
      <w:r w:rsidR="00B97B20">
        <w:rPr>
          <w:lang w:val="fr-FR"/>
        </w:rPr>
        <w:t>5</w:t>
      </w:r>
    </w:p>
    <w:p w14:paraId="285CF98F" w14:textId="71D5C071"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0651E9" w:rsidRPr="004D0A2C">
        <w:rPr>
          <w:lang w:val="fr-FR"/>
        </w:rPr>
        <w:t>Normes ISO mises à jour</w:t>
      </w:r>
      <w:r w:rsidRPr="004D0A2C">
        <w:rPr>
          <w:lang w:val="fr-FR"/>
        </w:rPr>
        <w:tab/>
      </w:r>
      <w:r w:rsidRPr="004D0A2C">
        <w:rPr>
          <w:lang w:val="fr-FR"/>
        </w:rPr>
        <w:tab/>
      </w:r>
      <w:r w:rsidR="00F31A32">
        <w:rPr>
          <w:lang w:val="fr-FR"/>
        </w:rPr>
        <w:t>71</w:t>
      </w:r>
      <w:r w:rsidRPr="004D0A2C">
        <w:rPr>
          <w:lang w:val="fr-FR"/>
        </w:rPr>
        <w:tab/>
      </w:r>
      <w:r w:rsidR="000651E9">
        <w:rPr>
          <w:lang w:val="fr-FR"/>
        </w:rPr>
        <w:t>1</w:t>
      </w:r>
      <w:r w:rsidR="00B97B20">
        <w:rPr>
          <w:lang w:val="fr-FR"/>
        </w:rPr>
        <w:t>5</w:t>
      </w:r>
    </w:p>
    <w:p w14:paraId="1F4C56F9" w14:textId="52E50650"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VIII</w:t>
      </w:r>
      <w:r w:rsidR="009C65BB" w:rsidRPr="004D0A2C">
        <w:rPr>
          <w:lang w:val="fr-FR"/>
        </w:rPr>
        <w:t>.</w:t>
      </w:r>
      <w:r w:rsidRPr="004D0A2C">
        <w:rPr>
          <w:lang w:val="fr-FR"/>
        </w:rPr>
        <w:tab/>
      </w:r>
      <w:r w:rsidR="000651E9" w:rsidRPr="004D0A2C">
        <w:rPr>
          <w:lang w:val="fr-FR"/>
        </w:rPr>
        <w:t xml:space="preserve">Propositions diverses d’amendements au Règlement type pour le transport </w:t>
      </w:r>
      <w:r w:rsidR="000651E9">
        <w:rPr>
          <w:lang w:val="fr-FR"/>
        </w:rPr>
        <w:br/>
      </w:r>
      <w:r w:rsidR="000651E9" w:rsidRPr="004D0A2C">
        <w:rPr>
          <w:lang w:val="fr-FR"/>
        </w:rPr>
        <w:t>des marchandises dangereuses (point 6 de l’ordre du jour)</w:t>
      </w:r>
      <w:r w:rsidRPr="004D0A2C">
        <w:rPr>
          <w:lang w:val="fr-FR"/>
        </w:rPr>
        <w:tab/>
      </w:r>
      <w:r w:rsidR="000651E9">
        <w:rPr>
          <w:lang w:val="fr-FR"/>
        </w:rPr>
        <w:tab/>
      </w:r>
      <w:r w:rsidR="00F31A32">
        <w:rPr>
          <w:lang w:val="fr-FR"/>
        </w:rPr>
        <w:t>72-91</w:t>
      </w:r>
      <w:r w:rsidRPr="004D0A2C">
        <w:rPr>
          <w:lang w:val="fr-FR"/>
        </w:rPr>
        <w:tab/>
      </w:r>
      <w:r w:rsidR="000651E9">
        <w:rPr>
          <w:lang w:val="fr-FR"/>
        </w:rPr>
        <w:t>1</w:t>
      </w:r>
      <w:r w:rsidR="00B97B20">
        <w:rPr>
          <w:lang w:val="fr-FR"/>
        </w:rPr>
        <w:t>5</w:t>
      </w:r>
    </w:p>
    <w:p w14:paraId="6947C0C7" w14:textId="4869C164"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0651E9" w:rsidRPr="004D0A2C">
        <w:rPr>
          <w:lang w:val="fr-FR"/>
        </w:rPr>
        <w:t>Marquage et étiquetage</w:t>
      </w:r>
      <w:r w:rsidRPr="004D0A2C">
        <w:rPr>
          <w:lang w:val="fr-FR"/>
        </w:rPr>
        <w:tab/>
      </w:r>
      <w:r w:rsidRPr="004D0A2C">
        <w:rPr>
          <w:lang w:val="fr-FR"/>
        </w:rPr>
        <w:tab/>
      </w:r>
      <w:r w:rsidR="00F31A32">
        <w:rPr>
          <w:lang w:val="fr-FR"/>
        </w:rPr>
        <w:t>72</w:t>
      </w:r>
      <w:r w:rsidRPr="004D0A2C">
        <w:rPr>
          <w:lang w:val="fr-FR"/>
        </w:rPr>
        <w:tab/>
      </w:r>
      <w:r w:rsidR="000651E9">
        <w:rPr>
          <w:lang w:val="fr-FR"/>
        </w:rPr>
        <w:t>1</w:t>
      </w:r>
      <w:r w:rsidR="00B97B20">
        <w:rPr>
          <w:lang w:val="fr-FR"/>
        </w:rPr>
        <w:t>5</w:t>
      </w:r>
    </w:p>
    <w:p w14:paraId="00BB914D" w14:textId="04681F90"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0651E9" w:rsidRPr="004D0A2C">
        <w:rPr>
          <w:lang w:val="fr-FR"/>
        </w:rPr>
        <w:t>Emballages, y compris l’utilisation des matières plastiques recyclées</w:t>
      </w:r>
      <w:r w:rsidRPr="004D0A2C">
        <w:rPr>
          <w:lang w:val="fr-FR"/>
        </w:rPr>
        <w:tab/>
      </w:r>
      <w:r w:rsidRPr="004D0A2C">
        <w:rPr>
          <w:lang w:val="fr-FR"/>
        </w:rPr>
        <w:tab/>
      </w:r>
      <w:r w:rsidR="00F31A32">
        <w:rPr>
          <w:lang w:val="fr-FR"/>
        </w:rPr>
        <w:t>73-75</w:t>
      </w:r>
      <w:r w:rsidRPr="004D0A2C">
        <w:rPr>
          <w:lang w:val="fr-FR"/>
        </w:rPr>
        <w:tab/>
      </w:r>
      <w:r w:rsidR="000651E9">
        <w:rPr>
          <w:lang w:val="fr-FR"/>
        </w:rPr>
        <w:t>1</w:t>
      </w:r>
      <w:r w:rsidR="00B97B20">
        <w:rPr>
          <w:lang w:val="fr-FR"/>
        </w:rPr>
        <w:t>6</w:t>
      </w:r>
    </w:p>
    <w:p w14:paraId="479CB757" w14:textId="03369446"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0651E9" w:rsidRPr="004D0A2C">
        <w:rPr>
          <w:lang w:val="fr-FR"/>
        </w:rPr>
        <w:t xml:space="preserve">Utilisation de matières plastiques recyclées pour les grands </w:t>
      </w:r>
      <w:r w:rsidR="000651E9">
        <w:rPr>
          <w:lang w:val="fr-FR"/>
        </w:rPr>
        <w:br/>
      </w:r>
      <w:r w:rsidR="000651E9" w:rsidRPr="004D0A2C">
        <w:rPr>
          <w:lang w:val="fr-FR"/>
        </w:rPr>
        <w:t>récipients pour vrac souples</w:t>
      </w:r>
      <w:r w:rsidRPr="004D0A2C">
        <w:rPr>
          <w:lang w:val="fr-FR"/>
        </w:rPr>
        <w:tab/>
      </w:r>
      <w:r w:rsidRPr="004D0A2C">
        <w:rPr>
          <w:lang w:val="fr-FR"/>
        </w:rPr>
        <w:tab/>
      </w:r>
      <w:r w:rsidR="00AC65A0">
        <w:rPr>
          <w:lang w:val="fr-FR"/>
        </w:rPr>
        <w:t>73-74</w:t>
      </w:r>
      <w:r w:rsidRPr="004D0A2C">
        <w:rPr>
          <w:lang w:val="fr-FR"/>
        </w:rPr>
        <w:tab/>
      </w:r>
      <w:r w:rsidR="000651E9">
        <w:rPr>
          <w:lang w:val="fr-FR"/>
        </w:rPr>
        <w:t>1</w:t>
      </w:r>
      <w:r w:rsidR="00B97B20">
        <w:rPr>
          <w:lang w:val="fr-FR"/>
        </w:rPr>
        <w:t>6</w:t>
      </w:r>
    </w:p>
    <w:p w14:paraId="6232584C" w14:textId="20EE590D"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0651E9" w:rsidRPr="004D0A2C">
        <w:rPr>
          <w:lang w:val="fr-FR"/>
        </w:rPr>
        <w:t>Révision de la norme ISO 535:2014</w:t>
      </w:r>
      <w:r w:rsidRPr="004D0A2C">
        <w:rPr>
          <w:lang w:val="fr-FR"/>
        </w:rPr>
        <w:tab/>
      </w:r>
      <w:r w:rsidRPr="004D0A2C">
        <w:rPr>
          <w:lang w:val="fr-FR"/>
        </w:rPr>
        <w:tab/>
      </w:r>
      <w:r w:rsidR="00AC65A0">
        <w:rPr>
          <w:lang w:val="fr-FR"/>
        </w:rPr>
        <w:t>75</w:t>
      </w:r>
      <w:r w:rsidRPr="004D0A2C">
        <w:rPr>
          <w:lang w:val="fr-FR"/>
        </w:rPr>
        <w:tab/>
      </w:r>
      <w:r w:rsidR="000651E9">
        <w:rPr>
          <w:lang w:val="fr-FR"/>
        </w:rPr>
        <w:t>1</w:t>
      </w:r>
      <w:r w:rsidR="00B97B20">
        <w:rPr>
          <w:lang w:val="fr-FR"/>
        </w:rPr>
        <w:t>6</w:t>
      </w:r>
    </w:p>
    <w:p w14:paraId="3CA49DFD" w14:textId="5AB1EDD9"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0651E9" w:rsidRPr="004D0A2C">
        <w:rPr>
          <w:lang w:val="fr-FR"/>
        </w:rPr>
        <w:t>Citernes mobiles</w:t>
      </w:r>
      <w:r w:rsidRPr="004D0A2C">
        <w:rPr>
          <w:lang w:val="fr-FR"/>
        </w:rPr>
        <w:tab/>
      </w:r>
      <w:r w:rsidRPr="004D0A2C">
        <w:rPr>
          <w:lang w:val="fr-FR"/>
        </w:rPr>
        <w:tab/>
      </w:r>
      <w:r w:rsidR="00AC65A0">
        <w:rPr>
          <w:lang w:val="fr-FR"/>
        </w:rPr>
        <w:t>76-82</w:t>
      </w:r>
      <w:r w:rsidRPr="004D0A2C">
        <w:rPr>
          <w:lang w:val="fr-FR"/>
        </w:rPr>
        <w:tab/>
      </w:r>
      <w:r w:rsidR="000651E9">
        <w:rPr>
          <w:lang w:val="fr-FR"/>
        </w:rPr>
        <w:t>1</w:t>
      </w:r>
      <w:r w:rsidR="00B97B20">
        <w:rPr>
          <w:lang w:val="fr-FR"/>
        </w:rPr>
        <w:t>6</w:t>
      </w:r>
    </w:p>
    <w:p w14:paraId="124DC183" w14:textId="1B58D220"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0651E9" w:rsidRPr="004D0A2C">
        <w:rPr>
          <w:lang w:val="fr-FR"/>
        </w:rPr>
        <w:t xml:space="preserve">Modification de la définition des termes « citerne en PRF » </w:t>
      </w:r>
      <w:r w:rsidR="000651E9">
        <w:rPr>
          <w:lang w:val="fr-FR"/>
        </w:rPr>
        <w:br/>
      </w:r>
      <w:r w:rsidR="000651E9" w:rsidRPr="004D0A2C">
        <w:rPr>
          <w:lang w:val="fr-FR"/>
        </w:rPr>
        <w:t>et « réservoir en PRF » au 6.9.2.1 du Règlement type</w:t>
      </w:r>
      <w:r w:rsidRPr="004D0A2C">
        <w:rPr>
          <w:lang w:val="fr-FR"/>
        </w:rPr>
        <w:tab/>
      </w:r>
      <w:r w:rsidRPr="004D0A2C">
        <w:rPr>
          <w:lang w:val="fr-FR"/>
        </w:rPr>
        <w:tab/>
      </w:r>
      <w:r w:rsidR="00AC65A0">
        <w:rPr>
          <w:lang w:val="fr-FR"/>
        </w:rPr>
        <w:t>76</w:t>
      </w:r>
      <w:r w:rsidRPr="004D0A2C">
        <w:rPr>
          <w:lang w:val="fr-FR"/>
        </w:rPr>
        <w:tab/>
      </w:r>
      <w:r w:rsidR="000651E9">
        <w:rPr>
          <w:lang w:val="fr-FR"/>
        </w:rPr>
        <w:t>1</w:t>
      </w:r>
      <w:r w:rsidR="00B97B20">
        <w:rPr>
          <w:lang w:val="fr-FR"/>
        </w:rPr>
        <w:t>6</w:t>
      </w:r>
    </w:p>
    <w:p w14:paraId="4C0586D2" w14:textId="43D03353"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0651E9" w:rsidRPr="004D0A2C">
        <w:rPr>
          <w:lang w:val="fr-FR"/>
        </w:rPr>
        <w:t xml:space="preserve">Rapport du groupe de travail informel des équipements de service </w:t>
      </w:r>
      <w:r w:rsidR="000651E9">
        <w:rPr>
          <w:lang w:val="fr-FR"/>
        </w:rPr>
        <w:br/>
      </w:r>
      <w:r w:rsidR="000651E9" w:rsidRPr="004D0A2C">
        <w:rPr>
          <w:lang w:val="fr-FR"/>
        </w:rPr>
        <w:t>en plastique renforcé de fibres pour citernes mobiles</w:t>
      </w:r>
      <w:r w:rsidRPr="004D0A2C">
        <w:rPr>
          <w:lang w:val="fr-FR"/>
        </w:rPr>
        <w:tab/>
      </w:r>
      <w:r w:rsidRPr="004D0A2C">
        <w:rPr>
          <w:lang w:val="fr-FR"/>
        </w:rPr>
        <w:tab/>
      </w:r>
      <w:r w:rsidR="00AC65A0">
        <w:rPr>
          <w:lang w:val="fr-FR"/>
        </w:rPr>
        <w:t>77-80</w:t>
      </w:r>
      <w:r w:rsidRPr="004D0A2C">
        <w:rPr>
          <w:lang w:val="fr-FR"/>
        </w:rPr>
        <w:tab/>
      </w:r>
      <w:r w:rsidR="000651E9">
        <w:rPr>
          <w:lang w:val="fr-FR"/>
        </w:rPr>
        <w:t>1</w:t>
      </w:r>
      <w:r w:rsidR="00B97B20">
        <w:rPr>
          <w:lang w:val="fr-FR"/>
        </w:rPr>
        <w:t>6</w:t>
      </w:r>
    </w:p>
    <w:p w14:paraId="2AA71552" w14:textId="3385C6E6"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3</w:t>
      </w:r>
      <w:r w:rsidR="009C65BB" w:rsidRPr="004D0A2C">
        <w:rPr>
          <w:lang w:val="fr-FR"/>
        </w:rPr>
        <w:t>.</w:t>
      </w:r>
      <w:r w:rsidRPr="004D0A2C">
        <w:rPr>
          <w:lang w:val="fr-FR"/>
        </w:rPr>
        <w:tab/>
      </w:r>
      <w:r w:rsidR="000651E9" w:rsidRPr="004D0A2C">
        <w:rPr>
          <w:lang w:val="fr-FR"/>
        </w:rPr>
        <w:t>Transport du n</w:t>
      </w:r>
      <w:r w:rsidR="000651E9" w:rsidRPr="004D0A2C">
        <w:rPr>
          <w:vertAlign w:val="superscript"/>
          <w:lang w:val="fr-FR"/>
        </w:rPr>
        <w:t>o </w:t>
      </w:r>
      <w:r w:rsidR="000651E9" w:rsidRPr="004D0A2C">
        <w:rPr>
          <w:lang w:val="fr-FR"/>
        </w:rPr>
        <w:t xml:space="preserve">ONU 1789 en grands récipients pour vrac (IBC02) </w:t>
      </w:r>
      <w:r w:rsidR="000651E9">
        <w:rPr>
          <w:lang w:val="fr-FR"/>
        </w:rPr>
        <w:br/>
      </w:r>
      <w:r w:rsidR="000651E9" w:rsidRPr="004D0A2C">
        <w:rPr>
          <w:lang w:val="fr-FR"/>
        </w:rPr>
        <w:t>et en citernes mobiles (T8)</w:t>
      </w:r>
      <w:r w:rsidRPr="004D0A2C">
        <w:rPr>
          <w:lang w:val="fr-FR"/>
        </w:rPr>
        <w:tab/>
      </w:r>
      <w:r w:rsidRPr="004D0A2C">
        <w:rPr>
          <w:lang w:val="fr-FR"/>
        </w:rPr>
        <w:tab/>
      </w:r>
      <w:r w:rsidR="00AC65A0">
        <w:rPr>
          <w:lang w:val="fr-FR"/>
        </w:rPr>
        <w:t>81-82</w:t>
      </w:r>
      <w:r w:rsidRPr="004D0A2C">
        <w:rPr>
          <w:lang w:val="fr-FR"/>
        </w:rPr>
        <w:tab/>
      </w:r>
      <w:r w:rsidR="000651E9">
        <w:rPr>
          <w:lang w:val="fr-FR"/>
        </w:rPr>
        <w:t>1</w:t>
      </w:r>
      <w:r w:rsidR="00B97B20">
        <w:rPr>
          <w:lang w:val="fr-FR"/>
        </w:rPr>
        <w:t>7</w:t>
      </w:r>
    </w:p>
    <w:p w14:paraId="61D2447B" w14:textId="6F07FFB6"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D</w:t>
      </w:r>
      <w:r w:rsidR="009C65BB" w:rsidRPr="004D0A2C">
        <w:rPr>
          <w:lang w:val="fr-FR"/>
        </w:rPr>
        <w:t>.</w:t>
      </w:r>
      <w:r w:rsidRPr="004D0A2C">
        <w:rPr>
          <w:lang w:val="fr-FR"/>
        </w:rPr>
        <w:tab/>
      </w:r>
      <w:r w:rsidR="000651E9" w:rsidRPr="004D0A2C">
        <w:rPr>
          <w:lang w:val="fr-FR"/>
        </w:rPr>
        <w:t>Autres propositions diverses</w:t>
      </w:r>
      <w:r w:rsidRPr="004D0A2C">
        <w:rPr>
          <w:lang w:val="fr-FR"/>
        </w:rPr>
        <w:tab/>
      </w:r>
      <w:r w:rsidRPr="004D0A2C">
        <w:rPr>
          <w:lang w:val="fr-FR"/>
        </w:rPr>
        <w:tab/>
      </w:r>
      <w:r w:rsidR="00AC65A0">
        <w:rPr>
          <w:lang w:val="fr-FR"/>
        </w:rPr>
        <w:t>83-91</w:t>
      </w:r>
      <w:r w:rsidRPr="004D0A2C">
        <w:rPr>
          <w:lang w:val="fr-FR"/>
        </w:rPr>
        <w:tab/>
      </w:r>
      <w:r w:rsidR="000651E9">
        <w:rPr>
          <w:lang w:val="fr-FR"/>
        </w:rPr>
        <w:t>1</w:t>
      </w:r>
      <w:r w:rsidR="00B97B20">
        <w:rPr>
          <w:lang w:val="fr-FR"/>
        </w:rPr>
        <w:t>7</w:t>
      </w:r>
    </w:p>
    <w:p w14:paraId="1DD7AEC3" w14:textId="45CEA162"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0651E9" w:rsidRPr="004D0A2C">
        <w:rPr>
          <w:lang w:val="fr-FR"/>
        </w:rPr>
        <w:t>Amendements à la version espagnole</w:t>
      </w:r>
      <w:r w:rsidRPr="004D0A2C">
        <w:rPr>
          <w:lang w:val="fr-FR"/>
        </w:rPr>
        <w:tab/>
      </w:r>
      <w:r w:rsidRPr="004D0A2C">
        <w:rPr>
          <w:lang w:val="fr-FR"/>
        </w:rPr>
        <w:tab/>
      </w:r>
      <w:r w:rsidR="00AC65A0">
        <w:rPr>
          <w:lang w:val="fr-FR"/>
        </w:rPr>
        <w:t>83</w:t>
      </w:r>
      <w:r w:rsidRPr="004D0A2C">
        <w:rPr>
          <w:lang w:val="fr-FR"/>
        </w:rPr>
        <w:tab/>
      </w:r>
      <w:r w:rsidR="000651E9">
        <w:rPr>
          <w:lang w:val="fr-FR"/>
        </w:rPr>
        <w:t>1</w:t>
      </w:r>
      <w:r w:rsidR="00B97B20">
        <w:rPr>
          <w:lang w:val="fr-FR"/>
        </w:rPr>
        <w:t>7</w:t>
      </w:r>
    </w:p>
    <w:p w14:paraId="765840E2" w14:textId="082BB098"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0651E9" w:rsidRPr="004D0A2C">
        <w:rPr>
          <w:lang w:val="fr-FR"/>
        </w:rPr>
        <w:t xml:space="preserve">Proposition relative à la charge de gerbage maximale autorisée pour </w:t>
      </w:r>
      <w:r w:rsidR="000651E9">
        <w:rPr>
          <w:lang w:val="fr-FR"/>
        </w:rPr>
        <w:br/>
      </w:r>
      <w:r w:rsidR="000651E9" w:rsidRPr="004D0A2C">
        <w:rPr>
          <w:lang w:val="fr-FR"/>
        </w:rPr>
        <w:t>un suremballage contenant de grands récipients pour vrac</w:t>
      </w:r>
      <w:r w:rsidRPr="004D0A2C">
        <w:rPr>
          <w:lang w:val="fr-FR"/>
        </w:rPr>
        <w:tab/>
      </w:r>
      <w:r w:rsidRPr="004D0A2C">
        <w:rPr>
          <w:lang w:val="fr-FR"/>
        </w:rPr>
        <w:tab/>
      </w:r>
      <w:r w:rsidR="00AC65A0">
        <w:rPr>
          <w:lang w:val="fr-FR"/>
        </w:rPr>
        <w:t>84-85</w:t>
      </w:r>
      <w:r w:rsidRPr="004D0A2C">
        <w:rPr>
          <w:lang w:val="fr-FR"/>
        </w:rPr>
        <w:tab/>
      </w:r>
      <w:r w:rsidR="000651E9">
        <w:rPr>
          <w:lang w:val="fr-FR"/>
        </w:rPr>
        <w:t>1</w:t>
      </w:r>
      <w:r w:rsidR="00B97B20">
        <w:rPr>
          <w:lang w:val="fr-FR"/>
        </w:rPr>
        <w:t>7</w:t>
      </w:r>
    </w:p>
    <w:p w14:paraId="32BE1A55" w14:textId="3627A30D"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3</w:t>
      </w:r>
      <w:r w:rsidR="009C65BB" w:rsidRPr="004D0A2C">
        <w:rPr>
          <w:lang w:val="fr-FR"/>
        </w:rPr>
        <w:t>.</w:t>
      </w:r>
      <w:r w:rsidRPr="004D0A2C">
        <w:rPr>
          <w:lang w:val="fr-FR"/>
        </w:rPr>
        <w:tab/>
      </w:r>
      <w:r w:rsidR="000651E9" w:rsidRPr="004D0A2C">
        <w:rPr>
          <w:lang w:val="fr-FR"/>
        </w:rPr>
        <w:t>Unités de mesure</w:t>
      </w:r>
      <w:r w:rsidRPr="004D0A2C">
        <w:rPr>
          <w:lang w:val="fr-FR"/>
        </w:rPr>
        <w:tab/>
      </w:r>
      <w:r w:rsidRPr="004D0A2C">
        <w:rPr>
          <w:lang w:val="fr-FR"/>
        </w:rPr>
        <w:tab/>
      </w:r>
      <w:r w:rsidR="00AC65A0">
        <w:rPr>
          <w:lang w:val="fr-FR"/>
        </w:rPr>
        <w:t>86-89</w:t>
      </w:r>
      <w:r w:rsidRPr="004D0A2C">
        <w:rPr>
          <w:lang w:val="fr-FR"/>
        </w:rPr>
        <w:tab/>
      </w:r>
      <w:r w:rsidR="000651E9">
        <w:rPr>
          <w:lang w:val="fr-FR"/>
        </w:rPr>
        <w:t>1</w:t>
      </w:r>
      <w:r w:rsidR="00B97B20">
        <w:rPr>
          <w:lang w:val="fr-FR"/>
        </w:rPr>
        <w:t>7</w:t>
      </w:r>
    </w:p>
    <w:p w14:paraId="6D05D0AF" w14:textId="08A7CCD3"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4</w:t>
      </w:r>
      <w:r w:rsidR="009C65BB" w:rsidRPr="004D0A2C">
        <w:rPr>
          <w:lang w:val="fr-FR"/>
        </w:rPr>
        <w:t>.</w:t>
      </w:r>
      <w:r w:rsidRPr="004D0A2C">
        <w:rPr>
          <w:lang w:val="fr-FR"/>
        </w:rPr>
        <w:tab/>
      </w:r>
      <w:r w:rsidR="000651E9" w:rsidRPr="004D0A2C">
        <w:rPr>
          <w:lang w:val="fr-FR"/>
        </w:rPr>
        <w:t>Masse et poids</w:t>
      </w:r>
      <w:r w:rsidRPr="004D0A2C">
        <w:rPr>
          <w:lang w:val="fr-FR"/>
        </w:rPr>
        <w:tab/>
      </w:r>
      <w:r w:rsidRPr="004D0A2C">
        <w:rPr>
          <w:lang w:val="fr-FR"/>
        </w:rPr>
        <w:tab/>
      </w:r>
      <w:r w:rsidR="00AC65A0">
        <w:rPr>
          <w:lang w:val="fr-FR"/>
        </w:rPr>
        <w:t>90-91</w:t>
      </w:r>
      <w:r w:rsidRPr="004D0A2C">
        <w:rPr>
          <w:lang w:val="fr-FR"/>
        </w:rPr>
        <w:tab/>
      </w:r>
      <w:r w:rsidR="000651E9">
        <w:rPr>
          <w:lang w:val="fr-FR"/>
        </w:rPr>
        <w:t>1</w:t>
      </w:r>
      <w:r w:rsidR="00B97B20">
        <w:rPr>
          <w:lang w:val="fr-FR"/>
        </w:rPr>
        <w:t>8</w:t>
      </w:r>
    </w:p>
    <w:p w14:paraId="440F5A22" w14:textId="6D2BF6C2"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IX</w:t>
      </w:r>
      <w:r w:rsidR="009C65BB" w:rsidRPr="004D0A2C">
        <w:rPr>
          <w:lang w:val="fr-FR"/>
        </w:rPr>
        <w:t>.</w:t>
      </w:r>
      <w:r w:rsidRPr="004D0A2C">
        <w:rPr>
          <w:lang w:val="fr-FR"/>
        </w:rPr>
        <w:tab/>
      </w:r>
      <w:r w:rsidR="000651E9" w:rsidRPr="004D0A2C">
        <w:rPr>
          <w:lang w:val="fr-FR"/>
        </w:rPr>
        <w:t xml:space="preserve">Harmonisation générale des Règlements relatifs au transport des marchandises </w:t>
      </w:r>
      <w:r w:rsidR="000651E9">
        <w:rPr>
          <w:lang w:val="fr-FR"/>
        </w:rPr>
        <w:br/>
      </w:r>
      <w:r w:rsidR="000651E9" w:rsidRPr="004D0A2C">
        <w:rPr>
          <w:lang w:val="fr-FR"/>
        </w:rPr>
        <w:t>dangereuses avec le Règlement type (point 7 de l’ordre du jour)</w:t>
      </w:r>
      <w:r w:rsidRPr="004D0A2C">
        <w:rPr>
          <w:lang w:val="fr-FR"/>
        </w:rPr>
        <w:tab/>
      </w:r>
      <w:r w:rsidRPr="004D0A2C">
        <w:rPr>
          <w:lang w:val="fr-FR"/>
        </w:rPr>
        <w:tab/>
      </w:r>
      <w:r w:rsidR="00AC65A0">
        <w:rPr>
          <w:lang w:val="fr-FR"/>
        </w:rPr>
        <w:t>92-96</w:t>
      </w:r>
      <w:r w:rsidRPr="004D0A2C">
        <w:rPr>
          <w:lang w:val="fr-FR"/>
        </w:rPr>
        <w:tab/>
      </w:r>
      <w:r w:rsidR="000651E9">
        <w:rPr>
          <w:lang w:val="fr-FR"/>
        </w:rPr>
        <w:t>1</w:t>
      </w:r>
      <w:r w:rsidR="00B97B20">
        <w:rPr>
          <w:lang w:val="fr-FR"/>
        </w:rPr>
        <w:t>8</w:t>
      </w:r>
    </w:p>
    <w:p w14:paraId="27CC2E0D" w14:textId="6966AC9F"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0651E9" w:rsidRPr="004D0A2C">
        <w:rPr>
          <w:lang w:val="fr-FR"/>
        </w:rPr>
        <w:t xml:space="preserve">Projet d’amendements de l’Organisation maritime internationale </w:t>
      </w:r>
      <w:r w:rsidR="000651E9">
        <w:rPr>
          <w:lang w:val="fr-FR"/>
        </w:rPr>
        <w:br/>
      </w:r>
      <w:r w:rsidR="000651E9" w:rsidRPr="004D0A2C">
        <w:rPr>
          <w:lang w:val="fr-FR"/>
        </w:rPr>
        <w:t xml:space="preserve">concernant la section 5.5.4 du Code maritime international </w:t>
      </w:r>
      <w:r w:rsidR="000651E9">
        <w:rPr>
          <w:lang w:val="fr-FR"/>
        </w:rPr>
        <w:br/>
      </w:r>
      <w:r w:rsidR="000651E9" w:rsidRPr="004D0A2C">
        <w:rPr>
          <w:lang w:val="fr-FR"/>
        </w:rPr>
        <w:t>des marchandises dangereuses</w:t>
      </w:r>
      <w:r w:rsidRPr="004D0A2C">
        <w:rPr>
          <w:lang w:val="fr-FR"/>
        </w:rPr>
        <w:tab/>
      </w:r>
      <w:r w:rsidRPr="004D0A2C">
        <w:rPr>
          <w:lang w:val="fr-FR"/>
        </w:rPr>
        <w:tab/>
      </w:r>
      <w:r w:rsidR="00AC65A0">
        <w:rPr>
          <w:lang w:val="fr-FR"/>
        </w:rPr>
        <w:t>92-93</w:t>
      </w:r>
      <w:r w:rsidRPr="004D0A2C">
        <w:rPr>
          <w:lang w:val="fr-FR"/>
        </w:rPr>
        <w:tab/>
      </w:r>
      <w:r w:rsidR="000651E9">
        <w:rPr>
          <w:lang w:val="fr-FR"/>
        </w:rPr>
        <w:t>1</w:t>
      </w:r>
      <w:r w:rsidR="00B97B20">
        <w:rPr>
          <w:lang w:val="fr-FR"/>
        </w:rPr>
        <w:t>8</w:t>
      </w:r>
    </w:p>
    <w:p w14:paraId="5F0F6051" w14:textId="4D64579B"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0651E9" w:rsidRPr="004D0A2C">
        <w:rPr>
          <w:lang w:val="fr-FR"/>
        </w:rPr>
        <w:t xml:space="preserve">Amendements au Règlement type proposés par le Groupe de travail spécial </w:t>
      </w:r>
      <w:r w:rsidR="000651E9">
        <w:rPr>
          <w:lang w:val="fr-FR"/>
        </w:rPr>
        <w:br/>
      </w:r>
      <w:r w:rsidR="000651E9" w:rsidRPr="000651E9">
        <w:rPr>
          <w:spacing w:val="-2"/>
          <w:lang w:val="fr-FR"/>
        </w:rPr>
        <w:t xml:space="preserve">de l’harmonisation des Règlements RID/ADR/ADN </w:t>
      </w:r>
      <w:r w:rsidR="000651E9" w:rsidRPr="000651E9">
        <w:rPr>
          <w:rFonts w:ascii="Times New Roman Bold" w:hAnsi="Times New Roman Bold"/>
          <w:spacing w:val="-2"/>
          <w:lang w:val="fr-FR"/>
        </w:rPr>
        <w:t>avec les Recommandations</w:t>
      </w:r>
      <w:r w:rsidR="000651E9">
        <w:rPr>
          <w:rFonts w:ascii="Times New Roman Bold" w:hAnsi="Times New Roman Bold"/>
          <w:spacing w:val="2"/>
          <w:lang w:val="fr-FR"/>
        </w:rPr>
        <w:br/>
      </w:r>
      <w:r w:rsidR="000651E9" w:rsidRPr="004D0A2C">
        <w:rPr>
          <w:rFonts w:ascii="Times New Roman Bold" w:hAnsi="Times New Roman Bold"/>
          <w:spacing w:val="2"/>
          <w:lang w:val="fr-FR"/>
        </w:rPr>
        <w:t>de l’ONU relatives</w:t>
      </w:r>
      <w:r w:rsidR="000651E9" w:rsidRPr="004D0A2C">
        <w:rPr>
          <w:lang w:val="fr-FR"/>
        </w:rPr>
        <w:t xml:space="preserve"> au transport des marchandises dangereuses</w:t>
      </w:r>
      <w:r w:rsidRPr="004D0A2C">
        <w:rPr>
          <w:lang w:val="fr-FR"/>
        </w:rPr>
        <w:tab/>
      </w:r>
      <w:r w:rsidRPr="004D0A2C">
        <w:rPr>
          <w:lang w:val="fr-FR"/>
        </w:rPr>
        <w:tab/>
      </w:r>
      <w:r w:rsidR="00AC65A0">
        <w:rPr>
          <w:lang w:val="fr-FR"/>
        </w:rPr>
        <w:t>94-95</w:t>
      </w:r>
      <w:r w:rsidRPr="004D0A2C">
        <w:rPr>
          <w:lang w:val="fr-FR"/>
        </w:rPr>
        <w:tab/>
      </w:r>
      <w:r w:rsidR="000651E9">
        <w:rPr>
          <w:lang w:val="fr-FR"/>
        </w:rPr>
        <w:t>1</w:t>
      </w:r>
      <w:r w:rsidR="00B97B20">
        <w:rPr>
          <w:lang w:val="fr-FR"/>
        </w:rPr>
        <w:t>8</w:t>
      </w:r>
    </w:p>
    <w:p w14:paraId="6BEEFB15" w14:textId="09E18EFE"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lastRenderedPageBreak/>
        <w:t>C</w:t>
      </w:r>
      <w:r w:rsidR="009C65BB" w:rsidRPr="004D0A2C">
        <w:rPr>
          <w:lang w:val="fr-FR"/>
        </w:rPr>
        <w:t>.</w:t>
      </w:r>
      <w:r w:rsidRPr="004D0A2C">
        <w:rPr>
          <w:lang w:val="fr-FR"/>
        </w:rPr>
        <w:tab/>
      </w:r>
      <w:r w:rsidR="000651E9" w:rsidRPr="004D0A2C">
        <w:rPr>
          <w:lang w:val="fr-FR"/>
        </w:rPr>
        <w:t xml:space="preserve">Résultats des travaux de la trente-huitième session du Groupe de rédaction </w:t>
      </w:r>
      <w:r w:rsidR="000651E9">
        <w:rPr>
          <w:lang w:val="fr-FR"/>
        </w:rPr>
        <w:br/>
      </w:r>
      <w:r w:rsidR="000651E9" w:rsidRPr="004D0A2C">
        <w:rPr>
          <w:lang w:val="fr-FR"/>
        </w:rPr>
        <w:t>et des questions (Code IMDG)</w:t>
      </w:r>
      <w:r w:rsidRPr="004D0A2C">
        <w:rPr>
          <w:lang w:val="fr-FR"/>
        </w:rPr>
        <w:tab/>
      </w:r>
      <w:r w:rsidRPr="004D0A2C">
        <w:rPr>
          <w:lang w:val="fr-FR"/>
        </w:rPr>
        <w:tab/>
      </w:r>
      <w:r w:rsidR="00AC65A0">
        <w:rPr>
          <w:lang w:val="fr-FR"/>
        </w:rPr>
        <w:t>96</w:t>
      </w:r>
      <w:r w:rsidRPr="004D0A2C">
        <w:rPr>
          <w:lang w:val="fr-FR"/>
        </w:rPr>
        <w:tab/>
      </w:r>
      <w:r w:rsidR="00B97B20">
        <w:rPr>
          <w:lang w:val="fr-FR"/>
        </w:rPr>
        <w:t>19</w:t>
      </w:r>
    </w:p>
    <w:p w14:paraId="5046418D" w14:textId="10CF7EC2"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w:t>
      </w:r>
      <w:r w:rsidR="009C65BB" w:rsidRPr="004D0A2C">
        <w:rPr>
          <w:lang w:val="fr-FR"/>
        </w:rPr>
        <w:t>.</w:t>
      </w:r>
      <w:r w:rsidRPr="004D0A2C">
        <w:rPr>
          <w:lang w:val="fr-FR"/>
        </w:rPr>
        <w:tab/>
      </w:r>
      <w:r w:rsidR="000651E9" w:rsidRPr="004D0A2C">
        <w:rPr>
          <w:rFonts w:ascii="Times New Roman Bold" w:hAnsi="Times New Roman Bold"/>
          <w:spacing w:val="-4"/>
          <w:lang w:val="fr-FR"/>
        </w:rPr>
        <w:t>Coopération avec l’Agence internationale de l’énergie atomique</w:t>
      </w:r>
      <w:r w:rsidR="000651E9" w:rsidRPr="004D0A2C">
        <w:rPr>
          <w:lang w:val="fr-FR"/>
        </w:rPr>
        <w:t xml:space="preserve"> </w:t>
      </w:r>
      <w:r w:rsidR="000651E9">
        <w:rPr>
          <w:lang w:val="fr-FR"/>
        </w:rPr>
        <w:br/>
      </w:r>
      <w:r w:rsidR="000651E9" w:rsidRPr="004D0A2C">
        <w:rPr>
          <w:lang w:val="fr-FR"/>
        </w:rPr>
        <w:t>(point 8 de l’ordre du jour)</w:t>
      </w:r>
      <w:r w:rsidRPr="004D0A2C">
        <w:rPr>
          <w:lang w:val="fr-FR"/>
        </w:rPr>
        <w:tab/>
      </w:r>
      <w:r w:rsidRPr="004D0A2C">
        <w:rPr>
          <w:lang w:val="fr-FR"/>
        </w:rPr>
        <w:tab/>
      </w:r>
      <w:r w:rsidR="00AC65A0">
        <w:rPr>
          <w:lang w:val="fr-FR"/>
        </w:rPr>
        <w:t>97</w:t>
      </w:r>
      <w:r w:rsidRPr="004D0A2C">
        <w:rPr>
          <w:lang w:val="fr-FR"/>
        </w:rPr>
        <w:tab/>
      </w:r>
      <w:r w:rsidR="00B97B20">
        <w:rPr>
          <w:lang w:val="fr-FR"/>
        </w:rPr>
        <w:t>19</w:t>
      </w:r>
    </w:p>
    <w:p w14:paraId="1309F309" w14:textId="2FE7510C"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XI</w:t>
      </w:r>
      <w:r w:rsidR="009C65BB" w:rsidRPr="004D0A2C">
        <w:rPr>
          <w:lang w:val="fr-FR"/>
        </w:rPr>
        <w:t>.</w:t>
      </w:r>
      <w:r w:rsidRPr="004D0A2C">
        <w:rPr>
          <w:lang w:val="fr-FR"/>
        </w:rPr>
        <w:tab/>
      </w:r>
      <w:r w:rsidR="000651E9" w:rsidRPr="004D0A2C">
        <w:rPr>
          <w:lang w:val="fr-FR"/>
        </w:rPr>
        <w:t>Principes directeurs du Règlement type (point 9 de l’ordre du jour)</w:t>
      </w:r>
      <w:r w:rsidRPr="004D0A2C">
        <w:rPr>
          <w:lang w:val="fr-FR"/>
        </w:rPr>
        <w:tab/>
      </w:r>
      <w:r w:rsidRPr="004D0A2C">
        <w:rPr>
          <w:lang w:val="fr-FR"/>
        </w:rPr>
        <w:tab/>
      </w:r>
      <w:r w:rsidR="00AC65A0">
        <w:rPr>
          <w:lang w:val="fr-FR"/>
        </w:rPr>
        <w:t>98</w:t>
      </w:r>
      <w:r w:rsidRPr="004D0A2C">
        <w:rPr>
          <w:lang w:val="fr-FR"/>
        </w:rPr>
        <w:tab/>
      </w:r>
      <w:r w:rsidR="00B97B20">
        <w:rPr>
          <w:lang w:val="fr-FR"/>
        </w:rPr>
        <w:t>19</w:t>
      </w:r>
    </w:p>
    <w:p w14:paraId="43FCB763" w14:textId="4C58BA2C"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XII</w:t>
      </w:r>
      <w:r w:rsidR="009C65BB" w:rsidRPr="004D0A2C">
        <w:rPr>
          <w:lang w:val="fr-FR"/>
        </w:rPr>
        <w:t>.</w:t>
      </w:r>
      <w:r w:rsidRPr="004D0A2C">
        <w:rPr>
          <w:lang w:val="fr-FR"/>
        </w:rPr>
        <w:tab/>
      </w:r>
      <w:r w:rsidR="000651E9" w:rsidRPr="000651E9">
        <w:rPr>
          <w:spacing w:val="-4"/>
          <w:lang w:val="fr-FR"/>
        </w:rPr>
        <w:t>Questions relatives au Système général harmonisé de classification et d’étiquetage</w:t>
      </w:r>
      <w:r w:rsidR="000651E9" w:rsidRPr="000651E9">
        <w:rPr>
          <w:spacing w:val="-4"/>
          <w:lang w:val="fr-FR"/>
        </w:rPr>
        <w:br/>
      </w:r>
      <w:r w:rsidR="000651E9" w:rsidRPr="004D0A2C">
        <w:rPr>
          <w:lang w:val="fr-FR"/>
        </w:rPr>
        <w:t>des produits chimiques (SGH) (point 10 de l’ordre du jour)</w:t>
      </w:r>
      <w:r w:rsidRPr="004D0A2C">
        <w:rPr>
          <w:lang w:val="fr-FR"/>
        </w:rPr>
        <w:tab/>
      </w:r>
      <w:r w:rsidRPr="004D0A2C">
        <w:rPr>
          <w:lang w:val="fr-FR"/>
        </w:rPr>
        <w:tab/>
      </w:r>
      <w:r w:rsidR="00AC65A0">
        <w:rPr>
          <w:lang w:val="fr-FR"/>
        </w:rPr>
        <w:t>99-101</w:t>
      </w:r>
      <w:r w:rsidRPr="004D0A2C">
        <w:rPr>
          <w:lang w:val="fr-FR"/>
        </w:rPr>
        <w:tab/>
      </w:r>
      <w:r w:rsidR="00B97B20">
        <w:rPr>
          <w:lang w:val="fr-FR"/>
        </w:rPr>
        <w:t>19</w:t>
      </w:r>
    </w:p>
    <w:p w14:paraId="27D387BE" w14:textId="69148045"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0651E9" w:rsidRPr="004D0A2C">
        <w:rPr>
          <w:lang w:val="fr-FR"/>
        </w:rPr>
        <w:t>Épreuves relatives aux matières comburantes</w:t>
      </w:r>
      <w:r w:rsidRPr="004D0A2C">
        <w:rPr>
          <w:lang w:val="fr-FR"/>
        </w:rPr>
        <w:tab/>
      </w:r>
      <w:r w:rsidRPr="004D0A2C">
        <w:rPr>
          <w:lang w:val="fr-FR"/>
        </w:rPr>
        <w:tab/>
      </w:r>
      <w:r w:rsidR="00AC65A0">
        <w:rPr>
          <w:lang w:val="fr-FR"/>
        </w:rPr>
        <w:t>99</w:t>
      </w:r>
      <w:r w:rsidRPr="004D0A2C">
        <w:rPr>
          <w:lang w:val="fr-FR"/>
        </w:rPr>
        <w:tab/>
      </w:r>
      <w:r w:rsidR="00885D86">
        <w:rPr>
          <w:lang w:val="fr-FR"/>
        </w:rPr>
        <w:t>19</w:t>
      </w:r>
    </w:p>
    <w:p w14:paraId="790B4090" w14:textId="6BC0A859"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0651E9" w:rsidRPr="004D0A2C">
        <w:rPr>
          <w:lang w:val="fr-FR"/>
        </w:rPr>
        <w:t xml:space="preserve">Affectation à plusieurs classes de danger physique et éventuelle </w:t>
      </w:r>
      <w:r w:rsidR="000651E9">
        <w:rPr>
          <w:lang w:val="fr-FR"/>
        </w:rPr>
        <w:br/>
      </w:r>
      <w:r w:rsidR="000651E9" w:rsidRPr="004D0A2C">
        <w:rPr>
          <w:lang w:val="fr-FR"/>
        </w:rPr>
        <w:t>combinaison de dangers</w:t>
      </w:r>
      <w:r w:rsidRPr="004D0A2C">
        <w:rPr>
          <w:lang w:val="fr-FR"/>
        </w:rPr>
        <w:tab/>
      </w:r>
      <w:r w:rsidRPr="004D0A2C">
        <w:rPr>
          <w:lang w:val="fr-FR"/>
        </w:rPr>
        <w:tab/>
      </w:r>
      <w:r w:rsidR="00AC65A0">
        <w:rPr>
          <w:lang w:val="fr-FR"/>
        </w:rPr>
        <w:t>100</w:t>
      </w:r>
      <w:r w:rsidRPr="004D0A2C">
        <w:rPr>
          <w:lang w:val="fr-FR"/>
        </w:rPr>
        <w:tab/>
      </w:r>
      <w:r w:rsidR="00885D86">
        <w:rPr>
          <w:lang w:val="fr-FR"/>
        </w:rPr>
        <w:t>19</w:t>
      </w:r>
    </w:p>
    <w:p w14:paraId="3FB8CB86" w14:textId="0BE6E0F6"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0651E9" w:rsidRPr="004D0A2C">
        <w:rPr>
          <w:lang w:val="fr-FR"/>
        </w:rPr>
        <w:t>Autres questions</w:t>
      </w:r>
      <w:r w:rsidRPr="004D0A2C">
        <w:rPr>
          <w:lang w:val="fr-FR"/>
        </w:rPr>
        <w:tab/>
      </w:r>
      <w:r w:rsidRPr="004D0A2C">
        <w:rPr>
          <w:lang w:val="fr-FR"/>
        </w:rPr>
        <w:tab/>
      </w:r>
      <w:r w:rsidR="00AC65A0">
        <w:rPr>
          <w:lang w:val="fr-FR"/>
        </w:rPr>
        <w:t>101</w:t>
      </w:r>
      <w:r w:rsidRPr="004D0A2C">
        <w:rPr>
          <w:lang w:val="fr-FR"/>
        </w:rPr>
        <w:tab/>
      </w:r>
      <w:r w:rsidR="00885D86">
        <w:rPr>
          <w:lang w:val="fr-FR"/>
        </w:rPr>
        <w:t>19</w:t>
      </w:r>
    </w:p>
    <w:p w14:paraId="0F191A67" w14:textId="43C419AD"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XIII</w:t>
      </w:r>
      <w:r w:rsidR="009C65BB" w:rsidRPr="004D0A2C">
        <w:rPr>
          <w:lang w:val="fr-FR"/>
        </w:rPr>
        <w:t>.</w:t>
      </w:r>
      <w:r w:rsidRPr="004D0A2C">
        <w:rPr>
          <w:lang w:val="fr-FR"/>
        </w:rPr>
        <w:tab/>
      </w:r>
      <w:r w:rsidR="007020D3" w:rsidRPr="004D0A2C">
        <w:rPr>
          <w:lang w:val="fr-FR"/>
        </w:rPr>
        <w:t>Uniformisation des interprétations du Règlement type (point 11 de l’ordre du jour)</w:t>
      </w:r>
      <w:r w:rsidRPr="004D0A2C">
        <w:rPr>
          <w:lang w:val="fr-FR"/>
        </w:rPr>
        <w:tab/>
      </w:r>
      <w:r w:rsidR="00AC65A0">
        <w:rPr>
          <w:lang w:val="fr-FR"/>
        </w:rPr>
        <w:t>102</w:t>
      </w:r>
      <w:r w:rsidRPr="004D0A2C">
        <w:rPr>
          <w:lang w:val="fr-FR"/>
        </w:rPr>
        <w:tab/>
      </w:r>
      <w:r w:rsidR="007020D3">
        <w:rPr>
          <w:lang w:val="fr-FR"/>
        </w:rPr>
        <w:t>2</w:t>
      </w:r>
      <w:r w:rsidR="00885D86">
        <w:rPr>
          <w:lang w:val="fr-FR"/>
        </w:rPr>
        <w:t>0</w:t>
      </w:r>
    </w:p>
    <w:p w14:paraId="3EACE391" w14:textId="7EF29E4B"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XIV</w:t>
      </w:r>
      <w:r w:rsidR="009C65BB" w:rsidRPr="004D0A2C">
        <w:rPr>
          <w:lang w:val="fr-FR"/>
        </w:rPr>
        <w:t>.</w:t>
      </w:r>
      <w:r w:rsidRPr="004D0A2C">
        <w:rPr>
          <w:lang w:val="fr-FR"/>
        </w:rPr>
        <w:tab/>
      </w:r>
      <w:r w:rsidR="007020D3" w:rsidRPr="004D0A2C">
        <w:rPr>
          <w:lang w:val="fr-FR"/>
        </w:rPr>
        <w:t>Application du Règlement type (point 12 de l’ordre du jour)</w:t>
      </w:r>
      <w:r w:rsidRPr="004D0A2C">
        <w:rPr>
          <w:lang w:val="fr-FR"/>
        </w:rPr>
        <w:tab/>
      </w:r>
      <w:r w:rsidRPr="004D0A2C">
        <w:rPr>
          <w:lang w:val="fr-FR"/>
        </w:rPr>
        <w:tab/>
      </w:r>
      <w:r w:rsidR="00AC65A0">
        <w:rPr>
          <w:lang w:val="fr-FR"/>
        </w:rPr>
        <w:t>103</w:t>
      </w:r>
      <w:r w:rsidRPr="004D0A2C">
        <w:rPr>
          <w:lang w:val="fr-FR"/>
        </w:rPr>
        <w:tab/>
      </w:r>
      <w:r w:rsidR="007020D3">
        <w:rPr>
          <w:lang w:val="fr-FR"/>
        </w:rPr>
        <w:t>2</w:t>
      </w:r>
      <w:r w:rsidR="00885D86">
        <w:rPr>
          <w:lang w:val="fr-FR"/>
        </w:rPr>
        <w:t>0</w:t>
      </w:r>
    </w:p>
    <w:p w14:paraId="77682EFC" w14:textId="59DA59F5"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XV</w:t>
      </w:r>
      <w:r w:rsidR="009C65BB" w:rsidRPr="004D0A2C">
        <w:rPr>
          <w:lang w:val="fr-FR"/>
        </w:rPr>
        <w:t>.</w:t>
      </w:r>
      <w:r w:rsidRPr="004D0A2C">
        <w:rPr>
          <w:lang w:val="fr-FR"/>
        </w:rPr>
        <w:tab/>
      </w:r>
      <w:r w:rsidR="007020D3" w:rsidRPr="004D0A2C">
        <w:rPr>
          <w:lang w:val="fr-FR"/>
        </w:rPr>
        <w:t xml:space="preserve">Formation à la sécurité et renforcement des capacités en ce qui concerne </w:t>
      </w:r>
      <w:r w:rsidR="007020D3">
        <w:rPr>
          <w:lang w:val="fr-FR"/>
        </w:rPr>
        <w:br/>
      </w:r>
      <w:r w:rsidR="007020D3" w:rsidRPr="004D0A2C">
        <w:rPr>
          <w:lang w:val="fr-FR"/>
        </w:rPr>
        <w:t>les marchandises dangereuses (point 13 de l’ordre du jour)</w:t>
      </w:r>
      <w:r w:rsidRPr="004D0A2C">
        <w:rPr>
          <w:lang w:val="fr-FR"/>
        </w:rPr>
        <w:tab/>
      </w:r>
      <w:r w:rsidRPr="004D0A2C">
        <w:rPr>
          <w:lang w:val="fr-FR"/>
        </w:rPr>
        <w:tab/>
      </w:r>
      <w:r w:rsidR="00AC65A0">
        <w:rPr>
          <w:lang w:val="fr-FR"/>
        </w:rPr>
        <w:t>104</w:t>
      </w:r>
      <w:r w:rsidRPr="004D0A2C">
        <w:rPr>
          <w:lang w:val="fr-FR"/>
        </w:rPr>
        <w:tab/>
      </w:r>
      <w:r w:rsidR="007020D3">
        <w:rPr>
          <w:lang w:val="fr-FR"/>
        </w:rPr>
        <w:t>2</w:t>
      </w:r>
      <w:r w:rsidR="00885D86">
        <w:rPr>
          <w:lang w:val="fr-FR"/>
        </w:rPr>
        <w:t>0</w:t>
      </w:r>
    </w:p>
    <w:p w14:paraId="314197DE" w14:textId="36F65D5B"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XVI</w:t>
      </w:r>
      <w:r w:rsidR="009C65BB" w:rsidRPr="004D0A2C">
        <w:rPr>
          <w:lang w:val="fr-FR"/>
        </w:rPr>
        <w:t>.</w:t>
      </w:r>
      <w:r w:rsidRPr="004D0A2C">
        <w:rPr>
          <w:lang w:val="fr-FR"/>
        </w:rPr>
        <w:tab/>
      </w:r>
      <w:r w:rsidR="007020D3" w:rsidRPr="007020D3">
        <w:rPr>
          <w:spacing w:val="-4"/>
          <w:lang w:val="fr-FR"/>
        </w:rPr>
        <w:t>Programme de développement durable à l’horizon 2030 (point 14 de l’ordre du jour)</w:t>
      </w:r>
      <w:r w:rsidRPr="007020D3">
        <w:rPr>
          <w:spacing w:val="-4"/>
          <w:lang w:val="fr-FR"/>
        </w:rPr>
        <w:tab/>
      </w:r>
      <w:r w:rsidRPr="004D0A2C">
        <w:rPr>
          <w:lang w:val="fr-FR"/>
        </w:rPr>
        <w:tab/>
      </w:r>
      <w:r w:rsidR="00AC65A0">
        <w:rPr>
          <w:lang w:val="fr-FR"/>
        </w:rPr>
        <w:t>105</w:t>
      </w:r>
      <w:r w:rsidRPr="004D0A2C">
        <w:rPr>
          <w:lang w:val="fr-FR"/>
        </w:rPr>
        <w:tab/>
      </w:r>
      <w:r w:rsidR="007020D3">
        <w:rPr>
          <w:lang w:val="fr-FR"/>
        </w:rPr>
        <w:t>2</w:t>
      </w:r>
      <w:r w:rsidR="00885D86">
        <w:rPr>
          <w:lang w:val="fr-FR"/>
        </w:rPr>
        <w:t>0</w:t>
      </w:r>
    </w:p>
    <w:p w14:paraId="66922BBD" w14:textId="4E2087CE"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XVII</w:t>
      </w:r>
      <w:r w:rsidR="009C65BB" w:rsidRPr="004D0A2C">
        <w:rPr>
          <w:lang w:val="fr-FR"/>
        </w:rPr>
        <w:t>.</w:t>
      </w:r>
      <w:r w:rsidRPr="004D0A2C">
        <w:rPr>
          <w:lang w:val="fr-FR"/>
        </w:rPr>
        <w:tab/>
      </w:r>
      <w:r w:rsidR="007020D3" w:rsidRPr="004D0A2C">
        <w:rPr>
          <w:lang w:val="fr-FR"/>
        </w:rPr>
        <w:t xml:space="preserve">Possibilités de rendre le fonctionnement du Sous-Comité plus efficace </w:t>
      </w:r>
      <w:r w:rsidR="007020D3">
        <w:rPr>
          <w:lang w:val="fr-FR"/>
        </w:rPr>
        <w:br/>
      </w:r>
      <w:r w:rsidR="007020D3" w:rsidRPr="004D0A2C">
        <w:rPr>
          <w:lang w:val="fr-FR"/>
        </w:rPr>
        <w:t>et plus ouvert à tous les acteurs concernés (point 15 de l’ordre du jour)</w:t>
      </w:r>
      <w:r w:rsidRPr="004D0A2C">
        <w:rPr>
          <w:lang w:val="fr-FR"/>
        </w:rPr>
        <w:tab/>
      </w:r>
      <w:r w:rsidRPr="004D0A2C">
        <w:rPr>
          <w:lang w:val="fr-FR"/>
        </w:rPr>
        <w:tab/>
      </w:r>
      <w:r w:rsidR="00AC65A0">
        <w:rPr>
          <w:lang w:val="fr-FR"/>
        </w:rPr>
        <w:t>106</w:t>
      </w:r>
      <w:r w:rsidRPr="004D0A2C">
        <w:rPr>
          <w:lang w:val="fr-FR"/>
        </w:rPr>
        <w:tab/>
      </w:r>
      <w:r w:rsidR="007020D3">
        <w:rPr>
          <w:lang w:val="fr-FR"/>
        </w:rPr>
        <w:t>2</w:t>
      </w:r>
      <w:r w:rsidR="00885D86">
        <w:rPr>
          <w:lang w:val="fr-FR"/>
        </w:rPr>
        <w:t>0</w:t>
      </w:r>
    </w:p>
    <w:p w14:paraId="30D9AE23" w14:textId="0D1763CE"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XVIII</w:t>
      </w:r>
      <w:r w:rsidR="009C65BB" w:rsidRPr="004D0A2C">
        <w:rPr>
          <w:lang w:val="fr-FR"/>
        </w:rPr>
        <w:t>.</w:t>
      </w:r>
      <w:r w:rsidRPr="004D0A2C">
        <w:rPr>
          <w:lang w:val="fr-FR"/>
        </w:rPr>
        <w:tab/>
      </w:r>
      <w:r w:rsidR="007020D3" w:rsidRPr="004D0A2C">
        <w:rPr>
          <w:lang w:val="fr-FR"/>
        </w:rPr>
        <w:t>Questions diverses (point 16 de l’ordre du jour)</w:t>
      </w:r>
      <w:r w:rsidRPr="004D0A2C">
        <w:rPr>
          <w:lang w:val="fr-FR"/>
        </w:rPr>
        <w:tab/>
      </w:r>
      <w:r w:rsidRPr="004D0A2C">
        <w:rPr>
          <w:lang w:val="fr-FR"/>
        </w:rPr>
        <w:tab/>
      </w:r>
      <w:r w:rsidR="00AC65A0">
        <w:rPr>
          <w:lang w:val="fr-FR"/>
        </w:rPr>
        <w:t>107-116</w:t>
      </w:r>
      <w:r w:rsidRPr="004D0A2C">
        <w:rPr>
          <w:lang w:val="fr-FR"/>
        </w:rPr>
        <w:tab/>
      </w:r>
      <w:r w:rsidR="007020D3">
        <w:rPr>
          <w:lang w:val="fr-FR"/>
        </w:rPr>
        <w:t>2</w:t>
      </w:r>
      <w:r w:rsidR="00885D86">
        <w:rPr>
          <w:lang w:val="fr-FR"/>
        </w:rPr>
        <w:t>0</w:t>
      </w:r>
    </w:p>
    <w:p w14:paraId="4C8CFFFB" w14:textId="5B9C21C2"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A</w:t>
      </w:r>
      <w:r w:rsidR="009C65BB" w:rsidRPr="004D0A2C">
        <w:rPr>
          <w:lang w:val="fr-FR"/>
        </w:rPr>
        <w:t>.</w:t>
      </w:r>
      <w:r w:rsidRPr="004D0A2C">
        <w:rPr>
          <w:lang w:val="fr-FR"/>
        </w:rPr>
        <w:tab/>
      </w:r>
      <w:r w:rsidR="007020D3" w:rsidRPr="007020D3">
        <w:rPr>
          <w:spacing w:val="-4"/>
          <w:lang w:val="fr-FR"/>
        </w:rPr>
        <w:t xml:space="preserve">Rapport du Secrétaire général sur les travaux du Comité </w:t>
      </w:r>
      <w:r w:rsidR="007020D3">
        <w:rPr>
          <w:spacing w:val="-4"/>
          <w:lang w:val="fr-FR"/>
        </w:rPr>
        <w:br/>
      </w:r>
      <w:r w:rsidR="007020D3" w:rsidRPr="007020D3">
        <w:rPr>
          <w:rFonts w:ascii="Times New Roman Bold" w:hAnsi="Times New Roman Bold"/>
          <w:spacing w:val="-4"/>
          <w:lang w:val="fr-FR"/>
        </w:rPr>
        <w:t xml:space="preserve">et de ses Sous-Comités pendant la période 2021-2022 et résolution </w:t>
      </w:r>
      <w:hyperlink r:id="rId9" w:history="1">
        <w:r w:rsidR="007020D3" w:rsidRPr="007020D3">
          <w:rPr>
            <w:rStyle w:val="Hyperlink"/>
            <w:rFonts w:ascii="Times New Roman Bold" w:hAnsi="Times New Roman Bold"/>
            <w:spacing w:val="-4"/>
            <w:lang w:val="fr-FR"/>
          </w:rPr>
          <w:t>2023/5</w:t>
        </w:r>
      </w:hyperlink>
      <w:r w:rsidR="007020D3" w:rsidRPr="007020D3">
        <w:rPr>
          <w:rFonts w:ascii="Times New Roman Bold" w:hAnsi="Times New Roman Bold"/>
          <w:spacing w:val="-4"/>
          <w:lang w:val="fr-FR"/>
        </w:rPr>
        <w:t xml:space="preserve"> </w:t>
      </w:r>
      <w:r w:rsidR="007020D3">
        <w:rPr>
          <w:rFonts w:ascii="Times New Roman Bold" w:hAnsi="Times New Roman Bold"/>
          <w:spacing w:val="-4"/>
          <w:lang w:val="fr-FR"/>
        </w:rPr>
        <w:br/>
      </w:r>
      <w:r w:rsidR="007020D3" w:rsidRPr="007020D3">
        <w:rPr>
          <w:rFonts w:ascii="Times New Roman Bold" w:hAnsi="Times New Roman Bold"/>
          <w:spacing w:val="-4"/>
          <w:lang w:val="fr-FR"/>
        </w:rPr>
        <w:t>du Conseil économique et social</w:t>
      </w:r>
      <w:r w:rsidRPr="004D0A2C">
        <w:rPr>
          <w:lang w:val="fr-FR"/>
        </w:rPr>
        <w:tab/>
      </w:r>
      <w:r w:rsidR="007020D3">
        <w:rPr>
          <w:lang w:val="fr-FR"/>
        </w:rPr>
        <w:tab/>
      </w:r>
      <w:r w:rsidR="00AC65A0">
        <w:rPr>
          <w:lang w:val="fr-FR"/>
        </w:rPr>
        <w:t>107-108</w:t>
      </w:r>
      <w:r w:rsidRPr="004D0A2C">
        <w:rPr>
          <w:lang w:val="fr-FR"/>
        </w:rPr>
        <w:tab/>
      </w:r>
      <w:r w:rsidR="007020D3">
        <w:rPr>
          <w:lang w:val="fr-FR"/>
        </w:rPr>
        <w:t>2</w:t>
      </w:r>
      <w:r w:rsidR="00885D86">
        <w:rPr>
          <w:lang w:val="fr-FR"/>
        </w:rPr>
        <w:t>0</w:t>
      </w:r>
    </w:p>
    <w:p w14:paraId="584521AA" w14:textId="03A1F65A"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B</w:t>
      </w:r>
      <w:r w:rsidR="009C65BB" w:rsidRPr="004D0A2C">
        <w:rPr>
          <w:lang w:val="fr-FR"/>
        </w:rPr>
        <w:t>.</w:t>
      </w:r>
      <w:r w:rsidRPr="004D0A2C">
        <w:rPr>
          <w:lang w:val="fr-FR"/>
        </w:rPr>
        <w:tab/>
      </w:r>
      <w:r w:rsidR="007020D3" w:rsidRPr="004D0A2C">
        <w:rPr>
          <w:lang w:val="fr-FR"/>
        </w:rPr>
        <w:t xml:space="preserve">Contacts entre l’Organisation des Nations Unies et les organisations </w:t>
      </w:r>
      <w:r w:rsidR="007020D3">
        <w:rPr>
          <w:lang w:val="fr-FR"/>
        </w:rPr>
        <w:br/>
      </w:r>
      <w:r w:rsidR="007020D3" w:rsidRPr="004D0A2C">
        <w:rPr>
          <w:lang w:val="fr-FR"/>
        </w:rPr>
        <w:t>non gouvernementales à des fins de consultation</w:t>
      </w:r>
      <w:r w:rsidRPr="004D0A2C">
        <w:rPr>
          <w:lang w:val="fr-FR"/>
        </w:rPr>
        <w:tab/>
      </w:r>
      <w:r w:rsidRPr="004D0A2C">
        <w:rPr>
          <w:lang w:val="fr-FR"/>
        </w:rPr>
        <w:tab/>
      </w:r>
      <w:r w:rsidR="00AC65A0">
        <w:rPr>
          <w:lang w:val="fr-FR"/>
        </w:rPr>
        <w:t>109-110</w:t>
      </w:r>
      <w:r w:rsidRPr="004D0A2C">
        <w:rPr>
          <w:lang w:val="fr-FR"/>
        </w:rPr>
        <w:tab/>
      </w:r>
      <w:r w:rsidR="007020D3">
        <w:rPr>
          <w:lang w:val="fr-FR"/>
        </w:rPr>
        <w:t>2</w:t>
      </w:r>
      <w:r w:rsidR="00885D86">
        <w:rPr>
          <w:lang w:val="fr-FR"/>
        </w:rPr>
        <w:t>1</w:t>
      </w:r>
    </w:p>
    <w:p w14:paraId="6F295CA8" w14:textId="4CC42810"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C</w:t>
      </w:r>
      <w:r w:rsidR="009C65BB" w:rsidRPr="004D0A2C">
        <w:rPr>
          <w:lang w:val="fr-FR"/>
        </w:rPr>
        <w:t>.</w:t>
      </w:r>
      <w:r w:rsidRPr="004D0A2C">
        <w:rPr>
          <w:lang w:val="fr-FR"/>
        </w:rPr>
        <w:tab/>
      </w:r>
      <w:r w:rsidR="007020D3" w:rsidRPr="004D0A2C">
        <w:rPr>
          <w:lang w:val="fr-FR"/>
        </w:rPr>
        <w:t>Autres questions diverses</w:t>
      </w:r>
      <w:r w:rsidRPr="004D0A2C">
        <w:rPr>
          <w:lang w:val="fr-FR"/>
        </w:rPr>
        <w:tab/>
      </w:r>
      <w:r w:rsidRPr="004D0A2C">
        <w:rPr>
          <w:lang w:val="fr-FR"/>
        </w:rPr>
        <w:tab/>
      </w:r>
      <w:r w:rsidR="00AC65A0">
        <w:rPr>
          <w:lang w:val="fr-FR"/>
        </w:rPr>
        <w:t>111-115</w:t>
      </w:r>
      <w:r w:rsidRPr="004D0A2C">
        <w:rPr>
          <w:lang w:val="fr-FR"/>
        </w:rPr>
        <w:tab/>
      </w:r>
      <w:r w:rsidR="007020D3">
        <w:rPr>
          <w:lang w:val="fr-FR"/>
        </w:rPr>
        <w:t>2</w:t>
      </w:r>
      <w:r w:rsidR="00885D86">
        <w:rPr>
          <w:lang w:val="fr-FR"/>
        </w:rPr>
        <w:t>1</w:t>
      </w:r>
    </w:p>
    <w:p w14:paraId="20D49A6F" w14:textId="226CE527"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1</w:t>
      </w:r>
      <w:r w:rsidR="009C65BB" w:rsidRPr="004D0A2C">
        <w:rPr>
          <w:lang w:val="fr-FR"/>
        </w:rPr>
        <w:t>.</w:t>
      </w:r>
      <w:r w:rsidRPr="004D0A2C">
        <w:rPr>
          <w:lang w:val="fr-FR"/>
        </w:rPr>
        <w:tab/>
      </w:r>
      <w:r w:rsidR="007020D3" w:rsidRPr="004D0A2C">
        <w:rPr>
          <w:lang w:val="fr-FR"/>
        </w:rPr>
        <w:t>Transport de matières infectieuses</w:t>
      </w:r>
      <w:r w:rsidRPr="004D0A2C">
        <w:rPr>
          <w:lang w:val="fr-FR"/>
        </w:rPr>
        <w:tab/>
      </w:r>
      <w:r w:rsidRPr="004D0A2C">
        <w:rPr>
          <w:lang w:val="fr-FR"/>
        </w:rPr>
        <w:tab/>
      </w:r>
      <w:r w:rsidR="00AC65A0">
        <w:rPr>
          <w:lang w:val="fr-FR"/>
        </w:rPr>
        <w:t>111</w:t>
      </w:r>
      <w:r w:rsidRPr="004D0A2C">
        <w:rPr>
          <w:lang w:val="fr-FR"/>
        </w:rPr>
        <w:tab/>
      </w:r>
      <w:r w:rsidR="007020D3">
        <w:rPr>
          <w:lang w:val="fr-FR"/>
        </w:rPr>
        <w:t>2</w:t>
      </w:r>
      <w:r w:rsidR="00885D86">
        <w:rPr>
          <w:lang w:val="fr-FR"/>
        </w:rPr>
        <w:t>1</w:t>
      </w:r>
    </w:p>
    <w:p w14:paraId="1735627A" w14:textId="7BE93705" w:rsidR="006F26A8" w:rsidRPr="004D0A2C" w:rsidRDefault="006F26A8" w:rsidP="006F26A8">
      <w:pPr>
        <w:tabs>
          <w:tab w:val="right" w:leader="dot" w:pos="7654"/>
          <w:tab w:val="right" w:pos="8929"/>
          <w:tab w:val="right" w:pos="9638"/>
        </w:tabs>
        <w:spacing w:after="120"/>
        <w:ind w:left="1984" w:hanging="425"/>
        <w:rPr>
          <w:lang w:val="fr-FR"/>
        </w:rPr>
      </w:pPr>
      <w:r w:rsidRPr="004D0A2C">
        <w:rPr>
          <w:lang w:val="fr-FR"/>
        </w:rPr>
        <w:t>2</w:t>
      </w:r>
      <w:r w:rsidR="009C65BB" w:rsidRPr="004D0A2C">
        <w:rPr>
          <w:lang w:val="fr-FR"/>
        </w:rPr>
        <w:t>.</w:t>
      </w:r>
      <w:r w:rsidRPr="004D0A2C">
        <w:rPr>
          <w:lang w:val="fr-FR"/>
        </w:rPr>
        <w:tab/>
      </w:r>
      <w:r w:rsidR="007020D3" w:rsidRPr="004D0A2C">
        <w:rPr>
          <w:lang w:val="fr-FR"/>
        </w:rPr>
        <w:t>Dates de la soixante-troisième session</w:t>
      </w:r>
      <w:r w:rsidRPr="004D0A2C">
        <w:rPr>
          <w:lang w:val="fr-FR"/>
        </w:rPr>
        <w:tab/>
      </w:r>
      <w:r w:rsidRPr="004D0A2C">
        <w:rPr>
          <w:lang w:val="fr-FR"/>
        </w:rPr>
        <w:tab/>
      </w:r>
      <w:r w:rsidR="00AC65A0">
        <w:rPr>
          <w:lang w:val="fr-FR"/>
        </w:rPr>
        <w:t>112-114</w:t>
      </w:r>
      <w:r w:rsidRPr="004D0A2C">
        <w:rPr>
          <w:lang w:val="fr-FR"/>
        </w:rPr>
        <w:tab/>
      </w:r>
      <w:r w:rsidR="007020D3">
        <w:rPr>
          <w:lang w:val="fr-FR"/>
        </w:rPr>
        <w:t>2</w:t>
      </w:r>
      <w:r w:rsidR="00885D86">
        <w:rPr>
          <w:lang w:val="fr-FR"/>
        </w:rPr>
        <w:t>1</w:t>
      </w:r>
    </w:p>
    <w:p w14:paraId="118831E0" w14:textId="5DDD0C12" w:rsidR="006F26A8" w:rsidRPr="004D0A2C" w:rsidRDefault="006F26A8" w:rsidP="006F26A8">
      <w:pPr>
        <w:tabs>
          <w:tab w:val="right" w:leader="dot" w:pos="7654"/>
          <w:tab w:val="right" w:pos="8929"/>
          <w:tab w:val="right" w:pos="9638"/>
        </w:tabs>
        <w:spacing w:after="120"/>
        <w:ind w:left="1559" w:hanging="425"/>
        <w:rPr>
          <w:lang w:val="fr-FR"/>
        </w:rPr>
      </w:pPr>
      <w:r w:rsidRPr="004D0A2C">
        <w:rPr>
          <w:lang w:val="fr-FR"/>
        </w:rPr>
        <w:t>D</w:t>
      </w:r>
      <w:r w:rsidR="009C65BB" w:rsidRPr="004D0A2C">
        <w:rPr>
          <w:lang w:val="fr-FR"/>
        </w:rPr>
        <w:t>.</w:t>
      </w:r>
      <w:r w:rsidRPr="004D0A2C">
        <w:rPr>
          <w:lang w:val="fr-FR"/>
        </w:rPr>
        <w:tab/>
      </w:r>
      <w:r w:rsidR="007020D3" w:rsidRPr="004D0A2C">
        <w:rPr>
          <w:lang w:val="fr-FR"/>
        </w:rPr>
        <w:t>Hommages</w:t>
      </w:r>
      <w:r w:rsidRPr="004D0A2C">
        <w:rPr>
          <w:lang w:val="fr-FR"/>
        </w:rPr>
        <w:tab/>
      </w:r>
      <w:r w:rsidRPr="004D0A2C">
        <w:rPr>
          <w:lang w:val="fr-FR"/>
        </w:rPr>
        <w:tab/>
      </w:r>
      <w:r w:rsidR="00AC65A0">
        <w:rPr>
          <w:lang w:val="fr-FR"/>
        </w:rPr>
        <w:t>115-116</w:t>
      </w:r>
      <w:r w:rsidRPr="004D0A2C">
        <w:rPr>
          <w:lang w:val="fr-FR"/>
        </w:rPr>
        <w:tab/>
      </w:r>
      <w:r w:rsidR="007020D3">
        <w:rPr>
          <w:lang w:val="fr-FR"/>
        </w:rPr>
        <w:t>2</w:t>
      </w:r>
      <w:r w:rsidR="00885D86">
        <w:rPr>
          <w:lang w:val="fr-FR"/>
        </w:rPr>
        <w:t>1</w:t>
      </w:r>
    </w:p>
    <w:p w14:paraId="7FDB49BD" w14:textId="279D62D0" w:rsidR="006F26A8" w:rsidRPr="004D0A2C" w:rsidRDefault="006F26A8" w:rsidP="006F26A8">
      <w:pPr>
        <w:tabs>
          <w:tab w:val="right" w:pos="850"/>
          <w:tab w:val="right" w:leader="dot" w:pos="7654"/>
          <w:tab w:val="right" w:pos="8929"/>
          <w:tab w:val="right" w:pos="9638"/>
        </w:tabs>
        <w:spacing w:after="120"/>
        <w:ind w:left="1134" w:hanging="1134"/>
        <w:rPr>
          <w:lang w:val="fr-FR"/>
        </w:rPr>
      </w:pPr>
      <w:r w:rsidRPr="004D0A2C">
        <w:rPr>
          <w:lang w:val="fr-FR"/>
        </w:rPr>
        <w:tab/>
        <w:t>XIX</w:t>
      </w:r>
      <w:r w:rsidR="009C65BB" w:rsidRPr="004D0A2C">
        <w:rPr>
          <w:lang w:val="fr-FR"/>
        </w:rPr>
        <w:t>.</w:t>
      </w:r>
      <w:r w:rsidRPr="004D0A2C">
        <w:rPr>
          <w:lang w:val="fr-FR"/>
        </w:rPr>
        <w:tab/>
      </w:r>
      <w:r w:rsidR="007020D3" w:rsidRPr="004D0A2C">
        <w:rPr>
          <w:lang w:val="fr-FR"/>
        </w:rPr>
        <w:t>Adoption du rapport (point 17 de l’ordre du jour)</w:t>
      </w:r>
      <w:r w:rsidRPr="004D0A2C">
        <w:rPr>
          <w:lang w:val="fr-FR"/>
        </w:rPr>
        <w:tab/>
      </w:r>
      <w:r w:rsidRPr="004D0A2C">
        <w:rPr>
          <w:lang w:val="fr-FR"/>
        </w:rPr>
        <w:tab/>
      </w:r>
      <w:r w:rsidR="00AC65A0">
        <w:rPr>
          <w:lang w:val="fr-FR"/>
        </w:rPr>
        <w:t>117</w:t>
      </w:r>
      <w:r w:rsidRPr="004D0A2C">
        <w:rPr>
          <w:lang w:val="fr-FR"/>
        </w:rPr>
        <w:tab/>
      </w:r>
      <w:r w:rsidR="00B0464D">
        <w:rPr>
          <w:lang w:val="fr-FR"/>
        </w:rPr>
        <w:t>22</w:t>
      </w:r>
    </w:p>
    <w:p w14:paraId="6F094E74" w14:textId="0A7A3477" w:rsidR="006F26A8" w:rsidRPr="004D0A2C" w:rsidRDefault="006F26A8" w:rsidP="006F26A8">
      <w:pPr>
        <w:tabs>
          <w:tab w:val="right" w:pos="850"/>
        </w:tabs>
        <w:spacing w:after="120"/>
        <w:rPr>
          <w:lang w:val="fr-FR"/>
        </w:rPr>
      </w:pPr>
      <w:r w:rsidRPr="004D0A2C">
        <w:rPr>
          <w:lang w:val="fr-FR"/>
        </w:rPr>
        <w:tab/>
        <w:t>Annexes</w:t>
      </w:r>
    </w:p>
    <w:p w14:paraId="364EDCD2" w14:textId="609DAC10" w:rsidR="006F26A8" w:rsidRPr="004D0A2C" w:rsidRDefault="006F26A8" w:rsidP="006F26A8">
      <w:pPr>
        <w:tabs>
          <w:tab w:val="right" w:pos="850"/>
          <w:tab w:val="right" w:leader="dot" w:pos="8929"/>
          <w:tab w:val="right" w:pos="9638"/>
        </w:tabs>
        <w:spacing w:after="120"/>
        <w:ind w:left="1134" w:hanging="1134"/>
        <w:rPr>
          <w:lang w:val="fr-FR"/>
        </w:rPr>
      </w:pPr>
      <w:r w:rsidRPr="004D0A2C">
        <w:rPr>
          <w:lang w:val="fr-FR"/>
        </w:rPr>
        <w:tab/>
        <w:t>I</w:t>
      </w:r>
      <w:r w:rsidR="009C65BB" w:rsidRPr="004D0A2C">
        <w:rPr>
          <w:lang w:val="fr-FR"/>
        </w:rPr>
        <w:t>.</w:t>
      </w:r>
      <w:r w:rsidRPr="004D0A2C">
        <w:rPr>
          <w:lang w:val="fr-FR"/>
        </w:rPr>
        <w:tab/>
      </w:r>
      <w:r w:rsidR="00C32F67">
        <w:t xml:space="preserve">Projet d’amendements à la vingt-troisième édition révisée des Recommandations relatives </w:t>
      </w:r>
      <w:r w:rsidR="00C32F67">
        <w:br/>
      </w:r>
      <w:r w:rsidR="00C32F67">
        <w:t>au transport des marchandises dangereuses, Règlement type (ST/SG/AC.10/1/Rev.23)</w:t>
      </w:r>
      <w:r w:rsidR="00CC0492" w:rsidRPr="004D0A2C">
        <w:rPr>
          <w:rStyle w:val="FootnoteReference"/>
          <w:lang w:val="fr-FR"/>
        </w:rPr>
        <w:footnoteReference w:id="2"/>
      </w:r>
    </w:p>
    <w:p w14:paraId="62562A53" w14:textId="60D3B2F2" w:rsidR="006F26A8" w:rsidRPr="004D0A2C" w:rsidRDefault="006F26A8" w:rsidP="006F26A8">
      <w:pPr>
        <w:tabs>
          <w:tab w:val="right" w:pos="850"/>
          <w:tab w:val="right" w:leader="dot" w:pos="8929"/>
          <w:tab w:val="right" w:pos="9638"/>
        </w:tabs>
        <w:spacing w:after="120"/>
        <w:ind w:left="1134" w:hanging="1134"/>
        <w:rPr>
          <w:lang w:val="fr-FR"/>
        </w:rPr>
      </w:pPr>
      <w:r w:rsidRPr="004D0A2C">
        <w:rPr>
          <w:lang w:val="fr-FR"/>
        </w:rPr>
        <w:tab/>
        <w:t>II</w:t>
      </w:r>
      <w:r w:rsidR="009C65BB" w:rsidRPr="004D0A2C">
        <w:rPr>
          <w:lang w:val="fr-FR"/>
        </w:rPr>
        <w:t>.</w:t>
      </w:r>
      <w:r w:rsidRPr="004D0A2C">
        <w:rPr>
          <w:lang w:val="fr-FR"/>
        </w:rPr>
        <w:tab/>
      </w:r>
      <w:r w:rsidR="00280264">
        <w:t>Projet d’amendements à la huitième édition révisée du Manuel d’épreuves et de critères (</w:t>
      </w:r>
      <w:hyperlink r:id="rId10" w:history="1">
        <w:r w:rsidR="00280264" w:rsidRPr="00E64B60">
          <w:rPr>
            <w:rStyle w:val="Hyperlink"/>
          </w:rPr>
          <w:t>ST/SG/AC.10/11/Rev.8</w:t>
        </w:r>
      </w:hyperlink>
      <w:r w:rsidR="00280264">
        <w:t>)</w:t>
      </w:r>
      <w:r w:rsidR="00B01156" w:rsidRPr="00FE00FD">
        <w:rPr>
          <w:vertAlign w:val="superscript"/>
        </w:rPr>
        <w:t>1</w:t>
      </w:r>
    </w:p>
    <w:p w14:paraId="22D8D017" w14:textId="77777777" w:rsidR="006F26A8" w:rsidRPr="004D0A2C" w:rsidRDefault="006F26A8" w:rsidP="006F26A8">
      <w:pPr>
        <w:rPr>
          <w:lang w:val="fr-FR"/>
        </w:rPr>
      </w:pPr>
    </w:p>
    <w:p w14:paraId="7CCEB218" w14:textId="77777777" w:rsidR="006F26A8" w:rsidRPr="004D0A2C" w:rsidRDefault="006F26A8">
      <w:pPr>
        <w:suppressAutoHyphens w:val="0"/>
        <w:kinsoku/>
        <w:overflowPunct/>
        <w:autoSpaceDE/>
        <w:autoSpaceDN/>
        <w:adjustRightInd/>
        <w:snapToGrid/>
        <w:spacing w:after="200" w:line="276" w:lineRule="auto"/>
        <w:rPr>
          <w:lang w:val="fr-FR"/>
        </w:rPr>
      </w:pPr>
      <w:r w:rsidRPr="004D0A2C">
        <w:rPr>
          <w:lang w:val="fr-FR"/>
        </w:rPr>
        <w:br w:type="page"/>
      </w:r>
    </w:p>
    <w:p w14:paraId="0755B89A" w14:textId="7EE50BA3" w:rsidR="006F26A8" w:rsidRPr="004D0A2C" w:rsidRDefault="006F26A8" w:rsidP="00CC0492">
      <w:pPr>
        <w:pStyle w:val="HChG"/>
        <w:rPr>
          <w:lang w:val="fr-FR"/>
        </w:rPr>
      </w:pPr>
      <w:r w:rsidRPr="004D0A2C">
        <w:rPr>
          <w:lang w:val="fr-FR"/>
        </w:rPr>
        <w:lastRenderedPageBreak/>
        <w:tab/>
        <w:t>I</w:t>
      </w:r>
      <w:r w:rsidR="009C65BB" w:rsidRPr="004D0A2C">
        <w:rPr>
          <w:lang w:val="fr-FR"/>
        </w:rPr>
        <w:t>.</w:t>
      </w:r>
      <w:r w:rsidRPr="004D0A2C">
        <w:rPr>
          <w:lang w:val="fr-FR"/>
        </w:rPr>
        <w:tab/>
        <w:t>Participation</w:t>
      </w:r>
    </w:p>
    <w:p w14:paraId="7E97948E" w14:textId="7ACD2CF4" w:rsidR="006F26A8" w:rsidRPr="004D0A2C" w:rsidRDefault="006F26A8" w:rsidP="00BA543F">
      <w:pPr>
        <w:pStyle w:val="SingleTxtG"/>
        <w:rPr>
          <w:lang w:val="fr-FR"/>
        </w:rPr>
      </w:pPr>
      <w:r w:rsidRPr="004D0A2C">
        <w:rPr>
          <w:lang w:val="fr-FR"/>
        </w:rPr>
        <w:t>1</w:t>
      </w:r>
      <w:r w:rsidR="009C65BB" w:rsidRPr="004D0A2C">
        <w:rPr>
          <w:lang w:val="fr-FR"/>
        </w:rPr>
        <w:t>.</w:t>
      </w:r>
      <w:r w:rsidRPr="004D0A2C">
        <w:rPr>
          <w:lang w:val="fr-FR"/>
        </w:rPr>
        <w:tab/>
        <w:t>Le Sous-Comité d</w:t>
      </w:r>
      <w:r w:rsidR="00AD27B0" w:rsidRPr="004D0A2C">
        <w:rPr>
          <w:lang w:val="fr-FR"/>
        </w:rPr>
        <w:t>’</w:t>
      </w:r>
      <w:r w:rsidRPr="004D0A2C">
        <w:rPr>
          <w:lang w:val="fr-FR"/>
        </w:rPr>
        <w:t>experts du transport des marchandises dangereuses a tenu sa soixante-deuxième session du 3 au 7 juillet 2023, sous la présidence de M</w:t>
      </w:r>
      <w:r w:rsidR="009C65BB" w:rsidRPr="004D0A2C">
        <w:rPr>
          <w:lang w:val="fr-FR"/>
        </w:rPr>
        <w:t>.</w:t>
      </w:r>
      <w:r w:rsidR="00D734CE" w:rsidRPr="004D0A2C">
        <w:rPr>
          <w:lang w:val="fr-FR"/>
        </w:rPr>
        <w:t> </w:t>
      </w:r>
      <w:r w:rsidRPr="004D0A2C">
        <w:rPr>
          <w:lang w:val="fr-FR"/>
        </w:rPr>
        <w:t>D</w:t>
      </w:r>
      <w:r w:rsidR="009C65BB" w:rsidRPr="004D0A2C">
        <w:rPr>
          <w:lang w:val="fr-FR"/>
        </w:rPr>
        <w:t>.</w:t>
      </w:r>
      <w:r w:rsidR="00D734CE" w:rsidRPr="004D0A2C">
        <w:rPr>
          <w:lang w:val="fr-FR"/>
        </w:rPr>
        <w:t> </w:t>
      </w:r>
      <w:r w:rsidRPr="004D0A2C">
        <w:rPr>
          <w:lang w:val="fr-FR"/>
        </w:rPr>
        <w:t>Pfund (États</w:t>
      </w:r>
      <w:r w:rsidR="009F0612" w:rsidRPr="004D0A2C">
        <w:rPr>
          <w:lang w:val="fr-FR"/>
        </w:rPr>
        <w:noBreakHyphen/>
      </w:r>
      <w:r w:rsidRPr="004D0A2C">
        <w:rPr>
          <w:lang w:val="fr-FR"/>
        </w:rPr>
        <w:t>Unis d</w:t>
      </w:r>
      <w:r w:rsidR="00AD27B0" w:rsidRPr="004D0A2C">
        <w:rPr>
          <w:lang w:val="fr-FR"/>
        </w:rPr>
        <w:t>’</w:t>
      </w:r>
      <w:r w:rsidRPr="004D0A2C">
        <w:rPr>
          <w:lang w:val="fr-FR"/>
        </w:rPr>
        <w:t>Amérique) et la vice-présidence de M</w:t>
      </w:r>
      <w:r w:rsidR="009C65BB" w:rsidRPr="004D0A2C">
        <w:rPr>
          <w:lang w:val="fr-FR"/>
        </w:rPr>
        <w:t>.</w:t>
      </w:r>
      <w:r w:rsidR="00D734CE" w:rsidRPr="004D0A2C">
        <w:rPr>
          <w:lang w:val="fr-FR"/>
        </w:rPr>
        <w:t> </w:t>
      </w:r>
      <w:r w:rsidRPr="004D0A2C">
        <w:rPr>
          <w:lang w:val="fr-FR"/>
        </w:rPr>
        <w:t>C</w:t>
      </w:r>
      <w:r w:rsidR="009C65BB" w:rsidRPr="004D0A2C">
        <w:rPr>
          <w:lang w:val="fr-FR"/>
        </w:rPr>
        <w:t>.</w:t>
      </w:r>
      <w:r w:rsidR="00D734CE" w:rsidRPr="004D0A2C">
        <w:rPr>
          <w:lang w:val="fr-FR"/>
        </w:rPr>
        <w:t> </w:t>
      </w:r>
      <w:r w:rsidRPr="004D0A2C">
        <w:rPr>
          <w:lang w:val="fr-FR"/>
        </w:rPr>
        <w:t>Pfauvadel (France)</w:t>
      </w:r>
      <w:r w:rsidR="009C65BB" w:rsidRPr="004D0A2C">
        <w:rPr>
          <w:lang w:val="fr-FR"/>
        </w:rPr>
        <w:t>.</w:t>
      </w:r>
    </w:p>
    <w:p w14:paraId="182AF6A9" w14:textId="2CA54017" w:rsidR="006F26A8" w:rsidRPr="004D0A2C" w:rsidRDefault="006F26A8" w:rsidP="00BA543F">
      <w:pPr>
        <w:pStyle w:val="SingleTxtG"/>
        <w:rPr>
          <w:lang w:val="fr-FR"/>
        </w:rPr>
      </w:pPr>
      <w:r w:rsidRPr="004D0A2C">
        <w:rPr>
          <w:lang w:val="fr-FR"/>
        </w:rPr>
        <w:t>2</w:t>
      </w:r>
      <w:r w:rsidR="009C65BB" w:rsidRPr="004D0A2C">
        <w:rPr>
          <w:lang w:val="fr-FR"/>
        </w:rPr>
        <w:t>.</w:t>
      </w:r>
      <w:r w:rsidRPr="004D0A2C">
        <w:rPr>
          <w:lang w:val="fr-FR"/>
        </w:rPr>
        <w:tab/>
        <w:t>Ont participé à cette session des expert(e)s des pays suivants</w:t>
      </w:r>
      <w:r w:rsidR="00AD27B0" w:rsidRPr="004D0A2C">
        <w:rPr>
          <w:lang w:val="fr-FR"/>
        </w:rPr>
        <w:t> :</w:t>
      </w:r>
      <w:r w:rsidRPr="004D0A2C">
        <w:rPr>
          <w:lang w:val="fr-FR"/>
        </w:rPr>
        <w:t xml:space="preserve"> Afrique du Sud, Allemagne, Australie, Autriche, Belgique, Brésil, Canada, Chine, Espagne, États-Unis d</w:t>
      </w:r>
      <w:r w:rsidR="00AD27B0" w:rsidRPr="004D0A2C">
        <w:rPr>
          <w:lang w:val="fr-FR"/>
        </w:rPr>
        <w:t>’</w:t>
      </w:r>
      <w:r w:rsidRPr="004D0A2C">
        <w:rPr>
          <w:lang w:val="fr-FR"/>
        </w:rPr>
        <w:t xml:space="preserve">Amérique, Fédération de Russie, Finlande, France, Italie, Japon, </w:t>
      </w:r>
      <w:r w:rsidRPr="00FB0B06">
        <w:rPr>
          <w:lang w:val="fr-FR"/>
        </w:rPr>
        <w:t>Pays-Bas</w:t>
      </w:r>
      <w:r w:rsidR="00FB0B06">
        <w:rPr>
          <w:lang w:val="fr-FR"/>
        </w:rPr>
        <w:t xml:space="preserve"> (Royaume des)</w:t>
      </w:r>
      <w:r w:rsidRPr="004D0A2C">
        <w:rPr>
          <w:lang w:val="fr-FR"/>
        </w:rPr>
        <w:t>, Pologne, République de Corée, Royaume-Uni, Suède et Suisse</w:t>
      </w:r>
      <w:r w:rsidR="009C65BB" w:rsidRPr="004D0A2C">
        <w:rPr>
          <w:lang w:val="fr-FR"/>
        </w:rPr>
        <w:t>.</w:t>
      </w:r>
    </w:p>
    <w:p w14:paraId="43457A99" w14:textId="4B0B4BE5" w:rsidR="006F26A8" w:rsidRPr="004D0A2C" w:rsidRDefault="006F26A8" w:rsidP="00BA543F">
      <w:pPr>
        <w:pStyle w:val="SingleTxtG"/>
        <w:rPr>
          <w:lang w:val="fr-FR"/>
        </w:rPr>
      </w:pPr>
      <w:r w:rsidRPr="004D0A2C">
        <w:rPr>
          <w:lang w:val="fr-FR"/>
        </w:rPr>
        <w:t>3</w:t>
      </w:r>
      <w:r w:rsidR="009C65BB" w:rsidRPr="004D0A2C">
        <w:rPr>
          <w:lang w:val="fr-FR"/>
        </w:rPr>
        <w:t>.</w:t>
      </w:r>
      <w:r w:rsidRPr="004D0A2C">
        <w:rPr>
          <w:lang w:val="fr-FR"/>
        </w:rPr>
        <w:tab/>
        <w:t>Des observateurs du Luxembourg et de la Türkiye y ont également participé en application de l</w:t>
      </w:r>
      <w:r w:rsidR="00AD27B0" w:rsidRPr="004D0A2C">
        <w:rPr>
          <w:lang w:val="fr-FR"/>
        </w:rPr>
        <w:t>’</w:t>
      </w:r>
      <w:r w:rsidRPr="004D0A2C">
        <w:rPr>
          <w:lang w:val="fr-FR"/>
        </w:rPr>
        <w:t>article 72 du Règlement intérieur du Conseil économique et social</w:t>
      </w:r>
      <w:r w:rsidR="009C65BB" w:rsidRPr="004D0A2C">
        <w:rPr>
          <w:lang w:val="fr-FR"/>
        </w:rPr>
        <w:t>.</w:t>
      </w:r>
    </w:p>
    <w:p w14:paraId="5B7D2B2D" w14:textId="59B74749" w:rsidR="006F26A8" w:rsidRPr="004D0A2C" w:rsidRDefault="006F26A8" w:rsidP="00BA543F">
      <w:pPr>
        <w:pStyle w:val="SingleTxtG"/>
        <w:rPr>
          <w:lang w:val="fr-FR"/>
        </w:rPr>
      </w:pPr>
      <w:r w:rsidRPr="004D0A2C">
        <w:rPr>
          <w:lang w:val="fr-FR"/>
        </w:rPr>
        <w:t>4</w:t>
      </w:r>
      <w:r w:rsidR="009C65BB" w:rsidRPr="004D0A2C">
        <w:rPr>
          <w:lang w:val="fr-FR"/>
        </w:rPr>
        <w:t>.</w:t>
      </w:r>
      <w:r w:rsidRPr="004D0A2C">
        <w:rPr>
          <w:lang w:val="fr-FR"/>
        </w:rPr>
        <w:tab/>
        <w:t>L</w:t>
      </w:r>
      <w:r w:rsidR="00AD27B0" w:rsidRPr="004D0A2C">
        <w:rPr>
          <w:lang w:val="fr-FR"/>
        </w:rPr>
        <w:t>’</w:t>
      </w:r>
      <w:r w:rsidRPr="004D0A2C">
        <w:rPr>
          <w:lang w:val="fr-FR"/>
        </w:rPr>
        <w:t>Organisation intergouvernementale pour les transports internationaux ferroviaires (OTIF) était aussi représentée</w:t>
      </w:r>
      <w:r w:rsidR="009C65BB" w:rsidRPr="004D0A2C">
        <w:rPr>
          <w:lang w:val="fr-FR"/>
        </w:rPr>
        <w:t>.</w:t>
      </w:r>
    </w:p>
    <w:p w14:paraId="6BEE5741" w14:textId="03591774" w:rsidR="006F26A8" w:rsidRPr="004D0A2C" w:rsidRDefault="006F26A8" w:rsidP="00BA543F">
      <w:pPr>
        <w:pStyle w:val="SingleTxtG"/>
        <w:rPr>
          <w:lang w:val="fr-FR"/>
        </w:rPr>
      </w:pPr>
      <w:r w:rsidRPr="004D0A2C">
        <w:rPr>
          <w:lang w:val="fr-FR"/>
        </w:rPr>
        <w:t>5</w:t>
      </w:r>
      <w:r w:rsidR="009C65BB" w:rsidRPr="004D0A2C">
        <w:rPr>
          <w:lang w:val="fr-FR"/>
        </w:rPr>
        <w:t>.</w:t>
      </w:r>
      <w:r w:rsidRPr="004D0A2C">
        <w:rPr>
          <w:lang w:val="fr-FR"/>
        </w:rPr>
        <w:tab/>
        <w:t xml:space="preserve">Des représentantes et représentants </w:t>
      </w:r>
      <w:r w:rsidR="00E45521" w:rsidRPr="004D0A2C">
        <w:rPr>
          <w:lang w:val="fr-FR"/>
        </w:rPr>
        <w:t xml:space="preserve">de l’Organisation des Nations Unies pour l’alimentation et l’agriculture (FAO), </w:t>
      </w:r>
      <w:r w:rsidRPr="004D0A2C">
        <w:rPr>
          <w:lang w:val="fr-FR"/>
        </w:rPr>
        <w:t>de l</w:t>
      </w:r>
      <w:r w:rsidR="00AD27B0" w:rsidRPr="004D0A2C">
        <w:rPr>
          <w:lang w:val="fr-FR"/>
        </w:rPr>
        <w:t>’</w:t>
      </w:r>
      <w:r w:rsidRPr="004D0A2C">
        <w:rPr>
          <w:lang w:val="fr-FR"/>
        </w:rPr>
        <w:t>Organisation de l</w:t>
      </w:r>
      <w:r w:rsidR="00AD27B0" w:rsidRPr="004D0A2C">
        <w:rPr>
          <w:lang w:val="fr-FR"/>
        </w:rPr>
        <w:t>’</w:t>
      </w:r>
      <w:r w:rsidRPr="004D0A2C">
        <w:rPr>
          <w:lang w:val="fr-FR"/>
        </w:rPr>
        <w:t>aviation civile internationale (OACI), de l</w:t>
      </w:r>
      <w:r w:rsidR="00AD27B0" w:rsidRPr="004D0A2C">
        <w:rPr>
          <w:lang w:val="fr-FR"/>
        </w:rPr>
        <w:t>’</w:t>
      </w:r>
      <w:r w:rsidRPr="004D0A2C">
        <w:rPr>
          <w:lang w:val="fr-FR"/>
        </w:rPr>
        <w:t>Organisation maritime internationale (OMI) et de l</w:t>
      </w:r>
      <w:r w:rsidR="00AD27B0" w:rsidRPr="004D0A2C">
        <w:rPr>
          <w:lang w:val="fr-FR"/>
        </w:rPr>
        <w:t>’</w:t>
      </w:r>
      <w:r w:rsidRPr="004D0A2C">
        <w:rPr>
          <w:lang w:val="fr-FR"/>
        </w:rPr>
        <w:t>Organisation mondiale de la Santé (OMS) étaient également présents</w:t>
      </w:r>
      <w:r w:rsidR="009C65BB" w:rsidRPr="004D0A2C">
        <w:rPr>
          <w:lang w:val="fr-FR"/>
        </w:rPr>
        <w:t>.</w:t>
      </w:r>
    </w:p>
    <w:p w14:paraId="319646C2" w14:textId="5E7CEC6B" w:rsidR="006F26A8" w:rsidRPr="004D0A2C" w:rsidRDefault="006F26A8" w:rsidP="00BA543F">
      <w:pPr>
        <w:pStyle w:val="SingleTxtG"/>
        <w:rPr>
          <w:lang w:val="fr-FR"/>
        </w:rPr>
      </w:pPr>
      <w:r w:rsidRPr="004D0A2C">
        <w:rPr>
          <w:lang w:val="fr-FR"/>
        </w:rPr>
        <w:t>6</w:t>
      </w:r>
      <w:r w:rsidR="009C65BB" w:rsidRPr="004D0A2C">
        <w:rPr>
          <w:lang w:val="fr-FR"/>
        </w:rPr>
        <w:t>.</w:t>
      </w:r>
      <w:r w:rsidRPr="004D0A2C">
        <w:rPr>
          <w:lang w:val="fr-FR"/>
        </w:rPr>
        <w:tab/>
        <w:t>Des représentantes et représentants des organisations non gouvernementales suivantes ont participé aux débats sur les points intéressant leur organisation</w:t>
      </w:r>
      <w:r w:rsidR="00AD27B0" w:rsidRPr="004D0A2C">
        <w:rPr>
          <w:lang w:val="fr-FR"/>
        </w:rPr>
        <w:t> :</w:t>
      </w:r>
      <w:r w:rsidRPr="004D0A2C">
        <w:rPr>
          <w:lang w:val="fr-FR"/>
        </w:rPr>
        <w:t xml:space="preserve"> Advanced Rechargeable and Lithium Batteries Association (RECHARGE)</w:t>
      </w:r>
      <w:r w:rsidR="00AD27B0" w:rsidRPr="004D0A2C">
        <w:rPr>
          <w:lang w:val="fr-FR"/>
        </w:rPr>
        <w:t> ;</w:t>
      </w:r>
      <w:r w:rsidRPr="004D0A2C">
        <w:rPr>
          <w:lang w:val="fr-FR"/>
        </w:rPr>
        <w:t xml:space="preserve"> Australasian Explosives Industry Safety Group (AEISG)</w:t>
      </w:r>
      <w:r w:rsidR="00AD27B0" w:rsidRPr="004D0A2C">
        <w:rPr>
          <w:lang w:val="fr-FR"/>
        </w:rPr>
        <w:t> ;</w:t>
      </w:r>
      <w:r w:rsidRPr="004D0A2C">
        <w:rPr>
          <w:lang w:val="fr-FR"/>
        </w:rPr>
        <w:t xml:space="preserve"> Compressed Gas Association (CGA)</w:t>
      </w:r>
      <w:r w:rsidR="00AD27B0" w:rsidRPr="004D0A2C">
        <w:rPr>
          <w:lang w:val="fr-FR"/>
        </w:rPr>
        <w:t> ;</w:t>
      </w:r>
      <w:r w:rsidRPr="004D0A2C">
        <w:rPr>
          <w:lang w:val="fr-FR"/>
        </w:rPr>
        <w:t xml:space="preserve"> Council on Safe Transportation of Hazardous Articles (COSTHA)</w:t>
      </w:r>
      <w:r w:rsidR="00AD27B0" w:rsidRPr="004D0A2C">
        <w:rPr>
          <w:lang w:val="fr-FR"/>
        </w:rPr>
        <w:t> ;</w:t>
      </w:r>
      <w:r w:rsidRPr="004D0A2C">
        <w:rPr>
          <w:lang w:val="fr-FR"/>
        </w:rPr>
        <w:t xml:space="preserve"> Conseil consultatif des marchandises dangereuses (DGAC)</w:t>
      </w:r>
      <w:r w:rsidR="00AD27B0" w:rsidRPr="004D0A2C">
        <w:rPr>
          <w:lang w:val="fr-FR"/>
        </w:rPr>
        <w:t> ;</w:t>
      </w:r>
      <w:r w:rsidRPr="004D0A2C">
        <w:rPr>
          <w:lang w:val="fr-FR"/>
        </w:rPr>
        <w:t xml:space="preserve"> Dangerous Goods Trainers Association (DGTA)</w:t>
      </w:r>
      <w:r w:rsidR="00AD27B0" w:rsidRPr="004D0A2C">
        <w:rPr>
          <w:lang w:val="fr-FR"/>
        </w:rPr>
        <w:t> ;</w:t>
      </w:r>
      <w:r w:rsidRPr="004D0A2C">
        <w:rPr>
          <w:lang w:val="fr-FR"/>
        </w:rPr>
        <w:t xml:space="preserve"> European Chemical Industry Council (Cefic)</w:t>
      </w:r>
      <w:r w:rsidR="00AD27B0" w:rsidRPr="004D0A2C">
        <w:rPr>
          <w:lang w:val="fr-FR"/>
        </w:rPr>
        <w:t> ;</w:t>
      </w:r>
      <w:r w:rsidRPr="004D0A2C">
        <w:rPr>
          <w:lang w:val="fr-FR"/>
        </w:rPr>
        <w:t xml:space="preserve"> Conférence européenne des négociants en combustibles et carburants (ECFD)</w:t>
      </w:r>
      <w:r w:rsidR="00AD27B0" w:rsidRPr="004D0A2C">
        <w:rPr>
          <w:lang w:val="fr-FR"/>
        </w:rPr>
        <w:t> ;</w:t>
      </w:r>
      <w:r w:rsidRPr="004D0A2C">
        <w:rPr>
          <w:lang w:val="fr-FR"/>
        </w:rPr>
        <w:t xml:space="preserve"> Association européenne des gaz industriels (EIGA)</w:t>
      </w:r>
      <w:r w:rsidR="00AD27B0" w:rsidRPr="004D0A2C">
        <w:rPr>
          <w:lang w:val="fr-FR"/>
        </w:rPr>
        <w:t> ;</w:t>
      </w:r>
      <w:r w:rsidRPr="004D0A2C">
        <w:rPr>
          <w:lang w:val="fr-FR"/>
        </w:rPr>
        <w:t xml:space="preserve"> Institute of Makers of Explosives (IME)</w:t>
      </w:r>
      <w:r w:rsidR="00AD27B0" w:rsidRPr="004D0A2C">
        <w:rPr>
          <w:lang w:val="fr-FR"/>
        </w:rPr>
        <w:t> ;</w:t>
      </w:r>
      <w:r w:rsidRPr="004D0A2C">
        <w:rPr>
          <w:lang w:val="fr-FR"/>
        </w:rPr>
        <w:t xml:space="preserve"> International Confederation of Intermediate Bulk Container Associations (ICIBCA)</w:t>
      </w:r>
      <w:r w:rsidR="00AD27B0" w:rsidRPr="004D0A2C">
        <w:rPr>
          <w:lang w:val="fr-FR"/>
        </w:rPr>
        <w:t> ;</w:t>
      </w:r>
      <w:r w:rsidRPr="004D0A2C">
        <w:rPr>
          <w:lang w:val="fr-FR"/>
        </w:rPr>
        <w:t xml:space="preserve"> International Confederation of Plastics Packaging Manufacturers (ICPP)</w:t>
      </w:r>
      <w:r w:rsidR="00AD27B0" w:rsidRPr="004D0A2C">
        <w:rPr>
          <w:lang w:val="fr-FR"/>
        </w:rPr>
        <w:t> ;</w:t>
      </w:r>
      <w:r w:rsidRPr="004D0A2C">
        <w:rPr>
          <w:lang w:val="fr-FR"/>
        </w:rPr>
        <w:t xml:space="preserve"> International Dangerous Goods and Containers Association (IDGCA)</w:t>
      </w:r>
      <w:r w:rsidR="00AD27B0" w:rsidRPr="004D0A2C">
        <w:rPr>
          <w:lang w:val="fr-FR"/>
        </w:rPr>
        <w:t> ;</w:t>
      </w:r>
      <w:r w:rsidRPr="004D0A2C">
        <w:rPr>
          <w:lang w:val="fr-FR"/>
        </w:rPr>
        <w:t xml:space="preserve"> Medical Device Transport Council (MDTC)</w:t>
      </w:r>
      <w:r w:rsidR="00AD27B0" w:rsidRPr="004D0A2C">
        <w:rPr>
          <w:lang w:val="fr-FR"/>
        </w:rPr>
        <w:t> ;</w:t>
      </w:r>
      <w:r w:rsidRPr="004D0A2C">
        <w:rPr>
          <w:lang w:val="fr-FR"/>
        </w:rPr>
        <w:t xml:space="preserve"> The Rechargeable Battery Association (PRBA)</w:t>
      </w:r>
      <w:r w:rsidR="00AD27B0" w:rsidRPr="004D0A2C">
        <w:rPr>
          <w:lang w:val="fr-FR"/>
        </w:rPr>
        <w:t> ;</w:t>
      </w:r>
      <w:r w:rsidRPr="004D0A2C">
        <w:rPr>
          <w:lang w:val="fr-FR"/>
        </w:rPr>
        <w:t xml:space="preserve"> Responsible Packaging Management Association of Southern Africa (RPMASA)</w:t>
      </w:r>
      <w:r w:rsidR="00AD27B0" w:rsidRPr="004D0A2C">
        <w:rPr>
          <w:lang w:val="fr-FR"/>
        </w:rPr>
        <w:t> ;</w:t>
      </w:r>
      <w:r w:rsidRPr="004D0A2C">
        <w:rPr>
          <w:lang w:val="fr-FR"/>
        </w:rPr>
        <w:t xml:space="preserve"> Sporting Arms and Ammunition Manufacturers</w:t>
      </w:r>
      <w:r w:rsidR="00AD27B0" w:rsidRPr="004D0A2C">
        <w:rPr>
          <w:lang w:val="fr-FR"/>
        </w:rPr>
        <w:t>’</w:t>
      </w:r>
      <w:r w:rsidRPr="004D0A2C">
        <w:rPr>
          <w:lang w:val="fr-FR"/>
        </w:rPr>
        <w:t xml:space="preserve"> Institute (SAAMI)</w:t>
      </w:r>
      <w:r w:rsidR="00AD27B0" w:rsidRPr="004D0A2C">
        <w:rPr>
          <w:lang w:val="fr-FR"/>
        </w:rPr>
        <w:t> ;</w:t>
      </w:r>
      <w:r w:rsidRPr="004D0A2C">
        <w:rPr>
          <w:lang w:val="fr-FR"/>
        </w:rPr>
        <w:t xml:space="preserve"> World Coatings Council (</w:t>
      </w:r>
      <w:r w:rsidR="0017430E" w:rsidRPr="004D0A2C">
        <w:rPr>
          <w:lang w:val="fr-FR"/>
        </w:rPr>
        <w:t xml:space="preserve">WCC, </w:t>
      </w:r>
      <w:r w:rsidRPr="004D0A2C">
        <w:rPr>
          <w:lang w:val="fr-FR"/>
        </w:rPr>
        <w:t>anciennement IPPIC)</w:t>
      </w:r>
      <w:r w:rsidR="00AD27B0" w:rsidRPr="004D0A2C">
        <w:rPr>
          <w:lang w:val="fr-FR"/>
        </w:rPr>
        <w:t> ;</w:t>
      </w:r>
      <w:r w:rsidRPr="004D0A2C">
        <w:rPr>
          <w:lang w:val="fr-FR"/>
        </w:rPr>
        <w:t xml:space="preserve"> World LPG Association (WLPGA)</w:t>
      </w:r>
      <w:r w:rsidR="009C65BB" w:rsidRPr="004D0A2C">
        <w:rPr>
          <w:lang w:val="fr-FR"/>
        </w:rPr>
        <w:t>.</w:t>
      </w:r>
    </w:p>
    <w:p w14:paraId="6D255AEA" w14:textId="3D5B1417" w:rsidR="006F26A8" w:rsidRPr="004D0A2C" w:rsidRDefault="006F26A8" w:rsidP="00BA543F">
      <w:pPr>
        <w:pStyle w:val="HChG"/>
        <w:rPr>
          <w:lang w:val="fr-FR"/>
        </w:rPr>
      </w:pPr>
      <w:r w:rsidRPr="004D0A2C">
        <w:rPr>
          <w:lang w:val="fr-FR"/>
        </w:rPr>
        <w:tab/>
        <w:t>II</w:t>
      </w:r>
      <w:r w:rsidR="009C65BB" w:rsidRPr="004D0A2C">
        <w:rPr>
          <w:lang w:val="fr-FR"/>
        </w:rPr>
        <w:t>.</w:t>
      </w:r>
      <w:r w:rsidRPr="004D0A2C">
        <w:rPr>
          <w:lang w:val="fr-FR"/>
        </w:rPr>
        <w:tab/>
        <w:t>Questions d</w:t>
      </w:r>
      <w:r w:rsidR="00AD27B0" w:rsidRPr="004D0A2C">
        <w:rPr>
          <w:lang w:val="fr-FR"/>
        </w:rPr>
        <w:t>’</w:t>
      </w:r>
      <w:r w:rsidRPr="004D0A2C">
        <w:rPr>
          <w:lang w:val="fr-FR"/>
        </w:rPr>
        <w:t>organisation</w:t>
      </w:r>
    </w:p>
    <w:p w14:paraId="4D1DA610" w14:textId="312CE43C" w:rsidR="006F26A8" w:rsidRPr="004D0A2C" w:rsidRDefault="006F26A8" w:rsidP="001C0985">
      <w:pPr>
        <w:pStyle w:val="SingleTxtG"/>
        <w:tabs>
          <w:tab w:val="clear" w:pos="1701"/>
          <w:tab w:val="clear" w:pos="2268"/>
          <w:tab w:val="clear" w:pos="2835"/>
          <w:tab w:val="left" w:pos="2977"/>
        </w:tabs>
        <w:spacing w:after="100"/>
        <w:ind w:left="2977" w:hanging="1843"/>
        <w:rPr>
          <w:lang w:val="fr-FR"/>
        </w:rPr>
      </w:pPr>
      <w:bookmarkStart w:id="0" w:name="_Hlk12873213"/>
      <w:r w:rsidRPr="004D0A2C">
        <w:rPr>
          <w:i/>
          <w:iCs/>
          <w:lang w:val="fr-FR"/>
        </w:rPr>
        <w:t>Document informel</w:t>
      </w:r>
      <w:r w:rsidR="00AD27B0" w:rsidRPr="004D0A2C">
        <w:rPr>
          <w:i/>
          <w:iCs/>
          <w:lang w:val="fr-FR"/>
        </w:rPr>
        <w:t> </w:t>
      </w:r>
      <w:r w:rsidR="005F36F6" w:rsidRPr="004D0A2C">
        <w:rPr>
          <w:iCs/>
          <w:lang w:val="fr-FR"/>
        </w:rPr>
        <w:t>:</w:t>
      </w:r>
      <w:r w:rsidR="00BA543F" w:rsidRPr="004D0A2C">
        <w:rPr>
          <w:lang w:val="fr-FR"/>
        </w:rPr>
        <w:tab/>
      </w:r>
      <w:r w:rsidRPr="004D0A2C">
        <w:rPr>
          <w:lang w:val="fr-FR"/>
        </w:rPr>
        <w:t>INF</w:t>
      </w:r>
      <w:r w:rsidR="009C65BB" w:rsidRPr="004D0A2C">
        <w:rPr>
          <w:lang w:val="fr-FR"/>
        </w:rPr>
        <w:t>.</w:t>
      </w:r>
      <w:r w:rsidRPr="004D0A2C">
        <w:rPr>
          <w:lang w:val="fr-FR"/>
        </w:rPr>
        <w:t>12 (Accreditation, registration, working arrangements and provisional timetable)</w:t>
      </w:r>
    </w:p>
    <w:p w14:paraId="057892C0" w14:textId="0AECF3CB" w:rsidR="006F26A8" w:rsidRPr="004D0A2C" w:rsidRDefault="006F26A8" w:rsidP="001C0985">
      <w:pPr>
        <w:pStyle w:val="SingleTxtG"/>
        <w:spacing w:after="100"/>
        <w:rPr>
          <w:lang w:val="fr-FR"/>
        </w:rPr>
      </w:pPr>
      <w:r w:rsidRPr="004D0A2C">
        <w:rPr>
          <w:lang w:val="fr-FR"/>
        </w:rPr>
        <w:t>7</w:t>
      </w:r>
      <w:r w:rsidR="009C65BB" w:rsidRPr="004D0A2C">
        <w:rPr>
          <w:lang w:val="fr-FR"/>
        </w:rPr>
        <w:t>.</w:t>
      </w:r>
      <w:r w:rsidRPr="004D0A2C">
        <w:rPr>
          <w:lang w:val="fr-FR"/>
        </w:rPr>
        <w:tab/>
        <w:t>Comme annoncé à la précédente session du Sous-Comité et compte tenu de la reprise mondiale à la suite de la pandémie de COVID-19, l</w:t>
      </w:r>
      <w:r w:rsidR="00AD27B0" w:rsidRPr="004D0A2C">
        <w:rPr>
          <w:lang w:val="fr-FR"/>
        </w:rPr>
        <w:t>’</w:t>
      </w:r>
      <w:r w:rsidRPr="004D0A2C">
        <w:rPr>
          <w:lang w:val="fr-FR"/>
        </w:rPr>
        <w:t>Office des Nations Unies à Genève est revenu à l</w:t>
      </w:r>
      <w:r w:rsidR="00AD27B0" w:rsidRPr="004D0A2C">
        <w:rPr>
          <w:lang w:val="fr-FR"/>
        </w:rPr>
        <w:t>’</w:t>
      </w:r>
      <w:r w:rsidRPr="004D0A2C">
        <w:rPr>
          <w:lang w:val="fr-FR"/>
        </w:rPr>
        <w:t>organisation de réunions en présentiel</w:t>
      </w:r>
      <w:r w:rsidR="009C65BB" w:rsidRPr="004D0A2C">
        <w:rPr>
          <w:lang w:val="fr-FR"/>
        </w:rPr>
        <w:t>.</w:t>
      </w:r>
      <w:r w:rsidRPr="004D0A2C">
        <w:rPr>
          <w:lang w:val="fr-FR"/>
        </w:rPr>
        <w:t xml:space="preserve"> Ainsi, la soixante-deuxième session du Sous-Comité s</w:t>
      </w:r>
      <w:r w:rsidR="00AD27B0" w:rsidRPr="004D0A2C">
        <w:rPr>
          <w:lang w:val="fr-FR"/>
        </w:rPr>
        <w:t>’</w:t>
      </w:r>
      <w:r w:rsidRPr="004D0A2C">
        <w:rPr>
          <w:lang w:val="fr-FR"/>
        </w:rPr>
        <w:t>est à nouveau tenue en présentiel uniquement</w:t>
      </w:r>
      <w:r w:rsidR="009C65BB" w:rsidRPr="004D0A2C">
        <w:rPr>
          <w:lang w:val="fr-FR"/>
        </w:rPr>
        <w:t>.</w:t>
      </w:r>
      <w:r w:rsidRPr="004D0A2C">
        <w:rPr>
          <w:lang w:val="fr-FR"/>
        </w:rPr>
        <w:t xml:space="preserve"> Dans ce contexte, les membres du Bureau du Sous-Comité se sont mis d</w:t>
      </w:r>
      <w:r w:rsidR="00AD27B0" w:rsidRPr="004D0A2C">
        <w:rPr>
          <w:lang w:val="fr-FR"/>
        </w:rPr>
        <w:t>’</w:t>
      </w:r>
      <w:r w:rsidRPr="004D0A2C">
        <w:rPr>
          <w:lang w:val="fr-FR"/>
        </w:rPr>
        <w:t>accord sur le déroulement de la soixante-deuxième session, comme indiqué dans le document informel INF</w:t>
      </w:r>
      <w:r w:rsidR="009C65BB" w:rsidRPr="004D0A2C">
        <w:rPr>
          <w:lang w:val="fr-FR"/>
        </w:rPr>
        <w:t>.</w:t>
      </w:r>
      <w:r w:rsidRPr="004D0A2C">
        <w:rPr>
          <w:lang w:val="fr-FR"/>
        </w:rPr>
        <w:t>12</w:t>
      </w:r>
      <w:r w:rsidR="009C65BB" w:rsidRPr="004D0A2C">
        <w:rPr>
          <w:lang w:val="fr-FR"/>
        </w:rPr>
        <w:t>.</w:t>
      </w:r>
    </w:p>
    <w:p w14:paraId="7DA2888B" w14:textId="5EBEFEB2" w:rsidR="006F26A8" w:rsidRPr="004D0A2C" w:rsidRDefault="006F26A8" w:rsidP="001C0985">
      <w:pPr>
        <w:pStyle w:val="SingleTxtG"/>
        <w:spacing w:after="100"/>
        <w:rPr>
          <w:lang w:val="fr-FR"/>
        </w:rPr>
      </w:pPr>
      <w:r w:rsidRPr="004D0A2C">
        <w:rPr>
          <w:lang w:val="fr-FR"/>
        </w:rPr>
        <w:t>8</w:t>
      </w:r>
      <w:r w:rsidR="009C65BB" w:rsidRPr="004D0A2C">
        <w:rPr>
          <w:lang w:val="fr-FR"/>
        </w:rPr>
        <w:t>.</w:t>
      </w:r>
      <w:r w:rsidRPr="004D0A2C">
        <w:rPr>
          <w:lang w:val="fr-FR"/>
        </w:rPr>
        <w:tab/>
        <w:t>La Division de la gestion des conférences (DCM) de l</w:t>
      </w:r>
      <w:r w:rsidR="00AD27B0" w:rsidRPr="004D0A2C">
        <w:rPr>
          <w:lang w:val="fr-FR"/>
        </w:rPr>
        <w:t>’</w:t>
      </w:r>
      <w:r w:rsidRPr="004D0A2C">
        <w:rPr>
          <w:lang w:val="fr-FR"/>
        </w:rPr>
        <w:t>Office des Nations Unies à Genève a invité de nouveau le Sous-Comité à répondre à une enquête en ligne sur la qualité des services de conférence fournis durant la session</w:t>
      </w:r>
      <w:r w:rsidRPr="004D0A2C">
        <w:rPr>
          <w:rStyle w:val="FootnoteReference"/>
          <w:lang w:val="fr-FR"/>
        </w:rPr>
        <w:footnoteReference w:id="3"/>
      </w:r>
      <w:r w:rsidR="009C65BB" w:rsidRPr="004D0A2C">
        <w:rPr>
          <w:lang w:val="fr-FR"/>
        </w:rPr>
        <w:t>.</w:t>
      </w:r>
    </w:p>
    <w:p w14:paraId="5F5D308F" w14:textId="130AD5EE" w:rsidR="006F26A8" w:rsidRPr="004D0A2C" w:rsidRDefault="006F26A8" w:rsidP="00FF7E63">
      <w:pPr>
        <w:pStyle w:val="SingleTxtG"/>
        <w:widowControl w:val="0"/>
        <w:rPr>
          <w:lang w:val="fr-FR"/>
        </w:rPr>
      </w:pPr>
      <w:r w:rsidRPr="004D0A2C">
        <w:rPr>
          <w:lang w:val="fr-FR"/>
        </w:rPr>
        <w:t>9</w:t>
      </w:r>
      <w:r w:rsidR="009C65BB" w:rsidRPr="004D0A2C">
        <w:rPr>
          <w:lang w:val="fr-FR"/>
        </w:rPr>
        <w:t>.</w:t>
      </w:r>
      <w:r w:rsidRPr="004D0A2C">
        <w:rPr>
          <w:lang w:val="fr-FR"/>
        </w:rPr>
        <w:tab/>
        <w:t>Le Sous-Comité a déploré que sa session ait commencé avec un retard considérable, en raison des difficultés rencontrées par de nombreux représentants pour obtenir leur badge auprès de la Section de la sécurité et de la sûreté de l</w:t>
      </w:r>
      <w:r w:rsidR="00AD27B0" w:rsidRPr="004D0A2C">
        <w:rPr>
          <w:lang w:val="fr-FR"/>
        </w:rPr>
        <w:t>’</w:t>
      </w:r>
      <w:r w:rsidRPr="004D0A2C">
        <w:rPr>
          <w:lang w:val="fr-FR"/>
        </w:rPr>
        <w:t>ONUG</w:t>
      </w:r>
      <w:r w:rsidR="009C65BB" w:rsidRPr="004D0A2C">
        <w:rPr>
          <w:lang w:val="fr-FR"/>
        </w:rPr>
        <w:t>.</w:t>
      </w:r>
      <w:r w:rsidRPr="004D0A2C">
        <w:rPr>
          <w:lang w:val="fr-FR"/>
        </w:rPr>
        <w:t xml:space="preserve"> Il a été relevé que le groupe de travail informel avait également commencé ses travaux en retard en raison du manque de grandes salles disponibles au Palais des Nations et des problèmes techniques de connexion à distance dans les petites salles qui avaient été réservées</w:t>
      </w:r>
      <w:r w:rsidR="009C65BB" w:rsidRPr="004D0A2C">
        <w:rPr>
          <w:lang w:val="fr-FR"/>
        </w:rPr>
        <w:t>.</w:t>
      </w:r>
    </w:p>
    <w:bookmarkEnd w:id="0"/>
    <w:p w14:paraId="151CC5BA" w14:textId="09A2F439" w:rsidR="006F26A8" w:rsidRPr="004D0A2C" w:rsidRDefault="006F26A8" w:rsidP="00BA543F">
      <w:pPr>
        <w:pStyle w:val="HChG"/>
        <w:rPr>
          <w:lang w:val="fr-FR"/>
        </w:rPr>
      </w:pPr>
      <w:r w:rsidRPr="004D0A2C">
        <w:rPr>
          <w:lang w:val="fr-FR"/>
        </w:rPr>
        <w:lastRenderedPageBreak/>
        <w:tab/>
        <w:t>III</w:t>
      </w:r>
      <w:r w:rsidR="009C65BB" w:rsidRPr="004D0A2C">
        <w:rPr>
          <w:lang w:val="fr-FR"/>
        </w:rPr>
        <w:t>.</w:t>
      </w:r>
      <w:r w:rsidRPr="004D0A2C">
        <w:rPr>
          <w:lang w:val="fr-FR"/>
        </w:rPr>
        <w:tab/>
        <w:t>Adoption de l</w:t>
      </w:r>
      <w:r w:rsidR="00AD27B0" w:rsidRPr="004D0A2C">
        <w:rPr>
          <w:lang w:val="fr-FR"/>
        </w:rPr>
        <w:t>’</w:t>
      </w:r>
      <w:r w:rsidRPr="004D0A2C">
        <w:rPr>
          <w:lang w:val="fr-FR"/>
        </w:rPr>
        <w:t>ordre du jour (point 1 de l</w:t>
      </w:r>
      <w:r w:rsidR="00AD27B0" w:rsidRPr="004D0A2C">
        <w:rPr>
          <w:lang w:val="fr-FR"/>
        </w:rPr>
        <w:t>’</w:t>
      </w:r>
      <w:r w:rsidRPr="004D0A2C">
        <w:rPr>
          <w:lang w:val="fr-FR"/>
        </w:rPr>
        <w:t>ordre du jour)</w:t>
      </w:r>
    </w:p>
    <w:p w14:paraId="0BDA3A01" w14:textId="37546B3E" w:rsidR="006F26A8" w:rsidRPr="004D0A2C" w:rsidRDefault="006F26A8" w:rsidP="00F24A5D">
      <w:pPr>
        <w:pStyle w:val="SingleTxtG"/>
        <w:tabs>
          <w:tab w:val="clear" w:pos="1701"/>
          <w:tab w:val="clear" w:pos="2268"/>
          <w:tab w:val="clear" w:pos="2835"/>
          <w:tab w:val="left" w:pos="2977"/>
        </w:tabs>
        <w:ind w:left="2977" w:hanging="1843"/>
        <w:jc w:val="left"/>
        <w:rPr>
          <w:lang w:val="fr-FR"/>
        </w:rPr>
      </w:pPr>
      <w:r w:rsidRPr="004D0A2C">
        <w:rPr>
          <w:i/>
          <w:iCs/>
          <w:lang w:val="fr-FR"/>
        </w:rPr>
        <w:t>Documents</w:t>
      </w:r>
      <w:r w:rsidR="00AD27B0" w:rsidRPr="004D0A2C">
        <w:rPr>
          <w:lang w:val="fr-FR"/>
        </w:rPr>
        <w:t> :</w:t>
      </w:r>
      <w:r w:rsidRPr="004D0A2C">
        <w:rPr>
          <w:lang w:val="fr-FR"/>
        </w:rPr>
        <w:tab/>
      </w:r>
      <w:hyperlink r:id="rId11" w:history="1">
        <w:r w:rsidR="004F62B2">
          <w:rPr>
            <w:rStyle w:val="Hyperlink"/>
            <w:lang w:val="fr-FR"/>
          </w:rPr>
          <w:t>ST/SG/AC.10/C.3/123</w:t>
        </w:r>
      </w:hyperlink>
      <w:r w:rsidRPr="004D0A2C">
        <w:rPr>
          <w:lang w:val="fr-FR"/>
        </w:rPr>
        <w:t xml:space="preserve"> (Ordre du jour provisoire)</w:t>
      </w:r>
      <w:r w:rsidR="00F24A5D" w:rsidRPr="004D0A2C">
        <w:rPr>
          <w:lang w:val="fr-FR"/>
        </w:rPr>
        <w:br/>
      </w:r>
      <w:hyperlink r:id="rId12" w:history="1">
        <w:r w:rsidR="004F62B2">
          <w:rPr>
            <w:rStyle w:val="Hyperlink"/>
            <w:lang w:val="fr-FR"/>
          </w:rPr>
          <w:t>ST/SG/AC.10/C.3/123/Add.1</w:t>
        </w:r>
      </w:hyperlink>
      <w:r w:rsidRPr="004D0A2C">
        <w:rPr>
          <w:lang w:val="fr-FR"/>
        </w:rPr>
        <w:t xml:space="preserve"> (Liste des documents et annotations)</w:t>
      </w:r>
    </w:p>
    <w:p w14:paraId="4DEFEC23" w14:textId="09E23FDA" w:rsidR="006F26A8" w:rsidRPr="004D0A2C" w:rsidRDefault="006F26A8" w:rsidP="000D6293">
      <w:pPr>
        <w:pStyle w:val="SingleTxtG"/>
        <w:tabs>
          <w:tab w:val="clear" w:pos="1701"/>
          <w:tab w:val="clear" w:pos="2268"/>
          <w:tab w:val="clear" w:pos="2835"/>
          <w:tab w:val="left" w:pos="2977"/>
        </w:tabs>
        <w:spacing w:after="0"/>
        <w:ind w:left="2977" w:hanging="1843"/>
        <w:rPr>
          <w:lang w:val="fr-FR"/>
        </w:rPr>
      </w:pPr>
      <w:r w:rsidRPr="004D0A2C">
        <w:rPr>
          <w:i/>
          <w:iCs/>
          <w:lang w:val="fr-FR"/>
        </w:rPr>
        <w:t>Documents informels</w:t>
      </w:r>
      <w:r w:rsidR="00AD27B0" w:rsidRPr="004D0A2C">
        <w:rPr>
          <w:lang w:val="fr-FR"/>
        </w:rPr>
        <w:t> :</w:t>
      </w:r>
      <w:r w:rsidR="00684F9C" w:rsidRPr="004D0A2C">
        <w:rPr>
          <w:lang w:val="fr-FR"/>
        </w:rPr>
        <w:tab/>
      </w:r>
      <w:r w:rsidRPr="004D0A2C">
        <w:rPr>
          <w:lang w:val="fr-FR"/>
        </w:rPr>
        <w:t>INF</w:t>
      </w:r>
      <w:r w:rsidR="009C65BB" w:rsidRPr="004D0A2C">
        <w:rPr>
          <w:lang w:val="fr-FR"/>
        </w:rPr>
        <w:t>.</w:t>
      </w:r>
      <w:r w:rsidRPr="004D0A2C">
        <w:rPr>
          <w:lang w:val="fr-FR"/>
        </w:rPr>
        <w:t>1 et INF</w:t>
      </w:r>
      <w:r w:rsidR="009C65BB" w:rsidRPr="004D0A2C">
        <w:rPr>
          <w:lang w:val="fr-FR"/>
        </w:rPr>
        <w:t>.</w:t>
      </w:r>
      <w:r w:rsidRPr="004D0A2C">
        <w:rPr>
          <w:lang w:val="fr-FR"/>
        </w:rPr>
        <w:t>2 (List of documents)</w:t>
      </w:r>
    </w:p>
    <w:p w14:paraId="0842E844" w14:textId="05657683" w:rsidR="006F26A8" w:rsidRPr="003C6342" w:rsidRDefault="00BB5AE1" w:rsidP="00684F9C">
      <w:pPr>
        <w:pStyle w:val="SingleTxtG"/>
        <w:tabs>
          <w:tab w:val="clear" w:pos="1701"/>
          <w:tab w:val="clear" w:pos="2268"/>
          <w:tab w:val="clear" w:pos="2835"/>
          <w:tab w:val="left" w:pos="2977"/>
        </w:tabs>
        <w:ind w:left="2977" w:hanging="1843"/>
        <w:rPr>
          <w:lang w:val="en-US"/>
        </w:rPr>
      </w:pPr>
      <w:r w:rsidRPr="004D0A2C">
        <w:rPr>
          <w:lang w:val="fr-FR"/>
        </w:rPr>
        <w:tab/>
      </w:r>
      <w:r w:rsidR="006F26A8" w:rsidRPr="003C6342">
        <w:rPr>
          <w:lang w:val="en-US"/>
        </w:rPr>
        <w:t>INF</w:t>
      </w:r>
      <w:r w:rsidR="009C65BB" w:rsidRPr="003C6342">
        <w:rPr>
          <w:lang w:val="en-US"/>
        </w:rPr>
        <w:t>.</w:t>
      </w:r>
      <w:r w:rsidR="006F26A8" w:rsidRPr="003C6342">
        <w:rPr>
          <w:lang w:val="en-US"/>
        </w:rPr>
        <w:t>40 (Reception by non-governmental organizations)</w:t>
      </w:r>
    </w:p>
    <w:p w14:paraId="09D51B40" w14:textId="2BF4E969" w:rsidR="006F26A8" w:rsidRPr="004D0A2C" w:rsidRDefault="006F26A8" w:rsidP="00BA543F">
      <w:pPr>
        <w:pStyle w:val="SingleTxtG"/>
        <w:rPr>
          <w:lang w:val="fr-FR"/>
        </w:rPr>
      </w:pPr>
      <w:r w:rsidRPr="004D0A2C">
        <w:rPr>
          <w:lang w:val="fr-FR"/>
        </w:rPr>
        <w:t>10</w:t>
      </w:r>
      <w:r w:rsidR="009C65BB" w:rsidRPr="004D0A2C">
        <w:rPr>
          <w:lang w:val="fr-FR"/>
        </w:rPr>
        <w:t>.</w:t>
      </w:r>
      <w:r w:rsidRPr="004D0A2C">
        <w:rPr>
          <w:lang w:val="fr-FR"/>
        </w:rPr>
        <w:tab/>
        <w:t>Le Sous-Comité a adopté l</w:t>
      </w:r>
      <w:r w:rsidR="00AD27B0" w:rsidRPr="004D0A2C">
        <w:rPr>
          <w:lang w:val="fr-FR"/>
        </w:rPr>
        <w:t>’</w:t>
      </w:r>
      <w:r w:rsidRPr="004D0A2C">
        <w:rPr>
          <w:lang w:val="fr-FR"/>
        </w:rPr>
        <w:t>ordre du jour provisoire établi par le secrétariat après l</w:t>
      </w:r>
      <w:r w:rsidR="00AD27B0" w:rsidRPr="004D0A2C">
        <w:rPr>
          <w:lang w:val="fr-FR"/>
        </w:rPr>
        <w:t>’</w:t>
      </w:r>
      <w:r w:rsidRPr="004D0A2C">
        <w:rPr>
          <w:lang w:val="fr-FR"/>
        </w:rPr>
        <w:t>avoir modifié afin de tenir compte des documents informels INF</w:t>
      </w:r>
      <w:r w:rsidR="009C65BB" w:rsidRPr="004D0A2C">
        <w:rPr>
          <w:lang w:val="fr-FR"/>
        </w:rPr>
        <w:t>.</w:t>
      </w:r>
      <w:r w:rsidRPr="004D0A2C">
        <w:rPr>
          <w:lang w:val="fr-FR"/>
        </w:rPr>
        <w:t>1 à INF</w:t>
      </w:r>
      <w:r w:rsidR="009C65BB" w:rsidRPr="004D0A2C">
        <w:rPr>
          <w:lang w:val="fr-FR"/>
        </w:rPr>
        <w:t>.</w:t>
      </w:r>
      <w:r w:rsidRPr="004D0A2C">
        <w:rPr>
          <w:lang w:val="fr-FR"/>
        </w:rPr>
        <w:t>47</w:t>
      </w:r>
      <w:r w:rsidR="009C65BB" w:rsidRPr="004D0A2C">
        <w:rPr>
          <w:lang w:val="fr-FR"/>
        </w:rPr>
        <w:t>.</w:t>
      </w:r>
    </w:p>
    <w:p w14:paraId="4F830F9C" w14:textId="4B1E68D7" w:rsidR="006F26A8" w:rsidRPr="004D0A2C" w:rsidRDefault="006F26A8" w:rsidP="00BA543F">
      <w:pPr>
        <w:pStyle w:val="SingleTxtG"/>
        <w:rPr>
          <w:spacing w:val="-2"/>
          <w:lang w:val="fr-FR"/>
        </w:rPr>
      </w:pPr>
      <w:r w:rsidRPr="004D0A2C">
        <w:rPr>
          <w:spacing w:val="-2"/>
          <w:lang w:val="fr-FR"/>
        </w:rPr>
        <w:t>11</w:t>
      </w:r>
      <w:r w:rsidR="009C65BB" w:rsidRPr="004D0A2C">
        <w:rPr>
          <w:spacing w:val="-2"/>
          <w:lang w:val="fr-FR"/>
        </w:rPr>
        <w:t>.</w:t>
      </w:r>
      <w:r w:rsidRPr="004D0A2C">
        <w:rPr>
          <w:spacing w:val="-2"/>
          <w:lang w:val="fr-FR"/>
        </w:rPr>
        <w:tab/>
        <w:t>À la demande de l</w:t>
      </w:r>
      <w:r w:rsidR="00AD27B0" w:rsidRPr="004D0A2C">
        <w:rPr>
          <w:spacing w:val="-2"/>
          <w:lang w:val="fr-FR"/>
        </w:rPr>
        <w:t>’</w:t>
      </w:r>
      <w:r w:rsidRPr="004D0A2C">
        <w:rPr>
          <w:spacing w:val="-2"/>
          <w:lang w:val="fr-FR"/>
        </w:rPr>
        <w:t>IATA et de l</w:t>
      </w:r>
      <w:r w:rsidR="00AD27B0" w:rsidRPr="004D0A2C">
        <w:rPr>
          <w:spacing w:val="-2"/>
          <w:lang w:val="fr-FR"/>
        </w:rPr>
        <w:t>’</w:t>
      </w:r>
      <w:r w:rsidRPr="004D0A2C">
        <w:rPr>
          <w:spacing w:val="-2"/>
          <w:lang w:val="fr-FR"/>
        </w:rPr>
        <w:t>ISO, le Sous-Comité a décidé de reporter à sa prochaine session l</w:t>
      </w:r>
      <w:r w:rsidR="00AD27B0" w:rsidRPr="004D0A2C">
        <w:rPr>
          <w:spacing w:val="-2"/>
          <w:lang w:val="fr-FR"/>
        </w:rPr>
        <w:t>’</w:t>
      </w:r>
      <w:r w:rsidRPr="004D0A2C">
        <w:rPr>
          <w:spacing w:val="-2"/>
          <w:lang w:val="fr-FR"/>
        </w:rPr>
        <w:t xml:space="preserve">examen des documents </w:t>
      </w:r>
      <w:hyperlink r:id="rId13" w:history="1">
        <w:r w:rsidR="004F62B2">
          <w:rPr>
            <w:rStyle w:val="Hyperlink"/>
            <w:spacing w:val="-2"/>
            <w:lang w:val="fr-FR"/>
          </w:rPr>
          <w:t>ST/SG/AC.10/C.3/2023/23</w:t>
        </w:r>
      </w:hyperlink>
      <w:r w:rsidRPr="004D0A2C">
        <w:rPr>
          <w:spacing w:val="-2"/>
          <w:lang w:val="fr-FR"/>
        </w:rPr>
        <w:t xml:space="preserve"> et </w:t>
      </w:r>
      <w:hyperlink r:id="rId14" w:history="1">
        <w:r w:rsidR="004F62B2">
          <w:rPr>
            <w:rStyle w:val="Hyperlink"/>
            <w:spacing w:val="-2"/>
            <w:lang w:val="fr-FR"/>
          </w:rPr>
          <w:t>ST/SG/AC.10/C.3/2023/24</w:t>
        </w:r>
      </w:hyperlink>
      <w:r w:rsidRPr="004D0A2C">
        <w:rPr>
          <w:spacing w:val="-2"/>
          <w:lang w:val="fr-FR"/>
        </w:rPr>
        <w:t xml:space="preserve"> (soumis au titre du point 4 f) de l</w:t>
      </w:r>
      <w:r w:rsidR="00AD27B0" w:rsidRPr="004D0A2C">
        <w:rPr>
          <w:spacing w:val="-2"/>
          <w:lang w:val="fr-FR"/>
        </w:rPr>
        <w:t>’</w:t>
      </w:r>
      <w:r w:rsidRPr="004D0A2C">
        <w:rPr>
          <w:spacing w:val="-2"/>
          <w:lang w:val="fr-FR"/>
        </w:rPr>
        <w:t xml:space="preserve">ordre du jour) ainsi que du document </w:t>
      </w:r>
      <w:hyperlink r:id="rId15" w:history="1">
        <w:r w:rsidR="004F62B2">
          <w:rPr>
            <w:rStyle w:val="Hyperlink"/>
            <w:spacing w:val="-2"/>
            <w:lang w:val="fr-FR"/>
          </w:rPr>
          <w:t>ST/SG/AC.10/C.3/2023/21</w:t>
        </w:r>
      </w:hyperlink>
      <w:r w:rsidRPr="004D0A2C">
        <w:rPr>
          <w:spacing w:val="-2"/>
          <w:lang w:val="fr-FR"/>
        </w:rPr>
        <w:t xml:space="preserve"> (soumis au titre du point 5 c) de l</w:t>
      </w:r>
      <w:r w:rsidR="00AD27B0" w:rsidRPr="004D0A2C">
        <w:rPr>
          <w:spacing w:val="-2"/>
          <w:lang w:val="fr-FR"/>
        </w:rPr>
        <w:t>’</w:t>
      </w:r>
      <w:r w:rsidRPr="004D0A2C">
        <w:rPr>
          <w:spacing w:val="-2"/>
          <w:lang w:val="fr-FR"/>
        </w:rPr>
        <w:t>ordre du jour)</w:t>
      </w:r>
      <w:r w:rsidR="009C65BB" w:rsidRPr="004D0A2C">
        <w:rPr>
          <w:spacing w:val="-2"/>
          <w:lang w:val="fr-FR"/>
        </w:rPr>
        <w:t>.</w:t>
      </w:r>
    </w:p>
    <w:p w14:paraId="71FAB7B3" w14:textId="3155E219" w:rsidR="006F26A8" w:rsidRPr="004D0A2C" w:rsidRDefault="006F26A8" w:rsidP="00BA543F">
      <w:pPr>
        <w:pStyle w:val="SingleTxtG"/>
        <w:rPr>
          <w:lang w:val="fr-FR"/>
        </w:rPr>
      </w:pPr>
      <w:r w:rsidRPr="004D0A2C">
        <w:rPr>
          <w:lang w:val="fr-FR"/>
        </w:rPr>
        <w:t>12</w:t>
      </w:r>
      <w:r w:rsidR="009C65BB" w:rsidRPr="004D0A2C">
        <w:rPr>
          <w:lang w:val="fr-FR"/>
        </w:rPr>
        <w:t>.</w:t>
      </w:r>
      <w:r w:rsidRPr="004D0A2C">
        <w:rPr>
          <w:lang w:val="fr-FR"/>
        </w:rPr>
        <w:tab/>
        <w:t>Le Sous-Comité a adopté l</w:t>
      </w:r>
      <w:r w:rsidR="00AD27B0" w:rsidRPr="004D0A2C">
        <w:rPr>
          <w:lang w:val="fr-FR"/>
        </w:rPr>
        <w:t>’</w:t>
      </w:r>
      <w:r w:rsidRPr="004D0A2C">
        <w:rPr>
          <w:lang w:val="fr-FR"/>
        </w:rPr>
        <w:t>ordre du jour provisoire annoté établi par le secrétariat, en tenant compte des documents informels (voir document informel INF</w:t>
      </w:r>
      <w:r w:rsidR="009C65BB" w:rsidRPr="004D0A2C">
        <w:rPr>
          <w:lang w:val="fr-FR"/>
        </w:rPr>
        <w:t>.</w:t>
      </w:r>
      <w:r w:rsidRPr="004D0A2C">
        <w:rPr>
          <w:lang w:val="fr-FR"/>
        </w:rPr>
        <w:t>2, tel que modifié)</w:t>
      </w:r>
      <w:r w:rsidR="009C65BB" w:rsidRPr="004D0A2C">
        <w:rPr>
          <w:lang w:val="fr-FR"/>
        </w:rPr>
        <w:t>.</w:t>
      </w:r>
    </w:p>
    <w:p w14:paraId="3A663AAD" w14:textId="77777777" w:rsidR="006F26A8" w:rsidRPr="004D0A2C" w:rsidRDefault="006F26A8" w:rsidP="00BA543F">
      <w:pPr>
        <w:pStyle w:val="H1G"/>
        <w:rPr>
          <w:lang w:val="fr-FR"/>
        </w:rPr>
      </w:pPr>
      <w:r w:rsidRPr="004D0A2C">
        <w:rPr>
          <w:lang w:val="fr-FR"/>
        </w:rPr>
        <w:tab/>
      </w:r>
      <w:r w:rsidRPr="004D0A2C">
        <w:rPr>
          <w:lang w:val="fr-FR"/>
        </w:rPr>
        <w:tab/>
        <w:t>Point sur les publications</w:t>
      </w:r>
    </w:p>
    <w:p w14:paraId="7EE5C101" w14:textId="1D375322" w:rsidR="006F26A8" w:rsidRPr="004D0A2C" w:rsidRDefault="006F26A8" w:rsidP="005D7917">
      <w:pPr>
        <w:pStyle w:val="SingleTxtG"/>
        <w:rPr>
          <w:lang w:val="fr-FR"/>
        </w:rPr>
      </w:pPr>
      <w:r w:rsidRPr="004D0A2C">
        <w:rPr>
          <w:lang w:val="fr-FR"/>
        </w:rPr>
        <w:t>13</w:t>
      </w:r>
      <w:r w:rsidR="009C65BB" w:rsidRPr="004D0A2C">
        <w:rPr>
          <w:lang w:val="fr-FR"/>
        </w:rPr>
        <w:t>.</w:t>
      </w:r>
      <w:r w:rsidRPr="004D0A2C">
        <w:rPr>
          <w:lang w:val="fr-FR"/>
        </w:rPr>
        <w:tab/>
        <w:t>Le Sous-Comité a été informé que les versions anglaise et française de la vingt</w:t>
      </w:r>
      <w:r w:rsidR="00DA0AE2" w:rsidRPr="004D0A2C">
        <w:rPr>
          <w:lang w:val="fr-FR"/>
        </w:rPr>
        <w:noBreakHyphen/>
      </w:r>
      <w:r w:rsidRPr="004D0A2C">
        <w:rPr>
          <w:lang w:val="fr-FR"/>
        </w:rPr>
        <w:t>troisième édition révisée du Règlement type et de la dixième édition révisée du Système général harmonisé de classification et d</w:t>
      </w:r>
      <w:r w:rsidR="00AD27B0" w:rsidRPr="004D0A2C">
        <w:rPr>
          <w:lang w:val="fr-FR"/>
        </w:rPr>
        <w:t>’</w:t>
      </w:r>
      <w:r w:rsidRPr="004D0A2C">
        <w:rPr>
          <w:lang w:val="fr-FR"/>
        </w:rPr>
        <w:t>étiquetage des produits chimiques (SGH) avaient déjà été publiées et que les versions espagnole, russe, chinoise et arabe de ces deux documents étaient en cours d</w:t>
      </w:r>
      <w:r w:rsidR="00AD27B0" w:rsidRPr="004D0A2C">
        <w:rPr>
          <w:lang w:val="fr-FR"/>
        </w:rPr>
        <w:t>’</w:t>
      </w:r>
      <w:r w:rsidRPr="004D0A2C">
        <w:rPr>
          <w:lang w:val="fr-FR"/>
        </w:rPr>
        <w:t>élaboration</w:t>
      </w:r>
      <w:r w:rsidR="009C65BB" w:rsidRPr="004D0A2C">
        <w:rPr>
          <w:lang w:val="fr-FR"/>
        </w:rPr>
        <w:t>.</w:t>
      </w:r>
      <w:r w:rsidRPr="004D0A2C">
        <w:rPr>
          <w:lang w:val="fr-FR"/>
        </w:rPr>
        <w:t xml:space="preserve"> La publication de la huitième édition révisée du Manuel d</w:t>
      </w:r>
      <w:r w:rsidR="00AD27B0" w:rsidRPr="004D0A2C">
        <w:rPr>
          <w:lang w:val="fr-FR"/>
        </w:rPr>
        <w:t>’</w:t>
      </w:r>
      <w:r w:rsidRPr="004D0A2C">
        <w:rPr>
          <w:lang w:val="fr-FR"/>
        </w:rPr>
        <w:t>épreuves et de critères était prévue avant la fin de 2023</w:t>
      </w:r>
      <w:r w:rsidR="009C65BB" w:rsidRPr="004D0A2C">
        <w:rPr>
          <w:lang w:val="fr-FR"/>
        </w:rPr>
        <w:t>.</w:t>
      </w:r>
    </w:p>
    <w:p w14:paraId="4F2A527A" w14:textId="4C9E1CEC" w:rsidR="006F26A8" w:rsidRPr="004D0A2C" w:rsidRDefault="006F26A8" w:rsidP="005D7917">
      <w:pPr>
        <w:pStyle w:val="SingleTxtG"/>
        <w:rPr>
          <w:lang w:val="fr-FR"/>
        </w:rPr>
      </w:pPr>
      <w:r w:rsidRPr="004D0A2C">
        <w:rPr>
          <w:lang w:val="fr-FR"/>
        </w:rPr>
        <w:t>14</w:t>
      </w:r>
      <w:r w:rsidR="009C65BB" w:rsidRPr="004D0A2C">
        <w:rPr>
          <w:lang w:val="fr-FR"/>
        </w:rPr>
        <w:t>.</w:t>
      </w:r>
      <w:r w:rsidRPr="004D0A2C">
        <w:rPr>
          <w:lang w:val="fr-FR"/>
        </w:rPr>
        <w:tab/>
        <w:t xml:space="preserve">Le Sous-Comité a noté que la septième version des </w:t>
      </w:r>
      <w:r w:rsidR="00534BEB" w:rsidRPr="004D0A2C">
        <w:rPr>
          <w:lang w:val="fr-FR"/>
        </w:rPr>
        <w:t>« </w:t>
      </w:r>
      <w:r w:rsidRPr="004D0A2C">
        <w:rPr>
          <w:lang w:val="fr-FR"/>
        </w:rPr>
        <w:t>Guiding Principles</w:t>
      </w:r>
      <w:r w:rsidR="00534BEB" w:rsidRPr="004D0A2C">
        <w:rPr>
          <w:lang w:val="fr-FR"/>
        </w:rPr>
        <w:t> »</w:t>
      </w:r>
      <w:r w:rsidRPr="004D0A2C">
        <w:rPr>
          <w:lang w:val="fr-FR"/>
        </w:rPr>
        <w:t xml:space="preserve"> (Principes directeurs) avait été publiée au début de 2023 sur le site Web de la CEE (</w:t>
      </w:r>
      <w:hyperlink r:id="rId16" w:history="1">
        <w:r w:rsidR="004F62B2">
          <w:rPr>
            <w:rStyle w:val="Hyperlink"/>
            <w:lang w:val="fr-FR"/>
          </w:rPr>
          <w:t>https://unece.org/guiding-principles</w:t>
        </w:r>
      </w:hyperlink>
      <w:r w:rsidRPr="004D0A2C">
        <w:rPr>
          <w:lang w:val="fr-FR"/>
        </w:rPr>
        <w:t>)</w:t>
      </w:r>
      <w:r w:rsidR="009C65BB" w:rsidRPr="004D0A2C">
        <w:rPr>
          <w:lang w:val="fr-FR"/>
        </w:rPr>
        <w:t>.</w:t>
      </w:r>
    </w:p>
    <w:p w14:paraId="25AAE9C3" w14:textId="72807D50" w:rsidR="006F26A8" w:rsidRPr="004D0A2C" w:rsidRDefault="006F26A8" w:rsidP="005D7917">
      <w:pPr>
        <w:pStyle w:val="HChG"/>
        <w:rPr>
          <w:lang w:val="fr-FR"/>
        </w:rPr>
      </w:pPr>
      <w:r w:rsidRPr="004D0A2C">
        <w:rPr>
          <w:lang w:val="fr-FR"/>
        </w:rPr>
        <w:tab/>
        <w:t>IV</w:t>
      </w:r>
      <w:r w:rsidR="009C65BB" w:rsidRPr="004D0A2C">
        <w:rPr>
          <w:lang w:val="fr-FR"/>
        </w:rPr>
        <w:t>.</w:t>
      </w:r>
      <w:r w:rsidRPr="004D0A2C">
        <w:rPr>
          <w:lang w:val="fr-FR"/>
        </w:rPr>
        <w:tab/>
        <w:t>Explosifs et questions connexes (point 2 de l</w:t>
      </w:r>
      <w:r w:rsidR="00AD27B0" w:rsidRPr="004D0A2C">
        <w:rPr>
          <w:lang w:val="fr-FR"/>
        </w:rPr>
        <w:t>’</w:t>
      </w:r>
      <w:r w:rsidRPr="004D0A2C">
        <w:rPr>
          <w:lang w:val="fr-FR"/>
        </w:rPr>
        <w:t>ordre du jour)</w:t>
      </w:r>
    </w:p>
    <w:p w14:paraId="34B7807E" w14:textId="23A806EC" w:rsidR="00C5545A" w:rsidRPr="004D0A2C" w:rsidRDefault="006F26A8" w:rsidP="005D7917">
      <w:pPr>
        <w:pStyle w:val="SingleTxtG"/>
        <w:rPr>
          <w:lang w:val="fr-FR"/>
        </w:rPr>
      </w:pPr>
      <w:r w:rsidRPr="004D0A2C">
        <w:rPr>
          <w:lang w:val="fr-FR"/>
        </w:rPr>
        <w:t>15</w:t>
      </w:r>
      <w:r w:rsidR="009C65BB" w:rsidRPr="004D0A2C">
        <w:rPr>
          <w:lang w:val="fr-FR"/>
        </w:rPr>
        <w:t>.</w:t>
      </w:r>
      <w:r w:rsidRPr="004D0A2C">
        <w:rPr>
          <w:lang w:val="fr-FR"/>
        </w:rPr>
        <w:tab/>
        <w:t>À la suite d</w:t>
      </w:r>
      <w:r w:rsidR="00AD27B0" w:rsidRPr="004D0A2C">
        <w:rPr>
          <w:lang w:val="fr-FR"/>
        </w:rPr>
        <w:t>’</w:t>
      </w:r>
      <w:r w:rsidRPr="004D0A2C">
        <w:rPr>
          <w:lang w:val="fr-FR"/>
        </w:rPr>
        <w:t>un examen préliminaire en séance plénière, toutes les questions relevant de ce point de l</w:t>
      </w:r>
      <w:r w:rsidR="00AD27B0" w:rsidRPr="004D0A2C">
        <w:rPr>
          <w:lang w:val="fr-FR"/>
        </w:rPr>
        <w:t>’</w:t>
      </w:r>
      <w:r w:rsidRPr="004D0A2C">
        <w:rPr>
          <w:lang w:val="fr-FR"/>
        </w:rPr>
        <w:t>ordre du jour ont été renvoyées au Groupe de travail des explosifs, qui s</w:t>
      </w:r>
      <w:r w:rsidR="00AD27B0" w:rsidRPr="004D0A2C">
        <w:rPr>
          <w:lang w:val="fr-FR"/>
        </w:rPr>
        <w:t>’</w:t>
      </w:r>
      <w:r w:rsidRPr="004D0A2C">
        <w:rPr>
          <w:lang w:val="fr-FR"/>
        </w:rPr>
        <w:t>est réuni du 3 au 6 juillet 2023 sous la présidence de M</w:t>
      </w:r>
      <w:r w:rsidR="009C65BB" w:rsidRPr="004D0A2C">
        <w:rPr>
          <w:lang w:val="fr-FR"/>
        </w:rPr>
        <w:t>.</w:t>
      </w:r>
      <w:r w:rsidRPr="004D0A2C">
        <w:rPr>
          <w:lang w:val="fr-FR"/>
        </w:rPr>
        <w:t xml:space="preserve"> E</w:t>
      </w:r>
      <w:r w:rsidR="009C65BB" w:rsidRPr="004D0A2C">
        <w:rPr>
          <w:lang w:val="fr-FR"/>
        </w:rPr>
        <w:t>.</w:t>
      </w:r>
      <w:r w:rsidRPr="004D0A2C">
        <w:rPr>
          <w:lang w:val="fr-FR"/>
        </w:rPr>
        <w:t xml:space="preserve"> de Jong (Pays-Bas)</w:t>
      </w:r>
      <w:r w:rsidR="009C65BB" w:rsidRPr="004D0A2C">
        <w:rPr>
          <w:lang w:val="fr-FR"/>
        </w:rPr>
        <w:t>.</w:t>
      </w:r>
      <w:r w:rsidRPr="004D0A2C">
        <w:rPr>
          <w:lang w:val="fr-FR"/>
        </w:rPr>
        <w:t xml:space="preserve"> Le Sous-Comité a été informé que M</w:t>
      </w:r>
      <w:r w:rsidR="009C65BB" w:rsidRPr="004D0A2C">
        <w:rPr>
          <w:lang w:val="fr-FR"/>
        </w:rPr>
        <w:t>.</w:t>
      </w:r>
      <w:r w:rsidRPr="004D0A2C">
        <w:rPr>
          <w:lang w:val="fr-FR"/>
        </w:rPr>
        <w:t xml:space="preserve"> Martyn Sime (Royaume-Uni) présiderait les futures réunions du Groupe de travail, en raison du départ à la retraite prochain de M</w:t>
      </w:r>
      <w:r w:rsidR="009C65BB" w:rsidRPr="004D0A2C">
        <w:rPr>
          <w:lang w:val="fr-FR"/>
        </w:rPr>
        <w:t>.</w:t>
      </w:r>
      <w:r w:rsidRPr="004D0A2C">
        <w:rPr>
          <w:lang w:val="fr-FR"/>
        </w:rPr>
        <w:t xml:space="preserve"> de Jong</w:t>
      </w:r>
      <w:r w:rsidR="009C65BB" w:rsidRPr="004D0A2C">
        <w:rPr>
          <w:lang w:val="fr-FR"/>
        </w:rPr>
        <w:t>.</w:t>
      </w:r>
    </w:p>
    <w:p w14:paraId="502C0190" w14:textId="349F627B" w:rsidR="006F26A8" w:rsidRPr="004D0A2C" w:rsidRDefault="006F26A8" w:rsidP="005D7917">
      <w:pPr>
        <w:pStyle w:val="SingleTxtG"/>
        <w:rPr>
          <w:lang w:val="fr-FR"/>
        </w:rPr>
      </w:pPr>
      <w:r w:rsidRPr="004D0A2C">
        <w:rPr>
          <w:lang w:val="fr-FR"/>
        </w:rPr>
        <w:t>16</w:t>
      </w:r>
      <w:r w:rsidR="009C65BB" w:rsidRPr="004D0A2C">
        <w:rPr>
          <w:lang w:val="fr-FR"/>
        </w:rPr>
        <w:t>.</w:t>
      </w:r>
      <w:r w:rsidRPr="004D0A2C">
        <w:rPr>
          <w:lang w:val="fr-FR"/>
        </w:rPr>
        <w:tab/>
        <w:t xml:space="preserve">Les points relatifs aux explosifs figurant dans le document </w:t>
      </w:r>
      <w:hyperlink r:id="rId17" w:history="1">
        <w:r w:rsidR="004F62B2">
          <w:rPr>
            <w:rStyle w:val="Hyperlink"/>
            <w:lang w:val="fr-FR"/>
          </w:rPr>
          <w:t>ST/SG/AC.10/C.3/2023/2</w:t>
        </w:r>
      </w:hyperlink>
      <w:r w:rsidRPr="004D0A2C">
        <w:rPr>
          <w:lang w:val="fr-FR"/>
        </w:rPr>
        <w:t xml:space="preserve"> (Espagne) et les documents informels INF</w:t>
      </w:r>
      <w:r w:rsidR="009C65BB" w:rsidRPr="004D0A2C">
        <w:rPr>
          <w:lang w:val="fr-FR"/>
        </w:rPr>
        <w:t>.</w:t>
      </w:r>
      <w:r w:rsidRPr="004D0A2C">
        <w:rPr>
          <w:lang w:val="fr-FR"/>
        </w:rPr>
        <w:t>35 (Chine) et INF</w:t>
      </w:r>
      <w:r w:rsidR="009C65BB" w:rsidRPr="004D0A2C">
        <w:rPr>
          <w:lang w:val="fr-FR"/>
        </w:rPr>
        <w:t>.</w:t>
      </w:r>
      <w:r w:rsidRPr="004D0A2C">
        <w:rPr>
          <w:lang w:val="fr-FR"/>
        </w:rPr>
        <w:t>39 (COSTHA) ont également été renvoyés au Groupe de travail des explosifs pour examen</w:t>
      </w:r>
      <w:r w:rsidR="009C65BB" w:rsidRPr="004D0A2C">
        <w:rPr>
          <w:lang w:val="fr-FR"/>
        </w:rPr>
        <w:t>.</w:t>
      </w:r>
    </w:p>
    <w:p w14:paraId="4344D9EA" w14:textId="77777777" w:rsidR="006F26A8" w:rsidRPr="004D0A2C" w:rsidRDefault="006F26A8" w:rsidP="005D7917">
      <w:pPr>
        <w:pStyle w:val="H1G"/>
        <w:rPr>
          <w:lang w:val="fr-FR"/>
        </w:rPr>
      </w:pPr>
      <w:r w:rsidRPr="004D0A2C">
        <w:rPr>
          <w:lang w:val="fr-FR"/>
        </w:rPr>
        <w:tab/>
      </w:r>
      <w:r w:rsidRPr="004D0A2C">
        <w:rPr>
          <w:lang w:val="fr-FR"/>
        </w:rPr>
        <w:tab/>
        <w:t>Rapport du Groupe de travail des explosifs</w:t>
      </w:r>
    </w:p>
    <w:p w14:paraId="4368AF5D" w14:textId="013C3466"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47 (Président du Groupe de travail des explosifs)</w:t>
      </w:r>
      <w:r w:rsidR="009C65BB" w:rsidRPr="004D0A2C">
        <w:rPr>
          <w:lang w:val="fr-FR"/>
        </w:rPr>
        <w:t>.</w:t>
      </w:r>
    </w:p>
    <w:p w14:paraId="221C55F5" w14:textId="47238719" w:rsidR="006F26A8" w:rsidRPr="004D0A2C" w:rsidRDefault="006F26A8" w:rsidP="005D7917">
      <w:pPr>
        <w:pStyle w:val="SingleTxtG"/>
        <w:rPr>
          <w:lang w:val="fr-FR"/>
        </w:rPr>
      </w:pPr>
      <w:r w:rsidRPr="004D0A2C">
        <w:rPr>
          <w:lang w:val="fr-FR"/>
        </w:rPr>
        <w:t>17</w:t>
      </w:r>
      <w:r w:rsidR="009C65BB" w:rsidRPr="004D0A2C">
        <w:rPr>
          <w:lang w:val="fr-FR"/>
        </w:rPr>
        <w:t>.</w:t>
      </w:r>
      <w:r w:rsidRPr="004D0A2C">
        <w:rPr>
          <w:lang w:val="fr-FR"/>
        </w:rPr>
        <w:tab/>
        <w:t xml:space="preserve">Après avoir examiné le rapport du Groupe de travail des explosifs et entendu les </w:t>
      </w:r>
      <w:r w:rsidRPr="004D0A2C">
        <w:rPr>
          <w:spacing w:val="-2"/>
          <w:lang w:val="fr-FR"/>
        </w:rPr>
        <w:t>explications fournies par le Président dudit Groupe, le Sous-Comité a pris note des conclusions énumérées ci-après pour chacune des questions examinées au titre des points 2</w:t>
      </w:r>
      <w:r w:rsidR="001E550E" w:rsidRPr="004D0A2C">
        <w:rPr>
          <w:spacing w:val="-2"/>
          <w:lang w:val="fr-FR"/>
        </w:rPr>
        <w:t xml:space="preserve"> </w:t>
      </w:r>
      <w:r w:rsidRPr="004D0A2C">
        <w:rPr>
          <w:spacing w:val="-2"/>
          <w:lang w:val="fr-FR"/>
        </w:rPr>
        <w:t>a) à 2 h) de l</w:t>
      </w:r>
      <w:r w:rsidR="00AD27B0" w:rsidRPr="004D0A2C">
        <w:rPr>
          <w:spacing w:val="-2"/>
          <w:lang w:val="fr-FR"/>
        </w:rPr>
        <w:t>’</w:t>
      </w:r>
      <w:r w:rsidRPr="004D0A2C">
        <w:rPr>
          <w:spacing w:val="-2"/>
          <w:lang w:val="fr-FR"/>
        </w:rPr>
        <w:t>ordre du jour</w:t>
      </w:r>
      <w:r w:rsidR="009C65BB" w:rsidRPr="004D0A2C">
        <w:rPr>
          <w:spacing w:val="-2"/>
          <w:lang w:val="fr-FR"/>
        </w:rPr>
        <w:t>.</w:t>
      </w:r>
    </w:p>
    <w:p w14:paraId="341A634F" w14:textId="32CDC3A3" w:rsidR="006F26A8" w:rsidRPr="004D0A2C" w:rsidRDefault="006F26A8" w:rsidP="00230818">
      <w:pPr>
        <w:pStyle w:val="H1G"/>
        <w:rPr>
          <w:lang w:val="fr-FR"/>
        </w:rPr>
      </w:pPr>
      <w:r w:rsidRPr="004D0A2C">
        <w:rPr>
          <w:lang w:val="fr-FR"/>
        </w:rPr>
        <w:tab/>
        <w:t>A</w:t>
      </w:r>
      <w:r w:rsidR="009C65BB" w:rsidRPr="004D0A2C">
        <w:rPr>
          <w:lang w:val="fr-FR"/>
        </w:rPr>
        <w:t>.</w:t>
      </w:r>
      <w:r w:rsidRPr="004D0A2C">
        <w:rPr>
          <w:lang w:val="fr-FR"/>
        </w:rPr>
        <w:tab/>
        <w:t>Examen des épreuves de la série 6</w:t>
      </w:r>
    </w:p>
    <w:p w14:paraId="7360963A" w14:textId="735DE708" w:rsidR="006F26A8" w:rsidRPr="004D0A2C" w:rsidRDefault="006F26A8" w:rsidP="00230818">
      <w:pPr>
        <w:pStyle w:val="SingleTxtG"/>
        <w:keepNext/>
        <w:keepLines/>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18" w:history="1">
        <w:r w:rsidR="004F62B2">
          <w:rPr>
            <w:rStyle w:val="Hyperlink"/>
            <w:lang w:val="fr-FR"/>
          </w:rPr>
          <w:t>ST/SG/AC.10/C.3/2023/26</w:t>
        </w:r>
      </w:hyperlink>
      <w:r w:rsidRPr="004D0A2C">
        <w:rPr>
          <w:lang w:val="fr-FR"/>
        </w:rPr>
        <w:t xml:space="preserve"> (COSTHA et SAAMI)</w:t>
      </w:r>
    </w:p>
    <w:p w14:paraId="5B7028AD" w14:textId="7790A78C" w:rsidR="006F26A8" w:rsidRPr="004D0A2C" w:rsidRDefault="006F26A8" w:rsidP="007E4DBA">
      <w:pPr>
        <w:pStyle w:val="SingleTxtG"/>
        <w:keepNext/>
        <w:keepLines/>
        <w:tabs>
          <w:tab w:val="clear" w:pos="1701"/>
          <w:tab w:val="clear" w:pos="2268"/>
          <w:tab w:val="clear" w:pos="2835"/>
          <w:tab w:val="left" w:pos="2977"/>
        </w:tabs>
        <w:spacing w:after="0"/>
        <w:ind w:left="2977" w:hanging="1843"/>
        <w:rPr>
          <w:lang w:val="fr-FR"/>
        </w:rPr>
      </w:pPr>
      <w:r w:rsidRPr="004D0A2C">
        <w:rPr>
          <w:i/>
          <w:iCs/>
          <w:lang w:val="fr-FR"/>
        </w:rPr>
        <w:t>Documents informels</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25 et INF</w:t>
      </w:r>
      <w:r w:rsidR="009C65BB" w:rsidRPr="004D0A2C">
        <w:rPr>
          <w:lang w:val="fr-FR"/>
        </w:rPr>
        <w:t>.</w:t>
      </w:r>
      <w:r w:rsidRPr="004D0A2C">
        <w:rPr>
          <w:lang w:val="fr-FR"/>
        </w:rPr>
        <w:t>27 (SAAMI)</w:t>
      </w:r>
    </w:p>
    <w:p w14:paraId="78D56D8E" w14:textId="472E3E0F" w:rsidR="006F26A8" w:rsidRPr="004D0A2C" w:rsidRDefault="006F26A8" w:rsidP="007E4DBA">
      <w:pPr>
        <w:pStyle w:val="SingleTxtG"/>
        <w:keepNext/>
        <w:keepLines/>
        <w:tabs>
          <w:tab w:val="clear" w:pos="1701"/>
          <w:tab w:val="clear" w:pos="2268"/>
          <w:tab w:val="clear" w:pos="2835"/>
          <w:tab w:val="left" w:pos="2977"/>
        </w:tabs>
        <w:spacing w:after="0"/>
        <w:ind w:left="2977" w:hanging="1843"/>
        <w:rPr>
          <w:lang w:val="fr-FR"/>
        </w:rPr>
      </w:pPr>
      <w:r w:rsidRPr="004D0A2C">
        <w:rPr>
          <w:i/>
          <w:iCs/>
          <w:lang w:val="fr-FR"/>
        </w:rPr>
        <w:tab/>
      </w:r>
      <w:r w:rsidRPr="004D0A2C">
        <w:rPr>
          <w:lang w:val="fr-FR"/>
        </w:rPr>
        <w:t>INF</w:t>
      </w:r>
      <w:r w:rsidR="009C65BB" w:rsidRPr="004D0A2C">
        <w:rPr>
          <w:lang w:val="fr-FR"/>
        </w:rPr>
        <w:t>.</w:t>
      </w:r>
      <w:r w:rsidRPr="004D0A2C">
        <w:rPr>
          <w:lang w:val="fr-FR"/>
        </w:rPr>
        <w:t>31 (COSTHA)</w:t>
      </w:r>
    </w:p>
    <w:p w14:paraId="2ED8D254" w14:textId="76058F90"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lang w:val="fr-FR"/>
        </w:rPr>
        <w:tab/>
        <w:t>INF</w:t>
      </w:r>
      <w:r w:rsidR="009C65BB" w:rsidRPr="004D0A2C">
        <w:rPr>
          <w:lang w:val="fr-FR"/>
        </w:rPr>
        <w:t>.</w:t>
      </w:r>
      <w:r w:rsidRPr="004D0A2C">
        <w:rPr>
          <w:lang w:val="fr-FR"/>
        </w:rPr>
        <w:t>32 (COSTHA et SAAMI)</w:t>
      </w:r>
    </w:p>
    <w:p w14:paraId="4F09B02A" w14:textId="0B9FAEA2" w:rsidR="006F26A8" w:rsidRPr="004D0A2C" w:rsidRDefault="006F26A8" w:rsidP="005D7917">
      <w:pPr>
        <w:pStyle w:val="SingleTxtG"/>
        <w:rPr>
          <w:spacing w:val="-2"/>
          <w:lang w:val="fr-FR"/>
        </w:rPr>
      </w:pPr>
      <w:bookmarkStart w:id="1" w:name="_Hlk13676805"/>
      <w:r w:rsidRPr="004D0A2C">
        <w:rPr>
          <w:spacing w:val="-2"/>
          <w:lang w:val="fr-FR"/>
        </w:rPr>
        <w:lastRenderedPageBreak/>
        <w:t>18</w:t>
      </w:r>
      <w:r w:rsidR="009C65BB" w:rsidRPr="004D0A2C">
        <w:rPr>
          <w:spacing w:val="-2"/>
          <w:lang w:val="fr-FR"/>
        </w:rPr>
        <w:t>.</w:t>
      </w:r>
      <w:r w:rsidRPr="004D0A2C">
        <w:rPr>
          <w:spacing w:val="-2"/>
          <w:lang w:val="fr-FR"/>
        </w:rPr>
        <w:tab/>
        <w:t>S</w:t>
      </w:r>
      <w:r w:rsidR="00AD27B0" w:rsidRPr="004D0A2C">
        <w:rPr>
          <w:spacing w:val="-2"/>
          <w:lang w:val="fr-FR"/>
        </w:rPr>
        <w:t>’</w:t>
      </w:r>
      <w:r w:rsidRPr="004D0A2C">
        <w:rPr>
          <w:spacing w:val="-2"/>
          <w:lang w:val="fr-FR"/>
        </w:rPr>
        <w:t>agissant du document informel INF</w:t>
      </w:r>
      <w:r w:rsidR="009C65BB" w:rsidRPr="004D0A2C">
        <w:rPr>
          <w:spacing w:val="-2"/>
          <w:lang w:val="fr-FR"/>
        </w:rPr>
        <w:t>.</w:t>
      </w:r>
      <w:r w:rsidRPr="004D0A2C">
        <w:rPr>
          <w:spacing w:val="-2"/>
          <w:lang w:val="fr-FR"/>
        </w:rPr>
        <w:t>27, le Groupe de travail des explosifs n</w:t>
      </w:r>
      <w:r w:rsidR="00AD27B0" w:rsidRPr="004D0A2C">
        <w:rPr>
          <w:spacing w:val="-2"/>
          <w:lang w:val="fr-FR"/>
        </w:rPr>
        <w:t>’</w:t>
      </w:r>
      <w:r w:rsidRPr="004D0A2C">
        <w:rPr>
          <w:spacing w:val="-2"/>
          <w:lang w:val="fr-FR"/>
        </w:rPr>
        <w:t>était pas parvenu à déterminer si une blessure nécessitant de dispenser les premiers soins serait acceptable pour la division 1</w:t>
      </w:r>
      <w:r w:rsidR="009C65BB" w:rsidRPr="004D0A2C">
        <w:rPr>
          <w:spacing w:val="-2"/>
          <w:lang w:val="fr-FR"/>
        </w:rPr>
        <w:t>.</w:t>
      </w:r>
      <w:r w:rsidRPr="004D0A2C">
        <w:rPr>
          <w:spacing w:val="-2"/>
          <w:lang w:val="fr-FR"/>
        </w:rPr>
        <w:t>4, groupe de compatibilité S</w:t>
      </w:r>
      <w:r w:rsidR="009C65BB" w:rsidRPr="004D0A2C">
        <w:rPr>
          <w:spacing w:val="-2"/>
          <w:lang w:val="fr-FR"/>
        </w:rPr>
        <w:t>.</w:t>
      </w:r>
      <w:r w:rsidRPr="004D0A2C">
        <w:rPr>
          <w:spacing w:val="-2"/>
          <w:lang w:val="fr-FR"/>
        </w:rPr>
        <w:t xml:space="preserve"> Aucune proposition n</w:t>
      </w:r>
      <w:r w:rsidR="00AD27B0" w:rsidRPr="004D0A2C">
        <w:rPr>
          <w:spacing w:val="-2"/>
          <w:lang w:val="fr-FR"/>
        </w:rPr>
        <w:t>’</w:t>
      </w:r>
      <w:r w:rsidRPr="004D0A2C">
        <w:rPr>
          <w:spacing w:val="-2"/>
          <w:lang w:val="fr-FR"/>
        </w:rPr>
        <w:t>a été soumise à l</w:t>
      </w:r>
      <w:r w:rsidR="00AD27B0" w:rsidRPr="004D0A2C">
        <w:rPr>
          <w:spacing w:val="-2"/>
          <w:lang w:val="fr-FR"/>
        </w:rPr>
        <w:t>’</w:t>
      </w:r>
      <w:r w:rsidRPr="004D0A2C">
        <w:rPr>
          <w:spacing w:val="-2"/>
          <w:lang w:val="fr-FR"/>
        </w:rPr>
        <w:t>examen comme suite à la présentation du document informel INF</w:t>
      </w:r>
      <w:r w:rsidR="009C65BB" w:rsidRPr="004D0A2C">
        <w:rPr>
          <w:spacing w:val="-2"/>
          <w:lang w:val="fr-FR"/>
        </w:rPr>
        <w:t>.</w:t>
      </w:r>
      <w:r w:rsidRPr="004D0A2C">
        <w:rPr>
          <w:spacing w:val="-2"/>
          <w:lang w:val="fr-FR"/>
        </w:rPr>
        <w:t>25</w:t>
      </w:r>
      <w:r w:rsidR="009C65BB" w:rsidRPr="004D0A2C">
        <w:rPr>
          <w:spacing w:val="-2"/>
          <w:lang w:val="fr-FR"/>
        </w:rPr>
        <w:t>.</w:t>
      </w:r>
      <w:r w:rsidRPr="004D0A2C">
        <w:rPr>
          <w:spacing w:val="-2"/>
          <w:lang w:val="fr-FR"/>
        </w:rPr>
        <w:t xml:space="preserve"> S</w:t>
      </w:r>
      <w:r w:rsidR="00AD27B0" w:rsidRPr="004D0A2C">
        <w:rPr>
          <w:spacing w:val="-2"/>
          <w:lang w:val="fr-FR"/>
        </w:rPr>
        <w:t>’</w:t>
      </w:r>
      <w:r w:rsidRPr="004D0A2C">
        <w:rPr>
          <w:spacing w:val="-2"/>
          <w:lang w:val="fr-FR"/>
        </w:rPr>
        <w:t>agissant du document informel INF</w:t>
      </w:r>
      <w:r w:rsidR="009C65BB" w:rsidRPr="004D0A2C">
        <w:rPr>
          <w:spacing w:val="-2"/>
          <w:lang w:val="fr-FR"/>
        </w:rPr>
        <w:t>.</w:t>
      </w:r>
      <w:r w:rsidRPr="004D0A2C">
        <w:rPr>
          <w:spacing w:val="-2"/>
          <w:lang w:val="fr-FR"/>
        </w:rPr>
        <w:t>31, le Groupe de travail des explosifs a conclu que le risque n</w:t>
      </w:r>
      <w:r w:rsidR="00AD27B0" w:rsidRPr="004D0A2C">
        <w:rPr>
          <w:spacing w:val="-2"/>
          <w:lang w:val="fr-FR"/>
        </w:rPr>
        <w:t>’</w:t>
      </w:r>
      <w:r w:rsidRPr="004D0A2C">
        <w:rPr>
          <w:spacing w:val="-2"/>
          <w:lang w:val="fr-FR"/>
        </w:rPr>
        <w:t>était pas la considération première dans les règlements relatifs au transport mais était, dans une certaine mesure, pris en compte dans la classification</w:t>
      </w:r>
      <w:r w:rsidR="009C65BB" w:rsidRPr="004D0A2C">
        <w:rPr>
          <w:spacing w:val="-2"/>
          <w:lang w:val="fr-FR"/>
        </w:rPr>
        <w:t>.</w:t>
      </w:r>
      <w:r w:rsidRPr="004D0A2C">
        <w:rPr>
          <w:spacing w:val="-2"/>
          <w:lang w:val="fr-FR"/>
        </w:rPr>
        <w:t xml:space="preserve"> Si certaines autorités pouvaient estimer que les dispositifs de sécurité représentaient un risque, il n</w:t>
      </w:r>
      <w:r w:rsidR="00AD27B0" w:rsidRPr="004D0A2C">
        <w:rPr>
          <w:spacing w:val="-2"/>
          <w:lang w:val="fr-FR"/>
        </w:rPr>
        <w:t>’</w:t>
      </w:r>
      <w:r w:rsidRPr="004D0A2C">
        <w:rPr>
          <w:spacing w:val="-2"/>
          <w:lang w:val="fr-FR"/>
        </w:rPr>
        <w:t>existait aucune méthode systématique permettant de mettre en balance les risques posés et les avantages procurés à la société</w:t>
      </w:r>
      <w:r w:rsidR="009C65BB" w:rsidRPr="004D0A2C">
        <w:rPr>
          <w:spacing w:val="-2"/>
          <w:lang w:val="fr-FR"/>
        </w:rPr>
        <w:t>.</w:t>
      </w:r>
      <w:bookmarkEnd w:id="1"/>
    </w:p>
    <w:p w14:paraId="41B81852" w14:textId="4A37BB29" w:rsidR="006F26A8" w:rsidRPr="004D0A2C" w:rsidRDefault="006F26A8" w:rsidP="005D7917">
      <w:pPr>
        <w:pStyle w:val="H1G"/>
        <w:rPr>
          <w:lang w:val="fr-FR"/>
        </w:rPr>
      </w:pPr>
      <w:r w:rsidRPr="004D0A2C">
        <w:rPr>
          <w:lang w:val="fr-FR"/>
        </w:rPr>
        <w:tab/>
        <w:t>B</w:t>
      </w:r>
      <w:r w:rsidR="009C65BB" w:rsidRPr="004D0A2C">
        <w:rPr>
          <w:lang w:val="fr-FR"/>
        </w:rPr>
        <w:t>.</w:t>
      </w:r>
      <w:r w:rsidRPr="004D0A2C">
        <w:rPr>
          <w:lang w:val="fr-FR"/>
        </w:rPr>
        <w:tab/>
        <w:t>Amélioration des épreuves de la série 8</w:t>
      </w:r>
    </w:p>
    <w:p w14:paraId="4E89CC31" w14:textId="644D5FEC" w:rsidR="006F26A8" w:rsidRPr="004D0A2C" w:rsidRDefault="006F26A8" w:rsidP="005D7917">
      <w:pPr>
        <w:pStyle w:val="SingleTxtG"/>
        <w:rPr>
          <w:lang w:val="fr-FR"/>
        </w:rPr>
      </w:pPr>
      <w:r w:rsidRPr="004D0A2C">
        <w:rPr>
          <w:lang w:val="fr-FR"/>
        </w:rPr>
        <w:t>19</w:t>
      </w:r>
      <w:r w:rsidR="009C65BB" w:rsidRPr="004D0A2C">
        <w:rPr>
          <w:lang w:val="fr-FR"/>
        </w:rPr>
        <w:t>.</w:t>
      </w:r>
      <w:r w:rsidRPr="004D0A2C">
        <w:rPr>
          <w:lang w:val="fr-FR"/>
        </w:rPr>
        <w:tab/>
        <w:t>Les documents initialement soumis au titre de ce point de l</w:t>
      </w:r>
      <w:r w:rsidR="00AD27B0" w:rsidRPr="004D0A2C">
        <w:rPr>
          <w:lang w:val="fr-FR"/>
        </w:rPr>
        <w:t>’</w:t>
      </w:r>
      <w:r w:rsidRPr="004D0A2C">
        <w:rPr>
          <w:lang w:val="fr-FR"/>
        </w:rPr>
        <w:t>ordre du jour ont été examinés au titre du point 2 f) de l</w:t>
      </w:r>
      <w:r w:rsidR="00AD27B0" w:rsidRPr="004D0A2C">
        <w:rPr>
          <w:lang w:val="fr-FR"/>
        </w:rPr>
        <w:t>’</w:t>
      </w:r>
      <w:r w:rsidRPr="004D0A2C">
        <w:rPr>
          <w:lang w:val="fr-FR"/>
        </w:rPr>
        <w:t>ordre du jour (voir ci-après)</w:t>
      </w:r>
      <w:r w:rsidR="009C65BB" w:rsidRPr="004D0A2C">
        <w:rPr>
          <w:lang w:val="fr-FR"/>
        </w:rPr>
        <w:t>.</w:t>
      </w:r>
    </w:p>
    <w:p w14:paraId="176B5BCE" w14:textId="650C8710" w:rsidR="006F26A8" w:rsidRPr="004D0A2C" w:rsidRDefault="006F26A8" w:rsidP="005D7917">
      <w:pPr>
        <w:pStyle w:val="H1G"/>
        <w:rPr>
          <w:lang w:val="fr-FR"/>
        </w:rPr>
      </w:pPr>
      <w:bookmarkStart w:id="2" w:name="_Hlk13678994"/>
      <w:r w:rsidRPr="004D0A2C">
        <w:rPr>
          <w:lang w:val="fr-FR"/>
        </w:rPr>
        <w:tab/>
        <w:t>C</w:t>
      </w:r>
      <w:r w:rsidR="009C65BB" w:rsidRPr="004D0A2C">
        <w:rPr>
          <w:lang w:val="fr-FR"/>
        </w:rPr>
        <w:t>.</w:t>
      </w:r>
      <w:r w:rsidRPr="004D0A2C">
        <w:rPr>
          <w:lang w:val="fr-FR"/>
        </w:rPr>
        <w:tab/>
        <w:t>Révision des épreuves des parties I, II et III du Manuel d</w:t>
      </w:r>
      <w:r w:rsidR="00AD27B0" w:rsidRPr="004D0A2C">
        <w:rPr>
          <w:lang w:val="fr-FR"/>
        </w:rPr>
        <w:t>’</w:t>
      </w:r>
      <w:r w:rsidRPr="004D0A2C">
        <w:rPr>
          <w:lang w:val="fr-FR"/>
        </w:rPr>
        <w:t xml:space="preserve">épreuves </w:t>
      </w:r>
      <w:r w:rsidR="005D7917" w:rsidRPr="004D0A2C">
        <w:rPr>
          <w:lang w:val="fr-FR"/>
        </w:rPr>
        <w:br/>
      </w:r>
      <w:r w:rsidRPr="004D0A2C">
        <w:rPr>
          <w:lang w:val="fr-FR"/>
        </w:rPr>
        <w:t>et de critères</w:t>
      </w:r>
      <w:bookmarkEnd w:id="2"/>
    </w:p>
    <w:p w14:paraId="0CADA5D0" w14:textId="06536EC3" w:rsidR="006F26A8" w:rsidRPr="004D0A2C" w:rsidRDefault="006F26A8" w:rsidP="0031185C">
      <w:pPr>
        <w:pStyle w:val="SingleTxtG"/>
        <w:tabs>
          <w:tab w:val="clear" w:pos="1701"/>
          <w:tab w:val="clear" w:pos="2268"/>
          <w:tab w:val="clear" w:pos="2835"/>
          <w:tab w:val="left" w:pos="2977"/>
        </w:tabs>
        <w:ind w:left="2977" w:hanging="1843"/>
        <w:rPr>
          <w:iCs/>
          <w:lang w:val="fr-FR"/>
        </w:rPr>
      </w:pPr>
      <w:bookmarkStart w:id="3" w:name="para5"/>
      <w:bookmarkEnd w:id="3"/>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36 (Royaume-Uni et États-Unis d</w:t>
      </w:r>
      <w:r w:rsidR="00AD27B0" w:rsidRPr="004D0A2C">
        <w:rPr>
          <w:lang w:val="fr-FR"/>
        </w:rPr>
        <w:t>’</w:t>
      </w:r>
      <w:r w:rsidRPr="004D0A2C">
        <w:rPr>
          <w:lang w:val="fr-FR"/>
        </w:rPr>
        <w:t>Amérique)</w:t>
      </w:r>
    </w:p>
    <w:p w14:paraId="7CBEC3F9" w14:textId="36C07931" w:rsidR="006F26A8" w:rsidRPr="004D0A2C" w:rsidRDefault="006F26A8" w:rsidP="005D7917">
      <w:pPr>
        <w:pStyle w:val="SingleTxtG"/>
        <w:rPr>
          <w:lang w:val="fr-FR"/>
        </w:rPr>
      </w:pPr>
      <w:r w:rsidRPr="004D0A2C">
        <w:rPr>
          <w:lang w:val="fr-FR"/>
        </w:rPr>
        <w:t>20</w:t>
      </w:r>
      <w:r w:rsidR="009C65BB" w:rsidRPr="004D0A2C">
        <w:rPr>
          <w:lang w:val="fr-FR"/>
        </w:rPr>
        <w:t>.</w:t>
      </w:r>
      <w:r w:rsidRPr="004D0A2C">
        <w:rPr>
          <w:lang w:val="fr-FR"/>
        </w:rPr>
        <w:tab/>
        <w:t>Les participants ont unanimement estimé que les travaux menés étaient utiles et devaient se poursuivre</w:t>
      </w:r>
      <w:r w:rsidR="009C65BB" w:rsidRPr="004D0A2C">
        <w:rPr>
          <w:lang w:val="fr-FR"/>
        </w:rPr>
        <w:t>.</w:t>
      </w:r>
      <w:r w:rsidRPr="004D0A2C">
        <w:rPr>
          <w:lang w:val="fr-FR"/>
        </w:rPr>
        <w:t xml:space="preserve"> L</w:t>
      </w:r>
      <w:r w:rsidR="00AD27B0" w:rsidRPr="004D0A2C">
        <w:rPr>
          <w:lang w:val="fr-FR"/>
        </w:rPr>
        <w:t>’</w:t>
      </w:r>
      <w:r w:rsidRPr="004D0A2C">
        <w:rPr>
          <w:lang w:val="fr-FR"/>
        </w:rPr>
        <w:t>Allemagne achèverait donc l</w:t>
      </w:r>
      <w:r w:rsidR="00AD27B0" w:rsidRPr="004D0A2C">
        <w:rPr>
          <w:lang w:val="fr-FR"/>
        </w:rPr>
        <w:t>’</w:t>
      </w:r>
      <w:r w:rsidRPr="004D0A2C">
        <w:rPr>
          <w:lang w:val="fr-FR"/>
        </w:rPr>
        <w:t>examen de la méthode d</w:t>
      </w:r>
      <w:r w:rsidR="00AD27B0" w:rsidRPr="004D0A2C">
        <w:rPr>
          <w:lang w:val="fr-FR"/>
        </w:rPr>
        <w:t>’</w:t>
      </w:r>
      <w:r w:rsidRPr="004D0A2C">
        <w:rPr>
          <w:lang w:val="fr-FR"/>
        </w:rPr>
        <w:t>essai de pression d</w:t>
      </w:r>
      <w:r w:rsidR="00AD27B0" w:rsidRPr="004D0A2C">
        <w:rPr>
          <w:lang w:val="fr-FR"/>
        </w:rPr>
        <w:t>’</w:t>
      </w:r>
      <w:r w:rsidRPr="004D0A2C">
        <w:rPr>
          <w:lang w:val="fr-FR"/>
        </w:rPr>
        <w:t>éclatement quasi statique existante</w:t>
      </w:r>
      <w:r w:rsidR="00AD27B0" w:rsidRPr="004D0A2C">
        <w:rPr>
          <w:lang w:val="fr-FR"/>
        </w:rPr>
        <w:t> ;</w:t>
      </w:r>
      <w:r w:rsidRPr="004D0A2C">
        <w:rPr>
          <w:lang w:val="fr-FR"/>
        </w:rPr>
        <w:t xml:space="preserve"> les essais de pression d</w:t>
      </w:r>
      <w:r w:rsidR="00AD27B0" w:rsidRPr="004D0A2C">
        <w:rPr>
          <w:lang w:val="fr-FR"/>
        </w:rPr>
        <w:t>’</w:t>
      </w:r>
      <w:r w:rsidRPr="004D0A2C">
        <w:rPr>
          <w:lang w:val="fr-FR"/>
        </w:rPr>
        <w:t>éclatement quasi statique restants seraient réalisés</w:t>
      </w:r>
      <w:r w:rsidR="00AD27B0" w:rsidRPr="004D0A2C">
        <w:rPr>
          <w:lang w:val="fr-FR"/>
        </w:rPr>
        <w:t> ;</w:t>
      </w:r>
      <w:r w:rsidRPr="004D0A2C">
        <w:rPr>
          <w:lang w:val="fr-FR"/>
        </w:rPr>
        <w:t xml:space="preserve"> les laboratoires qui n</w:t>
      </w:r>
      <w:r w:rsidR="00AD27B0" w:rsidRPr="004D0A2C">
        <w:rPr>
          <w:lang w:val="fr-FR"/>
        </w:rPr>
        <w:t>’</w:t>
      </w:r>
      <w:r w:rsidRPr="004D0A2C">
        <w:rPr>
          <w:lang w:val="fr-FR"/>
        </w:rPr>
        <w:t>avaient pas terminé les essais comparatifs interlaboratoires le feraient</w:t>
      </w:r>
      <w:r w:rsidR="00AD27B0" w:rsidRPr="004D0A2C">
        <w:rPr>
          <w:lang w:val="fr-FR"/>
        </w:rPr>
        <w:t> ;</w:t>
      </w:r>
      <w:r w:rsidRPr="004D0A2C">
        <w:rPr>
          <w:lang w:val="fr-FR"/>
        </w:rPr>
        <w:t xml:space="preserve"> le laboratoire NOURYON (Pays-Bas) mettrait au point une matrice d</w:t>
      </w:r>
      <w:r w:rsidR="00AD27B0" w:rsidRPr="004D0A2C">
        <w:rPr>
          <w:lang w:val="fr-FR"/>
        </w:rPr>
        <w:t>’</w:t>
      </w:r>
      <w:r w:rsidRPr="004D0A2C">
        <w:rPr>
          <w:lang w:val="fr-FR"/>
        </w:rPr>
        <w:t>essai pour les quantités diluées de peroxybenzoate de tert-butyle</w:t>
      </w:r>
      <w:r w:rsidR="009C65BB" w:rsidRPr="004D0A2C">
        <w:rPr>
          <w:lang w:val="fr-FR"/>
        </w:rPr>
        <w:t>.</w:t>
      </w:r>
    </w:p>
    <w:p w14:paraId="3D711620" w14:textId="4D691C6E" w:rsidR="006F26A8" w:rsidRPr="004D0A2C" w:rsidRDefault="006F26A8" w:rsidP="005D7917">
      <w:pPr>
        <w:pStyle w:val="H1G"/>
        <w:rPr>
          <w:lang w:val="fr-FR"/>
        </w:rPr>
      </w:pPr>
      <w:r w:rsidRPr="004D0A2C">
        <w:rPr>
          <w:lang w:val="fr-FR"/>
        </w:rPr>
        <w:tab/>
        <w:t>D</w:t>
      </w:r>
      <w:r w:rsidR="009C65BB" w:rsidRPr="004D0A2C">
        <w:rPr>
          <w:lang w:val="fr-FR"/>
        </w:rPr>
        <w:t>.</w:t>
      </w:r>
      <w:r w:rsidRPr="004D0A2C">
        <w:rPr>
          <w:lang w:val="fr-FR"/>
        </w:rPr>
        <w:tab/>
        <w:t>Détonateurs normalisés «</w:t>
      </w:r>
      <w:r w:rsidR="00632778" w:rsidRPr="004D0A2C">
        <w:rPr>
          <w:lang w:val="fr-FR"/>
        </w:rPr>
        <w:t> </w:t>
      </w:r>
      <w:r w:rsidRPr="004D0A2C">
        <w:rPr>
          <w:lang w:val="fr-FR"/>
        </w:rPr>
        <w:t>UN</w:t>
      </w:r>
      <w:r w:rsidR="00632778" w:rsidRPr="004D0A2C">
        <w:rPr>
          <w:lang w:val="fr-FR"/>
        </w:rPr>
        <w:t> </w:t>
      </w:r>
      <w:r w:rsidRPr="004D0A2C">
        <w:rPr>
          <w:lang w:val="fr-FR"/>
        </w:rPr>
        <w:t>»</w:t>
      </w:r>
    </w:p>
    <w:p w14:paraId="366AAE68" w14:textId="28B99C7A" w:rsidR="006F26A8" w:rsidRPr="004D0A2C" w:rsidRDefault="006F26A8" w:rsidP="005D7917">
      <w:pPr>
        <w:pStyle w:val="SingleTxtG"/>
        <w:rPr>
          <w:lang w:val="fr-FR"/>
        </w:rPr>
      </w:pPr>
      <w:r w:rsidRPr="004D0A2C">
        <w:rPr>
          <w:lang w:val="fr-FR"/>
        </w:rPr>
        <w:t>21</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35B18B06" w14:textId="78B4FF51" w:rsidR="006F26A8" w:rsidRPr="004D0A2C" w:rsidRDefault="006F26A8" w:rsidP="005D7917">
      <w:pPr>
        <w:pStyle w:val="H1G"/>
        <w:rPr>
          <w:lang w:val="fr-FR"/>
        </w:rPr>
      </w:pPr>
      <w:r w:rsidRPr="004D0A2C">
        <w:rPr>
          <w:lang w:val="fr-FR"/>
        </w:rPr>
        <w:tab/>
        <w:t>E</w:t>
      </w:r>
      <w:r w:rsidR="009C65BB" w:rsidRPr="004D0A2C">
        <w:rPr>
          <w:lang w:val="fr-FR"/>
        </w:rPr>
        <w:t>.</w:t>
      </w:r>
      <w:r w:rsidRPr="004D0A2C">
        <w:rPr>
          <w:lang w:val="fr-FR"/>
        </w:rPr>
        <w:tab/>
        <w:t>Échantillons énergétiques</w:t>
      </w:r>
    </w:p>
    <w:p w14:paraId="772F2457" w14:textId="3BA9C19F" w:rsidR="006F26A8" w:rsidRPr="004D0A2C" w:rsidRDefault="006F26A8" w:rsidP="005D7917">
      <w:pPr>
        <w:pStyle w:val="SingleTxtG"/>
        <w:rPr>
          <w:lang w:val="fr-FR"/>
        </w:rPr>
      </w:pPr>
      <w:r w:rsidRPr="004D0A2C">
        <w:rPr>
          <w:lang w:val="fr-FR"/>
        </w:rPr>
        <w:t>22</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66922287" w14:textId="1409E633" w:rsidR="006F26A8" w:rsidRPr="004D0A2C" w:rsidRDefault="006F26A8" w:rsidP="005D7917">
      <w:pPr>
        <w:pStyle w:val="H1G"/>
        <w:rPr>
          <w:lang w:val="fr-FR"/>
        </w:rPr>
      </w:pPr>
      <w:r w:rsidRPr="004D0A2C">
        <w:rPr>
          <w:lang w:val="fr-FR"/>
        </w:rPr>
        <w:tab/>
        <w:t>F</w:t>
      </w:r>
      <w:r w:rsidR="009C65BB" w:rsidRPr="004D0A2C">
        <w:rPr>
          <w:lang w:val="fr-FR"/>
        </w:rPr>
        <w:t>.</w:t>
      </w:r>
      <w:r w:rsidRPr="004D0A2C">
        <w:rPr>
          <w:lang w:val="fr-FR"/>
        </w:rPr>
        <w:tab/>
        <w:t>Examen des prescriptions en matière d</w:t>
      </w:r>
      <w:r w:rsidR="00AD27B0" w:rsidRPr="004D0A2C">
        <w:rPr>
          <w:lang w:val="fr-FR"/>
        </w:rPr>
        <w:t>’</w:t>
      </w:r>
      <w:r w:rsidRPr="004D0A2C">
        <w:rPr>
          <w:lang w:val="fr-FR"/>
        </w:rPr>
        <w:t>emballage et de transport des</w:t>
      </w:r>
      <w:r w:rsidR="005D7917" w:rsidRPr="004D0A2C">
        <w:rPr>
          <w:lang w:val="fr-FR"/>
        </w:rPr>
        <w:t> </w:t>
      </w:r>
      <w:r w:rsidRPr="004D0A2C">
        <w:rPr>
          <w:lang w:val="fr-FR"/>
        </w:rPr>
        <w:t>émulsions de nitrate d</w:t>
      </w:r>
      <w:r w:rsidR="00AD27B0" w:rsidRPr="004D0A2C">
        <w:rPr>
          <w:lang w:val="fr-FR"/>
        </w:rPr>
        <w:t>’</w:t>
      </w:r>
      <w:r w:rsidRPr="004D0A2C">
        <w:rPr>
          <w:lang w:val="fr-FR"/>
        </w:rPr>
        <w:t>ammonium</w:t>
      </w:r>
    </w:p>
    <w:p w14:paraId="0F4377E0" w14:textId="425AC717" w:rsidR="006F26A8" w:rsidRPr="004D0A2C" w:rsidRDefault="005D7917" w:rsidP="005D7917">
      <w:pPr>
        <w:pStyle w:val="H23G"/>
        <w:rPr>
          <w:rFonts w:eastAsia="Times New Roman"/>
          <w:lang w:val="fr-FR"/>
        </w:rPr>
      </w:pPr>
      <w:r w:rsidRPr="004D0A2C">
        <w:rPr>
          <w:lang w:val="fr-FR"/>
        </w:rPr>
        <w:tab/>
      </w:r>
      <w:r w:rsidRPr="004D0A2C">
        <w:rPr>
          <w:lang w:val="fr-FR"/>
        </w:rPr>
        <w:tab/>
      </w:r>
      <w:r w:rsidR="006F26A8" w:rsidRPr="004D0A2C">
        <w:rPr>
          <w:lang w:val="fr-FR"/>
        </w:rPr>
        <w:t>Proposition visant à supprimer la prescription concernant l</w:t>
      </w:r>
      <w:r w:rsidR="00AD27B0" w:rsidRPr="004D0A2C">
        <w:rPr>
          <w:lang w:val="fr-FR"/>
        </w:rPr>
        <w:t>’</w:t>
      </w:r>
      <w:r w:rsidR="006F26A8" w:rsidRPr="004D0A2C">
        <w:rPr>
          <w:lang w:val="fr-FR"/>
        </w:rPr>
        <w:t>épreuve de type 8 d), servant à évaluer si les émulsions de nitrate d</w:t>
      </w:r>
      <w:r w:rsidR="00AD27B0" w:rsidRPr="004D0A2C">
        <w:rPr>
          <w:lang w:val="fr-FR"/>
        </w:rPr>
        <w:t>’</w:t>
      </w:r>
      <w:r w:rsidR="006F26A8" w:rsidRPr="004D0A2C">
        <w:rPr>
          <w:lang w:val="fr-FR"/>
        </w:rPr>
        <w:t>ammonium peuvent être transportées dans des citernes mobiles</w:t>
      </w:r>
    </w:p>
    <w:p w14:paraId="2A5A9642" w14:textId="6EF8615F" w:rsidR="006F26A8" w:rsidRPr="004D0A2C" w:rsidRDefault="006F26A8" w:rsidP="00EB6A0C">
      <w:pPr>
        <w:pStyle w:val="SingleTxtG"/>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19" w:history="1">
        <w:r w:rsidR="004F62B2">
          <w:rPr>
            <w:rStyle w:val="Hyperlink"/>
            <w:lang w:val="fr-FR"/>
          </w:rPr>
          <w:t>ST/SG/AC.10/C.3/2023/16</w:t>
        </w:r>
      </w:hyperlink>
      <w:r w:rsidRPr="004D0A2C">
        <w:rPr>
          <w:lang w:val="fr-FR"/>
        </w:rPr>
        <w:t xml:space="preserve"> (IME)</w:t>
      </w:r>
    </w:p>
    <w:p w14:paraId="70431932" w14:textId="3832031A" w:rsidR="006F26A8" w:rsidRPr="004D0A2C" w:rsidRDefault="006F26A8" w:rsidP="007E4DBA">
      <w:pPr>
        <w:pStyle w:val="SingleTxtG"/>
        <w:tabs>
          <w:tab w:val="clear" w:pos="1701"/>
          <w:tab w:val="clear" w:pos="2268"/>
          <w:tab w:val="clear" w:pos="2835"/>
          <w:tab w:val="left" w:pos="2977"/>
        </w:tabs>
        <w:spacing w:after="0"/>
        <w:ind w:left="2977" w:hanging="1843"/>
        <w:rPr>
          <w:lang w:val="fr-FR"/>
        </w:rPr>
      </w:pPr>
      <w:r w:rsidRPr="004D0A2C">
        <w:rPr>
          <w:i/>
          <w:iCs/>
          <w:lang w:val="fr-FR"/>
        </w:rPr>
        <w:t>Documents informels</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10 (RPMASA)</w:t>
      </w:r>
    </w:p>
    <w:p w14:paraId="592A8E58" w14:textId="318D2806"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lang w:val="fr-FR"/>
        </w:rPr>
        <w:tab/>
        <w:t>INF</w:t>
      </w:r>
      <w:r w:rsidR="009C65BB" w:rsidRPr="004D0A2C">
        <w:rPr>
          <w:lang w:val="fr-FR"/>
        </w:rPr>
        <w:t>.</w:t>
      </w:r>
      <w:r w:rsidRPr="004D0A2C">
        <w:rPr>
          <w:lang w:val="fr-FR"/>
        </w:rPr>
        <w:t>37 (IME)</w:t>
      </w:r>
    </w:p>
    <w:p w14:paraId="50A3B77C" w14:textId="022D9C01" w:rsidR="006F26A8" w:rsidRPr="004D0A2C" w:rsidRDefault="006F26A8" w:rsidP="005D27AF">
      <w:pPr>
        <w:pStyle w:val="SingleTxtG"/>
        <w:rPr>
          <w:lang w:val="fr-FR"/>
        </w:rPr>
      </w:pPr>
      <w:r w:rsidRPr="004D0A2C">
        <w:rPr>
          <w:lang w:val="fr-FR"/>
        </w:rPr>
        <w:t>23</w:t>
      </w:r>
      <w:r w:rsidR="009C65BB" w:rsidRPr="004D0A2C">
        <w:rPr>
          <w:lang w:val="fr-FR"/>
        </w:rPr>
        <w:t>.</w:t>
      </w:r>
      <w:r w:rsidRPr="004D0A2C">
        <w:rPr>
          <w:lang w:val="fr-FR"/>
        </w:rPr>
        <w:tab/>
        <w:t>Le Groupe de travail des explosifs n</w:t>
      </w:r>
      <w:r w:rsidR="00AD27B0" w:rsidRPr="004D0A2C">
        <w:rPr>
          <w:lang w:val="fr-FR"/>
        </w:rPr>
        <w:t>’</w:t>
      </w:r>
      <w:r w:rsidRPr="004D0A2C">
        <w:rPr>
          <w:lang w:val="fr-FR"/>
        </w:rPr>
        <w:t>a pas formulé de recommandation au sujet de cette proposition</w:t>
      </w:r>
      <w:r w:rsidR="007F16D7">
        <w:rPr>
          <w:lang w:val="fr-FR"/>
        </w:rPr>
        <w:t>,</w:t>
      </w:r>
      <w:r w:rsidRPr="004D0A2C">
        <w:rPr>
          <w:lang w:val="fr-FR"/>
        </w:rPr>
        <w:t xml:space="preserve"> mais s</w:t>
      </w:r>
      <w:r w:rsidR="00AD27B0" w:rsidRPr="004D0A2C">
        <w:rPr>
          <w:lang w:val="fr-FR"/>
        </w:rPr>
        <w:t>’</w:t>
      </w:r>
      <w:r w:rsidRPr="004D0A2C">
        <w:rPr>
          <w:lang w:val="fr-FR"/>
        </w:rPr>
        <w:t>est dit favorable à la création d</w:t>
      </w:r>
      <w:r w:rsidR="00AD27B0" w:rsidRPr="004D0A2C">
        <w:rPr>
          <w:lang w:val="fr-FR"/>
        </w:rPr>
        <w:t>’</w:t>
      </w:r>
      <w:r w:rsidRPr="004D0A2C">
        <w:rPr>
          <w:lang w:val="fr-FR"/>
        </w:rPr>
        <w:t>un groupe informel par correspondance chargé de poursuivre les travaux relatifs à l</w:t>
      </w:r>
      <w:r w:rsidR="00AD27B0" w:rsidRPr="004D0A2C">
        <w:rPr>
          <w:lang w:val="fr-FR"/>
        </w:rPr>
        <w:t>’</w:t>
      </w:r>
      <w:r w:rsidRPr="004D0A2C">
        <w:rPr>
          <w:lang w:val="fr-FR"/>
        </w:rPr>
        <w:t>épreuve de type</w:t>
      </w:r>
      <w:r w:rsidR="00775816" w:rsidRPr="004D0A2C">
        <w:rPr>
          <w:lang w:val="fr-FR"/>
        </w:rPr>
        <w:t> </w:t>
      </w:r>
      <w:r w:rsidRPr="004D0A2C">
        <w:rPr>
          <w:lang w:val="fr-FR"/>
        </w:rPr>
        <w:t>8</w:t>
      </w:r>
      <w:r w:rsidR="00775816" w:rsidRPr="004D0A2C">
        <w:rPr>
          <w:lang w:val="fr-FR"/>
        </w:rPr>
        <w:t> </w:t>
      </w:r>
      <w:r w:rsidRPr="004D0A2C">
        <w:rPr>
          <w:lang w:val="fr-FR"/>
        </w:rPr>
        <w:t>d)</w:t>
      </w:r>
      <w:r w:rsidR="009C65BB" w:rsidRPr="004D0A2C">
        <w:rPr>
          <w:lang w:val="fr-FR"/>
        </w:rPr>
        <w:t>.</w:t>
      </w:r>
      <w:r w:rsidRPr="004D0A2C">
        <w:rPr>
          <w:lang w:val="fr-FR"/>
        </w:rPr>
        <w:t xml:space="preserve"> L</w:t>
      </w:r>
      <w:r w:rsidR="00AD27B0" w:rsidRPr="004D0A2C">
        <w:rPr>
          <w:lang w:val="fr-FR"/>
        </w:rPr>
        <w:t>’</w:t>
      </w:r>
      <w:r w:rsidRPr="004D0A2C">
        <w:rPr>
          <w:lang w:val="fr-FR"/>
        </w:rPr>
        <w:t>Allemagne, la Belgique, le Canada, l</w:t>
      </w:r>
      <w:r w:rsidR="00AD27B0" w:rsidRPr="004D0A2C">
        <w:rPr>
          <w:lang w:val="fr-FR"/>
        </w:rPr>
        <w:t>’</w:t>
      </w:r>
      <w:r w:rsidRPr="004D0A2C">
        <w:rPr>
          <w:lang w:val="fr-FR"/>
        </w:rPr>
        <w:t>Espagne, les États-Unis d</w:t>
      </w:r>
      <w:r w:rsidR="00AD27B0" w:rsidRPr="004D0A2C">
        <w:rPr>
          <w:lang w:val="fr-FR"/>
        </w:rPr>
        <w:t>’</w:t>
      </w:r>
      <w:r w:rsidRPr="004D0A2C">
        <w:rPr>
          <w:lang w:val="fr-FR"/>
        </w:rPr>
        <w:t>Amérique, le Japon, les Pays-Bas, la Suède, l</w:t>
      </w:r>
      <w:r w:rsidR="00AD27B0" w:rsidRPr="004D0A2C">
        <w:rPr>
          <w:lang w:val="fr-FR"/>
        </w:rPr>
        <w:t>’</w:t>
      </w:r>
      <w:r w:rsidRPr="004D0A2C">
        <w:rPr>
          <w:lang w:val="fr-FR"/>
        </w:rPr>
        <w:t>AEISG, le Cefic et la RPMASA ont décidé de faire partie de ce groupe</w:t>
      </w:r>
      <w:r w:rsidR="009C65BB" w:rsidRPr="004D0A2C">
        <w:rPr>
          <w:lang w:val="fr-FR"/>
        </w:rPr>
        <w:t>.</w:t>
      </w:r>
    </w:p>
    <w:p w14:paraId="33C2F101" w14:textId="0C6F5CFC" w:rsidR="006F26A8" w:rsidRPr="004D0A2C" w:rsidRDefault="006F26A8" w:rsidP="005D27AF">
      <w:pPr>
        <w:pStyle w:val="H1G"/>
        <w:rPr>
          <w:lang w:val="fr-FR"/>
        </w:rPr>
      </w:pPr>
      <w:r w:rsidRPr="004D0A2C">
        <w:rPr>
          <w:lang w:val="fr-FR"/>
        </w:rPr>
        <w:lastRenderedPageBreak/>
        <w:tab/>
        <w:t>G</w:t>
      </w:r>
      <w:r w:rsidR="009C65BB" w:rsidRPr="004D0A2C">
        <w:rPr>
          <w:lang w:val="fr-FR"/>
        </w:rPr>
        <w:t>.</w:t>
      </w:r>
      <w:r w:rsidRPr="004D0A2C">
        <w:rPr>
          <w:lang w:val="fr-FR"/>
        </w:rPr>
        <w:tab/>
        <w:t xml:space="preserve">Électrification et carburants de substitution et leur incidence </w:t>
      </w:r>
      <w:r w:rsidR="005D27AF" w:rsidRPr="004D0A2C">
        <w:rPr>
          <w:lang w:val="fr-FR"/>
        </w:rPr>
        <w:br/>
      </w:r>
      <w:r w:rsidRPr="004D0A2C">
        <w:rPr>
          <w:lang w:val="fr-FR"/>
        </w:rPr>
        <w:t>sur le transport des explosifs</w:t>
      </w:r>
    </w:p>
    <w:p w14:paraId="58A48ED9" w14:textId="79322877" w:rsidR="006F26A8" w:rsidRPr="004D0A2C" w:rsidRDefault="006F26A8" w:rsidP="005D27AF">
      <w:pPr>
        <w:pStyle w:val="SingleTxtG"/>
        <w:rPr>
          <w:lang w:val="fr-FR"/>
        </w:rPr>
      </w:pPr>
      <w:r w:rsidRPr="004D0A2C">
        <w:rPr>
          <w:lang w:val="fr-FR"/>
        </w:rPr>
        <w:t>24</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3C0912B8" w14:textId="103D040F" w:rsidR="006F26A8" w:rsidRPr="004D0A2C" w:rsidRDefault="006F26A8" w:rsidP="005D27AF">
      <w:pPr>
        <w:pStyle w:val="H1G"/>
        <w:rPr>
          <w:lang w:val="fr-FR"/>
        </w:rPr>
      </w:pPr>
      <w:r w:rsidRPr="004D0A2C">
        <w:rPr>
          <w:lang w:val="fr-FR"/>
        </w:rPr>
        <w:tab/>
        <w:t>H</w:t>
      </w:r>
      <w:r w:rsidR="009C65BB" w:rsidRPr="004D0A2C">
        <w:rPr>
          <w:lang w:val="fr-FR"/>
        </w:rPr>
        <w:t>.</w:t>
      </w:r>
      <w:r w:rsidRPr="004D0A2C">
        <w:rPr>
          <w:lang w:val="fr-FR"/>
        </w:rPr>
        <w:tab/>
        <w:t>Autres questions</w:t>
      </w:r>
    </w:p>
    <w:p w14:paraId="431FE84C" w14:textId="34470264" w:rsidR="006F26A8" w:rsidRPr="004D0A2C" w:rsidRDefault="006F26A8" w:rsidP="005D27AF">
      <w:pPr>
        <w:pStyle w:val="H23G"/>
        <w:rPr>
          <w:lang w:val="fr-FR"/>
        </w:rPr>
      </w:pPr>
      <w:r w:rsidRPr="004D0A2C">
        <w:rPr>
          <w:lang w:val="fr-FR"/>
        </w:rPr>
        <w:tab/>
        <w:t>1</w:t>
      </w:r>
      <w:r w:rsidR="009C65BB" w:rsidRPr="004D0A2C">
        <w:rPr>
          <w:lang w:val="fr-FR"/>
        </w:rPr>
        <w:t>.</w:t>
      </w:r>
      <w:r w:rsidRPr="004D0A2C">
        <w:rPr>
          <w:lang w:val="fr-FR"/>
        </w:rPr>
        <w:tab/>
        <w:t>Amendement à la section 51</w:t>
      </w:r>
      <w:r w:rsidR="009C65BB" w:rsidRPr="004D0A2C">
        <w:rPr>
          <w:lang w:val="fr-FR"/>
        </w:rPr>
        <w:t>.</w:t>
      </w:r>
      <w:r w:rsidRPr="004D0A2C">
        <w:rPr>
          <w:lang w:val="fr-FR"/>
        </w:rPr>
        <w:t>4</w:t>
      </w:r>
      <w:r w:rsidR="009C65BB" w:rsidRPr="004D0A2C">
        <w:rPr>
          <w:lang w:val="fr-FR"/>
        </w:rPr>
        <w:t>.</w:t>
      </w:r>
      <w:r w:rsidRPr="004D0A2C">
        <w:rPr>
          <w:lang w:val="fr-FR"/>
        </w:rPr>
        <w:t>4</w:t>
      </w:r>
      <w:r w:rsidR="009C65BB" w:rsidRPr="004D0A2C">
        <w:rPr>
          <w:lang w:val="fr-FR"/>
        </w:rPr>
        <w:t>.</w:t>
      </w:r>
      <w:r w:rsidRPr="004D0A2C">
        <w:rPr>
          <w:lang w:val="fr-FR"/>
        </w:rPr>
        <w:t>2 e) du Manuel d</w:t>
      </w:r>
      <w:r w:rsidR="00AD27B0" w:rsidRPr="004D0A2C">
        <w:rPr>
          <w:lang w:val="fr-FR"/>
        </w:rPr>
        <w:t>’</w:t>
      </w:r>
      <w:r w:rsidRPr="004D0A2C">
        <w:rPr>
          <w:lang w:val="fr-FR"/>
        </w:rPr>
        <w:t>épreuves et de critères</w:t>
      </w:r>
    </w:p>
    <w:p w14:paraId="3A1F8214" w14:textId="481DDF39" w:rsidR="006F26A8" w:rsidRPr="004D0A2C" w:rsidRDefault="006F26A8" w:rsidP="001E550E">
      <w:pPr>
        <w:pStyle w:val="SingleTxtG"/>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001E550E" w:rsidRPr="004D0A2C">
        <w:rPr>
          <w:iCs/>
          <w:lang w:val="fr-FR"/>
        </w:rPr>
        <w:tab/>
      </w:r>
      <w:hyperlink r:id="rId20" w:history="1">
        <w:r w:rsidR="004F62B2">
          <w:rPr>
            <w:rStyle w:val="Hyperlink"/>
            <w:lang w:val="fr-FR"/>
          </w:rPr>
          <w:t>ST/SG/AC.10/C.3/2023/6</w:t>
        </w:r>
      </w:hyperlink>
      <w:r w:rsidRPr="004D0A2C">
        <w:rPr>
          <w:lang w:val="fr-FR"/>
        </w:rPr>
        <w:t xml:space="preserve"> (Chine)</w:t>
      </w:r>
    </w:p>
    <w:p w14:paraId="65CE0444" w14:textId="1125B145" w:rsidR="006F26A8" w:rsidRPr="004D0A2C" w:rsidRDefault="006F26A8" w:rsidP="005D27AF">
      <w:pPr>
        <w:pStyle w:val="SingleTxtG"/>
        <w:rPr>
          <w:lang w:val="fr-FR"/>
        </w:rPr>
      </w:pPr>
      <w:r w:rsidRPr="004D0A2C">
        <w:rPr>
          <w:lang w:val="fr-FR"/>
        </w:rPr>
        <w:t>25</w:t>
      </w:r>
      <w:r w:rsidR="009C65BB" w:rsidRPr="004D0A2C">
        <w:rPr>
          <w:lang w:val="fr-FR"/>
        </w:rPr>
        <w:t>.</w:t>
      </w:r>
      <w:r w:rsidRPr="004D0A2C">
        <w:rPr>
          <w:lang w:val="fr-FR"/>
        </w:rPr>
        <w:tab/>
        <w:t>Suivant la recommandation du Groupe de travail des explosifs, le Sous-Comité a adopté l</w:t>
      </w:r>
      <w:r w:rsidR="00AD27B0" w:rsidRPr="004D0A2C">
        <w:rPr>
          <w:lang w:val="fr-FR"/>
        </w:rPr>
        <w:t>’</w:t>
      </w:r>
      <w:r w:rsidRPr="004D0A2C">
        <w:rPr>
          <w:lang w:val="fr-FR"/>
        </w:rPr>
        <w:t xml:space="preserve">amendement figurant dans le document </w:t>
      </w:r>
      <w:hyperlink r:id="rId21" w:history="1">
        <w:r w:rsidR="004F62B2">
          <w:rPr>
            <w:rStyle w:val="Hyperlink"/>
            <w:lang w:val="fr-FR"/>
          </w:rPr>
          <w:t>ST/SG/AC.10/C.3/2023/6</w:t>
        </w:r>
      </w:hyperlink>
      <w:r w:rsidRPr="004D0A2C">
        <w:rPr>
          <w:lang w:val="fr-FR"/>
        </w:rPr>
        <w:t>, tel que modifié, et a décidé de le placer entre crochets (voir annexe II</w:t>
      </w:r>
      <w:r w:rsidR="009C65BB" w:rsidRPr="004D0A2C">
        <w:rPr>
          <w:lang w:val="fr-FR"/>
        </w:rPr>
        <w:t>.</w:t>
      </w:r>
      <w:r w:rsidRPr="004D0A2C">
        <w:rPr>
          <w:lang w:val="fr-FR"/>
        </w:rPr>
        <w:t>)</w:t>
      </w:r>
      <w:r w:rsidR="009C65BB" w:rsidRPr="004D0A2C">
        <w:rPr>
          <w:lang w:val="fr-FR"/>
        </w:rPr>
        <w:t>.</w:t>
      </w:r>
    </w:p>
    <w:p w14:paraId="2B869E17" w14:textId="313B8139" w:rsidR="006F26A8" w:rsidRPr="004D0A2C" w:rsidRDefault="006F26A8" w:rsidP="005D27AF">
      <w:pPr>
        <w:pStyle w:val="SingleTxtG"/>
        <w:rPr>
          <w:lang w:val="fr-FR"/>
        </w:rPr>
      </w:pPr>
      <w:r w:rsidRPr="004D0A2C">
        <w:rPr>
          <w:lang w:val="fr-FR"/>
        </w:rPr>
        <w:t>26</w:t>
      </w:r>
      <w:r w:rsidR="009C65BB" w:rsidRPr="004D0A2C">
        <w:rPr>
          <w:lang w:val="fr-FR"/>
        </w:rPr>
        <w:t>.</w:t>
      </w:r>
      <w:r w:rsidRPr="004D0A2C">
        <w:rPr>
          <w:lang w:val="fr-FR"/>
        </w:rPr>
        <w:tab/>
        <w:t>Le Groupe de travail des explosifs a mis en évidence d</w:t>
      </w:r>
      <w:r w:rsidR="00AD27B0" w:rsidRPr="004D0A2C">
        <w:rPr>
          <w:lang w:val="fr-FR"/>
        </w:rPr>
        <w:t>’</w:t>
      </w:r>
      <w:r w:rsidRPr="004D0A2C">
        <w:rPr>
          <w:lang w:val="fr-FR"/>
        </w:rPr>
        <w:t>autres possibilités d</w:t>
      </w:r>
      <w:r w:rsidR="00AD27B0" w:rsidRPr="004D0A2C">
        <w:rPr>
          <w:lang w:val="fr-FR"/>
        </w:rPr>
        <w:t>’</w:t>
      </w:r>
      <w:r w:rsidRPr="004D0A2C">
        <w:rPr>
          <w:lang w:val="fr-FR"/>
        </w:rPr>
        <w:t>amélioration et incohérences pendant son examen et a décidé qu</w:t>
      </w:r>
      <w:r w:rsidR="00AD27B0" w:rsidRPr="004D0A2C">
        <w:rPr>
          <w:lang w:val="fr-FR"/>
        </w:rPr>
        <w:t>’</w:t>
      </w:r>
      <w:r w:rsidRPr="004D0A2C">
        <w:rPr>
          <w:lang w:val="fr-FR"/>
        </w:rPr>
        <w:t>un groupe informel par correspondance consacré à la vitesse de combustion s</w:t>
      </w:r>
      <w:r w:rsidR="00AD27B0" w:rsidRPr="004D0A2C">
        <w:rPr>
          <w:lang w:val="fr-FR"/>
        </w:rPr>
        <w:t>’</w:t>
      </w:r>
      <w:r w:rsidRPr="004D0A2C">
        <w:rPr>
          <w:lang w:val="fr-FR"/>
        </w:rPr>
        <w:t>y intéresserait</w:t>
      </w:r>
      <w:r w:rsidR="009C65BB" w:rsidRPr="004D0A2C">
        <w:rPr>
          <w:lang w:val="fr-FR"/>
        </w:rPr>
        <w:t>.</w:t>
      </w:r>
      <w:r w:rsidRPr="004D0A2C">
        <w:rPr>
          <w:lang w:val="fr-FR"/>
        </w:rPr>
        <w:t xml:space="preserve"> Les conclusions et suggestions de ce groupe seraient soumises à examen sous la forme de documents officiels ou informels</w:t>
      </w:r>
      <w:r w:rsidR="009C65BB" w:rsidRPr="004D0A2C">
        <w:rPr>
          <w:lang w:val="fr-FR"/>
        </w:rPr>
        <w:t>.</w:t>
      </w:r>
      <w:r w:rsidRPr="004D0A2C">
        <w:rPr>
          <w:lang w:val="fr-FR"/>
        </w:rPr>
        <w:t xml:space="preserve"> La Chine assurerait la coordination du groupe</w:t>
      </w:r>
      <w:r w:rsidR="009C65BB" w:rsidRPr="004D0A2C">
        <w:rPr>
          <w:lang w:val="fr-FR"/>
        </w:rPr>
        <w:t>.</w:t>
      </w:r>
    </w:p>
    <w:p w14:paraId="666B95B8" w14:textId="717B4323" w:rsidR="006F26A8" w:rsidRPr="004D0A2C" w:rsidRDefault="006F26A8" w:rsidP="005D27AF">
      <w:pPr>
        <w:pStyle w:val="H23G"/>
        <w:rPr>
          <w:rFonts w:eastAsia="Times New Roman"/>
          <w:lang w:val="fr-FR"/>
        </w:rPr>
      </w:pPr>
      <w:r w:rsidRPr="004D0A2C">
        <w:rPr>
          <w:lang w:val="fr-FR"/>
        </w:rPr>
        <w:tab/>
        <w:t>2</w:t>
      </w:r>
      <w:r w:rsidR="009C65BB" w:rsidRPr="004D0A2C">
        <w:rPr>
          <w:lang w:val="fr-FR"/>
        </w:rPr>
        <w:t>.</w:t>
      </w:r>
      <w:r w:rsidRPr="004D0A2C">
        <w:rPr>
          <w:lang w:val="fr-FR"/>
        </w:rPr>
        <w:tab/>
        <w:t>Modification de la définition d</w:t>
      </w:r>
      <w:r w:rsidR="00AD27B0" w:rsidRPr="004D0A2C">
        <w:rPr>
          <w:lang w:val="fr-FR"/>
        </w:rPr>
        <w:t>’</w:t>
      </w:r>
      <w:r w:rsidRPr="004D0A2C">
        <w:rPr>
          <w:lang w:val="fr-FR"/>
        </w:rPr>
        <w:t>«</w:t>
      </w:r>
      <w:r w:rsidR="00632778" w:rsidRPr="004D0A2C">
        <w:rPr>
          <w:lang w:val="fr-FR"/>
        </w:rPr>
        <w:t> </w:t>
      </w:r>
      <w:r w:rsidRPr="004D0A2C">
        <w:rPr>
          <w:lang w:val="fr-FR"/>
        </w:rPr>
        <w:t>effet explosif ou pyrotechnique</w:t>
      </w:r>
      <w:r w:rsidR="00632778" w:rsidRPr="004D0A2C">
        <w:rPr>
          <w:lang w:val="fr-FR"/>
        </w:rPr>
        <w:t> </w:t>
      </w:r>
      <w:r w:rsidRPr="004D0A2C">
        <w:rPr>
          <w:lang w:val="fr-FR"/>
        </w:rPr>
        <w:t>»</w:t>
      </w:r>
    </w:p>
    <w:p w14:paraId="485BAAFB" w14:textId="148BA8F2" w:rsidR="006F26A8" w:rsidRPr="004D0A2C" w:rsidRDefault="006F26A8" w:rsidP="001E550E">
      <w:pPr>
        <w:pStyle w:val="SingleTxtG"/>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001E550E" w:rsidRPr="004D0A2C">
        <w:rPr>
          <w:iCs/>
          <w:lang w:val="fr-FR"/>
        </w:rPr>
        <w:tab/>
      </w:r>
      <w:hyperlink r:id="rId22" w:history="1">
        <w:r w:rsidR="004F62B2">
          <w:rPr>
            <w:rStyle w:val="Hyperlink"/>
            <w:lang w:val="fr-FR"/>
          </w:rPr>
          <w:t>ST/SG/AC.10/C.3/2023/12</w:t>
        </w:r>
      </w:hyperlink>
      <w:r w:rsidRPr="004D0A2C">
        <w:rPr>
          <w:lang w:val="fr-FR"/>
        </w:rPr>
        <w:t xml:space="preserve"> (Suède)</w:t>
      </w:r>
    </w:p>
    <w:p w14:paraId="7FBB31AD" w14:textId="73AB46E1" w:rsidR="006F26A8" w:rsidRPr="004D0A2C" w:rsidRDefault="006F26A8" w:rsidP="005D27AF">
      <w:pPr>
        <w:pStyle w:val="SingleTxtG"/>
        <w:rPr>
          <w:lang w:val="fr-FR"/>
        </w:rPr>
      </w:pPr>
      <w:r w:rsidRPr="004D0A2C">
        <w:rPr>
          <w:lang w:val="fr-FR"/>
        </w:rPr>
        <w:t>27</w:t>
      </w:r>
      <w:r w:rsidR="009C65BB" w:rsidRPr="004D0A2C">
        <w:rPr>
          <w:lang w:val="fr-FR"/>
        </w:rPr>
        <w:t>.</w:t>
      </w:r>
      <w:r w:rsidRPr="004D0A2C">
        <w:rPr>
          <w:lang w:val="fr-FR"/>
        </w:rPr>
        <w:tab/>
        <w:t>Lors de la réunion du Groupe de travail des explosifs, de nombreux experts ont soutenu cette proposition</w:t>
      </w:r>
      <w:r w:rsidR="009C65BB" w:rsidRPr="004D0A2C">
        <w:rPr>
          <w:lang w:val="fr-FR"/>
        </w:rPr>
        <w:t>.</w:t>
      </w:r>
      <w:r w:rsidRPr="004D0A2C">
        <w:rPr>
          <w:lang w:val="fr-FR"/>
        </w:rPr>
        <w:t xml:space="preserve"> D</w:t>
      </w:r>
      <w:r w:rsidR="00AD27B0" w:rsidRPr="004D0A2C">
        <w:rPr>
          <w:lang w:val="fr-FR"/>
        </w:rPr>
        <w:t>’</w:t>
      </w:r>
      <w:r w:rsidRPr="004D0A2C">
        <w:rPr>
          <w:lang w:val="fr-FR"/>
        </w:rPr>
        <w:t>autres s</w:t>
      </w:r>
      <w:r w:rsidR="00AD27B0" w:rsidRPr="004D0A2C">
        <w:rPr>
          <w:lang w:val="fr-FR"/>
        </w:rPr>
        <w:t>’</w:t>
      </w:r>
      <w:r w:rsidRPr="004D0A2C">
        <w:rPr>
          <w:lang w:val="fr-FR"/>
        </w:rPr>
        <w:t>y sont opposés</w:t>
      </w:r>
      <w:r w:rsidR="00B27E5F">
        <w:rPr>
          <w:lang w:val="fr-FR"/>
        </w:rPr>
        <w:t>,</w:t>
      </w:r>
      <w:r w:rsidRPr="004D0A2C">
        <w:rPr>
          <w:lang w:val="fr-FR"/>
        </w:rPr>
        <w:t xml:space="preserve"> mais étaient disposés à poursuivre les débats y relatifs à la réunion suivante</w:t>
      </w:r>
      <w:r w:rsidR="009C65BB" w:rsidRPr="004D0A2C">
        <w:rPr>
          <w:lang w:val="fr-FR"/>
        </w:rPr>
        <w:t>.</w:t>
      </w:r>
      <w:r w:rsidRPr="004D0A2C">
        <w:rPr>
          <w:lang w:val="fr-FR"/>
        </w:rPr>
        <w:t xml:space="preserve"> Le Groupe de travail des explosifs a recommandé d</w:t>
      </w:r>
      <w:r w:rsidR="00AD27B0" w:rsidRPr="004D0A2C">
        <w:rPr>
          <w:lang w:val="fr-FR"/>
        </w:rPr>
        <w:t>’</w:t>
      </w:r>
      <w:r w:rsidRPr="004D0A2C">
        <w:rPr>
          <w:lang w:val="fr-FR"/>
        </w:rPr>
        <w:t>accepter la proposition 1A entre crochets et de poursuivre les travaux en examinant les passages où l</w:t>
      </w:r>
      <w:r w:rsidR="00AD27B0" w:rsidRPr="004D0A2C">
        <w:rPr>
          <w:lang w:val="fr-FR"/>
        </w:rPr>
        <w:t>’</w:t>
      </w:r>
      <w:r w:rsidRPr="004D0A2C">
        <w:rPr>
          <w:lang w:val="fr-FR"/>
        </w:rPr>
        <w:t>expression «</w:t>
      </w:r>
      <w:r w:rsidR="00632778" w:rsidRPr="004D0A2C">
        <w:rPr>
          <w:lang w:val="fr-FR"/>
        </w:rPr>
        <w:t> </w:t>
      </w:r>
      <w:r w:rsidRPr="004D0A2C">
        <w:rPr>
          <w:lang w:val="fr-FR"/>
        </w:rPr>
        <w:t>effet explosif ou pyrotechnique</w:t>
      </w:r>
      <w:r w:rsidR="00632778" w:rsidRPr="004D0A2C">
        <w:rPr>
          <w:lang w:val="fr-FR"/>
        </w:rPr>
        <w:t> </w:t>
      </w:r>
      <w:r w:rsidRPr="004D0A2C">
        <w:rPr>
          <w:lang w:val="fr-FR"/>
        </w:rPr>
        <w:t>» était employée afin de déterminer si elle convenait dans chaque cas</w:t>
      </w:r>
      <w:r w:rsidR="009C65BB" w:rsidRPr="004D0A2C">
        <w:rPr>
          <w:lang w:val="fr-FR"/>
        </w:rPr>
        <w:t>.</w:t>
      </w:r>
    </w:p>
    <w:p w14:paraId="4B6DB986" w14:textId="6784C567" w:rsidR="006F26A8" w:rsidRPr="004D0A2C" w:rsidRDefault="006F26A8" w:rsidP="005D27AF">
      <w:pPr>
        <w:pStyle w:val="SingleTxtG"/>
        <w:rPr>
          <w:lang w:val="fr-FR"/>
        </w:rPr>
      </w:pPr>
      <w:r w:rsidRPr="004D0A2C">
        <w:rPr>
          <w:lang w:val="fr-FR"/>
        </w:rPr>
        <w:t>28</w:t>
      </w:r>
      <w:r w:rsidR="009C65BB" w:rsidRPr="004D0A2C">
        <w:rPr>
          <w:lang w:val="fr-FR"/>
        </w:rPr>
        <w:t>.</w:t>
      </w:r>
      <w:r w:rsidRPr="004D0A2C">
        <w:rPr>
          <w:lang w:val="fr-FR"/>
        </w:rPr>
        <w:tab/>
        <w:t>Le Sous-Comité a décidé d</w:t>
      </w:r>
      <w:r w:rsidR="00AD27B0" w:rsidRPr="004D0A2C">
        <w:rPr>
          <w:lang w:val="fr-FR"/>
        </w:rPr>
        <w:t>’</w:t>
      </w:r>
      <w:r w:rsidRPr="004D0A2C">
        <w:rPr>
          <w:lang w:val="fr-FR"/>
        </w:rPr>
        <w:t>adopter l</w:t>
      </w:r>
      <w:r w:rsidR="00AD27B0" w:rsidRPr="004D0A2C">
        <w:rPr>
          <w:lang w:val="fr-FR"/>
        </w:rPr>
        <w:t>’</w:t>
      </w:r>
      <w:r w:rsidRPr="004D0A2C">
        <w:rPr>
          <w:lang w:val="fr-FR"/>
        </w:rPr>
        <w:t xml:space="preserve">amendement figurant dans la proposition 1A du document </w:t>
      </w:r>
      <w:hyperlink r:id="rId23" w:history="1">
        <w:r w:rsidR="004F62B2">
          <w:rPr>
            <w:rStyle w:val="Hyperlink"/>
            <w:lang w:val="fr-FR"/>
          </w:rPr>
          <w:t>ST/SG/AC.10/C.3/2023/12</w:t>
        </w:r>
      </w:hyperlink>
      <w:r w:rsidRPr="004D0A2C">
        <w:rPr>
          <w:lang w:val="fr-FR"/>
        </w:rPr>
        <w:t xml:space="preserve"> et de le placer entre crochets (voir annexe I)</w:t>
      </w:r>
      <w:r w:rsidR="009C65BB" w:rsidRPr="004D0A2C">
        <w:rPr>
          <w:lang w:val="fr-FR"/>
        </w:rPr>
        <w:t>.</w:t>
      </w:r>
    </w:p>
    <w:p w14:paraId="4B73374D" w14:textId="393533CA" w:rsidR="006F26A8" w:rsidRPr="004D0A2C" w:rsidRDefault="006F26A8" w:rsidP="005D27AF">
      <w:pPr>
        <w:pStyle w:val="H23G"/>
        <w:rPr>
          <w:lang w:val="fr-FR"/>
        </w:rPr>
      </w:pPr>
      <w:r w:rsidRPr="004D0A2C">
        <w:rPr>
          <w:lang w:val="fr-FR"/>
        </w:rPr>
        <w:tab/>
        <w:t>3</w:t>
      </w:r>
      <w:r w:rsidR="009C65BB" w:rsidRPr="004D0A2C">
        <w:rPr>
          <w:lang w:val="fr-FR"/>
        </w:rPr>
        <w:t>.</w:t>
      </w:r>
      <w:r w:rsidRPr="004D0A2C">
        <w:rPr>
          <w:lang w:val="fr-FR"/>
        </w:rPr>
        <w:tab/>
        <w:t>Réflexion concernant les modifications apportées au chapitre 2</w:t>
      </w:r>
      <w:r w:rsidR="009C65BB" w:rsidRPr="004D0A2C">
        <w:rPr>
          <w:lang w:val="fr-FR"/>
        </w:rPr>
        <w:t>.</w:t>
      </w:r>
      <w:r w:rsidRPr="004D0A2C">
        <w:rPr>
          <w:lang w:val="fr-FR"/>
        </w:rPr>
        <w:t xml:space="preserve">17 (Matières explosibles désensibilisées) du Système général harmonisé et à la section 51 </w:t>
      </w:r>
      <w:r w:rsidR="005D27AF" w:rsidRPr="004D0A2C">
        <w:rPr>
          <w:lang w:val="fr-FR"/>
        </w:rPr>
        <w:br/>
      </w:r>
      <w:r w:rsidRPr="004D0A2C">
        <w:rPr>
          <w:lang w:val="fr-FR"/>
        </w:rPr>
        <w:t>du Manuel d</w:t>
      </w:r>
      <w:r w:rsidR="00AD27B0" w:rsidRPr="004D0A2C">
        <w:rPr>
          <w:lang w:val="fr-FR"/>
        </w:rPr>
        <w:t>’</w:t>
      </w:r>
      <w:r w:rsidRPr="004D0A2C">
        <w:rPr>
          <w:lang w:val="fr-FR"/>
        </w:rPr>
        <w:t>épreuves et de critères</w:t>
      </w:r>
    </w:p>
    <w:p w14:paraId="1E1D54D9" w14:textId="495BAF49" w:rsidR="006F26A8" w:rsidRPr="004D0A2C" w:rsidRDefault="006F26A8" w:rsidP="00EB6A0C">
      <w:pPr>
        <w:pStyle w:val="SingleTxtG"/>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24" w:history="1">
        <w:r w:rsidR="004F62B2">
          <w:rPr>
            <w:rStyle w:val="Hyperlink"/>
            <w:lang w:val="fr-FR"/>
          </w:rPr>
          <w:t>ST/SG/AC.10/C.3/2023/17</w:t>
        </w:r>
      </w:hyperlink>
      <w:r w:rsidRPr="004D0A2C">
        <w:rPr>
          <w:lang w:val="fr-FR"/>
        </w:rPr>
        <w:t xml:space="preserve"> (AEISG)</w:t>
      </w:r>
    </w:p>
    <w:p w14:paraId="664CD46F" w14:textId="58070E2A" w:rsidR="006F26A8" w:rsidRPr="004D0A2C" w:rsidRDefault="006F26A8" w:rsidP="0031185C">
      <w:pPr>
        <w:pStyle w:val="SingleTxtG"/>
        <w:tabs>
          <w:tab w:val="clear" w:pos="1701"/>
          <w:tab w:val="clear" w:pos="2268"/>
          <w:tab w:val="clear" w:pos="2835"/>
          <w:tab w:val="left" w:pos="2977"/>
        </w:tabs>
        <w:ind w:left="2977" w:hanging="1843"/>
        <w:rPr>
          <w:i/>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28 (SAAMI)</w:t>
      </w:r>
    </w:p>
    <w:p w14:paraId="2C7E8ABB" w14:textId="7E20D0A6" w:rsidR="006F26A8" w:rsidRPr="004D0A2C" w:rsidRDefault="006F26A8" w:rsidP="005D27AF">
      <w:pPr>
        <w:pStyle w:val="SingleTxtG"/>
        <w:rPr>
          <w:lang w:val="fr-FR"/>
        </w:rPr>
      </w:pPr>
      <w:r w:rsidRPr="004D0A2C">
        <w:rPr>
          <w:lang w:val="fr-FR"/>
        </w:rPr>
        <w:t>29</w:t>
      </w:r>
      <w:r w:rsidR="009C65BB" w:rsidRPr="004D0A2C">
        <w:rPr>
          <w:lang w:val="fr-FR"/>
        </w:rPr>
        <w:t>.</w:t>
      </w:r>
      <w:r w:rsidRPr="004D0A2C">
        <w:rPr>
          <w:lang w:val="fr-FR"/>
        </w:rPr>
        <w:tab/>
        <w:t>Le Groupe de travail des explosifs n</w:t>
      </w:r>
      <w:r w:rsidR="00AD27B0" w:rsidRPr="004D0A2C">
        <w:rPr>
          <w:lang w:val="fr-FR"/>
        </w:rPr>
        <w:t>’</w:t>
      </w:r>
      <w:r w:rsidRPr="004D0A2C">
        <w:rPr>
          <w:lang w:val="fr-FR"/>
        </w:rPr>
        <w:t>est pas parvenu à s</w:t>
      </w:r>
      <w:r w:rsidR="00AD27B0" w:rsidRPr="004D0A2C">
        <w:rPr>
          <w:lang w:val="fr-FR"/>
        </w:rPr>
        <w:t>’</w:t>
      </w:r>
      <w:r w:rsidRPr="004D0A2C">
        <w:rPr>
          <w:lang w:val="fr-FR"/>
        </w:rPr>
        <w:t xml:space="preserve">entendre sur une recommandation concernant la proposition figurant au paragraphe 13 du document </w:t>
      </w:r>
      <w:hyperlink r:id="rId25" w:history="1">
        <w:r w:rsidR="004F62B2">
          <w:rPr>
            <w:rStyle w:val="Hyperlink"/>
            <w:lang w:val="fr-FR"/>
          </w:rPr>
          <w:t>ST/SG/AC.10/C.3/2023/17</w:t>
        </w:r>
      </w:hyperlink>
      <w:r w:rsidR="009C65BB" w:rsidRPr="004D0A2C">
        <w:rPr>
          <w:lang w:val="fr-FR"/>
        </w:rPr>
        <w:t>.</w:t>
      </w:r>
      <w:r w:rsidRPr="004D0A2C">
        <w:rPr>
          <w:lang w:val="fr-FR"/>
        </w:rPr>
        <w:t xml:space="preserve"> L</w:t>
      </w:r>
      <w:r w:rsidR="00AD27B0" w:rsidRPr="004D0A2C">
        <w:rPr>
          <w:lang w:val="fr-FR"/>
        </w:rPr>
        <w:t>’</w:t>
      </w:r>
      <w:r w:rsidRPr="004D0A2C">
        <w:rPr>
          <w:lang w:val="fr-FR"/>
        </w:rPr>
        <w:t>AEISG a proposé de réviser sa proposition à la lumière des observations formulées en vue de la prochaine session</w:t>
      </w:r>
      <w:r w:rsidR="009C65BB" w:rsidRPr="004D0A2C">
        <w:rPr>
          <w:lang w:val="fr-FR"/>
        </w:rPr>
        <w:t>.</w:t>
      </w:r>
      <w:r w:rsidRPr="004D0A2C">
        <w:rPr>
          <w:lang w:val="fr-FR"/>
        </w:rPr>
        <w:t xml:space="preserve"> Le Groupe de travail des explosifs a recommandé que les propositions des paragraphes 14 et 15 soient acceptées</w:t>
      </w:r>
      <w:r w:rsidR="009C65BB" w:rsidRPr="004D0A2C">
        <w:rPr>
          <w:lang w:val="fr-FR"/>
        </w:rPr>
        <w:t>.</w:t>
      </w:r>
    </w:p>
    <w:p w14:paraId="0D9CEAB3" w14:textId="32D0A3CA" w:rsidR="006F26A8" w:rsidRPr="004D0A2C" w:rsidRDefault="006F26A8" w:rsidP="005D27AF">
      <w:pPr>
        <w:pStyle w:val="SingleTxtG"/>
        <w:rPr>
          <w:lang w:val="fr-FR"/>
        </w:rPr>
      </w:pPr>
      <w:r w:rsidRPr="004D0A2C">
        <w:rPr>
          <w:lang w:val="fr-FR"/>
        </w:rPr>
        <w:t>30</w:t>
      </w:r>
      <w:r w:rsidR="009C65BB" w:rsidRPr="004D0A2C">
        <w:rPr>
          <w:lang w:val="fr-FR"/>
        </w:rPr>
        <w:t>.</w:t>
      </w:r>
      <w:r w:rsidRPr="004D0A2C">
        <w:rPr>
          <w:lang w:val="fr-FR"/>
        </w:rPr>
        <w:tab/>
        <w:t xml:space="preserve">Le Sous-Comité a adopté les amendements proposés au paragraphe 15 du document </w:t>
      </w:r>
      <w:hyperlink r:id="rId26" w:history="1">
        <w:r w:rsidR="004F62B2">
          <w:rPr>
            <w:rStyle w:val="Hyperlink"/>
            <w:lang w:val="fr-FR"/>
          </w:rPr>
          <w:t>ST/SG/AC.10/C.3/2023/17</w:t>
        </w:r>
      </w:hyperlink>
      <w:r w:rsidRPr="004D0A2C">
        <w:rPr>
          <w:lang w:val="fr-FR"/>
        </w:rPr>
        <w:t xml:space="preserve"> (voir annexe I)</w:t>
      </w:r>
      <w:r w:rsidR="009C65BB" w:rsidRPr="004D0A2C">
        <w:rPr>
          <w:lang w:val="fr-FR"/>
        </w:rPr>
        <w:t>.</w:t>
      </w:r>
    </w:p>
    <w:p w14:paraId="57E4826F" w14:textId="3F16A346" w:rsidR="006F26A8" w:rsidRPr="004D0A2C" w:rsidRDefault="006F26A8" w:rsidP="005D27AF">
      <w:pPr>
        <w:pStyle w:val="H23G"/>
        <w:rPr>
          <w:rFonts w:eastAsia="Times New Roman"/>
          <w:lang w:val="fr-FR"/>
        </w:rPr>
      </w:pPr>
      <w:r w:rsidRPr="004D0A2C">
        <w:rPr>
          <w:lang w:val="fr-FR"/>
        </w:rPr>
        <w:tab/>
        <w:t>4</w:t>
      </w:r>
      <w:r w:rsidR="009C65BB" w:rsidRPr="004D0A2C">
        <w:rPr>
          <w:lang w:val="fr-FR"/>
        </w:rPr>
        <w:t>.</w:t>
      </w:r>
      <w:r w:rsidRPr="004D0A2C">
        <w:rPr>
          <w:lang w:val="fr-FR"/>
        </w:rPr>
        <w:tab/>
        <w:t>Proposition de modification de la définition des explosifs de la classe 1</w:t>
      </w:r>
    </w:p>
    <w:p w14:paraId="746CB902" w14:textId="3D1DBB5C" w:rsidR="006F26A8" w:rsidRPr="004D0A2C" w:rsidRDefault="006F26A8" w:rsidP="00EB6A0C">
      <w:pPr>
        <w:pStyle w:val="SingleTxtG"/>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27" w:history="1">
        <w:r w:rsidR="004F62B2">
          <w:rPr>
            <w:rStyle w:val="Hyperlink"/>
            <w:lang w:val="fr-FR"/>
          </w:rPr>
          <w:t>ST/SG/AC.10/C.3/2023/18</w:t>
        </w:r>
      </w:hyperlink>
      <w:r w:rsidRPr="004D0A2C">
        <w:rPr>
          <w:lang w:val="fr-FR"/>
        </w:rPr>
        <w:t xml:space="preserve"> (AEISG)</w:t>
      </w:r>
    </w:p>
    <w:p w14:paraId="0A027605" w14:textId="21B54C27" w:rsidR="006F26A8" w:rsidRPr="004D0A2C" w:rsidRDefault="006F26A8" w:rsidP="005D27AF">
      <w:pPr>
        <w:pStyle w:val="SingleTxtG"/>
        <w:rPr>
          <w:lang w:val="fr-FR"/>
        </w:rPr>
      </w:pPr>
      <w:r w:rsidRPr="004D0A2C">
        <w:rPr>
          <w:lang w:val="fr-FR"/>
        </w:rPr>
        <w:t>31</w:t>
      </w:r>
      <w:r w:rsidR="009C65BB" w:rsidRPr="004D0A2C">
        <w:rPr>
          <w:lang w:val="fr-FR"/>
        </w:rPr>
        <w:t>.</w:t>
      </w:r>
      <w:r w:rsidRPr="004D0A2C">
        <w:rPr>
          <w:lang w:val="fr-FR"/>
        </w:rPr>
        <w:tab/>
        <w:t>La majorité des experts du Groupe de travail des explosifs a soutenu la proposition telle que modifiée</w:t>
      </w:r>
      <w:r w:rsidR="009C65BB" w:rsidRPr="004D0A2C">
        <w:rPr>
          <w:lang w:val="fr-FR"/>
        </w:rPr>
        <w:t>.</w:t>
      </w:r>
      <w:r w:rsidRPr="004D0A2C">
        <w:rPr>
          <w:lang w:val="fr-FR"/>
        </w:rPr>
        <w:t xml:space="preserve"> Le Sous-Comité a adopté l</w:t>
      </w:r>
      <w:r w:rsidR="00AD27B0" w:rsidRPr="004D0A2C">
        <w:rPr>
          <w:lang w:val="fr-FR"/>
        </w:rPr>
        <w:t>’</w:t>
      </w:r>
      <w:r w:rsidRPr="004D0A2C">
        <w:rPr>
          <w:lang w:val="fr-FR"/>
        </w:rPr>
        <w:t>amendement moyennant une modification (voir annexe I)</w:t>
      </w:r>
      <w:r w:rsidR="009C65BB" w:rsidRPr="004D0A2C">
        <w:rPr>
          <w:lang w:val="fr-FR"/>
        </w:rPr>
        <w:t>.</w:t>
      </w:r>
    </w:p>
    <w:p w14:paraId="1B764DB3" w14:textId="372C48C7" w:rsidR="006F26A8" w:rsidRPr="004D0A2C" w:rsidRDefault="006F26A8" w:rsidP="008B3DF8">
      <w:pPr>
        <w:pStyle w:val="H23G"/>
        <w:rPr>
          <w:rFonts w:eastAsia="Times New Roman"/>
          <w:lang w:val="fr-FR"/>
        </w:rPr>
      </w:pPr>
      <w:r w:rsidRPr="004D0A2C">
        <w:rPr>
          <w:lang w:val="fr-FR"/>
        </w:rPr>
        <w:lastRenderedPageBreak/>
        <w:tab/>
        <w:t>5</w:t>
      </w:r>
      <w:r w:rsidR="009C65BB" w:rsidRPr="004D0A2C">
        <w:rPr>
          <w:lang w:val="fr-FR"/>
        </w:rPr>
        <w:t>.</w:t>
      </w:r>
      <w:r w:rsidRPr="004D0A2C">
        <w:rPr>
          <w:lang w:val="fr-FR"/>
        </w:rPr>
        <w:tab/>
        <w:t xml:space="preserve">Proposition visant à élargir la rubrique du </w:t>
      </w:r>
      <w:r w:rsidR="00AD27B0" w:rsidRPr="004D0A2C">
        <w:rPr>
          <w:lang w:val="fr-FR"/>
        </w:rPr>
        <w:t>n</w:t>
      </w:r>
      <w:r w:rsidR="00AD27B0" w:rsidRPr="004D0A2C">
        <w:rPr>
          <w:vertAlign w:val="superscript"/>
          <w:lang w:val="fr-FR"/>
        </w:rPr>
        <w:t>o</w:t>
      </w:r>
      <w:r w:rsidRPr="004D0A2C">
        <w:rPr>
          <w:lang w:val="fr-FR"/>
        </w:rPr>
        <w:t xml:space="preserve"> ONU 3375 pour tenir compte </w:t>
      </w:r>
      <w:r w:rsidR="009C7645" w:rsidRPr="004D0A2C">
        <w:rPr>
          <w:lang w:val="fr-FR"/>
        </w:rPr>
        <w:br/>
      </w:r>
      <w:r w:rsidRPr="004D0A2C">
        <w:rPr>
          <w:lang w:val="fr-FR"/>
        </w:rPr>
        <w:t>de tous les groupes d</w:t>
      </w:r>
      <w:r w:rsidR="00AD27B0" w:rsidRPr="004D0A2C">
        <w:rPr>
          <w:lang w:val="fr-FR"/>
        </w:rPr>
        <w:t>’</w:t>
      </w:r>
      <w:r w:rsidRPr="004D0A2C">
        <w:rPr>
          <w:lang w:val="fr-FR"/>
        </w:rPr>
        <w:t>emballage possibles</w:t>
      </w:r>
    </w:p>
    <w:p w14:paraId="248F8221" w14:textId="09296A2E" w:rsidR="006F26A8" w:rsidRPr="004D0A2C" w:rsidRDefault="006F26A8" w:rsidP="008B3DF8">
      <w:pPr>
        <w:pStyle w:val="SingleTxtG"/>
        <w:keepNext/>
        <w:keepLines/>
        <w:tabs>
          <w:tab w:val="clear" w:pos="1701"/>
          <w:tab w:val="clear" w:pos="2268"/>
          <w:tab w:val="clear" w:pos="2835"/>
          <w:tab w:val="left" w:pos="2977"/>
        </w:tabs>
        <w:ind w:left="3124" w:hanging="1990"/>
        <w:rPr>
          <w:iCs/>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28" w:history="1">
        <w:r w:rsidR="004F62B2">
          <w:rPr>
            <w:rStyle w:val="Hyperlink"/>
            <w:lang w:val="fr-FR"/>
          </w:rPr>
          <w:t>ST/SG/AC.10/C.3/2023/19</w:t>
        </w:r>
      </w:hyperlink>
      <w:r w:rsidRPr="004D0A2C">
        <w:rPr>
          <w:lang w:val="fr-FR"/>
        </w:rPr>
        <w:t xml:space="preserve"> (AEISG)</w:t>
      </w:r>
    </w:p>
    <w:p w14:paraId="307FE503" w14:textId="01BF9FB8"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19 (Suède)</w:t>
      </w:r>
    </w:p>
    <w:p w14:paraId="35816055" w14:textId="7EB2B271" w:rsidR="006F26A8" w:rsidRPr="004D0A2C" w:rsidRDefault="006F26A8" w:rsidP="009C7645">
      <w:pPr>
        <w:pStyle w:val="SingleTxtG"/>
        <w:rPr>
          <w:lang w:val="fr-FR"/>
        </w:rPr>
      </w:pPr>
      <w:r w:rsidRPr="004D0A2C">
        <w:rPr>
          <w:lang w:val="fr-FR"/>
        </w:rPr>
        <w:t>32</w:t>
      </w:r>
      <w:r w:rsidR="009C65BB" w:rsidRPr="004D0A2C">
        <w:rPr>
          <w:lang w:val="fr-FR"/>
        </w:rPr>
        <w:t>.</w:t>
      </w:r>
      <w:r w:rsidRPr="004D0A2C">
        <w:rPr>
          <w:lang w:val="fr-FR"/>
        </w:rPr>
        <w:tab/>
        <w:t>La proposition n</w:t>
      </w:r>
      <w:r w:rsidR="00AD27B0" w:rsidRPr="004D0A2C">
        <w:rPr>
          <w:lang w:val="fr-FR"/>
        </w:rPr>
        <w:t>’</w:t>
      </w:r>
      <w:r w:rsidRPr="004D0A2C">
        <w:rPr>
          <w:lang w:val="fr-FR"/>
        </w:rPr>
        <w:t>a pas reçu un appui suffisant du Groupe de travail des explosifs pour être acceptée</w:t>
      </w:r>
      <w:r w:rsidR="009C65BB" w:rsidRPr="004D0A2C">
        <w:rPr>
          <w:lang w:val="fr-FR"/>
        </w:rPr>
        <w:t>.</w:t>
      </w:r>
    </w:p>
    <w:p w14:paraId="3F597838" w14:textId="18C40B6B" w:rsidR="006F26A8" w:rsidRPr="004D0A2C" w:rsidRDefault="006F26A8" w:rsidP="009C7645">
      <w:pPr>
        <w:pStyle w:val="H23G"/>
        <w:rPr>
          <w:rFonts w:eastAsia="Times New Roman"/>
          <w:lang w:val="fr-FR"/>
        </w:rPr>
      </w:pPr>
      <w:r w:rsidRPr="004D0A2C">
        <w:rPr>
          <w:lang w:val="fr-FR"/>
        </w:rPr>
        <w:tab/>
        <w:t>6</w:t>
      </w:r>
      <w:r w:rsidR="009C65BB" w:rsidRPr="004D0A2C">
        <w:rPr>
          <w:lang w:val="fr-FR"/>
        </w:rPr>
        <w:t>.</w:t>
      </w:r>
      <w:r w:rsidRPr="004D0A2C">
        <w:rPr>
          <w:lang w:val="fr-FR"/>
        </w:rPr>
        <w:tab/>
        <w:t>Instruction d</w:t>
      </w:r>
      <w:r w:rsidR="00AD27B0" w:rsidRPr="004D0A2C">
        <w:rPr>
          <w:lang w:val="fr-FR"/>
        </w:rPr>
        <w:t>’</w:t>
      </w:r>
      <w:r w:rsidRPr="004D0A2C">
        <w:rPr>
          <w:lang w:val="fr-FR"/>
        </w:rPr>
        <w:t xml:space="preserve">emballage P130 et contact métal contre métal entre les explosifs </w:t>
      </w:r>
      <w:r w:rsidR="009C7645" w:rsidRPr="004D0A2C">
        <w:rPr>
          <w:lang w:val="fr-FR"/>
        </w:rPr>
        <w:br/>
      </w:r>
      <w:r w:rsidRPr="004D0A2C">
        <w:rPr>
          <w:lang w:val="fr-FR"/>
        </w:rPr>
        <w:t>et leur emballage</w:t>
      </w:r>
    </w:p>
    <w:p w14:paraId="6665BFED" w14:textId="77571E4F" w:rsidR="006F26A8" w:rsidRPr="003C6342" w:rsidRDefault="006F26A8" w:rsidP="00EB6A0C">
      <w:pPr>
        <w:pStyle w:val="SingleTxtG"/>
        <w:tabs>
          <w:tab w:val="clear" w:pos="1701"/>
          <w:tab w:val="clear" w:pos="2268"/>
          <w:tab w:val="clear" w:pos="2835"/>
          <w:tab w:val="left" w:pos="2977"/>
        </w:tabs>
        <w:ind w:left="3124" w:hanging="1990"/>
        <w:rPr>
          <w:iCs/>
          <w:lang w:val="en-US"/>
        </w:rPr>
      </w:pPr>
      <w:r w:rsidRPr="003C6342">
        <w:rPr>
          <w:i/>
          <w:iCs/>
          <w:lang w:val="en-US"/>
        </w:rPr>
        <w:t>Document</w:t>
      </w:r>
      <w:r w:rsidR="00AD27B0" w:rsidRPr="003C6342">
        <w:rPr>
          <w:i/>
          <w:iCs/>
          <w:lang w:val="en-US"/>
        </w:rPr>
        <w:t> </w:t>
      </w:r>
      <w:r w:rsidR="005F36F6" w:rsidRPr="003C6342">
        <w:rPr>
          <w:iCs/>
          <w:lang w:val="en-US"/>
        </w:rPr>
        <w:t>:</w:t>
      </w:r>
      <w:r w:rsidRPr="003C6342">
        <w:rPr>
          <w:lang w:val="en-US"/>
        </w:rPr>
        <w:tab/>
      </w:r>
      <w:hyperlink r:id="rId29" w:history="1">
        <w:r w:rsidR="004F62B2">
          <w:rPr>
            <w:rStyle w:val="Hyperlink"/>
            <w:lang w:val="en-US"/>
          </w:rPr>
          <w:t>ST/SG/AC.10/C.3/2023/25</w:t>
        </w:r>
      </w:hyperlink>
      <w:r w:rsidRPr="003C6342">
        <w:rPr>
          <w:lang w:val="en-US"/>
        </w:rPr>
        <w:t xml:space="preserve"> (SAAMI)</w:t>
      </w:r>
    </w:p>
    <w:p w14:paraId="6880E127" w14:textId="1CB4387C" w:rsidR="006F26A8" w:rsidRPr="004D0A2C" w:rsidRDefault="006F26A8" w:rsidP="009C7645">
      <w:pPr>
        <w:pStyle w:val="SingleTxtG"/>
        <w:rPr>
          <w:lang w:val="fr-FR"/>
        </w:rPr>
      </w:pPr>
      <w:r w:rsidRPr="004D0A2C">
        <w:rPr>
          <w:lang w:val="fr-FR"/>
        </w:rPr>
        <w:t>33</w:t>
      </w:r>
      <w:r w:rsidR="009C65BB" w:rsidRPr="004D0A2C">
        <w:rPr>
          <w:lang w:val="fr-FR"/>
        </w:rPr>
        <w:t>.</w:t>
      </w:r>
      <w:r w:rsidRPr="004D0A2C">
        <w:rPr>
          <w:lang w:val="fr-FR"/>
        </w:rPr>
        <w:tab/>
        <w:t>Le Groupe de travail des explosifs est convenu qu</w:t>
      </w:r>
      <w:r w:rsidR="00AD27B0" w:rsidRPr="004D0A2C">
        <w:rPr>
          <w:lang w:val="fr-FR"/>
        </w:rPr>
        <w:t>’</w:t>
      </w:r>
      <w:r w:rsidRPr="004D0A2C">
        <w:rPr>
          <w:lang w:val="fr-FR"/>
        </w:rPr>
        <w:t>en général, le contact métal contre métal devait être évité, conscient toutefois que cela ne posait pas problème dans certaines circonstances, par exemple pour les fûts peints ou les caisses à munitions</w:t>
      </w:r>
      <w:r w:rsidR="009C65BB" w:rsidRPr="004D0A2C">
        <w:rPr>
          <w:lang w:val="fr-FR"/>
        </w:rPr>
        <w:t>.</w:t>
      </w:r>
      <w:r w:rsidRPr="004D0A2C">
        <w:rPr>
          <w:lang w:val="fr-FR"/>
        </w:rPr>
        <w:t xml:space="preserve"> Il a recommandé qu</w:t>
      </w:r>
      <w:r w:rsidR="00AD27B0" w:rsidRPr="004D0A2C">
        <w:rPr>
          <w:lang w:val="fr-FR"/>
        </w:rPr>
        <w:t>’</w:t>
      </w:r>
      <w:r w:rsidRPr="004D0A2C">
        <w:rPr>
          <w:lang w:val="fr-FR"/>
        </w:rPr>
        <w:t>une proposition où ne figureraient que certains numéros ONU soit soumise</w:t>
      </w:r>
      <w:r w:rsidR="009C65BB" w:rsidRPr="004D0A2C">
        <w:rPr>
          <w:lang w:val="fr-FR"/>
        </w:rPr>
        <w:t>.</w:t>
      </w:r>
      <w:r w:rsidRPr="004D0A2C">
        <w:rPr>
          <w:lang w:val="fr-FR"/>
        </w:rPr>
        <w:t xml:space="preserve"> Les armes de petit calibre pourraient notamment être concernées, selon qu</w:t>
      </w:r>
      <w:r w:rsidR="00AD27B0" w:rsidRPr="004D0A2C">
        <w:rPr>
          <w:lang w:val="fr-FR"/>
        </w:rPr>
        <w:t>’</w:t>
      </w:r>
      <w:r w:rsidRPr="004D0A2C">
        <w:rPr>
          <w:lang w:val="fr-FR"/>
        </w:rPr>
        <w:t>il conviendrait</w:t>
      </w:r>
      <w:r w:rsidR="009C65BB" w:rsidRPr="004D0A2C">
        <w:rPr>
          <w:lang w:val="fr-FR"/>
        </w:rPr>
        <w:t>.</w:t>
      </w:r>
    </w:p>
    <w:p w14:paraId="334A9140" w14:textId="7CD75A61" w:rsidR="006F26A8" w:rsidRPr="004D0A2C" w:rsidRDefault="006F26A8" w:rsidP="009C7645">
      <w:pPr>
        <w:pStyle w:val="H23G"/>
        <w:rPr>
          <w:rFonts w:eastAsia="Times New Roman"/>
          <w:lang w:val="fr-FR"/>
        </w:rPr>
      </w:pPr>
      <w:r w:rsidRPr="004D0A2C">
        <w:rPr>
          <w:lang w:val="fr-FR"/>
        </w:rPr>
        <w:tab/>
        <w:t>7</w:t>
      </w:r>
      <w:r w:rsidR="009C65BB" w:rsidRPr="004D0A2C">
        <w:rPr>
          <w:lang w:val="fr-FR"/>
        </w:rPr>
        <w:t>.</w:t>
      </w:r>
      <w:r w:rsidRPr="004D0A2C">
        <w:rPr>
          <w:lang w:val="fr-FR"/>
        </w:rPr>
        <w:tab/>
        <w:t>Matières qui polymérisent et température de polymérisation auto-accélérée</w:t>
      </w:r>
    </w:p>
    <w:p w14:paraId="4EB3164C" w14:textId="2FE8933C"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 (Cefic et DGAC)</w:t>
      </w:r>
    </w:p>
    <w:p w14:paraId="476B377A" w14:textId="7AB42B4F" w:rsidR="006F26A8" w:rsidRPr="004D0A2C" w:rsidRDefault="006F26A8" w:rsidP="009C7645">
      <w:pPr>
        <w:pStyle w:val="SingleTxtG"/>
        <w:rPr>
          <w:lang w:val="fr-FR"/>
        </w:rPr>
      </w:pPr>
      <w:r w:rsidRPr="004D0A2C">
        <w:rPr>
          <w:lang w:val="fr-FR"/>
        </w:rPr>
        <w:t>34</w:t>
      </w:r>
      <w:r w:rsidR="009C65BB" w:rsidRPr="004D0A2C">
        <w:rPr>
          <w:lang w:val="fr-FR"/>
        </w:rPr>
        <w:t>.</w:t>
      </w:r>
      <w:r w:rsidRPr="004D0A2C">
        <w:rPr>
          <w:lang w:val="fr-FR"/>
        </w:rPr>
        <w:tab/>
        <w:t>Le Groupe de travail des explosifs a admis que la mention d</w:t>
      </w:r>
      <w:r w:rsidR="00AD27B0" w:rsidRPr="004D0A2C">
        <w:rPr>
          <w:lang w:val="fr-FR"/>
        </w:rPr>
        <w:t>’</w:t>
      </w:r>
      <w:r w:rsidRPr="004D0A2C">
        <w:rPr>
          <w:lang w:val="fr-FR"/>
        </w:rPr>
        <w:t>une valeur numérique de certaines températures de polymérisation auto-accélérée (TPAA) ne garantissait pas la sécurité du transport des matières qui polymérisent</w:t>
      </w:r>
      <w:r w:rsidR="009C65BB" w:rsidRPr="004D0A2C">
        <w:rPr>
          <w:lang w:val="fr-FR"/>
        </w:rPr>
        <w:t>.</w:t>
      </w:r>
      <w:r w:rsidRPr="004D0A2C">
        <w:rPr>
          <w:lang w:val="fr-FR"/>
        </w:rPr>
        <w:t xml:space="preserve"> Il a estimé qu</w:t>
      </w:r>
      <w:r w:rsidR="00AD27B0" w:rsidRPr="004D0A2C">
        <w:rPr>
          <w:lang w:val="fr-FR"/>
        </w:rPr>
        <w:t>’</w:t>
      </w:r>
      <w:r w:rsidRPr="004D0A2C">
        <w:rPr>
          <w:lang w:val="fr-FR"/>
        </w:rPr>
        <w:t>un groupe informel par correspondance pourrait être chargé de déterminer les pratiques exemplaires auxquelles les professionnels ont recours pour faire en sorte qu</w:t>
      </w:r>
      <w:r w:rsidR="00AD27B0" w:rsidRPr="004D0A2C">
        <w:rPr>
          <w:lang w:val="fr-FR"/>
        </w:rPr>
        <w:t>’</w:t>
      </w:r>
      <w:r w:rsidRPr="004D0A2C">
        <w:rPr>
          <w:lang w:val="fr-FR"/>
        </w:rPr>
        <w:t>il existe un stabilisateur efficace permettant un transport en toute sécurité</w:t>
      </w:r>
      <w:r w:rsidR="009C65BB" w:rsidRPr="004D0A2C">
        <w:rPr>
          <w:lang w:val="fr-FR"/>
        </w:rPr>
        <w:t>.</w:t>
      </w:r>
      <w:r w:rsidRPr="004D0A2C">
        <w:rPr>
          <w:lang w:val="fr-FR"/>
        </w:rPr>
        <w:t xml:space="preserve"> L</w:t>
      </w:r>
      <w:r w:rsidR="00AD27B0" w:rsidRPr="004D0A2C">
        <w:rPr>
          <w:lang w:val="fr-FR"/>
        </w:rPr>
        <w:t>’</w:t>
      </w:r>
      <w:r w:rsidRPr="004D0A2C">
        <w:rPr>
          <w:lang w:val="fr-FR"/>
        </w:rPr>
        <w:t>Allemagne, le Canada, l</w:t>
      </w:r>
      <w:r w:rsidR="00AD27B0" w:rsidRPr="004D0A2C">
        <w:rPr>
          <w:lang w:val="fr-FR"/>
        </w:rPr>
        <w:t>’</w:t>
      </w:r>
      <w:r w:rsidRPr="004D0A2C">
        <w:rPr>
          <w:lang w:val="fr-FR"/>
        </w:rPr>
        <w:t>Espagne, les États-Unis d</w:t>
      </w:r>
      <w:r w:rsidR="00AD27B0" w:rsidRPr="004D0A2C">
        <w:rPr>
          <w:lang w:val="fr-FR"/>
        </w:rPr>
        <w:t>’</w:t>
      </w:r>
      <w:r w:rsidRPr="004D0A2C">
        <w:rPr>
          <w:lang w:val="fr-FR"/>
        </w:rPr>
        <w:t>Amérique, la France, les Pays-Bas, le Cefic, le COSTHA, le DGAC et le SAAMI ont accepté de faire partie de ce groupe</w:t>
      </w:r>
      <w:r w:rsidR="009C65BB" w:rsidRPr="004D0A2C">
        <w:rPr>
          <w:lang w:val="fr-FR"/>
        </w:rPr>
        <w:t>.</w:t>
      </w:r>
    </w:p>
    <w:p w14:paraId="773C234D" w14:textId="0F905A50" w:rsidR="006F26A8" w:rsidRPr="004D0A2C" w:rsidRDefault="006F26A8" w:rsidP="009C7645">
      <w:pPr>
        <w:pStyle w:val="H23G"/>
        <w:rPr>
          <w:rFonts w:eastAsia="Times New Roman"/>
          <w:lang w:val="fr-FR"/>
        </w:rPr>
      </w:pPr>
      <w:r w:rsidRPr="004D0A2C">
        <w:rPr>
          <w:lang w:val="fr-FR"/>
        </w:rPr>
        <w:tab/>
        <w:t>8</w:t>
      </w:r>
      <w:r w:rsidR="009C65BB" w:rsidRPr="004D0A2C">
        <w:rPr>
          <w:lang w:val="fr-FR"/>
        </w:rPr>
        <w:t>.</w:t>
      </w:r>
      <w:r w:rsidRPr="004D0A2C">
        <w:rPr>
          <w:lang w:val="fr-FR"/>
        </w:rPr>
        <w:tab/>
        <w:t>Rapport du groupe intersessions par correspondance des feux d</w:t>
      </w:r>
      <w:r w:rsidR="00AD27B0" w:rsidRPr="004D0A2C">
        <w:rPr>
          <w:lang w:val="fr-FR"/>
        </w:rPr>
        <w:t>’</w:t>
      </w:r>
      <w:r w:rsidRPr="004D0A2C">
        <w:rPr>
          <w:lang w:val="fr-FR"/>
        </w:rPr>
        <w:t>artifice</w:t>
      </w:r>
    </w:p>
    <w:p w14:paraId="592334F6" w14:textId="0CA36996"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5 (Pays-Bas, président du Groupe de travail des explosifs)</w:t>
      </w:r>
    </w:p>
    <w:p w14:paraId="36B3A21A" w14:textId="314A1084" w:rsidR="006F26A8" w:rsidRPr="004D0A2C" w:rsidRDefault="006F26A8" w:rsidP="009C7645">
      <w:pPr>
        <w:pStyle w:val="SingleTxtG"/>
        <w:rPr>
          <w:lang w:val="fr-FR"/>
        </w:rPr>
      </w:pPr>
      <w:r w:rsidRPr="004D0A2C">
        <w:rPr>
          <w:lang w:val="fr-FR"/>
        </w:rPr>
        <w:t>35</w:t>
      </w:r>
      <w:r w:rsidR="009C65BB" w:rsidRPr="004D0A2C">
        <w:rPr>
          <w:lang w:val="fr-FR"/>
        </w:rPr>
        <w:t>.</w:t>
      </w:r>
      <w:r w:rsidRPr="004D0A2C">
        <w:rPr>
          <w:lang w:val="fr-FR"/>
        </w:rPr>
        <w:tab/>
        <w:t>Le Groupe de travail des explosifs a pris note du rapport d</w:t>
      </w:r>
      <w:r w:rsidR="00AD27B0" w:rsidRPr="004D0A2C">
        <w:rPr>
          <w:lang w:val="fr-FR"/>
        </w:rPr>
        <w:t>’</w:t>
      </w:r>
      <w:r w:rsidRPr="004D0A2C">
        <w:rPr>
          <w:lang w:val="fr-FR"/>
        </w:rPr>
        <w:t>étape du groupe intersessions par correspondance des feux d</w:t>
      </w:r>
      <w:r w:rsidR="00AD27B0" w:rsidRPr="004D0A2C">
        <w:rPr>
          <w:lang w:val="fr-FR"/>
        </w:rPr>
        <w:t>’</w:t>
      </w:r>
      <w:r w:rsidRPr="004D0A2C">
        <w:rPr>
          <w:lang w:val="fr-FR"/>
        </w:rPr>
        <w:t>artifice et a remercié le président de ce groupe d</w:t>
      </w:r>
      <w:r w:rsidR="00AD27B0" w:rsidRPr="004D0A2C">
        <w:rPr>
          <w:lang w:val="fr-FR"/>
        </w:rPr>
        <w:t>’</w:t>
      </w:r>
      <w:r w:rsidRPr="004D0A2C">
        <w:rPr>
          <w:lang w:val="fr-FR"/>
        </w:rPr>
        <w:t>avoir accepté de continuer à assurer cette fonction</w:t>
      </w:r>
      <w:r w:rsidR="009C65BB" w:rsidRPr="004D0A2C">
        <w:rPr>
          <w:lang w:val="fr-FR"/>
        </w:rPr>
        <w:t>.</w:t>
      </w:r>
      <w:r w:rsidRPr="004D0A2C">
        <w:rPr>
          <w:lang w:val="fr-FR"/>
        </w:rPr>
        <w:t xml:space="preserve"> Le groupe intersessions par correspondance se réunirait probablement de nouveau dans les prochains mois</w:t>
      </w:r>
      <w:r w:rsidR="009C65BB" w:rsidRPr="004D0A2C">
        <w:rPr>
          <w:lang w:val="fr-FR"/>
        </w:rPr>
        <w:t>.</w:t>
      </w:r>
    </w:p>
    <w:p w14:paraId="245E8608" w14:textId="1B1C75E0" w:rsidR="006F26A8" w:rsidRPr="004D0A2C" w:rsidRDefault="006F26A8" w:rsidP="009C7645">
      <w:pPr>
        <w:pStyle w:val="H23G"/>
        <w:rPr>
          <w:rFonts w:eastAsia="Times New Roman"/>
          <w:lang w:val="fr-FR"/>
        </w:rPr>
      </w:pPr>
      <w:r w:rsidRPr="004D0A2C">
        <w:rPr>
          <w:lang w:val="fr-FR"/>
        </w:rPr>
        <w:tab/>
        <w:t>9</w:t>
      </w:r>
      <w:r w:rsidR="009C65BB" w:rsidRPr="004D0A2C">
        <w:rPr>
          <w:lang w:val="fr-FR"/>
        </w:rPr>
        <w:t>.</w:t>
      </w:r>
      <w:r w:rsidRPr="004D0A2C">
        <w:rPr>
          <w:lang w:val="fr-FR"/>
        </w:rPr>
        <w:tab/>
        <w:t>Fin de la validité de certains agréments pour le classement de matières explosibles du</w:t>
      </w:r>
      <w:r w:rsidR="009C7645" w:rsidRPr="004D0A2C">
        <w:rPr>
          <w:lang w:val="fr-FR"/>
        </w:rPr>
        <w:t> </w:t>
      </w:r>
      <w:r w:rsidRPr="004D0A2C">
        <w:rPr>
          <w:lang w:val="fr-FR"/>
        </w:rPr>
        <w:t>fait de la prescription du Règlement type relative à l</w:t>
      </w:r>
      <w:r w:rsidR="00AD27B0" w:rsidRPr="004D0A2C">
        <w:rPr>
          <w:lang w:val="fr-FR"/>
        </w:rPr>
        <w:t>’</w:t>
      </w:r>
      <w:r w:rsidRPr="004D0A2C">
        <w:rPr>
          <w:lang w:val="fr-FR"/>
        </w:rPr>
        <w:t>épreuve de type 6 d)</w:t>
      </w:r>
    </w:p>
    <w:p w14:paraId="5948986D" w14:textId="7045D3EF"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29 (États-Unis d</w:t>
      </w:r>
      <w:r w:rsidR="00AD27B0" w:rsidRPr="004D0A2C">
        <w:rPr>
          <w:lang w:val="fr-FR"/>
        </w:rPr>
        <w:t>’</w:t>
      </w:r>
      <w:r w:rsidRPr="004D0A2C">
        <w:rPr>
          <w:lang w:val="fr-FR"/>
        </w:rPr>
        <w:t>Amérique)</w:t>
      </w:r>
    </w:p>
    <w:p w14:paraId="510C7E4A" w14:textId="3566F3E0" w:rsidR="006F26A8" w:rsidRPr="004D0A2C" w:rsidRDefault="006F26A8" w:rsidP="009C7645">
      <w:pPr>
        <w:pStyle w:val="SingleTxtG"/>
        <w:rPr>
          <w:lang w:val="fr-FR"/>
        </w:rPr>
      </w:pPr>
      <w:r w:rsidRPr="004D0A2C">
        <w:rPr>
          <w:lang w:val="fr-FR"/>
        </w:rPr>
        <w:t>36</w:t>
      </w:r>
      <w:r w:rsidR="009C65BB" w:rsidRPr="004D0A2C">
        <w:rPr>
          <w:lang w:val="fr-FR"/>
        </w:rPr>
        <w:t>.</w:t>
      </w:r>
      <w:r w:rsidRPr="004D0A2C">
        <w:rPr>
          <w:lang w:val="fr-FR"/>
        </w:rPr>
        <w:tab/>
        <w:t>Le Groupe de travail des explosifs a remercié les États-Unis d</w:t>
      </w:r>
      <w:r w:rsidR="00AD27B0" w:rsidRPr="004D0A2C">
        <w:rPr>
          <w:lang w:val="fr-FR"/>
        </w:rPr>
        <w:t>’</w:t>
      </w:r>
      <w:r w:rsidRPr="004D0A2C">
        <w:rPr>
          <w:lang w:val="fr-FR"/>
        </w:rPr>
        <w:t>Amérique de l</w:t>
      </w:r>
      <w:r w:rsidR="00AD27B0" w:rsidRPr="004D0A2C">
        <w:rPr>
          <w:lang w:val="fr-FR"/>
        </w:rPr>
        <w:t>’</w:t>
      </w:r>
      <w:r w:rsidRPr="004D0A2C">
        <w:rPr>
          <w:lang w:val="fr-FR"/>
        </w:rPr>
        <w:t>explication fournie</w:t>
      </w:r>
      <w:r w:rsidR="009C65BB" w:rsidRPr="004D0A2C">
        <w:rPr>
          <w:lang w:val="fr-FR"/>
        </w:rPr>
        <w:t>.</w:t>
      </w:r>
    </w:p>
    <w:p w14:paraId="6755BDEA" w14:textId="170D87D3" w:rsidR="006F26A8" w:rsidRPr="004D0A2C" w:rsidRDefault="006F26A8" w:rsidP="009C7645">
      <w:pPr>
        <w:pStyle w:val="H23G"/>
        <w:rPr>
          <w:rFonts w:eastAsia="Times New Roman"/>
          <w:lang w:val="fr-FR"/>
        </w:rPr>
      </w:pPr>
      <w:r w:rsidRPr="004D0A2C">
        <w:rPr>
          <w:lang w:val="fr-FR"/>
        </w:rPr>
        <w:tab/>
        <w:t>10</w:t>
      </w:r>
      <w:r w:rsidR="009C65BB" w:rsidRPr="004D0A2C">
        <w:rPr>
          <w:lang w:val="fr-FR"/>
        </w:rPr>
        <w:t>.</w:t>
      </w:r>
      <w:r w:rsidRPr="004D0A2C">
        <w:rPr>
          <w:lang w:val="fr-FR"/>
        </w:rPr>
        <w:tab/>
        <w:t>Nouvelle disposition spéciale et disposition spéciale d</w:t>
      </w:r>
      <w:r w:rsidR="00AD27B0" w:rsidRPr="004D0A2C">
        <w:rPr>
          <w:lang w:val="fr-FR"/>
        </w:rPr>
        <w:t>’</w:t>
      </w:r>
      <w:r w:rsidRPr="004D0A2C">
        <w:rPr>
          <w:lang w:val="fr-FR"/>
        </w:rPr>
        <w:t xml:space="preserve">emballage du </w:t>
      </w:r>
      <w:r w:rsidR="00AD27B0" w:rsidRPr="004D0A2C">
        <w:rPr>
          <w:lang w:val="fr-FR"/>
        </w:rPr>
        <w:t>n</w:t>
      </w:r>
      <w:r w:rsidR="00AD27B0" w:rsidRPr="004D0A2C">
        <w:rPr>
          <w:vertAlign w:val="superscript"/>
          <w:lang w:val="fr-FR"/>
        </w:rPr>
        <w:t>o</w:t>
      </w:r>
      <w:r w:rsidRPr="004D0A2C">
        <w:rPr>
          <w:lang w:val="fr-FR"/>
        </w:rPr>
        <w:t> ONU 2029</w:t>
      </w:r>
    </w:p>
    <w:p w14:paraId="5F639C76" w14:textId="5F92D649"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35 (Chine)</w:t>
      </w:r>
    </w:p>
    <w:p w14:paraId="0B764EA3" w14:textId="75D335B7" w:rsidR="006F26A8" w:rsidRPr="004D0A2C" w:rsidRDefault="006F26A8" w:rsidP="009C7645">
      <w:pPr>
        <w:pStyle w:val="SingleTxtG"/>
        <w:rPr>
          <w:lang w:val="fr-FR"/>
        </w:rPr>
      </w:pPr>
      <w:r w:rsidRPr="004D0A2C">
        <w:rPr>
          <w:lang w:val="fr-FR"/>
        </w:rPr>
        <w:t>37</w:t>
      </w:r>
      <w:r w:rsidR="009C65BB" w:rsidRPr="004D0A2C">
        <w:rPr>
          <w:lang w:val="fr-FR"/>
        </w:rPr>
        <w:t>.</w:t>
      </w:r>
      <w:r w:rsidRPr="004D0A2C">
        <w:rPr>
          <w:lang w:val="fr-FR"/>
        </w:rPr>
        <w:tab/>
        <w:t>Le Groupe de travail des explosifs n</w:t>
      </w:r>
      <w:r w:rsidR="00AD27B0" w:rsidRPr="004D0A2C">
        <w:rPr>
          <w:lang w:val="fr-FR"/>
        </w:rPr>
        <w:t>’</w:t>
      </w:r>
      <w:r w:rsidRPr="004D0A2C">
        <w:rPr>
          <w:lang w:val="fr-FR"/>
        </w:rPr>
        <w:t>était pas favorable à la proposition en l</w:t>
      </w:r>
      <w:r w:rsidR="00AD27B0" w:rsidRPr="004D0A2C">
        <w:rPr>
          <w:lang w:val="fr-FR"/>
        </w:rPr>
        <w:t>’</w:t>
      </w:r>
      <w:r w:rsidRPr="004D0A2C">
        <w:rPr>
          <w:lang w:val="fr-FR"/>
        </w:rPr>
        <w:t>état et a estimé qu</w:t>
      </w:r>
      <w:r w:rsidR="00AD27B0" w:rsidRPr="004D0A2C">
        <w:rPr>
          <w:lang w:val="fr-FR"/>
        </w:rPr>
        <w:t>’</w:t>
      </w:r>
      <w:r w:rsidRPr="004D0A2C">
        <w:rPr>
          <w:lang w:val="fr-FR"/>
        </w:rPr>
        <w:t>elle devait être approfondie</w:t>
      </w:r>
      <w:r w:rsidR="009C65BB" w:rsidRPr="004D0A2C">
        <w:rPr>
          <w:lang w:val="fr-FR"/>
        </w:rPr>
        <w:t>.</w:t>
      </w:r>
      <w:r w:rsidRPr="004D0A2C">
        <w:rPr>
          <w:lang w:val="fr-FR"/>
        </w:rPr>
        <w:t xml:space="preserve"> La Chine a été invitée à se rapprocher des membres qui avaient suggéré des améliorations</w:t>
      </w:r>
      <w:r w:rsidR="009C65BB" w:rsidRPr="004D0A2C">
        <w:rPr>
          <w:lang w:val="fr-FR"/>
        </w:rPr>
        <w:t>.</w:t>
      </w:r>
    </w:p>
    <w:p w14:paraId="54B368AE" w14:textId="35AAF2EA" w:rsidR="006F26A8" w:rsidRPr="004D0A2C" w:rsidRDefault="006F26A8" w:rsidP="009C7645">
      <w:pPr>
        <w:pStyle w:val="H23G"/>
        <w:rPr>
          <w:rFonts w:eastAsia="Times New Roman"/>
          <w:lang w:val="fr-FR"/>
        </w:rPr>
      </w:pPr>
      <w:r w:rsidRPr="004D0A2C">
        <w:rPr>
          <w:lang w:val="fr-FR"/>
        </w:rPr>
        <w:tab/>
        <w:t>11</w:t>
      </w:r>
      <w:r w:rsidR="009C65BB" w:rsidRPr="004D0A2C">
        <w:rPr>
          <w:lang w:val="fr-FR"/>
        </w:rPr>
        <w:t>.</w:t>
      </w:r>
      <w:r w:rsidRPr="004D0A2C">
        <w:rPr>
          <w:lang w:val="fr-FR"/>
        </w:rPr>
        <w:tab/>
        <w:t>Ajout d</w:t>
      </w:r>
      <w:r w:rsidR="00AD27B0" w:rsidRPr="004D0A2C">
        <w:rPr>
          <w:lang w:val="fr-FR"/>
        </w:rPr>
        <w:t>’</w:t>
      </w:r>
      <w:r w:rsidRPr="004D0A2C">
        <w:rPr>
          <w:lang w:val="fr-FR"/>
        </w:rPr>
        <w:t>une rubrique consacrée au dioxime de 1,4-benzoquinone dans la division 1</w:t>
      </w:r>
      <w:r w:rsidR="009C65BB" w:rsidRPr="004D0A2C">
        <w:rPr>
          <w:lang w:val="fr-FR"/>
        </w:rPr>
        <w:t>.</w:t>
      </w:r>
      <w:r w:rsidRPr="004D0A2C">
        <w:rPr>
          <w:lang w:val="fr-FR"/>
        </w:rPr>
        <w:t>4</w:t>
      </w:r>
    </w:p>
    <w:p w14:paraId="01C3AE29" w14:textId="7EF3F1D6" w:rsidR="006F26A8" w:rsidRPr="004D0A2C" w:rsidRDefault="006F26A8" w:rsidP="0031185C">
      <w:pPr>
        <w:pStyle w:val="SingleTxtG"/>
        <w:tabs>
          <w:tab w:val="clear" w:pos="1701"/>
          <w:tab w:val="clear" w:pos="2268"/>
          <w:tab w:val="clear" w:pos="2835"/>
          <w:tab w:val="left" w:pos="2977"/>
        </w:tabs>
        <w:ind w:left="2977" w:hanging="1843"/>
        <w:rPr>
          <w:i/>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39 (COSTHA)</w:t>
      </w:r>
    </w:p>
    <w:p w14:paraId="4AFD114B" w14:textId="32587A99" w:rsidR="006F26A8" w:rsidRPr="004D0A2C" w:rsidRDefault="006F26A8" w:rsidP="009C7645">
      <w:pPr>
        <w:pStyle w:val="SingleTxtG"/>
        <w:rPr>
          <w:lang w:val="fr-FR"/>
        </w:rPr>
      </w:pPr>
      <w:r w:rsidRPr="004D0A2C">
        <w:rPr>
          <w:lang w:val="fr-FR"/>
        </w:rPr>
        <w:t>38</w:t>
      </w:r>
      <w:r w:rsidR="009C65BB" w:rsidRPr="004D0A2C">
        <w:rPr>
          <w:lang w:val="fr-FR"/>
        </w:rPr>
        <w:t>.</w:t>
      </w:r>
      <w:r w:rsidRPr="004D0A2C">
        <w:rPr>
          <w:lang w:val="fr-FR"/>
        </w:rPr>
        <w:tab/>
        <w:t>Le Groupe de travail des explosifs s</w:t>
      </w:r>
      <w:r w:rsidR="00AD27B0" w:rsidRPr="004D0A2C">
        <w:rPr>
          <w:lang w:val="fr-FR"/>
        </w:rPr>
        <w:t>’</w:t>
      </w:r>
      <w:r w:rsidRPr="004D0A2C">
        <w:rPr>
          <w:lang w:val="fr-FR"/>
        </w:rPr>
        <w:t>est dit favorable à l</w:t>
      </w:r>
      <w:r w:rsidR="00AD27B0" w:rsidRPr="004D0A2C">
        <w:rPr>
          <w:lang w:val="fr-FR"/>
        </w:rPr>
        <w:t>’</w:t>
      </w:r>
      <w:r w:rsidRPr="004D0A2C">
        <w:rPr>
          <w:lang w:val="fr-FR"/>
        </w:rPr>
        <w:t>idée que le COSTHA soumette une proposition sur la base des informations communiquées par les membres</w:t>
      </w:r>
      <w:r w:rsidR="009C65BB" w:rsidRPr="004D0A2C">
        <w:rPr>
          <w:lang w:val="fr-FR"/>
        </w:rPr>
        <w:t>.</w:t>
      </w:r>
    </w:p>
    <w:p w14:paraId="698D3F24" w14:textId="21F74689" w:rsidR="006F26A8" w:rsidRPr="004D0A2C" w:rsidRDefault="006F26A8" w:rsidP="009C7645">
      <w:pPr>
        <w:pStyle w:val="HChG"/>
        <w:rPr>
          <w:lang w:val="fr-FR"/>
        </w:rPr>
      </w:pPr>
      <w:r w:rsidRPr="004D0A2C">
        <w:rPr>
          <w:lang w:val="fr-FR"/>
        </w:rPr>
        <w:lastRenderedPageBreak/>
        <w:tab/>
        <w:t>V</w:t>
      </w:r>
      <w:r w:rsidR="009C65BB" w:rsidRPr="004D0A2C">
        <w:rPr>
          <w:lang w:val="fr-FR"/>
        </w:rPr>
        <w:t>.</w:t>
      </w:r>
      <w:r w:rsidRPr="004D0A2C">
        <w:rPr>
          <w:lang w:val="fr-FR"/>
        </w:rPr>
        <w:tab/>
        <w:t>Inscription, classement et emballage</w:t>
      </w:r>
      <w:r w:rsidR="009C7645" w:rsidRPr="004D0A2C">
        <w:rPr>
          <w:lang w:val="fr-FR"/>
        </w:rPr>
        <w:br/>
      </w:r>
      <w:r w:rsidRPr="004D0A2C">
        <w:rPr>
          <w:lang w:val="fr-FR"/>
        </w:rPr>
        <w:t>(point 3 de l</w:t>
      </w:r>
      <w:r w:rsidR="00AD27B0" w:rsidRPr="004D0A2C">
        <w:rPr>
          <w:lang w:val="fr-FR"/>
        </w:rPr>
        <w:t>’</w:t>
      </w:r>
      <w:r w:rsidRPr="004D0A2C">
        <w:rPr>
          <w:lang w:val="fr-FR"/>
        </w:rPr>
        <w:t>ordre du</w:t>
      </w:r>
      <w:r w:rsidR="009C7645" w:rsidRPr="004D0A2C">
        <w:rPr>
          <w:lang w:val="fr-FR"/>
        </w:rPr>
        <w:t xml:space="preserve"> </w:t>
      </w:r>
      <w:r w:rsidRPr="004D0A2C">
        <w:rPr>
          <w:lang w:val="fr-FR"/>
        </w:rPr>
        <w:t>jour)</w:t>
      </w:r>
    </w:p>
    <w:p w14:paraId="6ABC3133" w14:textId="5AEC4E78" w:rsidR="006F26A8" w:rsidRPr="004D0A2C" w:rsidRDefault="006F26A8" w:rsidP="00311AC4">
      <w:pPr>
        <w:pStyle w:val="H1G"/>
        <w:rPr>
          <w:lang w:val="fr-FR"/>
        </w:rPr>
      </w:pPr>
      <w:r w:rsidRPr="004D0A2C">
        <w:rPr>
          <w:lang w:val="fr-FR"/>
        </w:rPr>
        <w:tab/>
        <w:t>A</w:t>
      </w:r>
      <w:r w:rsidR="009C65BB" w:rsidRPr="004D0A2C">
        <w:rPr>
          <w:lang w:val="fr-FR"/>
        </w:rPr>
        <w:t>.</w:t>
      </w:r>
      <w:r w:rsidRPr="004D0A2C">
        <w:rPr>
          <w:lang w:val="fr-FR"/>
        </w:rPr>
        <w:tab/>
        <w:t xml:space="preserve">Proposition visant à ajouter la classe 8 en tant que danger subsidiaire </w:t>
      </w:r>
      <w:r w:rsidR="009C7645" w:rsidRPr="004D0A2C">
        <w:rPr>
          <w:lang w:val="fr-FR"/>
        </w:rPr>
        <w:br/>
      </w:r>
      <w:r w:rsidRPr="004D0A2C">
        <w:rPr>
          <w:lang w:val="fr-FR"/>
        </w:rPr>
        <w:t>pour les n</w:t>
      </w:r>
      <w:r w:rsidRPr="004D0A2C">
        <w:rPr>
          <w:vertAlign w:val="superscript"/>
          <w:lang w:val="fr-FR"/>
        </w:rPr>
        <w:t>os</w:t>
      </w:r>
      <w:r w:rsidRPr="004D0A2C">
        <w:rPr>
          <w:lang w:val="fr-FR"/>
        </w:rPr>
        <w:t> ONU 1040, 1041 et 3300</w:t>
      </w:r>
    </w:p>
    <w:p w14:paraId="50B86BA9" w14:textId="1AABB850"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0" w:history="1">
        <w:r w:rsidR="004F62B2">
          <w:rPr>
            <w:rStyle w:val="Hyperlink"/>
            <w:lang w:val="fr-FR"/>
          </w:rPr>
          <w:t>ST/SG/AC.10/C.3/2023/5</w:t>
        </w:r>
      </w:hyperlink>
      <w:r w:rsidRPr="004D0A2C">
        <w:rPr>
          <w:lang w:val="fr-FR"/>
        </w:rPr>
        <w:t xml:space="preserve"> (Allemagne)</w:t>
      </w:r>
    </w:p>
    <w:p w14:paraId="4E070F15" w14:textId="133D2043" w:rsidR="006F26A8" w:rsidRPr="004D0A2C" w:rsidRDefault="006F26A8" w:rsidP="009C7645">
      <w:pPr>
        <w:pStyle w:val="SingleTxtG"/>
        <w:rPr>
          <w:lang w:val="fr-FR"/>
        </w:rPr>
      </w:pPr>
      <w:r w:rsidRPr="004D0A2C">
        <w:rPr>
          <w:lang w:val="fr-FR"/>
        </w:rPr>
        <w:t>39</w:t>
      </w:r>
      <w:r w:rsidR="009C65BB" w:rsidRPr="004D0A2C">
        <w:rPr>
          <w:lang w:val="fr-FR"/>
        </w:rPr>
        <w:t>.</w:t>
      </w:r>
      <w:r w:rsidRPr="004D0A2C">
        <w:rPr>
          <w:lang w:val="fr-FR"/>
        </w:rPr>
        <w:tab/>
        <w:t>Le Sous-Comité a constaté que les avis concernant les amendements proposés étaient partagés</w:t>
      </w:r>
      <w:r w:rsidR="009C65BB" w:rsidRPr="004D0A2C">
        <w:rPr>
          <w:lang w:val="fr-FR"/>
        </w:rPr>
        <w:t>.</w:t>
      </w:r>
      <w:r w:rsidRPr="004D0A2C">
        <w:rPr>
          <w:lang w:val="fr-FR"/>
        </w:rPr>
        <w:t xml:space="preserve"> Si la plupart des experts se sont prononcés en faveur de la modification du classement des oxydes d</w:t>
      </w:r>
      <w:r w:rsidR="00AD27B0" w:rsidRPr="004D0A2C">
        <w:rPr>
          <w:lang w:val="fr-FR"/>
        </w:rPr>
        <w:t>’</w:t>
      </w:r>
      <w:r w:rsidRPr="004D0A2C">
        <w:rPr>
          <w:lang w:val="fr-FR"/>
        </w:rPr>
        <w:t>éthylène par l</w:t>
      </w:r>
      <w:r w:rsidR="00AD27B0" w:rsidRPr="004D0A2C">
        <w:rPr>
          <w:lang w:val="fr-FR"/>
        </w:rPr>
        <w:t>’</w:t>
      </w:r>
      <w:r w:rsidRPr="004D0A2C">
        <w:rPr>
          <w:lang w:val="fr-FR"/>
        </w:rPr>
        <w:t>ajout de la classe 8 en tant que danger subsidiaire, d</w:t>
      </w:r>
      <w:r w:rsidR="00AD27B0" w:rsidRPr="004D0A2C">
        <w:rPr>
          <w:lang w:val="fr-FR"/>
        </w:rPr>
        <w:t>’</w:t>
      </w:r>
      <w:r w:rsidRPr="004D0A2C">
        <w:rPr>
          <w:lang w:val="fr-FR"/>
        </w:rPr>
        <w:t>autres ont estimé que les données ne justifiaient pas cet ajout</w:t>
      </w:r>
      <w:r w:rsidR="009C65BB" w:rsidRPr="004D0A2C">
        <w:rPr>
          <w:lang w:val="fr-FR"/>
        </w:rPr>
        <w:t>.</w:t>
      </w:r>
      <w:r w:rsidRPr="004D0A2C">
        <w:rPr>
          <w:lang w:val="fr-FR"/>
        </w:rPr>
        <w:t xml:space="preserve"> En l</w:t>
      </w:r>
      <w:r w:rsidR="00AD27B0" w:rsidRPr="004D0A2C">
        <w:rPr>
          <w:lang w:val="fr-FR"/>
        </w:rPr>
        <w:t>’</w:t>
      </w:r>
      <w:r w:rsidRPr="004D0A2C">
        <w:rPr>
          <w:lang w:val="fr-FR"/>
        </w:rPr>
        <w:t>absence de problèmes liés aux prescriptions actuelles, la plupart des experts étaient d</w:t>
      </w:r>
      <w:r w:rsidR="00AD27B0" w:rsidRPr="004D0A2C">
        <w:rPr>
          <w:lang w:val="fr-FR"/>
        </w:rPr>
        <w:t>’</w:t>
      </w:r>
      <w:r w:rsidRPr="004D0A2C">
        <w:rPr>
          <w:lang w:val="fr-FR"/>
        </w:rPr>
        <w:t>avis qu</w:t>
      </w:r>
      <w:r w:rsidR="00AD27B0" w:rsidRPr="004D0A2C">
        <w:rPr>
          <w:lang w:val="fr-FR"/>
        </w:rPr>
        <w:t>’</w:t>
      </w:r>
      <w:r w:rsidRPr="004D0A2C">
        <w:rPr>
          <w:lang w:val="fr-FR"/>
        </w:rPr>
        <w:t>il n</w:t>
      </w:r>
      <w:r w:rsidR="00AD27B0" w:rsidRPr="004D0A2C">
        <w:rPr>
          <w:lang w:val="fr-FR"/>
        </w:rPr>
        <w:t>’</w:t>
      </w:r>
      <w:r w:rsidRPr="004D0A2C">
        <w:rPr>
          <w:lang w:val="fr-FR"/>
        </w:rPr>
        <w:t>y avait pas suffisamment de données pour justifier l</w:t>
      </w:r>
      <w:r w:rsidR="00AD27B0" w:rsidRPr="004D0A2C">
        <w:rPr>
          <w:lang w:val="fr-FR"/>
        </w:rPr>
        <w:t>’</w:t>
      </w:r>
      <w:r w:rsidRPr="004D0A2C">
        <w:rPr>
          <w:lang w:val="fr-FR"/>
        </w:rPr>
        <w:t xml:space="preserve">interdiction du transport des </w:t>
      </w:r>
      <w:r w:rsidR="00AD27B0" w:rsidRPr="004D0A2C">
        <w:rPr>
          <w:lang w:val="fr-FR"/>
        </w:rPr>
        <w:t>n</w:t>
      </w:r>
      <w:r w:rsidR="00AD27B0" w:rsidRPr="004D0A2C">
        <w:rPr>
          <w:vertAlign w:val="superscript"/>
          <w:lang w:val="fr-FR"/>
        </w:rPr>
        <w:t>o</w:t>
      </w:r>
      <w:r w:rsidRPr="004D0A2C">
        <w:rPr>
          <w:lang w:val="fr-FR"/>
        </w:rPr>
        <w:t> ONU 1040 et 1041 en citerne mobile et n</w:t>
      </w:r>
      <w:r w:rsidR="00AD27B0" w:rsidRPr="004D0A2C">
        <w:rPr>
          <w:lang w:val="fr-FR"/>
        </w:rPr>
        <w:t>’</w:t>
      </w:r>
      <w:r w:rsidRPr="004D0A2C">
        <w:rPr>
          <w:lang w:val="fr-FR"/>
        </w:rPr>
        <w:t>étaient donc pas favorables à la suppression de l</w:t>
      </w:r>
      <w:r w:rsidR="00AD27B0" w:rsidRPr="004D0A2C">
        <w:rPr>
          <w:lang w:val="fr-FR"/>
        </w:rPr>
        <w:t>’</w:t>
      </w:r>
      <w:r w:rsidRPr="004D0A2C">
        <w:rPr>
          <w:lang w:val="fr-FR"/>
        </w:rPr>
        <w:t>instruction de transport en citernes mobiles T50</w:t>
      </w:r>
      <w:r w:rsidR="009C65BB" w:rsidRPr="004D0A2C">
        <w:rPr>
          <w:lang w:val="fr-FR"/>
        </w:rPr>
        <w:t>.</w:t>
      </w:r>
      <w:r w:rsidRPr="004D0A2C">
        <w:rPr>
          <w:lang w:val="fr-FR"/>
        </w:rPr>
        <w:t xml:space="preserve"> L</w:t>
      </w:r>
      <w:r w:rsidR="00AD27B0" w:rsidRPr="004D0A2C">
        <w:rPr>
          <w:lang w:val="fr-FR"/>
        </w:rPr>
        <w:t>’</w:t>
      </w:r>
      <w:r w:rsidRPr="004D0A2C">
        <w:rPr>
          <w:lang w:val="fr-FR"/>
        </w:rPr>
        <w:t>expert de l</w:t>
      </w:r>
      <w:r w:rsidR="00AD27B0" w:rsidRPr="004D0A2C">
        <w:rPr>
          <w:lang w:val="fr-FR"/>
        </w:rPr>
        <w:t>’</w:t>
      </w:r>
      <w:r w:rsidRPr="004D0A2C">
        <w:rPr>
          <w:lang w:val="fr-FR"/>
        </w:rPr>
        <w:t>Allemagne a proposé de revoir la proposition et de la soumettre à une future session, pour examen, en tenant compte des observations formulées</w:t>
      </w:r>
      <w:r w:rsidR="009C65BB" w:rsidRPr="004D0A2C">
        <w:rPr>
          <w:lang w:val="fr-FR"/>
        </w:rPr>
        <w:t>.</w:t>
      </w:r>
    </w:p>
    <w:p w14:paraId="7FDA668D" w14:textId="6FFA9B06" w:rsidR="006F26A8" w:rsidRPr="004D0A2C" w:rsidRDefault="006F26A8" w:rsidP="009C7645">
      <w:pPr>
        <w:pStyle w:val="H1G"/>
        <w:rPr>
          <w:lang w:val="fr-FR"/>
        </w:rPr>
      </w:pPr>
      <w:r w:rsidRPr="004D0A2C">
        <w:rPr>
          <w:lang w:val="fr-FR"/>
        </w:rPr>
        <w:tab/>
        <w:t>B</w:t>
      </w:r>
      <w:r w:rsidR="009C65BB" w:rsidRPr="004D0A2C">
        <w:rPr>
          <w:lang w:val="fr-FR"/>
        </w:rPr>
        <w:t>.</w:t>
      </w:r>
      <w:r w:rsidRPr="004D0A2C">
        <w:rPr>
          <w:lang w:val="fr-FR"/>
        </w:rPr>
        <w:tab/>
        <w:t>Amendements aux dispositions spéciales 145 et 146</w:t>
      </w:r>
    </w:p>
    <w:p w14:paraId="789D2BD3" w14:textId="621BA83E"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1" w:history="1">
        <w:r w:rsidR="004F62B2">
          <w:rPr>
            <w:rStyle w:val="Hyperlink"/>
            <w:lang w:val="fr-FR"/>
          </w:rPr>
          <w:t>ST/SG/AC.10/C.3/2023/7</w:t>
        </w:r>
      </w:hyperlink>
      <w:r w:rsidRPr="004D0A2C">
        <w:rPr>
          <w:lang w:val="fr-FR"/>
        </w:rPr>
        <w:t xml:space="preserve"> (Chine)</w:t>
      </w:r>
    </w:p>
    <w:p w14:paraId="40A7408D" w14:textId="7335F869" w:rsidR="006F26A8" w:rsidRPr="004D0A2C" w:rsidRDefault="006F26A8" w:rsidP="00D155FD">
      <w:pPr>
        <w:pStyle w:val="SingleTxtG"/>
        <w:rPr>
          <w:lang w:val="fr-FR"/>
        </w:rPr>
      </w:pPr>
      <w:r w:rsidRPr="004D0A2C">
        <w:rPr>
          <w:lang w:val="fr-FR"/>
        </w:rPr>
        <w:t>40</w:t>
      </w:r>
      <w:r w:rsidR="009C65BB" w:rsidRPr="004D0A2C">
        <w:rPr>
          <w:lang w:val="fr-FR"/>
        </w:rPr>
        <w:t>.</w:t>
      </w:r>
      <w:r w:rsidRPr="004D0A2C">
        <w:rPr>
          <w:lang w:val="fr-FR"/>
        </w:rPr>
        <w:tab/>
        <w:t>Le Sous-Comité a confirmé que le choix du groupe d</w:t>
      </w:r>
      <w:r w:rsidR="00AD27B0" w:rsidRPr="004D0A2C">
        <w:rPr>
          <w:lang w:val="fr-FR"/>
        </w:rPr>
        <w:t>’</w:t>
      </w:r>
      <w:r w:rsidRPr="004D0A2C">
        <w:rPr>
          <w:lang w:val="fr-FR"/>
        </w:rPr>
        <w:t>emballage pour les boissons alcoolisées était fondé sur la teneur en alcool et non sur le point d</w:t>
      </w:r>
      <w:r w:rsidR="00AD27B0" w:rsidRPr="004D0A2C">
        <w:rPr>
          <w:lang w:val="fr-FR"/>
        </w:rPr>
        <w:t>’</w:t>
      </w:r>
      <w:r w:rsidRPr="004D0A2C">
        <w:rPr>
          <w:lang w:val="fr-FR"/>
        </w:rPr>
        <w:t>éclair</w:t>
      </w:r>
      <w:r w:rsidR="009C65BB" w:rsidRPr="004D0A2C">
        <w:rPr>
          <w:lang w:val="fr-FR"/>
        </w:rPr>
        <w:t>.</w:t>
      </w:r>
      <w:r w:rsidRPr="004D0A2C">
        <w:rPr>
          <w:lang w:val="fr-FR"/>
        </w:rPr>
        <w:t xml:space="preserve"> Les délégations qui se sont exprimées ont estimé que la proposition de la Chine apportait à cet égard davantage de clarté aux dispositions spéciales 145 et 146</w:t>
      </w:r>
      <w:r w:rsidR="009C65BB" w:rsidRPr="004D0A2C">
        <w:rPr>
          <w:lang w:val="fr-FR"/>
        </w:rPr>
        <w:t>.</w:t>
      </w:r>
      <w:r w:rsidRPr="004D0A2C">
        <w:rPr>
          <w:lang w:val="fr-FR"/>
        </w:rPr>
        <w:t xml:space="preserve"> Le Sous-Comité a adopté les amendements au document </w:t>
      </w:r>
      <w:hyperlink r:id="rId32" w:history="1">
        <w:r w:rsidR="004F62B2">
          <w:rPr>
            <w:rStyle w:val="Hyperlink"/>
            <w:lang w:val="fr-FR"/>
          </w:rPr>
          <w:t>ST/SG/AC.10/C.3/2023/7</w:t>
        </w:r>
      </w:hyperlink>
      <w:r w:rsidRPr="004D0A2C">
        <w:rPr>
          <w:lang w:val="fr-FR"/>
        </w:rPr>
        <w:t>, tel que modifié (voir annexe I)</w:t>
      </w:r>
      <w:r w:rsidR="009C65BB" w:rsidRPr="004D0A2C">
        <w:rPr>
          <w:lang w:val="fr-FR"/>
        </w:rPr>
        <w:t>.</w:t>
      </w:r>
    </w:p>
    <w:p w14:paraId="6B6447A6" w14:textId="26A9E541" w:rsidR="006F26A8" w:rsidRPr="004D0A2C" w:rsidRDefault="006F26A8" w:rsidP="00D155FD">
      <w:pPr>
        <w:pStyle w:val="H1G"/>
        <w:rPr>
          <w:lang w:val="fr-FR"/>
        </w:rPr>
      </w:pPr>
      <w:r w:rsidRPr="004D0A2C">
        <w:rPr>
          <w:lang w:val="fr-FR"/>
        </w:rPr>
        <w:tab/>
        <w:t>C</w:t>
      </w:r>
      <w:r w:rsidR="009C65BB" w:rsidRPr="004D0A2C">
        <w:rPr>
          <w:lang w:val="fr-FR"/>
        </w:rPr>
        <w:t>.</w:t>
      </w:r>
      <w:r w:rsidRPr="004D0A2C">
        <w:rPr>
          <w:lang w:val="fr-FR"/>
        </w:rPr>
        <w:tab/>
      </w:r>
      <w:r w:rsidR="00AD27B0" w:rsidRPr="004D0A2C">
        <w:rPr>
          <w:lang w:val="fr-FR"/>
        </w:rPr>
        <w:t>N</w:t>
      </w:r>
      <w:r w:rsidR="00AD27B0" w:rsidRPr="004D0A2C">
        <w:rPr>
          <w:vertAlign w:val="superscript"/>
          <w:lang w:val="fr-FR"/>
        </w:rPr>
        <w:t>o</w:t>
      </w:r>
      <w:r w:rsidRPr="004D0A2C">
        <w:rPr>
          <w:lang w:val="fr-FR"/>
        </w:rPr>
        <w:t> ONU 1362 (CHARBON ACTIF)</w:t>
      </w:r>
      <w:r w:rsidR="00AD27B0" w:rsidRPr="004D0A2C">
        <w:rPr>
          <w:lang w:val="fr-FR"/>
        </w:rPr>
        <w:t> :</w:t>
      </w:r>
      <w:r w:rsidRPr="004D0A2C">
        <w:rPr>
          <w:lang w:val="fr-FR"/>
        </w:rPr>
        <w:t xml:space="preserve"> situation actuelle et redéfinition par souci de clarté</w:t>
      </w:r>
    </w:p>
    <w:p w14:paraId="011D90C3" w14:textId="07C8A740"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3" w:history="1">
        <w:r w:rsidR="004F62B2">
          <w:rPr>
            <w:rStyle w:val="Hyperlink"/>
            <w:lang w:val="fr-FR"/>
          </w:rPr>
          <w:t>ST/SG/AC.10/C.3/2023/13</w:t>
        </w:r>
      </w:hyperlink>
      <w:r w:rsidRPr="004D0A2C">
        <w:rPr>
          <w:lang w:val="fr-FR"/>
        </w:rPr>
        <w:t xml:space="preserve"> (Cefic)</w:t>
      </w:r>
    </w:p>
    <w:p w14:paraId="66473A37" w14:textId="247C51FF" w:rsidR="006F26A8" w:rsidRPr="004D0A2C" w:rsidRDefault="006F26A8" w:rsidP="00D155FD">
      <w:pPr>
        <w:pStyle w:val="SingleTxtG"/>
        <w:rPr>
          <w:lang w:val="fr-FR"/>
        </w:rPr>
      </w:pPr>
      <w:r w:rsidRPr="004D0A2C">
        <w:rPr>
          <w:lang w:val="fr-FR"/>
        </w:rPr>
        <w:t>41</w:t>
      </w:r>
      <w:r w:rsidR="009C65BB" w:rsidRPr="004D0A2C">
        <w:rPr>
          <w:lang w:val="fr-FR"/>
        </w:rPr>
        <w:t>.</w:t>
      </w:r>
      <w:r w:rsidRPr="004D0A2C">
        <w:rPr>
          <w:lang w:val="fr-FR"/>
        </w:rPr>
        <w:tab/>
        <w:t>Certains experts ont apporté leur soutien de principe à la proposition</w:t>
      </w:r>
      <w:r w:rsidR="002106E2" w:rsidRPr="004D0A2C">
        <w:rPr>
          <w:lang w:val="fr-FR"/>
        </w:rPr>
        <w:t>,</w:t>
      </w:r>
      <w:r w:rsidRPr="004D0A2C">
        <w:rPr>
          <w:lang w:val="fr-FR"/>
        </w:rPr>
        <w:t xml:space="preserve"> mais préféraient conserver une certaine souplesse en ce qui concerne les différentes méthodes d</w:t>
      </w:r>
      <w:r w:rsidR="00AD27B0" w:rsidRPr="004D0A2C">
        <w:rPr>
          <w:lang w:val="fr-FR"/>
        </w:rPr>
        <w:t>’</w:t>
      </w:r>
      <w:r w:rsidRPr="004D0A2C">
        <w:rPr>
          <w:lang w:val="fr-FR"/>
        </w:rPr>
        <w:t>activation du charbon, qui seraient précisées dans une disposition spéciale</w:t>
      </w:r>
      <w:r w:rsidR="009C65BB" w:rsidRPr="004D0A2C">
        <w:rPr>
          <w:lang w:val="fr-FR"/>
        </w:rPr>
        <w:t>.</w:t>
      </w:r>
      <w:r w:rsidRPr="004D0A2C">
        <w:rPr>
          <w:lang w:val="fr-FR"/>
        </w:rPr>
        <w:t xml:space="preserve"> Il a été souligné que les changements proposés pourraient entraver les avancées techniques futures</w:t>
      </w:r>
      <w:r w:rsidR="009C65BB" w:rsidRPr="004D0A2C">
        <w:rPr>
          <w:lang w:val="fr-FR"/>
        </w:rPr>
        <w:t>.</w:t>
      </w:r>
      <w:r w:rsidRPr="004D0A2C">
        <w:rPr>
          <w:lang w:val="fr-FR"/>
        </w:rPr>
        <w:t xml:space="preserve"> Il a été relevé en outre qu</w:t>
      </w:r>
      <w:r w:rsidR="00AD27B0" w:rsidRPr="004D0A2C">
        <w:rPr>
          <w:lang w:val="fr-FR"/>
        </w:rPr>
        <w:t>’</w:t>
      </w:r>
      <w:r w:rsidRPr="004D0A2C">
        <w:rPr>
          <w:lang w:val="fr-FR"/>
        </w:rPr>
        <w:t>il était facile d</w:t>
      </w:r>
      <w:r w:rsidR="00AD27B0" w:rsidRPr="004D0A2C">
        <w:rPr>
          <w:lang w:val="fr-FR"/>
        </w:rPr>
        <w:t>’</w:t>
      </w:r>
      <w:r w:rsidRPr="004D0A2C">
        <w:rPr>
          <w:lang w:val="fr-FR"/>
        </w:rPr>
        <w:t>exclure le charbon activé à la vapeur des dispositions relatives au transport en se fondant sur d</w:t>
      </w:r>
      <w:r w:rsidR="00AD27B0" w:rsidRPr="004D0A2C">
        <w:rPr>
          <w:lang w:val="fr-FR"/>
        </w:rPr>
        <w:t>’</w:t>
      </w:r>
      <w:r w:rsidRPr="004D0A2C">
        <w:rPr>
          <w:lang w:val="fr-FR"/>
        </w:rPr>
        <w:t>autres données d</w:t>
      </w:r>
      <w:r w:rsidR="00AD27B0" w:rsidRPr="004D0A2C">
        <w:rPr>
          <w:lang w:val="fr-FR"/>
        </w:rPr>
        <w:t>’</w:t>
      </w:r>
      <w:r w:rsidRPr="004D0A2C">
        <w:rPr>
          <w:lang w:val="fr-FR"/>
        </w:rPr>
        <w:t>épreuve</w:t>
      </w:r>
      <w:r w:rsidR="009C65BB" w:rsidRPr="004D0A2C">
        <w:rPr>
          <w:lang w:val="fr-FR"/>
        </w:rPr>
        <w:t>.</w:t>
      </w:r>
      <w:r w:rsidRPr="004D0A2C">
        <w:rPr>
          <w:lang w:val="fr-FR"/>
        </w:rPr>
        <w:t xml:space="preserve"> Le représentant du Cefic a indiqué que son organisation soumettrait à la prochaine réunion une proposition révisée tenant compte des observations formulées</w:t>
      </w:r>
      <w:r w:rsidR="009C65BB" w:rsidRPr="004D0A2C">
        <w:rPr>
          <w:lang w:val="fr-FR"/>
        </w:rPr>
        <w:t>.</w:t>
      </w:r>
    </w:p>
    <w:p w14:paraId="559144B8" w14:textId="69F96B15" w:rsidR="006F26A8" w:rsidRPr="004D0A2C" w:rsidRDefault="006F26A8" w:rsidP="00D155FD">
      <w:pPr>
        <w:pStyle w:val="H1G"/>
        <w:rPr>
          <w:lang w:val="fr-FR"/>
        </w:rPr>
      </w:pPr>
      <w:r w:rsidRPr="004D0A2C">
        <w:rPr>
          <w:lang w:val="fr-FR"/>
        </w:rPr>
        <w:tab/>
        <w:t>D</w:t>
      </w:r>
      <w:r w:rsidR="009C65BB" w:rsidRPr="004D0A2C">
        <w:rPr>
          <w:lang w:val="fr-FR"/>
        </w:rPr>
        <w:t>.</w:t>
      </w:r>
      <w:r w:rsidRPr="004D0A2C">
        <w:rPr>
          <w:lang w:val="fr-FR"/>
        </w:rPr>
        <w:tab/>
        <w:t>Questions à examiner concernant les dispositifs médicaux alimentés par</w:t>
      </w:r>
      <w:r w:rsidR="00D155FD" w:rsidRPr="004D0A2C">
        <w:rPr>
          <w:lang w:val="fr-FR"/>
        </w:rPr>
        <w:t> </w:t>
      </w:r>
      <w:r w:rsidRPr="004D0A2C">
        <w:rPr>
          <w:lang w:val="fr-FR"/>
        </w:rPr>
        <w:t>des piles ou batteries au lithium</w:t>
      </w:r>
    </w:p>
    <w:p w14:paraId="41062BFF" w14:textId="4B51C4F4"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4" w:history="1">
        <w:r w:rsidR="004F62B2">
          <w:rPr>
            <w:rStyle w:val="Hyperlink"/>
            <w:lang w:val="fr-FR"/>
          </w:rPr>
          <w:t>ST/SG/AC.10/C.3/2023/15</w:t>
        </w:r>
      </w:hyperlink>
      <w:r w:rsidRPr="004D0A2C">
        <w:rPr>
          <w:lang w:val="fr-FR"/>
        </w:rPr>
        <w:t xml:space="preserve"> (MDTC)</w:t>
      </w:r>
    </w:p>
    <w:p w14:paraId="24D2B7B8" w14:textId="2CEB453D" w:rsidR="006F26A8" w:rsidRPr="004D0A2C" w:rsidRDefault="006F26A8" w:rsidP="00D155FD">
      <w:pPr>
        <w:pStyle w:val="SingleTxtG"/>
        <w:rPr>
          <w:lang w:val="fr-FR"/>
        </w:rPr>
      </w:pPr>
      <w:r w:rsidRPr="004D0A2C">
        <w:rPr>
          <w:lang w:val="fr-FR"/>
        </w:rPr>
        <w:t>42</w:t>
      </w:r>
      <w:r w:rsidR="009C65BB" w:rsidRPr="004D0A2C">
        <w:rPr>
          <w:lang w:val="fr-FR"/>
        </w:rPr>
        <w:t>.</w:t>
      </w:r>
      <w:r w:rsidRPr="004D0A2C">
        <w:rPr>
          <w:lang w:val="fr-FR"/>
        </w:rPr>
        <w:tab/>
        <w:t>Le document initialement soumis au titre de ce point de l</w:t>
      </w:r>
      <w:r w:rsidR="00AD27B0" w:rsidRPr="004D0A2C">
        <w:rPr>
          <w:lang w:val="fr-FR"/>
        </w:rPr>
        <w:t>’</w:t>
      </w:r>
      <w:r w:rsidRPr="004D0A2C">
        <w:rPr>
          <w:lang w:val="fr-FR"/>
        </w:rPr>
        <w:t>ordre du jour a été examiné au titre du point 4 a) de l</w:t>
      </w:r>
      <w:r w:rsidR="00AD27B0" w:rsidRPr="004D0A2C">
        <w:rPr>
          <w:lang w:val="fr-FR"/>
        </w:rPr>
        <w:t>’</w:t>
      </w:r>
      <w:r w:rsidRPr="004D0A2C">
        <w:rPr>
          <w:lang w:val="fr-FR"/>
        </w:rPr>
        <w:t>ordre du jour (voir ci-après)</w:t>
      </w:r>
      <w:r w:rsidR="009C65BB" w:rsidRPr="004D0A2C">
        <w:rPr>
          <w:lang w:val="fr-FR"/>
        </w:rPr>
        <w:t>.</w:t>
      </w:r>
    </w:p>
    <w:p w14:paraId="42DEDEC4" w14:textId="45FFEE8F" w:rsidR="006F26A8" w:rsidRPr="004D0A2C" w:rsidRDefault="006F26A8" w:rsidP="004441B8">
      <w:pPr>
        <w:pStyle w:val="H1G"/>
        <w:rPr>
          <w:lang w:val="fr-FR"/>
        </w:rPr>
      </w:pPr>
      <w:r w:rsidRPr="004D0A2C">
        <w:rPr>
          <w:lang w:val="fr-FR"/>
        </w:rPr>
        <w:lastRenderedPageBreak/>
        <w:tab/>
        <w:t>E</w:t>
      </w:r>
      <w:r w:rsidR="009C65BB" w:rsidRPr="004D0A2C">
        <w:rPr>
          <w:lang w:val="fr-FR"/>
        </w:rPr>
        <w:t>.</w:t>
      </w:r>
      <w:r w:rsidRPr="004D0A2C">
        <w:rPr>
          <w:lang w:val="fr-FR"/>
        </w:rPr>
        <w:tab/>
        <w:t>Modifications à apporter au 2</w:t>
      </w:r>
      <w:r w:rsidR="009C65BB" w:rsidRPr="004D0A2C">
        <w:rPr>
          <w:lang w:val="fr-FR"/>
        </w:rPr>
        <w:t>.</w:t>
      </w:r>
      <w:r w:rsidRPr="004D0A2C">
        <w:rPr>
          <w:lang w:val="fr-FR"/>
        </w:rPr>
        <w:t>6</w:t>
      </w:r>
      <w:r w:rsidR="009C65BB" w:rsidRPr="004D0A2C">
        <w:rPr>
          <w:lang w:val="fr-FR"/>
        </w:rPr>
        <w:t>.</w:t>
      </w:r>
      <w:r w:rsidRPr="004D0A2C">
        <w:rPr>
          <w:lang w:val="fr-FR"/>
        </w:rPr>
        <w:t>3</w:t>
      </w:r>
      <w:r w:rsidR="009C65BB" w:rsidRPr="004D0A2C">
        <w:rPr>
          <w:lang w:val="fr-FR"/>
        </w:rPr>
        <w:t>.</w:t>
      </w:r>
      <w:r w:rsidRPr="004D0A2C">
        <w:rPr>
          <w:lang w:val="fr-FR"/>
        </w:rPr>
        <w:t>2 du Règlement type − Classification des matières infectieuses</w:t>
      </w:r>
    </w:p>
    <w:p w14:paraId="7B14E5A2" w14:textId="7944F62D" w:rsidR="006F26A8" w:rsidRPr="004D0A2C" w:rsidRDefault="006F26A8" w:rsidP="004441B8">
      <w:pPr>
        <w:pStyle w:val="SingleTxtG"/>
        <w:keepNext/>
        <w:keepLines/>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5" w:history="1">
        <w:r w:rsidR="004F62B2">
          <w:rPr>
            <w:rStyle w:val="Hyperlink"/>
            <w:lang w:val="fr-FR"/>
          </w:rPr>
          <w:t>ST/SG/AC.10/C.3/2023/28</w:t>
        </w:r>
      </w:hyperlink>
      <w:r w:rsidRPr="004D0A2C">
        <w:rPr>
          <w:lang w:val="fr-FR"/>
        </w:rPr>
        <w:t xml:space="preserve"> (OMS)</w:t>
      </w:r>
    </w:p>
    <w:p w14:paraId="6BBA6F49" w14:textId="587223EA" w:rsidR="006F26A8" w:rsidRPr="004D0A2C" w:rsidRDefault="006F26A8" w:rsidP="004E471D">
      <w:pPr>
        <w:pStyle w:val="SingleTxtG"/>
        <w:rPr>
          <w:lang w:val="fr-FR"/>
        </w:rPr>
      </w:pPr>
      <w:r w:rsidRPr="004D0A2C">
        <w:rPr>
          <w:lang w:val="fr-FR"/>
        </w:rPr>
        <w:t>43</w:t>
      </w:r>
      <w:r w:rsidR="009C65BB" w:rsidRPr="004D0A2C">
        <w:rPr>
          <w:lang w:val="fr-FR"/>
        </w:rPr>
        <w:t>.</w:t>
      </w:r>
      <w:r w:rsidRPr="004D0A2C">
        <w:rPr>
          <w:lang w:val="fr-FR"/>
        </w:rPr>
        <w:tab/>
        <w:t>Le Sous-Comité s</w:t>
      </w:r>
      <w:r w:rsidR="00AD27B0" w:rsidRPr="004D0A2C">
        <w:rPr>
          <w:lang w:val="fr-FR"/>
        </w:rPr>
        <w:t>’</w:t>
      </w:r>
      <w:r w:rsidRPr="004D0A2C">
        <w:rPr>
          <w:lang w:val="fr-FR"/>
        </w:rPr>
        <w:t>est félicité de l</w:t>
      </w:r>
      <w:r w:rsidR="00AD27B0" w:rsidRPr="004D0A2C">
        <w:rPr>
          <w:lang w:val="fr-FR"/>
        </w:rPr>
        <w:t>’</w:t>
      </w:r>
      <w:r w:rsidRPr="004D0A2C">
        <w:rPr>
          <w:lang w:val="fr-FR"/>
        </w:rPr>
        <w:t>initiative de l</w:t>
      </w:r>
      <w:r w:rsidR="00AD27B0" w:rsidRPr="004D0A2C">
        <w:rPr>
          <w:lang w:val="fr-FR"/>
        </w:rPr>
        <w:t>’</w:t>
      </w:r>
      <w:r w:rsidRPr="004D0A2C">
        <w:rPr>
          <w:lang w:val="fr-FR"/>
        </w:rPr>
        <w:t>OMS de réviser la liste indicative des matières infectieuses de catégorie A dans le Règlement type en tenant compte des risques potentiels pour les êtres humains et les animaux ainsi que des dangers pendant le transport</w:t>
      </w:r>
      <w:r w:rsidR="009C65BB" w:rsidRPr="004D0A2C">
        <w:rPr>
          <w:lang w:val="fr-FR"/>
        </w:rPr>
        <w:t>.</w:t>
      </w:r>
      <w:r w:rsidRPr="004D0A2C">
        <w:rPr>
          <w:lang w:val="fr-FR"/>
        </w:rPr>
        <w:t xml:space="preserve"> Il a décidé de coordonner la mise à jour régulière de cette liste non exhaustive sur la base des avis concertés de l</w:t>
      </w:r>
      <w:r w:rsidR="00AD27B0" w:rsidRPr="004D0A2C">
        <w:rPr>
          <w:lang w:val="fr-FR"/>
        </w:rPr>
        <w:t>’</w:t>
      </w:r>
      <w:r w:rsidRPr="004D0A2C">
        <w:rPr>
          <w:lang w:val="fr-FR"/>
        </w:rPr>
        <w:t>OMS et de la FAO, en tenant notamment compte des besoins dans les différentes régions</w:t>
      </w:r>
      <w:r w:rsidR="009C65BB" w:rsidRPr="004D0A2C">
        <w:rPr>
          <w:lang w:val="fr-FR"/>
        </w:rPr>
        <w:t>.</w:t>
      </w:r>
      <w:r w:rsidRPr="004D0A2C">
        <w:rPr>
          <w:lang w:val="fr-FR"/>
        </w:rPr>
        <w:t xml:space="preserve"> Le représentant de l</w:t>
      </w:r>
      <w:r w:rsidR="00AD27B0" w:rsidRPr="004D0A2C">
        <w:rPr>
          <w:lang w:val="fr-FR"/>
        </w:rPr>
        <w:t>’</w:t>
      </w:r>
      <w:r w:rsidRPr="004D0A2C">
        <w:rPr>
          <w:lang w:val="fr-FR"/>
        </w:rPr>
        <w:t>OMS a proposé d</w:t>
      </w:r>
      <w:r w:rsidR="00AD27B0" w:rsidRPr="004D0A2C">
        <w:rPr>
          <w:lang w:val="fr-FR"/>
        </w:rPr>
        <w:t>’</w:t>
      </w:r>
      <w:r w:rsidRPr="004D0A2C">
        <w:rPr>
          <w:lang w:val="fr-FR"/>
        </w:rPr>
        <w:t>élaborer une proposition de procédure de révision pérenne et adaptable, qu</w:t>
      </w:r>
      <w:r w:rsidR="00AD27B0" w:rsidRPr="004D0A2C">
        <w:rPr>
          <w:lang w:val="fr-FR"/>
        </w:rPr>
        <w:t>’</w:t>
      </w:r>
      <w:r w:rsidRPr="004D0A2C">
        <w:rPr>
          <w:lang w:val="fr-FR"/>
        </w:rPr>
        <w:t>il soumettrait au Sous-Comité, pour examen, à sa session suivante</w:t>
      </w:r>
      <w:r w:rsidR="009C65BB" w:rsidRPr="004D0A2C">
        <w:rPr>
          <w:lang w:val="fr-FR"/>
        </w:rPr>
        <w:t>.</w:t>
      </w:r>
    </w:p>
    <w:p w14:paraId="6A4C3209" w14:textId="6CB43D42" w:rsidR="006F26A8" w:rsidRPr="004D0A2C" w:rsidRDefault="006F26A8" w:rsidP="004E471D">
      <w:pPr>
        <w:pStyle w:val="H1G"/>
        <w:rPr>
          <w:lang w:val="fr-FR"/>
        </w:rPr>
      </w:pPr>
      <w:r w:rsidRPr="004D0A2C">
        <w:rPr>
          <w:lang w:val="fr-FR"/>
        </w:rPr>
        <w:tab/>
        <w:t>F</w:t>
      </w:r>
      <w:r w:rsidR="009C65BB" w:rsidRPr="004D0A2C">
        <w:rPr>
          <w:lang w:val="fr-FR"/>
        </w:rPr>
        <w:t>.</w:t>
      </w:r>
      <w:r w:rsidRPr="004D0A2C">
        <w:rPr>
          <w:lang w:val="fr-FR"/>
        </w:rPr>
        <w:tab/>
        <w:t>Produits actuels et futurs dans le secteur du gaz de pétrole liquéfié</w:t>
      </w:r>
      <w:r w:rsidR="00AD27B0" w:rsidRPr="004D0A2C">
        <w:rPr>
          <w:lang w:val="fr-FR"/>
        </w:rPr>
        <w:t> :</w:t>
      </w:r>
      <w:r w:rsidRPr="004D0A2C">
        <w:rPr>
          <w:lang w:val="fr-FR"/>
        </w:rPr>
        <w:t xml:space="preserve"> proposition de nouveau numéro ONU</w:t>
      </w:r>
    </w:p>
    <w:p w14:paraId="0828807A" w14:textId="0FE6F1B2" w:rsidR="006F26A8" w:rsidRPr="003C6342" w:rsidRDefault="006F26A8" w:rsidP="00EB6A0C">
      <w:pPr>
        <w:pStyle w:val="SingleTxtG"/>
        <w:tabs>
          <w:tab w:val="clear" w:pos="1701"/>
          <w:tab w:val="clear" w:pos="2268"/>
          <w:tab w:val="clear" w:pos="2835"/>
          <w:tab w:val="left" w:pos="2977"/>
        </w:tabs>
        <w:ind w:left="3124" w:hanging="1990"/>
        <w:rPr>
          <w:lang w:val="en-US"/>
        </w:rPr>
      </w:pPr>
      <w:r w:rsidRPr="003C6342">
        <w:rPr>
          <w:i/>
          <w:iCs/>
          <w:lang w:val="en-US"/>
        </w:rPr>
        <w:t>Document</w:t>
      </w:r>
      <w:r w:rsidR="00AD27B0" w:rsidRPr="003C6342">
        <w:rPr>
          <w:i/>
          <w:iCs/>
          <w:lang w:val="en-US"/>
        </w:rPr>
        <w:t> </w:t>
      </w:r>
      <w:r w:rsidR="005F36F6" w:rsidRPr="003C6342">
        <w:rPr>
          <w:iCs/>
          <w:lang w:val="en-US"/>
        </w:rPr>
        <w:t>:</w:t>
      </w:r>
      <w:r w:rsidRPr="003C6342">
        <w:rPr>
          <w:lang w:val="en-US"/>
        </w:rPr>
        <w:t xml:space="preserve"> </w:t>
      </w:r>
      <w:r w:rsidRPr="003C6342">
        <w:rPr>
          <w:lang w:val="en-US"/>
        </w:rPr>
        <w:tab/>
      </w:r>
      <w:hyperlink r:id="rId36" w:history="1">
        <w:r w:rsidR="004F62B2">
          <w:rPr>
            <w:rStyle w:val="Hyperlink"/>
            <w:lang w:val="en-US"/>
          </w:rPr>
          <w:t>ST/SG/AC.10/C.3/2023/30</w:t>
        </w:r>
      </w:hyperlink>
      <w:r w:rsidRPr="003C6342">
        <w:rPr>
          <w:lang w:val="en-US"/>
        </w:rPr>
        <w:t xml:space="preserve"> (World LPG Association)</w:t>
      </w:r>
    </w:p>
    <w:p w14:paraId="14D58FCE" w14:textId="44FF8A70" w:rsidR="006F26A8" w:rsidRPr="004D0A2C" w:rsidRDefault="006F26A8" w:rsidP="004E471D">
      <w:pPr>
        <w:pStyle w:val="SingleTxtG"/>
        <w:rPr>
          <w:lang w:val="fr-FR"/>
        </w:rPr>
      </w:pPr>
      <w:r w:rsidRPr="004D0A2C">
        <w:rPr>
          <w:lang w:val="fr-FR"/>
        </w:rPr>
        <w:t>44</w:t>
      </w:r>
      <w:r w:rsidR="009C65BB" w:rsidRPr="004D0A2C">
        <w:rPr>
          <w:lang w:val="fr-FR"/>
        </w:rPr>
        <w:t>.</w:t>
      </w:r>
      <w:r w:rsidRPr="004D0A2C">
        <w:rPr>
          <w:lang w:val="fr-FR"/>
        </w:rPr>
        <w:tab/>
        <w:t>Certains experts trouvaient préférable d</w:t>
      </w:r>
      <w:r w:rsidR="00AD27B0" w:rsidRPr="004D0A2C">
        <w:rPr>
          <w:lang w:val="fr-FR"/>
        </w:rPr>
        <w:t>’</w:t>
      </w:r>
      <w:r w:rsidRPr="004D0A2C">
        <w:rPr>
          <w:lang w:val="fr-FR"/>
        </w:rPr>
        <w:t>utiliser les numéros ONU existants plutôt que d</w:t>
      </w:r>
      <w:r w:rsidR="00AD27B0" w:rsidRPr="004D0A2C">
        <w:rPr>
          <w:lang w:val="fr-FR"/>
        </w:rPr>
        <w:t>’</w:t>
      </w:r>
      <w:r w:rsidRPr="004D0A2C">
        <w:rPr>
          <w:lang w:val="fr-FR"/>
        </w:rPr>
        <w:t>en créer un nouveau</w:t>
      </w:r>
      <w:r w:rsidR="009C65BB" w:rsidRPr="004D0A2C">
        <w:rPr>
          <w:lang w:val="fr-FR"/>
        </w:rPr>
        <w:t>.</w:t>
      </w:r>
      <w:r w:rsidRPr="004D0A2C">
        <w:rPr>
          <w:lang w:val="fr-FR"/>
        </w:rPr>
        <w:t xml:space="preserve"> D</w:t>
      </w:r>
      <w:r w:rsidR="00AD27B0" w:rsidRPr="004D0A2C">
        <w:rPr>
          <w:lang w:val="fr-FR"/>
        </w:rPr>
        <w:t>’</w:t>
      </w:r>
      <w:r w:rsidRPr="004D0A2C">
        <w:rPr>
          <w:lang w:val="fr-FR"/>
        </w:rPr>
        <w:t>autres étaient d</w:t>
      </w:r>
      <w:r w:rsidR="00AD27B0" w:rsidRPr="004D0A2C">
        <w:rPr>
          <w:lang w:val="fr-FR"/>
        </w:rPr>
        <w:t>’</w:t>
      </w:r>
      <w:r w:rsidRPr="004D0A2C">
        <w:rPr>
          <w:lang w:val="fr-FR"/>
        </w:rPr>
        <w:t>avis que les mélanges contenant un pourcentage plus élevé d</w:t>
      </w:r>
      <w:r w:rsidR="00AD27B0" w:rsidRPr="004D0A2C">
        <w:rPr>
          <w:lang w:val="fr-FR"/>
        </w:rPr>
        <w:t>’</w:t>
      </w:r>
      <w:r w:rsidRPr="004D0A2C">
        <w:rPr>
          <w:lang w:val="fr-FR"/>
        </w:rPr>
        <w:t>éther méthylique allaient se généraliser dans un avenir proche et qu</w:t>
      </w:r>
      <w:r w:rsidR="00AD27B0" w:rsidRPr="004D0A2C">
        <w:rPr>
          <w:lang w:val="fr-FR"/>
        </w:rPr>
        <w:t>’</w:t>
      </w:r>
      <w:r w:rsidRPr="004D0A2C">
        <w:rPr>
          <w:lang w:val="fr-FR"/>
        </w:rPr>
        <w:t>un nouveau numéro ONU serait donc justifié</w:t>
      </w:r>
      <w:r w:rsidR="009C65BB" w:rsidRPr="004D0A2C">
        <w:rPr>
          <w:lang w:val="fr-FR"/>
        </w:rPr>
        <w:t>.</w:t>
      </w:r>
      <w:r w:rsidRPr="004D0A2C">
        <w:rPr>
          <w:lang w:val="fr-FR"/>
        </w:rPr>
        <w:t xml:space="preserve"> Certains experts ont exprimé des inquiétudes au sujet de l</w:t>
      </w:r>
      <w:r w:rsidR="00AD27B0" w:rsidRPr="004D0A2C">
        <w:rPr>
          <w:lang w:val="fr-FR"/>
        </w:rPr>
        <w:t>’</w:t>
      </w:r>
      <w:r w:rsidRPr="004D0A2C">
        <w:rPr>
          <w:lang w:val="fr-FR"/>
        </w:rPr>
        <w:t>affectation de l</w:t>
      </w:r>
      <w:r w:rsidR="00AD27B0" w:rsidRPr="004D0A2C">
        <w:rPr>
          <w:lang w:val="fr-FR"/>
        </w:rPr>
        <w:t>’</w:t>
      </w:r>
      <w:r w:rsidRPr="004D0A2C">
        <w:rPr>
          <w:lang w:val="fr-FR"/>
        </w:rPr>
        <w:t>instruction d</w:t>
      </w:r>
      <w:r w:rsidR="00AD27B0" w:rsidRPr="004D0A2C">
        <w:rPr>
          <w:lang w:val="fr-FR"/>
        </w:rPr>
        <w:t>’</w:t>
      </w:r>
      <w:r w:rsidRPr="004D0A2C">
        <w:rPr>
          <w:lang w:val="fr-FR"/>
        </w:rPr>
        <w:t>emballage P200, de l</w:t>
      </w:r>
      <w:r w:rsidR="00AD27B0" w:rsidRPr="004D0A2C">
        <w:rPr>
          <w:lang w:val="fr-FR"/>
        </w:rPr>
        <w:t>’</w:t>
      </w:r>
      <w:r w:rsidRPr="004D0A2C">
        <w:rPr>
          <w:lang w:val="fr-FR"/>
        </w:rPr>
        <w:t>autorisation des cadres de bouteilles et des conteneurs à gaz à éléments multiples (CGEM), et des dispositions spéciales d</w:t>
      </w:r>
      <w:r w:rsidR="00AD27B0" w:rsidRPr="004D0A2C">
        <w:rPr>
          <w:lang w:val="fr-FR"/>
        </w:rPr>
        <w:t>’</w:t>
      </w:r>
      <w:r w:rsidRPr="004D0A2C">
        <w:rPr>
          <w:lang w:val="fr-FR"/>
        </w:rPr>
        <w:t>emballage choisies</w:t>
      </w:r>
      <w:r w:rsidR="009C65BB" w:rsidRPr="004D0A2C">
        <w:rPr>
          <w:lang w:val="fr-FR"/>
        </w:rPr>
        <w:t>.</w:t>
      </w:r>
      <w:r w:rsidRPr="004D0A2C">
        <w:rPr>
          <w:lang w:val="fr-FR"/>
        </w:rPr>
        <w:t xml:space="preserve"> Le Sous-Comité a relevé avec intérêt que la proposition contribuait à la réalisation des objectifs en matière de décarbonisation</w:t>
      </w:r>
      <w:r w:rsidR="009C65BB" w:rsidRPr="004D0A2C">
        <w:rPr>
          <w:lang w:val="fr-FR"/>
        </w:rPr>
        <w:t>.</w:t>
      </w:r>
      <w:r w:rsidRPr="004D0A2C">
        <w:rPr>
          <w:lang w:val="fr-FR"/>
        </w:rPr>
        <w:t xml:space="preserve"> Il a décidé de poursuivre l</w:t>
      </w:r>
      <w:r w:rsidR="00AD27B0" w:rsidRPr="004D0A2C">
        <w:rPr>
          <w:lang w:val="fr-FR"/>
        </w:rPr>
        <w:t>’</w:t>
      </w:r>
      <w:r w:rsidRPr="004D0A2C">
        <w:rPr>
          <w:lang w:val="fr-FR"/>
        </w:rPr>
        <w:t>examen de cette question à la session suivante, sur la base d</w:t>
      </w:r>
      <w:r w:rsidR="00AD27B0" w:rsidRPr="004D0A2C">
        <w:rPr>
          <w:lang w:val="fr-FR"/>
        </w:rPr>
        <w:t>’</w:t>
      </w:r>
      <w:r w:rsidRPr="004D0A2C">
        <w:rPr>
          <w:lang w:val="fr-FR"/>
        </w:rPr>
        <w:t>un document actualisé et plus détaillé qui serait établi en tenant compte des observations reçues</w:t>
      </w:r>
      <w:r w:rsidR="009C65BB" w:rsidRPr="004D0A2C">
        <w:rPr>
          <w:lang w:val="fr-FR"/>
        </w:rPr>
        <w:t>.</w:t>
      </w:r>
    </w:p>
    <w:p w14:paraId="5FFA9040" w14:textId="24E6B2B1" w:rsidR="006F26A8" w:rsidRPr="004D0A2C" w:rsidRDefault="006F26A8" w:rsidP="007B7286">
      <w:pPr>
        <w:pStyle w:val="H1G"/>
        <w:rPr>
          <w:lang w:val="fr-FR"/>
        </w:rPr>
      </w:pPr>
      <w:r w:rsidRPr="004D0A2C">
        <w:rPr>
          <w:lang w:val="fr-FR"/>
        </w:rPr>
        <w:tab/>
        <w:t>G</w:t>
      </w:r>
      <w:r w:rsidR="009C65BB" w:rsidRPr="004D0A2C">
        <w:rPr>
          <w:lang w:val="fr-FR"/>
        </w:rPr>
        <w:t>.</w:t>
      </w:r>
      <w:r w:rsidRPr="004D0A2C">
        <w:rPr>
          <w:lang w:val="fr-FR"/>
        </w:rPr>
        <w:tab/>
        <w:t>Emballages hermétiquement fermés</w:t>
      </w:r>
    </w:p>
    <w:p w14:paraId="2A7CCCDB" w14:textId="68B5FE0D"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6 (Pays-Bas)</w:t>
      </w:r>
    </w:p>
    <w:p w14:paraId="10CBACBA" w14:textId="215DC8A3" w:rsidR="006F26A8" w:rsidRPr="004D0A2C" w:rsidRDefault="006F26A8" w:rsidP="007B7286">
      <w:pPr>
        <w:pStyle w:val="SingleTxtG"/>
        <w:rPr>
          <w:lang w:val="fr-FR"/>
        </w:rPr>
      </w:pPr>
      <w:r w:rsidRPr="004D0A2C">
        <w:rPr>
          <w:lang w:val="fr-FR"/>
        </w:rPr>
        <w:t>45</w:t>
      </w:r>
      <w:r w:rsidR="009C65BB" w:rsidRPr="004D0A2C">
        <w:rPr>
          <w:lang w:val="fr-FR"/>
        </w:rPr>
        <w:t>.</w:t>
      </w:r>
      <w:r w:rsidRPr="004D0A2C">
        <w:rPr>
          <w:lang w:val="fr-FR"/>
        </w:rPr>
        <w:tab/>
        <w:t>Le Sous-Comité est convenu de la nécessité de préciser le sens de l</w:t>
      </w:r>
      <w:r w:rsidR="00AD27B0" w:rsidRPr="004D0A2C">
        <w:rPr>
          <w:lang w:val="fr-FR"/>
        </w:rPr>
        <w:t>’</w:t>
      </w:r>
      <w:r w:rsidRPr="004D0A2C">
        <w:rPr>
          <w:lang w:val="fr-FR"/>
        </w:rPr>
        <w:t>expression «</w:t>
      </w:r>
      <w:r w:rsidR="001E550E" w:rsidRPr="004D0A2C">
        <w:rPr>
          <w:lang w:val="fr-FR"/>
        </w:rPr>
        <w:t> </w:t>
      </w:r>
      <w:r w:rsidRPr="004D0A2C">
        <w:rPr>
          <w:lang w:val="fr-FR"/>
        </w:rPr>
        <w:t>hermétiquement fermé</w:t>
      </w:r>
      <w:r w:rsidR="001E550E" w:rsidRPr="004D0A2C">
        <w:rPr>
          <w:lang w:val="fr-FR"/>
        </w:rPr>
        <w:t> </w:t>
      </w:r>
      <w:r w:rsidRPr="004D0A2C">
        <w:rPr>
          <w:lang w:val="fr-FR"/>
        </w:rPr>
        <w:t>» dans le Règlement type</w:t>
      </w:r>
      <w:r w:rsidR="009C65BB" w:rsidRPr="004D0A2C">
        <w:rPr>
          <w:lang w:val="fr-FR"/>
        </w:rPr>
        <w:t>.</w:t>
      </w:r>
      <w:r w:rsidRPr="004D0A2C">
        <w:rPr>
          <w:lang w:val="fr-FR"/>
        </w:rPr>
        <w:t xml:space="preserve"> La plupart des experts qui se sont exprimés étaient d</w:t>
      </w:r>
      <w:r w:rsidR="00AD27B0" w:rsidRPr="004D0A2C">
        <w:rPr>
          <w:lang w:val="fr-FR"/>
        </w:rPr>
        <w:t>’</w:t>
      </w:r>
      <w:r w:rsidRPr="004D0A2C">
        <w:rPr>
          <w:lang w:val="fr-FR"/>
        </w:rPr>
        <w:t>avis qu</w:t>
      </w:r>
      <w:r w:rsidR="00AD27B0" w:rsidRPr="004D0A2C">
        <w:rPr>
          <w:lang w:val="fr-FR"/>
        </w:rPr>
        <w:t>’</w:t>
      </w:r>
      <w:r w:rsidRPr="004D0A2C">
        <w:rPr>
          <w:lang w:val="fr-FR"/>
        </w:rPr>
        <w:t>elle devrait être définie comme signifiant «</w:t>
      </w:r>
      <w:r w:rsidR="001E550E" w:rsidRPr="004D0A2C">
        <w:rPr>
          <w:lang w:val="fr-FR"/>
        </w:rPr>
        <w:t> </w:t>
      </w:r>
      <w:r w:rsidRPr="004D0A2C">
        <w:rPr>
          <w:lang w:val="fr-FR"/>
        </w:rPr>
        <w:t>étanche à l</w:t>
      </w:r>
      <w:r w:rsidR="00AD27B0" w:rsidRPr="004D0A2C">
        <w:rPr>
          <w:lang w:val="fr-FR"/>
        </w:rPr>
        <w:t>’</w:t>
      </w:r>
      <w:r w:rsidRPr="004D0A2C">
        <w:rPr>
          <w:lang w:val="fr-FR"/>
        </w:rPr>
        <w:t>air ou aux gaz</w:t>
      </w:r>
      <w:r w:rsidR="001E550E" w:rsidRPr="004D0A2C">
        <w:rPr>
          <w:lang w:val="fr-FR"/>
        </w:rPr>
        <w:t> </w:t>
      </w:r>
      <w:r w:rsidRPr="004D0A2C">
        <w:rPr>
          <w:lang w:val="fr-FR"/>
        </w:rPr>
        <w:t>», mais outre cette définition, une méthode d</w:t>
      </w:r>
      <w:r w:rsidR="00AD27B0" w:rsidRPr="004D0A2C">
        <w:rPr>
          <w:lang w:val="fr-FR"/>
        </w:rPr>
        <w:t>’</w:t>
      </w:r>
      <w:r w:rsidRPr="004D0A2C">
        <w:rPr>
          <w:lang w:val="fr-FR"/>
        </w:rPr>
        <w:t>essai appropriée visant notamment à démontrer que les emballages de marchandises dangereuses «</w:t>
      </w:r>
      <w:r w:rsidR="001E550E" w:rsidRPr="004D0A2C">
        <w:rPr>
          <w:lang w:val="fr-FR"/>
        </w:rPr>
        <w:t> </w:t>
      </w:r>
      <w:r w:rsidRPr="004D0A2C">
        <w:rPr>
          <w:lang w:val="fr-FR"/>
        </w:rPr>
        <w:t>restent hermétiquement fermés</w:t>
      </w:r>
      <w:r w:rsidR="001E550E" w:rsidRPr="004D0A2C">
        <w:rPr>
          <w:lang w:val="fr-FR"/>
        </w:rPr>
        <w:t> </w:t>
      </w:r>
      <w:r w:rsidRPr="004D0A2C">
        <w:rPr>
          <w:lang w:val="fr-FR"/>
        </w:rPr>
        <w:t>» pendant le transport pourrait être examinée</w:t>
      </w:r>
      <w:r w:rsidR="009C65BB" w:rsidRPr="004D0A2C">
        <w:rPr>
          <w:lang w:val="fr-FR"/>
        </w:rPr>
        <w:t>.</w:t>
      </w:r>
      <w:r w:rsidRPr="004D0A2C">
        <w:rPr>
          <w:lang w:val="fr-FR"/>
        </w:rPr>
        <w:t xml:space="preserve"> </w:t>
      </w:r>
      <w:r w:rsidRPr="00304D0D">
        <w:rPr>
          <w:lang w:val="fr-FR"/>
        </w:rPr>
        <w:t>L</w:t>
      </w:r>
      <w:r w:rsidR="00AD27B0" w:rsidRPr="00304D0D">
        <w:rPr>
          <w:lang w:val="fr-FR"/>
        </w:rPr>
        <w:t>’</w:t>
      </w:r>
      <w:r w:rsidRPr="00304D0D">
        <w:rPr>
          <w:lang w:val="fr-FR"/>
        </w:rPr>
        <w:t>expert du Royaume des Pays-Bas a</w:t>
      </w:r>
      <w:r w:rsidRPr="004D0A2C">
        <w:rPr>
          <w:lang w:val="fr-FR"/>
        </w:rPr>
        <w:t xml:space="preserve"> invité tous les experts à lui envoyer leurs observations complémentaires par écrit et a proposé d</w:t>
      </w:r>
      <w:r w:rsidR="00AD27B0" w:rsidRPr="004D0A2C">
        <w:rPr>
          <w:lang w:val="fr-FR"/>
        </w:rPr>
        <w:t>’</w:t>
      </w:r>
      <w:r w:rsidRPr="004D0A2C">
        <w:rPr>
          <w:lang w:val="fr-FR"/>
        </w:rPr>
        <w:t>élaborer une proposition plus détaillée pour examen à la session suivante</w:t>
      </w:r>
      <w:r w:rsidR="009C65BB" w:rsidRPr="004D0A2C">
        <w:rPr>
          <w:lang w:val="fr-FR"/>
        </w:rPr>
        <w:t>.</w:t>
      </w:r>
    </w:p>
    <w:p w14:paraId="70AE13C4" w14:textId="219CC0C0" w:rsidR="006F26A8" w:rsidRPr="004D0A2C" w:rsidRDefault="006F26A8" w:rsidP="007B7286">
      <w:pPr>
        <w:pStyle w:val="H1G"/>
        <w:rPr>
          <w:lang w:val="fr-FR"/>
        </w:rPr>
      </w:pPr>
      <w:r w:rsidRPr="004D0A2C">
        <w:rPr>
          <w:lang w:val="fr-FR"/>
        </w:rPr>
        <w:tab/>
        <w:t>H</w:t>
      </w:r>
      <w:r w:rsidR="009C65BB" w:rsidRPr="004D0A2C">
        <w:rPr>
          <w:lang w:val="fr-FR"/>
        </w:rPr>
        <w:t>.</w:t>
      </w:r>
      <w:r w:rsidRPr="004D0A2C">
        <w:rPr>
          <w:lang w:val="fr-FR"/>
        </w:rPr>
        <w:tab/>
        <w:t xml:space="preserve">Classement du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ONU </w:t>
      </w:r>
      <w:r w:rsidRPr="00304D0D">
        <w:rPr>
          <w:lang w:val="fr-FR"/>
        </w:rPr>
        <w:t>2372 BIS (DIMÉTHYLAMINO</w:t>
      </w:r>
      <w:r w:rsidRPr="004D0A2C">
        <w:rPr>
          <w:lang w:val="fr-FR"/>
        </w:rPr>
        <w:t>)-1,2 ÉTHANE</w:t>
      </w:r>
    </w:p>
    <w:p w14:paraId="613928E2" w14:textId="02928DD8"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18 (Belgique)</w:t>
      </w:r>
    </w:p>
    <w:p w14:paraId="68E2487B" w14:textId="632210EB" w:rsidR="006F26A8" w:rsidRPr="004D0A2C" w:rsidRDefault="006F26A8" w:rsidP="006F26A8">
      <w:pPr>
        <w:pStyle w:val="SingleTxtG"/>
        <w:rPr>
          <w:lang w:val="fr-FR"/>
        </w:rPr>
      </w:pPr>
      <w:r w:rsidRPr="004D0A2C">
        <w:rPr>
          <w:lang w:val="fr-FR"/>
        </w:rPr>
        <w:t>46</w:t>
      </w:r>
      <w:r w:rsidR="009C65BB" w:rsidRPr="004D0A2C">
        <w:rPr>
          <w:lang w:val="fr-FR"/>
        </w:rPr>
        <w:t>.</w:t>
      </w:r>
      <w:r w:rsidRPr="004D0A2C">
        <w:rPr>
          <w:lang w:val="fr-FR"/>
        </w:rPr>
        <w:tab/>
        <w:t>Le Sous-Comité a accueilli la proposition avec intérêt et a noté qu</w:t>
      </w:r>
      <w:r w:rsidR="00AD27B0" w:rsidRPr="004D0A2C">
        <w:rPr>
          <w:lang w:val="fr-FR"/>
        </w:rPr>
        <w:t>’</w:t>
      </w:r>
      <w:r w:rsidRPr="004D0A2C">
        <w:rPr>
          <w:lang w:val="fr-FR"/>
        </w:rPr>
        <w:t>elle recueillait l</w:t>
      </w:r>
      <w:r w:rsidR="00AD27B0" w:rsidRPr="004D0A2C">
        <w:rPr>
          <w:lang w:val="fr-FR"/>
        </w:rPr>
        <w:t>’</w:t>
      </w:r>
      <w:r w:rsidRPr="004D0A2C">
        <w:rPr>
          <w:lang w:val="fr-FR"/>
        </w:rPr>
        <w:t>appui de principe de certaines délégations</w:t>
      </w:r>
      <w:r w:rsidR="009C65BB" w:rsidRPr="004D0A2C">
        <w:rPr>
          <w:lang w:val="fr-FR"/>
        </w:rPr>
        <w:t>.</w:t>
      </w:r>
      <w:r w:rsidRPr="004D0A2C">
        <w:rPr>
          <w:lang w:val="fr-FR"/>
        </w:rPr>
        <w:t xml:space="preserve"> Il a été estimé que des travaux supplémentaires étaient nécessaires et les représentants ont été invités à envoyer des informations détaillées à l</w:t>
      </w:r>
      <w:r w:rsidR="00AD27B0" w:rsidRPr="004D0A2C">
        <w:rPr>
          <w:lang w:val="fr-FR"/>
        </w:rPr>
        <w:t>’</w:t>
      </w:r>
      <w:r w:rsidRPr="004D0A2C">
        <w:rPr>
          <w:lang w:val="fr-FR"/>
        </w:rPr>
        <w:t>expert de la Belgique</w:t>
      </w:r>
      <w:r w:rsidR="009C65BB" w:rsidRPr="004D0A2C">
        <w:rPr>
          <w:lang w:val="fr-FR"/>
        </w:rPr>
        <w:t>.</w:t>
      </w:r>
      <w:r w:rsidRPr="004D0A2C">
        <w:rPr>
          <w:lang w:val="fr-FR"/>
        </w:rPr>
        <w:t xml:space="preserve"> Il a été noté que des mesures transitoires devraient être ajoutées</w:t>
      </w:r>
      <w:r w:rsidR="009C65BB" w:rsidRPr="004D0A2C">
        <w:rPr>
          <w:lang w:val="fr-FR"/>
        </w:rPr>
        <w:t>.</w:t>
      </w:r>
      <w:r w:rsidRPr="004D0A2C">
        <w:rPr>
          <w:lang w:val="fr-FR"/>
        </w:rPr>
        <w:t xml:space="preserve"> L</w:t>
      </w:r>
      <w:r w:rsidR="00AD27B0" w:rsidRPr="004D0A2C">
        <w:rPr>
          <w:lang w:val="fr-FR"/>
        </w:rPr>
        <w:t>’</w:t>
      </w:r>
      <w:r w:rsidRPr="004D0A2C">
        <w:rPr>
          <w:lang w:val="fr-FR"/>
        </w:rPr>
        <w:t>expert de la Belgique a proposé d</w:t>
      </w:r>
      <w:r w:rsidR="00AD27B0" w:rsidRPr="004D0A2C">
        <w:rPr>
          <w:lang w:val="fr-FR"/>
        </w:rPr>
        <w:t>’</w:t>
      </w:r>
      <w:r w:rsidRPr="004D0A2C">
        <w:rPr>
          <w:lang w:val="fr-FR"/>
        </w:rPr>
        <w:t>élaborer un document plus détaillé qu</w:t>
      </w:r>
      <w:r w:rsidR="00AD27B0" w:rsidRPr="004D0A2C">
        <w:rPr>
          <w:lang w:val="fr-FR"/>
        </w:rPr>
        <w:t>’</w:t>
      </w:r>
      <w:r w:rsidRPr="004D0A2C">
        <w:rPr>
          <w:lang w:val="fr-FR"/>
        </w:rPr>
        <w:t>il soumettrait à la session suivante</w:t>
      </w:r>
      <w:r w:rsidR="009C65BB" w:rsidRPr="004D0A2C">
        <w:rPr>
          <w:lang w:val="fr-FR"/>
        </w:rPr>
        <w:t>.</w:t>
      </w:r>
    </w:p>
    <w:p w14:paraId="4C03837B" w14:textId="0E54101B" w:rsidR="006F26A8" w:rsidRPr="004D0A2C" w:rsidRDefault="006F26A8" w:rsidP="005F3872">
      <w:pPr>
        <w:pStyle w:val="H1G"/>
        <w:rPr>
          <w:lang w:val="fr-FR"/>
        </w:rPr>
      </w:pPr>
      <w:r w:rsidRPr="004D0A2C">
        <w:rPr>
          <w:lang w:val="fr-FR"/>
        </w:rPr>
        <w:lastRenderedPageBreak/>
        <w:tab/>
        <w:t>I</w:t>
      </w:r>
      <w:r w:rsidR="009C65BB" w:rsidRPr="004D0A2C">
        <w:rPr>
          <w:lang w:val="fr-FR"/>
        </w:rPr>
        <w:t>.</w:t>
      </w:r>
      <w:r w:rsidRPr="004D0A2C">
        <w:rPr>
          <w:lang w:val="fr-FR"/>
        </w:rPr>
        <w:tab/>
        <w:t xml:space="preserve">Rapport du groupe de travail informel par correspondance chargé </w:t>
      </w:r>
      <w:r w:rsidR="00FC0E0F" w:rsidRPr="004D0A2C">
        <w:rPr>
          <w:lang w:val="fr-FR"/>
        </w:rPr>
        <w:br/>
      </w:r>
      <w:r w:rsidRPr="004D0A2C">
        <w:rPr>
          <w:lang w:val="fr-FR"/>
        </w:rPr>
        <w:t xml:space="preserve">de la distinction entre le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 xml:space="preserve">ONU 1950 et le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ONU 2037</w:t>
      </w:r>
    </w:p>
    <w:p w14:paraId="3DD7D5A2" w14:textId="2C38169E" w:rsidR="006F26A8" w:rsidRPr="004D0A2C" w:rsidRDefault="006F26A8" w:rsidP="005F3872">
      <w:pPr>
        <w:pStyle w:val="SingleTxtG"/>
        <w:keepNext/>
        <w:keepLines/>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22 (Allemagne)</w:t>
      </w:r>
    </w:p>
    <w:p w14:paraId="1C2B7A6D" w14:textId="5CD55771" w:rsidR="006F26A8" w:rsidRPr="004D0A2C" w:rsidRDefault="006F26A8" w:rsidP="003E4912">
      <w:pPr>
        <w:pStyle w:val="SingleTxtG"/>
        <w:widowControl w:val="0"/>
        <w:rPr>
          <w:spacing w:val="-2"/>
          <w:lang w:val="fr-FR"/>
        </w:rPr>
      </w:pPr>
      <w:r w:rsidRPr="004D0A2C">
        <w:rPr>
          <w:spacing w:val="-2"/>
          <w:lang w:val="fr-FR"/>
        </w:rPr>
        <w:t>47</w:t>
      </w:r>
      <w:r w:rsidR="009C65BB" w:rsidRPr="004D0A2C">
        <w:rPr>
          <w:spacing w:val="-2"/>
          <w:lang w:val="fr-FR"/>
        </w:rPr>
        <w:t>.</w:t>
      </w:r>
      <w:r w:rsidRPr="004D0A2C">
        <w:rPr>
          <w:spacing w:val="-2"/>
          <w:lang w:val="fr-FR"/>
        </w:rPr>
        <w:tab/>
        <w:t>Le Sous-Comité a pris note du rapport du groupe de travail informel par correspondance et a encouragé l</w:t>
      </w:r>
      <w:r w:rsidR="00AD27B0" w:rsidRPr="004D0A2C">
        <w:rPr>
          <w:spacing w:val="-2"/>
          <w:lang w:val="fr-FR"/>
        </w:rPr>
        <w:t>’</w:t>
      </w:r>
      <w:r w:rsidRPr="004D0A2C">
        <w:rPr>
          <w:spacing w:val="-2"/>
          <w:lang w:val="fr-FR"/>
        </w:rPr>
        <w:t>Allemagne à poursuivre l</w:t>
      </w:r>
      <w:r w:rsidR="00AD27B0" w:rsidRPr="004D0A2C">
        <w:rPr>
          <w:spacing w:val="-2"/>
          <w:lang w:val="fr-FR"/>
        </w:rPr>
        <w:t>’</w:t>
      </w:r>
      <w:r w:rsidRPr="004D0A2C">
        <w:rPr>
          <w:spacing w:val="-2"/>
          <w:lang w:val="fr-FR"/>
        </w:rPr>
        <w:t>élaboration d</w:t>
      </w:r>
      <w:r w:rsidR="00AD27B0" w:rsidRPr="004D0A2C">
        <w:rPr>
          <w:spacing w:val="-2"/>
          <w:lang w:val="fr-FR"/>
        </w:rPr>
        <w:t>’</w:t>
      </w:r>
      <w:r w:rsidRPr="004D0A2C">
        <w:rPr>
          <w:spacing w:val="-2"/>
          <w:lang w:val="fr-FR"/>
        </w:rPr>
        <w:t xml:space="preserve">une solution permettant de mieux faire la distinction entre le </w:t>
      </w:r>
      <w:r w:rsidR="00AD27B0" w:rsidRPr="004D0A2C">
        <w:rPr>
          <w:spacing w:val="-2"/>
          <w:lang w:val="fr-FR"/>
        </w:rPr>
        <w:t>n</w:t>
      </w:r>
      <w:r w:rsidR="00AD27B0" w:rsidRPr="004D0A2C">
        <w:rPr>
          <w:spacing w:val="-2"/>
          <w:vertAlign w:val="superscript"/>
          <w:lang w:val="fr-FR"/>
        </w:rPr>
        <w:t>o</w:t>
      </w:r>
      <w:r w:rsidRPr="004D0A2C">
        <w:rPr>
          <w:spacing w:val="-2"/>
          <w:vertAlign w:val="superscript"/>
          <w:lang w:val="fr-FR"/>
        </w:rPr>
        <w:t> </w:t>
      </w:r>
      <w:r w:rsidRPr="004D0A2C">
        <w:rPr>
          <w:spacing w:val="-2"/>
          <w:lang w:val="fr-FR"/>
        </w:rPr>
        <w:t xml:space="preserve">ONU 1950 et le </w:t>
      </w:r>
      <w:r w:rsidR="00AD27B0" w:rsidRPr="004D0A2C">
        <w:rPr>
          <w:spacing w:val="-2"/>
          <w:lang w:val="fr-FR"/>
        </w:rPr>
        <w:t>n</w:t>
      </w:r>
      <w:r w:rsidR="00AD27B0" w:rsidRPr="004D0A2C">
        <w:rPr>
          <w:spacing w:val="-2"/>
          <w:vertAlign w:val="superscript"/>
          <w:lang w:val="fr-FR"/>
        </w:rPr>
        <w:t>o</w:t>
      </w:r>
      <w:r w:rsidRPr="004D0A2C">
        <w:rPr>
          <w:spacing w:val="-2"/>
          <w:vertAlign w:val="superscript"/>
          <w:lang w:val="fr-FR"/>
        </w:rPr>
        <w:t> </w:t>
      </w:r>
      <w:r w:rsidRPr="004D0A2C">
        <w:rPr>
          <w:spacing w:val="-2"/>
          <w:lang w:val="fr-FR"/>
        </w:rPr>
        <w:t>ONU 2037</w:t>
      </w:r>
      <w:r w:rsidR="009C65BB" w:rsidRPr="004D0A2C">
        <w:rPr>
          <w:spacing w:val="-2"/>
          <w:lang w:val="fr-FR"/>
        </w:rPr>
        <w:t>.</w:t>
      </w:r>
      <w:r w:rsidRPr="004D0A2C">
        <w:rPr>
          <w:spacing w:val="-2"/>
          <w:lang w:val="fr-FR"/>
        </w:rPr>
        <w:t xml:space="preserve"> Il a été convenu de reprendre l</w:t>
      </w:r>
      <w:r w:rsidR="00AD27B0" w:rsidRPr="004D0A2C">
        <w:rPr>
          <w:spacing w:val="-2"/>
          <w:lang w:val="fr-FR"/>
        </w:rPr>
        <w:t>’</w:t>
      </w:r>
      <w:r w:rsidRPr="004D0A2C">
        <w:rPr>
          <w:spacing w:val="-2"/>
          <w:lang w:val="fr-FR"/>
        </w:rPr>
        <w:t>examen de cette question à la session suivante, sur la base d</w:t>
      </w:r>
      <w:r w:rsidR="00AD27B0" w:rsidRPr="004D0A2C">
        <w:rPr>
          <w:spacing w:val="-2"/>
          <w:lang w:val="fr-FR"/>
        </w:rPr>
        <w:t>’</w:t>
      </w:r>
      <w:r w:rsidRPr="004D0A2C">
        <w:rPr>
          <w:spacing w:val="-2"/>
          <w:lang w:val="fr-FR"/>
        </w:rPr>
        <w:t>un document officiel</w:t>
      </w:r>
      <w:r w:rsidR="009C65BB" w:rsidRPr="004D0A2C">
        <w:rPr>
          <w:spacing w:val="-2"/>
          <w:lang w:val="fr-FR"/>
        </w:rPr>
        <w:t>.</w:t>
      </w:r>
    </w:p>
    <w:p w14:paraId="4B046184" w14:textId="30611D00" w:rsidR="006F26A8" w:rsidRPr="004D0A2C" w:rsidRDefault="006F26A8" w:rsidP="00FC0E0F">
      <w:pPr>
        <w:pStyle w:val="H1G"/>
        <w:rPr>
          <w:lang w:val="fr-FR"/>
        </w:rPr>
      </w:pPr>
      <w:r w:rsidRPr="004D0A2C">
        <w:rPr>
          <w:lang w:val="fr-FR"/>
        </w:rPr>
        <w:tab/>
        <w:t>J</w:t>
      </w:r>
      <w:r w:rsidR="009C65BB" w:rsidRPr="004D0A2C">
        <w:rPr>
          <w:lang w:val="fr-FR"/>
        </w:rPr>
        <w:t>.</w:t>
      </w:r>
      <w:r w:rsidRPr="004D0A2C">
        <w:rPr>
          <w:lang w:val="fr-FR"/>
        </w:rPr>
        <w:tab/>
        <w:t>Transport des liquides organiques porteurs d</w:t>
      </w:r>
      <w:r w:rsidR="00AD27B0" w:rsidRPr="004D0A2C">
        <w:rPr>
          <w:lang w:val="fr-FR"/>
        </w:rPr>
        <w:t>’</w:t>
      </w:r>
      <w:r w:rsidRPr="004D0A2C">
        <w:rPr>
          <w:lang w:val="fr-FR"/>
        </w:rPr>
        <w:t xml:space="preserve">hydrogène (LOHC) − nouvelle disposition spéciale pour le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ONU 3082</w:t>
      </w:r>
    </w:p>
    <w:p w14:paraId="021DEE75" w14:textId="24ABD256"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30 (Allemagne)</w:t>
      </w:r>
    </w:p>
    <w:p w14:paraId="5151A863" w14:textId="483775BA" w:rsidR="006F26A8" w:rsidRPr="004D0A2C" w:rsidRDefault="006F26A8" w:rsidP="00FC0E0F">
      <w:pPr>
        <w:pStyle w:val="SingleTxtG"/>
        <w:rPr>
          <w:lang w:val="fr-FR"/>
        </w:rPr>
      </w:pPr>
      <w:r w:rsidRPr="004D0A2C">
        <w:rPr>
          <w:lang w:val="fr-FR"/>
        </w:rPr>
        <w:t>48</w:t>
      </w:r>
      <w:r w:rsidR="009C65BB" w:rsidRPr="004D0A2C">
        <w:rPr>
          <w:lang w:val="fr-FR"/>
        </w:rPr>
        <w:t>.</w:t>
      </w:r>
      <w:r w:rsidRPr="004D0A2C">
        <w:rPr>
          <w:lang w:val="fr-FR"/>
        </w:rPr>
        <w:tab/>
        <w:t>Le Sous-Comité a accueilli favorablement la proposition de l</w:t>
      </w:r>
      <w:r w:rsidR="00AD27B0" w:rsidRPr="004D0A2C">
        <w:rPr>
          <w:lang w:val="fr-FR"/>
        </w:rPr>
        <w:t>’</w:t>
      </w:r>
      <w:r w:rsidRPr="004D0A2C">
        <w:rPr>
          <w:lang w:val="fr-FR"/>
        </w:rPr>
        <w:t>Allemagne et a souligné l</w:t>
      </w:r>
      <w:r w:rsidR="00AD27B0" w:rsidRPr="004D0A2C">
        <w:rPr>
          <w:lang w:val="fr-FR"/>
        </w:rPr>
        <w:t>’</w:t>
      </w:r>
      <w:r w:rsidRPr="004D0A2C">
        <w:rPr>
          <w:lang w:val="fr-FR"/>
        </w:rPr>
        <w:t>importance de la sécurité du transport de ces liquides organiques porteurs d</w:t>
      </w:r>
      <w:r w:rsidR="00AD27B0" w:rsidRPr="004D0A2C">
        <w:rPr>
          <w:lang w:val="fr-FR"/>
        </w:rPr>
        <w:t>’</w:t>
      </w:r>
      <w:r w:rsidRPr="004D0A2C">
        <w:rPr>
          <w:lang w:val="fr-FR"/>
        </w:rPr>
        <w:t>hydrogène dans le contexte de la transition vers les énergies vertes</w:t>
      </w:r>
      <w:r w:rsidR="009C65BB" w:rsidRPr="004D0A2C">
        <w:rPr>
          <w:lang w:val="fr-FR"/>
        </w:rPr>
        <w:t>.</w:t>
      </w:r>
      <w:r w:rsidRPr="004D0A2C">
        <w:rPr>
          <w:lang w:val="fr-FR"/>
        </w:rPr>
        <w:t xml:space="preserve"> Les représentants ont été invités à envoyer leurs commentaires écrits à l</w:t>
      </w:r>
      <w:r w:rsidR="00AD27B0" w:rsidRPr="004D0A2C">
        <w:rPr>
          <w:lang w:val="fr-FR"/>
        </w:rPr>
        <w:t>’</w:t>
      </w:r>
      <w:r w:rsidRPr="004D0A2C">
        <w:rPr>
          <w:lang w:val="fr-FR"/>
        </w:rPr>
        <w:t>expert de l</w:t>
      </w:r>
      <w:r w:rsidR="00AD27B0" w:rsidRPr="004D0A2C">
        <w:rPr>
          <w:lang w:val="fr-FR"/>
        </w:rPr>
        <w:t>’</w:t>
      </w:r>
      <w:r w:rsidRPr="004D0A2C">
        <w:rPr>
          <w:lang w:val="fr-FR"/>
        </w:rPr>
        <w:t xml:space="preserve">Allemagne, qui a </w:t>
      </w:r>
      <w:r w:rsidR="00F46D71" w:rsidRPr="004D0A2C">
        <w:rPr>
          <w:lang w:val="fr-FR"/>
        </w:rPr>
        <w:t>proposé</w:t>
      </w:r>
      <w:r w:rsidRPr="004D0A2C">
        <w:rPr>
          <w:lang w:val="fr-FR"/>
        </w:rPr>
        <w:t xml:space="preserve"> de se charger d</w:t>
      </w:r>
      <w:r w:rsidR="00AD27B0" w:rsidRPr="004D0A2C">
        <w:rPr>
          <w:lang w:val="fr-FR"/>
        </w:rPr>
        <w:t>’</w:t>
      </w:r>
      <w:r w:rsidRPr="004D0A2C">
        <w:rPr>
          <w:lang w:val="fr-FR"/>
        </w:rPr>
        <w:t>établir un document officiel pour examen à la session suivante</w:t>
      </w:r>
      <w:r w:rsidR="009C65BB" w:rsidRPr="004D0A2C">
        <w:rPr>
          <w:lang w:val="fr-FR"/>
        </w:rPr>
        <w:t>.</w:t>
      </w:r>
    </w:p>
    <w:p w14:paraId="44B5CC69" w14:textId="5D2F9618" w:rsidR="006F26A8" w:rsidRPr="004D0A2C" w:rsidRDefault="006F26A8" w:rsidP="00FC0E0F">
      <w:pPr>
        <w:pStyle w:val="H1G"/>
        <w:rPr>
          <w:lang w:val="fr-FR"/>
        </w:rPr>
      </w:pPr>
      <w:r w:rsidRPr="004D0A2C">
        <w:rPr>
          <w:lang w:val="fr-FR"/>
        </w:rPr>
        <w:tab/>
        <w:t>K</w:t>
      </w:r>
      <w:r w:rsidR="001B0943" w:rsidRPr="004D0A2C">
        <w:rPr>
          <w:lang w:val="fr-FR"/>
        </w:rPr>
        <w:t>.</w:t>
      </w:r>
      <w:r w:rsidRPr="004D0A2C">
        <w:rPr>
          <w:lang w:val="fr-FR"/>
        </w:rPr>
        <w:tab/>
        <w:t>Dispositions relatives au transport de petites quantités de peintures et</w:t>
      </w:r>
      <w:r w:rsidR="00FC0E0F" w:rsidRPr="004D0A2C">
        <w:rPr>
          <w:lang w:val="fr-FR"/>
        </w:rPr>
        <w:t> </w:t>
      </w:r>
      <w:r w:rsidRPr="004D0A2C">
        <w:rPr>
          <w:lang w:val="fr-FR"/>
        </w:rPr>
        <w:t>d</w:t>
      </w:r>
      <w:r w:rsidR="00AD27B0" w:rsidRPr="004D0A2C">
        <w:rPr>
          <w:lang w:val="fr-FR"/>
        </w:rPr>
        <w:t>’</w:t>
      </w:r>
      <w:r w:rsidRPr="004D0A2C">
        <w:rPr>
          <w:lang w:val="fr-FR"/>
        </w:rPr>
        <w:t>encres d</w:t>
      </w:r>
      <w:r w:rsidR="00AD27B0" w:rsidRPr="004D0A2C">
        <w:rPr>
          <w:lang w:val="fr-FR"/>
        </w:rPr>
        <w:t>’</w:t>
      </w:r>
      <w:r w:rsidRPr="004D0A2C">
        <w:rPr>
          <w:lang w:val="fr-FR"/>
        </w:rPr>
        <w:t>imprimerie dangereuses pour l</w:t>
      </w:r>
      <w:r w:rsidR="00AD27B0" w:rsidRPr="004D0A2C">
        <w:rPr>
          <w:lang w:val="fr-FR"/>
        </w:rPr>
        <w:t>’</w:t>
      </w:r>
      <w:r w:rsidRPr="004D0A2C">
        <w:rPr>
          <w:lang w:val="fr-FR"/>
        </w:rPr>
        <w:t xml:space="preserve">environnement </w:t>
      </w:r>
      <w:r w:rsidR="00FC0E0F" w:rsidRPr="004D0A2C">
        <w:rPr>
          <w:lang w:val="fr-FR"/>
        </w:rPr>
        <w:br/>
      </w:r>
      <w:r w:rsidRPr="004D0A2C">
        <w:rPr>
          <w:lang w:val="fr-FR"/>
        </w:rPr>
        <w:t>(et de matières apparentées)</w:t>
      </w:r>
    </w:p>
    <w:p w14:paraId="0D6FBEF3" w14:textId="727DB481"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11 (WCC)</w:t>
      </w:r>
    </w:p>
    <w:p w14:paraId="12FD2BD9" w14:textId="52DD2609" w:rsidR="006F26A8" w:rsidRPr="004D0A2C" w:rsidRDefault="006F26A8" w:rsidP="00FC0E0F">
      <w:pPr>
        <w:pStyle w:val="SingleTxtG"/>
        <w:rPr>
          <w:lang w:val="fr-FR"/>
        </w:rPr>
      </w:pPr>
      <w:r w:rsidRPr="004D0A2C">
        <w:rPr>
          <w:lang w:val="fr-FR"/>
        </w:rPr>
        <w:t>49</w:t>
      </w:r>
      <w:r w:rsidR="009C65BB" w:rsidRPr="004D0A2C">
        <w:rPr>
          <w:lang w:val="fr-FR"/>
        </w:rPr>
        <w:t>.</w:t>
      </w:r>
      <w:r w:rsidRPr="004D0A2C">
        <w:rPr>
          <w:lang w:val="fr-FR"/>
        </w:rPr>
        <w:tab/>
        <w:t>Le Sous-Comité a décidé de tenir une session informelle dirigée par le WCC afin d</w:t>
      </w:r>
      <w:r w:rsidR="00AD27B0" w:rsidRPr="004D0A2C">
        <w:rPr>
          <w:lang w:val="fr-FR"/>
        </w:rPr>
        <w:t>’</w:t>
      </w:r>
      <w:r w:rsidRPr="004D0A2C">
        <w:rPr>
          <w:lang w:val="fr-FR"/>
        </w:rPr>
        <w:t>examiner de manière approfondie les questions soulevées dans le document informel INF</w:t>
      </w:r>
      <w:r w:rsidR="009C65BB" w:rsidRPr="004D0A2C">
        <w:rPr>
          <w:lang w:val="fr-FR"/>
        </w:rPr>
        <w:t>.</w:t>
      </w:r>
      <w:r w:rsidRPr="004D0A2C">
        <w:rPr>
          <w:lang w:val="fr-FR"/>
        </w:rPr>
        <w:t>11</w:t>
      </w:r>
      <w:r w:rsidR="009C65BB" w:rsidRPr="004D0A2C">
        <w:rPr>
          <w:lang w:val="fr-FR"/>
        </w:rPr>
        <w:t>.</w:t>
      </w:r>
      <w:r w:rsidRPr="004D0A2C">
        <w:rPr>
          <w:lang w:val="fr-FR"/>
        </w:rPr>
        <w:t xml:space="preserve"> Au cours de cette discussion, des solutions ont été envisagées pour résoudre les problèmes de transport liés aux petits emballages de matières dangereuses pour l</w:t>
      </w:r>
      <w:r w:rsidR="00AD27B0" w:rsidRPr="004D0A2C">
        <w:rPr>
          <w:lang w:val="fr-FR"/>
        </w:rPr>
        <w:t>’</w:t>
      </w:r>
      <w:r w:rsidRPr="004D0A2C">
        <w:rPr>
          <w:lang w:val="fr-FR"/>
        </w:rPr>
        <w:t>environnement relevant de la classe 9</w:t>
      </w:r>
      <w:r w:rsidR="009C65BB" w:rsidRPr="004D0A2C">
        <w:rPr>
          <w:lang w:val="fr-FR"/>
        </w:rPr>
        <w:t>.</w:t>
      </w:r>
    </w:p>
    <w:p w14:paraId="1587E6D2" w14:textId="0275355F" w:rsidR="006F26A8" w:rsidRPr="004D0A2C" w:rsidRDefault="006F26A8" w:rsidP="00FC0E0F">
      <w:pPr>
        <w:pStyle w:val="SingleTxtG"/>
        <w:rPr>
          <w:lang w:val="fr-FR"/>
        </w:rPr>
      </w:pPr>
      <w:r w:rsidRPr="004D0A2C">
        <w:rPr>
          <w:lang w:val="fr-FR"/>
        </w:rPr>
        <w:t>50</w:t>
      </w:r>
      <w:r w:rsidR="009C65BB" w:rsidRPr="004D0A2C">
        <w:rPr>
          <w:lang w:val="fr-FR"/>
        </w:rPr>
        <w:t>.</w:t>
      </w:r>
      <w:r w:rsidRPr="004D0A2C">
        <w:rPr>
          <w:lang w:val="fr-FR"/>
        </w:rPr>
        <w:tab/>
        <w:t>Le représentant du WCC a proposé d</w:t>
      </w:r>
      <w:r w:rsidR="00AD27B0" w:rsidRPr="004D0A2C">
        <w:rPr>
          <w:lang w:val="fr-FR"/>
        </w:rPr>
        <w:t>’</w:t>
      </w:r>
      <w:r w:rsidRPr="004D0A2C">
        <w:rPr>
          <w:lang w:val="fr-FR"/>
        </w:rPr>
        <w:t>élaborer un document officiel pour la session suivante, en tenant compte des précieux commentaires formulés pendant les discussions informelles</w:t>
      </w:r>
      <w:r w:rsidR="009C65BB" w:rsidRPr="004D0A2C">
        <w:rPr>
          <w:lang w:val="fr-FR"/>
        </w:rPr>
        <w:t>.</w:t>
      </w:r>
    </w:p>
    <w:p w14:paraId="19AEC89A" w14:textId="5980E251" w:rsidR="006F26A8" w:rsidRPr="004D0A2C" w:rsidRDefault="006F26A8" w:rsidP="00BD5A78">
      <w:pPr>
        <w:pStyle w:val="H1G"/>
        <w:rPr>
          <w:lang w:val="fr-FR"/>
        </w:rPr>
      </w:pPr>
      <w:r w:rsidRPr="004D0A2C">
        <w:rPr>
          <w:lang w:val="fr-FR"/>
        </w:rPr>
        <w:tab/>
        <w:t>L</w:t>
      </w:r>
      <w:r w:rsidR="009C65BB" w:rsidRPr="004D0A2C">
        <w:rPr>
          <w:lang w:val="fr-FR"/>
        </w:rPr>
        <w:t>.</w:t>
      </w:r>
      <w:r w:rsidRPr="004D0A2C">
        <w:rPr>
          <w:lang w:val="fr-FR"/>
        </w:rPr>
        <w:tab/>
        <w:t>Ordre de prépondérance des classes</w:t>
      </w:r>
      <w:r w:rsidR="00AD27B0" w:rsidRPr="004D0A2C">
        <w:rPr>
          <w:lang w:val="fr-FR"/>
        </w:rPr>
        <w:t> :</w:t>
      </w:r>
      <w:r w:rsidRPr="004D0A2C">
        <w:rPr>
          <w:lang w:val="fr-FR"/>
        </w:rPr>
        <w:t xml:space="preserve"> corrections à apporter aux 2</w:t>
      </w:r>
      <w:r w:rsidR="009C65BB" w:rsidRPr="004D0A2C">
        <w:rPr>
          <w:lang w:val="fr-FR"/>
        </w:rPr>
        <w:t>.</w:t>
      </w:r>
      <w:r w:rsidRPr="004D0A2C">
        <w:rPr>
          <w:lang w:val="fr-FR"/>
        </w:rPr>
        <w:t>0</w:t>
      </w:r>
      <w:r w:rsidR="009C65BB" w:rsidRPr="004D0A2C">
        <w:rPr>
          <w:lang w:val="fr-FR"/>
        </w:rPr>
        <w:t>.</w:t>
      </w:r>
      <w:r w:rsidRPr="004D0A2C">
        <w:rPr>
          <w:lang w:val="fr-FR"/>
        </w:rPr>
        <w:t>3</w:t>
      </w:r>
      <w:r w:rsidR="009C65BB" w:rsidRPr="004D0A2C">
        <w:rPr>
          <w:lang w:val="fr-FR"/>
        </w:rPr>
        <w:t>.</w:t>
      </w:r>
      <w:r w:rsidRPr="004D0A2C">
        <w:rPr>
          <w:lang w:val="fr-FR"/>
        </w:rPr>
        <w:t>1 et 2</w:t>
      </w:r>
      <w:r w:rsidR="009C65BB" w:rsidRPr="004D0A2C">
        <w:rPr>
          <w:lang w:val="fr-FR"/>
        </w:rPr>
        <w:t>.</w:t>
      </w:r>
      <w:r w:rsidRPr="004D0A2C">
        <w:rPr>
          <w:lang w:val="fr-FR"/>
        </w:rPr>
        <w:t>8</w:t>
      </w:r>
      <w:r w:rsidR="009C65BB" w:rsidRPr="004D0A2C">
        <w:rPr>
          <w:lang w:val="fr-FR"/>
        </w:rPr>
        <w:t>.</w:t>
      </w:r>
      <w:r w:rsidRPr="004D0A2C">
        <w:rPr>
          <w:lang w:val="fr-FR"/>
        </w:rPr>
        <w:t>2</w:t>
      </w:r>
      <w:r w:rsidR="009C65BB" w:rsidRPr="004D0A2C">
        <w:rPr>
          <w:lang w:val="fr-FR"/>
        </w:rPr>
        <w:t>.</w:t>
      </w:r>
      <w:r w:rsidRPr="004D0A2C">
        <w:rPr>
          <w:lang w:val="fr-FR"/>
        </w:rPr>
        <w:t>4 aux fins de leur harmonisation avec le 2</w:t>
      </w:r>
      <w:r w:rsidR="009C65BB" w:rsidRPr="004D0A2C">
        <w:rPr>
          <w:lang w:val="fr-FR"/>
        </w:rPr>
        <w:t>.</w:t>
      </w:r>
      <w:r w:rsidRPr="004D0A2C">
        <w:rPr>
          <w:lang w:val="fr-FR"/>
        </w:rPr>
        <w:t>6</w:t>
      </w:r>
      <w:r w:rsidR="009C65BB" w:rsidRPr="004D0A2C">
        <w:rPr>
          <w:lang w:val="fr-FR"/>
        </w:rPr>
        <w:t>.</w:t>
      </w:r>
      <w:r w:rsidRPr="004D0A2C">
        <w:rPr>
          <w:lang w:val="fr-FR"/>
        </w:rPr>
        <w:t>2</w:t>
      </w:r>
      <w:r w:rsidR="009C65BB" w:rsidRPr="004D0A2C">
        <w:rPr>
          <w:lang w:val="fr-FR"/>
        </w:rPr>
        <w:t>.</w:t>
      </w:r>
      <w:r w:rsidRPr="004D0A2C">
        <w:rPr>
          <w:lang w:val="fr-FR"/>
        </w:rPr>
        <w:t>2</w:t>
      </w:r>
      <w:r w:rsidR="009C65BB" w:rsidRPr="004D0A2C">
        <w:rPr>
          <w:lang w:val="fr-FR"/>
        </w:rPr>
        <w:t>.</w:t>
      </w:r>
      <w:r w:rsidRPr="004D0A2C">
        <w:rPr>
          <w:lang w:val="fr-FR"/>
        </w:rPr>
        <w:t>4</w:t>
      </w:r>
      <w:r w:rsidR="009C65BB" w:rsidRPr="004D0A2C">
        <w:rPr>
          <w:lang w:val="fr-FR"/>
        </w:rPr>
        <w:t>.</w:t>
      </w:r>
      <w:r w:rsidRPr="004D0A2C">
        <w:rPr>
          <w:lang w:val="fr-FR"/>
        </w:rPr>
        <w:t>1</w:t>
      </w:r>
    </w:p>
    <w:p w14:paraId="61528C44" w14:textId="1922B4A9"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 xml:space="preserve"> </w:t>
      </w:r>
      <w:r w:rsidRPr="004D0A2C">
        <w:rPr>
          <w:lang w:val="fr-FR"/>
        </w:rPr>
        <w:tab/>
      </w:r>
      <w:hyperlink r:id="rId37" w:history="1">
        <w:r w:rsidR="004F62B2">
          <w:rPr>
            <w:rStyle w:val="Hyperlink"/>
            <w:lang w:val="fr-FR"/>
          </w:rPr>
          <w:t>ST/SG/AC.10/C.3/2023/11</w:t>
        </w:r>
      </w:hyperlink>
      <w:r w:rsidRPr="004D0A2C">
        <w:rPr>
          <w:lang w:val="fr-FR"/>
        </w:rPr>
        <w:t xml:space="preserve"> (Canada et République de Corée)</w:t>
      </w:r>
    </w:p>
    <w:p w14:paraId="36DC021E" w14:textId="32C7141A"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41 (Canada et République de Corée)</w:t>
      </w:r>
    </w:p>
    <w:p w14:paraId="314A0494" w14:textId="7BF2BC14" w:rsidR="006F26A8" w:rsidRPr="004D0A2C" w:rsidRDefault="006F26A8" w:rsidP="00BD5A78">
      <w:pPr>
        <w:pStyle w:val="SingleTxtG"/>
        <w:rPr>
          <w:lang w:val="fr-FR"/>
        </w:rPr>
      </w:pPr>
      <w:r w:rsidRPr="004D0A2C">
        <w:rPr>
          <w:lang w:val="fr-FR"/>
        </w:rPr>
        <w:t>51</w:t>
      </w:r>
      <w:r w:rsidR="009C65BB" w:rsidRPr="004D0A2C">
        <w:rPr>
          <w:lang w:val="fr-FR"/>
        </w:rPr>
        <w:t>.</w:t>
      </w:r>
      <w:r w:rsidRPr="004D0A2C">
        <w:rPr>
          <w:lang w:val="fr-FR"/>
        </w:rPr>
        <w:tab/>
        <w:t>Le Sous-Comité a adopté les amendements proposés aux paragraphes 7 à 10 du document informel INF</w:t>
      </w:r>
      <w:r w:rsidR="009C65BB" w:rsidRPr="004D0A2C">
        <w:rPr>
          <w:lang w:val="fr-FR"/>
        </w:rPr>
        <w:t>.</w:t>
      </w:r>
      <w:r w:rsidRPr="004D0A2C">
        <w:rPr>
          <w:lang w:val="fr-FR"/>
        </w:rPr>
        <w:t>41 (voir annexe I)</w:t>
      </w:r>
      <w:r w:rsidR="009C65BB" w:rsidRPr="004D0A2C">
        <w:rPr>
          <w:lang w:val="fr-FR"/>
        </w:rPr>
        <w:t>.</w:t>
      </w:r>
    </w:p>
    <w:p w14:paraId="7F9E66C5" w14:textId="1A77A8ED" w:rsidR="006F26A8" w:rsidRPr="004D0A2C" w:rsidRDefault="006F26A8" w:rsidP="00BD5A78">
      <w:pPr>
        <w:pStyle w:val="HChG"/>
        <w:rPr>
          <w:lang w:val="fr-FR"/>
        </w:rPr>
      </w:pPr>
      <w:r w:rsidRPr="004D0A2C">
        <w:rPr>
          <w:lang w:val="fr-FR"/>
        </w:rPr>
        <w:tab/>
        <w:t>VI</w:t>
      </w:r>
      <w:r w:rsidR="009C65BB" w:rsidRPr="004D0A2C">
        <w:rPr>
          <w:lang w:val="fr-FR"/>
        </w:rPr>
        <w:t>.</w:t>
      </w:r>
      <w:r w:rsidRPr="004D0A2C">
        <w:rPr>
          <w:lang w:val="fr-FR"/>
        </w:rPr>
        <w:tab/>
        <w:t>Systèmes de stockage de l</w:t>
      </w:r>
      <w:r w:rsidR="00AD27B0" w:rsidRPr="004D0A2C">
        <w:rPr>
          <w:lang w:val="fr-FR"/>
        </w:rPr>
        <w:t>’</w:t>
      </w:r>
      <w:r w:rsidRPr="004D0A2C">
        <w:rPr>
          <w:lang w:val="fr-FR"/>
        </w:rPr>
        <w:t xml:space="preserve">électricité </w:t>
      </w:r>
      <w:r w:rsidR="00BD5A78" w:rsidRPr="004D0A2C">
        <w:rPr>
          <w:lang w:val="fr-FR"/>
        </w:rPr>
        <w:br/>
      </w:r>
      <w:r w:rsidRPr="004D0A2C">
        <w:rPr>
          <w:lang w:val="fr-FR"/>
        </w:rPr>
        <w:t>(point 4 de l</w:t>
      </w:r>
      <w:r w:rsidR="00AD27B0" w:rsidRPr="004D0A2C">
        <w:rPr>
          <w:lang w:val="fr-FR"/>
        </w:rPr>
        <w:t>’</w:t>
      </w:r>
      <w:r w:rsidRPr="004D0A2C">
        <w:rPr>
          <w:lang w:val="fr-FR"/>
        </w:rPr>
        <w:t>ordre du jour)</w:t>
      </w:r>
    </w:p>
    <w:p w14:paraId="7AD99EEE" w14:textId="1D63BE34"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Épreuves pour les batteries au lithium</w:t>
      </w:r>
    </w:p>
    <w:p w14:paraId="09B30AF9" w14:textId="75D9902E"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23 (PRBA et RECHARGE)</w:t>
      </w:r>
    </w:p>
    <w:p w14:paraId="34B8A556" w14:textId="0342DBCE" w:rsidR="006F26A8" w:rsidRPr="004D0A2C" w:rsidRDefault="006F26A8" w:rsidP="00BD5A78">
      <w:pPr>
        <w:pStyle w:val="SingleTxtG"/>
        <w:rPr>
          <w:lang w:val="fr-FR"/>
        </w:rPr>
      </w:pPr>
      <w:r w:rsidRPr="004D0A2C">
        <w:rPr>
          <w:lang w:val="fr-FR"/>
        </w:rPr>
        <w:t>52</w:t>
      </w:r>
      <w:r w:rsidR="009C65BB" w:rsidRPr="004D0A2C">
        <w:rPr>
          <w:lang w:val="fr-FR"/>
        </w:rPr>
        <w:t>.</w:t>
      </w:r>
      <w:r w:rsidRPr="004D0A2C">
        <w:rPr>
          <w:lang w:val="fr-FR"/>
        </w:rPr>
        <w:tab/>
        <w:t>Le Sous-Comité a pris note des difficultés rencontrées dans la mise à l</w:t>
      </w:r>
      <w:r w:rsidR="00AD27B0" w:rsidRPr="004D0A2C">
        <w:rPr>
          <w:lang w:val="fr-FR"/>
        </w:rPr>
        <w:t>’</w:t>
      </w:r>
      <w:r w:rsidRPr="004D0A2C">
        <w:rPr>
          <w:lang w:val="fr-FR"/>
        </w:rPr>
        <w:t>épreuve des batteries au lithium-ion d</w:t>
      </w:r>
      <w:r w:rsidR="00AD27B0" w:rsidRPr="004D0A2C">
        <w:rPr>
          <w:lang w:val="fr-FR"/>
        </w:rPr>
        <w:t>’</w:t>
      </w:r>
      <w:r w:rsidRPr="004D0A2C">
        <w:rPr>
          <w:lang w:val="fr-FR"/>
        </w:rPr>
        <w:t>un nouveau type avec protection contre les courts-circuits</w:t>
      </w:r>
      <w:r w:rsidR="009C65BB" w:rsidRPr="004D0A2C">
        <w:rPr>
          <w:lang w:val="fr-FR"/>
        </w:rPr>
        <w:t>.</w:t>
      </w:r>
      <w:r w:rsidRPr="004D0A2C">
        <w:rPr>
          <w:lang w:val="fr-FR"/>
        </w:rPr>
        <w:t xml:space="preserve"> La</w:t>
      </w:r>
      <w:r w:rsidR="00A529D2" w:rsidRPr="004D0A2C">
        <w:rPr>
          <w:lang w:val="fr-FR"/>
        </w:rPr>
        <w:t> </w:t>
      </w:r>
      <w:r w:rsidRPr="004D0A2C">
        <w:rPr>
          <w:lang w:val="fr-FR"/>
        </w:rPr>
        <w:t>plupart des experts qui ont pris la parole n</w:t>
      </w:r>
      <w:r w:rsidR="00AD27B0" w:rsidRPr="004D0A2C">
        <w:rPr>
          <w:lang w:val="fr-FR"/>
        </w:rPr>
        <w:t>’</w:t>
      </w:r>
      <w:r w:rsidRPr="004D0A2C">
        <w:rPr>
          <w:lang w:val="fr-FR"/>
        </w:rPr>
        <w:t>étaient pas favorables à une exemption générale pour ces épreuves</w:t>
      </w:r>
      <w:r w:rsidR="009C65BB" w:rsidRPr="004D0A2C">
        <w:rPr>
          <w:lang w:val="fr-FR"/>
        </w:rPr>
        <w:t>.</w:t>
      </w:r>
      <w:r w:rsidRPr="004D0A2C">
        <w:rPr>
          <w:lang w:val="fr-FR"/>
        </w:rPr>
        <w:t xml:space="preserve"> À l</w:t>
      </w:r>
      <w:r w:rsidR="00AD27B0" w:rsidRPr="004D0A2C">
        <w:rPr>
          <w:lang w:val="fr-FR"/>
        </w:rPr>
        <w:t>’</w:t>
      </w:r>
      <w:r w:rsidRPr="004D0A2C">
        <w:rPr>
          <w:lang w:val="fr-FR"/>
        </w:rPr>
        <w:t>issue de la discussion, il a été convenu qu</w:t>
      </w:r>
      <w:r w:rsidR="00AD27B0" w:rsidRPr="004D0A2C">
        <w:rPr>
          <w:lang w:val="fr-FR"/>
        </w:rPr>
        <w:t>’</w:t>
      </w:r>
      <w:r w:rsidRPr="004D0A2C">
        <w:rPr>
          <w:lang w:val="fr-FR"/>
        </w:rPr>
        <w:t xml:space="preserve">il fallait opérer une </w:t>
      </w:r>
      <w:r w:rsidRPr="004D0A2C">
        <w:rPr>
          <w:lang w:val="fr-FR"/>
        </w:rPr>
        <w:lastRenderedPageBreak/>
        <w:t>distinction afin de clarifier les dispositions existantes</w:t>
      </w:r>
      <w:r w:rsidR="009C65BB" w:rsidRPr="004D0A2C">
        <w:rPr>
          <w:lang w:val="fr-FR"/>
        </w:rPr>
        <w:t>.</w:t>
      </w:r>
      <w:r w:rsidRPr="004D0A2C">
        <w:rPr>
          <w:lang w:val="fr-FR"/>
        </w:rPr>
        <w:t xml:space="preserve"> Le représentant de RECHARGE s</w:t>
      </w:r>
      <w:r w:rsidR="00AD27B0" w:rsidRPr="004D0A2C">
        <w:rPr>
          <w:lang w:val="fr-FR"/>
        </w:rPr>
        <w:t>’</w:t>
      </w:r>
      <w:r w:rsidRPr="004D0A2C">
        <w:rPr>
          <w:lang w:val="fr-FR"/>
        </w:rPr>
        <w:t>est proposé d</w:t>
      </w:r>
      <w:r w:rsidR="00AD27B0" w:rsidRPr="004D0A2C">
        <w:rPr>
          <w:lang w:val="fr-FR"/>
        </w:rPr>
        <w:t>’</w:t>
      </w:r>
      <w:r w:rsidRPr="004D0A2C">
        <w:rPr>
          <w:lang w:val="fr-FR"/>
        </w:rPr>
        <w:t>établir une nouvelle proposition tenant compte des observations reçues, pour examen à la session suivante</w:t>
      </w:r>
      <w:r w:rsidR="009C65BB" w:rsidRPr="004D0A2C">
        <w:rPr>
          <w:lang w:val="fr-FR"/>
        </w:rPr>
        <w:t>.</w:t>
      </w:r>
    </w:p>
    <w:p w14:paraId="2AAB9488" w14:textId="41081446" w:rsidR="006F26A8" w:rsidRPr="004D0A2C" w:rsidRDefault="006F26A8" w:rsidP="00BD5A78">
      <w:pPr>
        <w:pStyle w:val="H1G"/>
        <w:rPr>
          <w:lang w:val="fr-FR"/>
        </w:rPr>
      </w:pPr>
      <w:r w:rsidRPr="004D0A2C">
        <w:rPr>
          <w:lang w:val="fr-FR"/>
        </w:rPr>
        <w:tab/>
        <w:t>B</w:t>
      </w:r>
      <w:r w:rsidR="009C65BB" w:rsidRPr="004D0A2C">
        <w:rPr>
          <w:lang w:val="fr-FR"/>
        </w:rPr>
        <w:t>.</w:t>
      </w:r>
      <w:r w:rsidRPr="004D0A2C">
        <w:rPr>
          <w:lang w:val="fr-FR"/>
        </w:rPr>
        <w:tab/>
        <w:t>Système de classification des batteries au lithium en fonction du danger</w:t>
      </w:r>
    </w:p>
    <w:p w14:paraId="136DF967" w14:textId="59BD2D13"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14 (France et RECHARGE)</w:t>
      </w:r>
    </w:p>
    <w:p w14:paraId="7D05AFA4" w14:textId="76CF6D8C" w:rsidR="006F26A8" w:rsidRPr="004D0A2C" w:rsidRDefault="006F26A8" w:rsidP="00A529D2">
      <w:pPr>
        <w:pStyle w:val="SingleTxtG"/>
        <w:keepLines/>
        <w:rPr>
          <w:lang w:val="fr-FR"/>
        </w:rPr>
      </w:pPr>
      <w:r w:rsidRPr="004D0A2C">
        <w:rPr>
          <w:lang w:val="fr-FR"/>
        </w:rPr>
        <w:t>53</w:t>
      </w:r>
      <w:r w:rsidR="009C65BB" w:rsidRPr="004D0A2C">
        <w:rPr>
          <w:lang w:val="fr-FR"/>
        </w:rPr>
        <w:t>.</w:t>
      </w:r>
      <w:r w:rsidRPr="004D0A2C">
        <w:rPr>
          <w:lang w:val="fr-FR"/>
        </w:rPr>
        <w:tab/>
        <w:t>Le Sous-Comité s</w:t>
      </w:r>
      <w:r w:rsidR="00AD27B0" w:rsidRPr="004D0A2C">
        <w:rPr>
          <w:lang w:val="fr-FR"/>
        </w:rPr>
        <w:t>’</w:t>
      </w:r>
      <w:r w:rsidRPr="004D0A2C">
        <w:rPr>
          <w:lang w:val="fr-FR"/>
        </w:rPr>
        <w:t>est félicité des progrès réalisés à la récente réunion du groupe de travail informel du classement des piles et batteries au lithium en fonction du danger</w:t>
      </w:r>
      <w:r w:rsidR="009C65BB" w:rsidRPr="004D0A2C">
        <w:rPr>
          <w:lang w:val="fr-FR"/>
        </w:rPr>
        <w:t>.</w:t>
      </w:r>
      <w:r w:rsidRPr="004D0A2C">
        <w:rPr>
          <w:lang w:val="fr-FR"/>
        </w:rPr>
        <w:t xml:space="preserve"> Les</w:t>
      </w:r>
      <w:r w:rsidR="00A529D2" w:rsidRPr="004D0A2C">
        <w:rPr>
          <w:lang w:val="fr-FR"/>
        </w:rPr>
        <w:t> </w:t>
      </w:r>
      <w:r w:rsidRPr="004D0A2C">
        <w:rPr>
          <w:lang w:val="fr-FR"/>
        </w:rPr>
        <w:t>principes proposés dans le document informel INF</w:t>
      </w:r>
      <w:r w:rsidR="009C65BB" w:rsidRPr="004D0A2C">
        <w:rPr>
          <w:lang w:val="fr-FR"/>
        </w:rPr>
        <w:t>.</w:t>
      </w:r>
      <w:r w:rsidRPr="004D0A2C">
        <w:rPr>
          <w:lang w:val="fr-FR"/>
        </w:rPr>
        <w:t>14 ont été approuvés et il a été recommandé de procéder en deux étapes</w:t>
      </w:r>
      <w:r w:rsidR="00AD27B0" w:rsidRPr="004D0A2C">
        <w:rPr>
          <w:lang w:val="fr-FR"/>
        </w:rPr>
        <w:t> :</w:t>
      </w:r>
    </w:p>
    <w:p w14:paraId="5E3034DE" w14:textId="2638F0F3" w:rsidR="006F26A8" w:rsidRPr="004D0A2C" w:rsidRDefault="006F26A8" w:rsidP="007B489B">
      <w:pPr>
        <w:pStyle w:val="SingleTxtG"/>
        <w:ind w:firstLine="567"/>
        <w:rPr>
          <w:lang w:val="fr-FR"/>
        </w:rPr>
      </w:pPr>
      <w:r w:rsidRPr="004D0A2C">
        <w:rPr>
          <w:lang w:val="fr-FR"/>
        </w:rPr>
        <w:t>a)</w:t>
      </w:r>
      <w:r w:rsidRPr="004D0A2C">
        <w:rPr>
          <w:lang w:val="fr-FR"/>
        </w:rPr>
        <w:tab/>
        <w:t>Mettre la dernière main au classement des dangers (Règlement type) et au protocole d</w:t>
      </w:r>
      <w:r w:rsidR="00AD27B0" w:rsidRPr="004D0A2C">
        <w:rPr>
          <w:lang w:val="fr-FR"/>
        </w:rPr>
        <w:t>’</w:t>
      </w:r>
      <w:r w:rsidRPr="004D0A2C">
        <w:rPr>
          <w:lang w:val="fr-FR"/>
        </w:rPr>
        <w:t>essai (Manuel d</w:t>
      </w:r>
      <w:r w:rsidR="00AD27B0" w:rsidRPr="004D0A2C">
        <w:rPr>
          <w:lang w:val="fr-FR"/>
        </w:rPr>
        <w:t>’</w:t>
      </w:r>
      <w:r w:rsidRPr="004D0A2C">
        <w:rPr>
          <w:lang w:val="fr-FR"/>
        </w:rPr>
        <w:t>épreuves et de critères), y compris la rédaction des amendements correspondants</w:t>
      </w:r>
      <w:r w:rsidR="00AD27B0" w:rsidRPr="004D0A2C">
        <w:rPr>
          <w:lang w:val="fr-FR"/>
        </w:rPr>
        <w:t> ;</w:t>
      </w:r>
    </w:p>
    <w:p w14:paraId="7A690016" w14:textId="415DD738" w:rsidR="006F26A8" w:rsidRPr="004D0A2C" w:rsidRDefault="006F26A8" w:rsidP="007B489B">
      <w:pPr>
        <w:pStyle w:val="SingleTxtG"/>
        <w:ind w:firstLine="567"/>
        <w:rPr>
          <w:lang w:val="fr-FR"/>
        </w:rPr>
      </w:pPr>
      <w:r w:rsidRPr="004D0A2C">
        <w:rPr>
          <w:lang w:val="fr-FR"/>
        </w:rPr>
        <w:t>b)</w:t>
      </w:r>
      <w:r w:rsidRPr="004D0A2C">
        <w:rPr>
          <w:lang w:val="fr-FR"/>
        </w:rPr>
        <w:tab/>
        <w:t>Définir les conditions de transport pour chaque catégorie de danger, en tenant compte de l</w:t>
      </w:r>
      <w:r w:rsidR="00AD27B0" w:rsidRPr="004D0A2C">
        <w:rPr>
          <w:lang w:val="fr-FR"/>
        </w:rPr>
        <w:t>’</w:t>
      </w:r>
      <w:r w:rsidRPr="004D0A2C">
        <w:rPr>
          <w:lang w:val="fr-FR"/>
        </w:rPr>
        <w:t>évaluation à un niveau de charge peu élevé et des conditions liées aux emballages</w:t>
      </w:r>
      <w:r w:rsidR="009C65BB" w:rsidRPr="004D0A2C">
        <w:rPr>
          <w:lang w:val="fr-FR"/>
        </w:rPr>
        <w:t>.</w:t>
      </w:r>
    </w:p>
    <w:p w14:paraId="29354B39" w14:textId="37577C2D" w:rsidR="006F26A8" w:rsidRPr="004D0A2C" w:rsidRDefault="006F26A8" w:rsidP="00BD5A78">
      <w:pPr>
        <w:pStyle w:val="SingleTxtG"/>
        <w:rPr>
          <w:lang w:val="fr-FR"/>
        </w:rPr>
      </w:pPr>
      <w:r w:rsidRPr="004D0A2C">
        <w:rPr>
          <w:lang w:val="fr-FR"/>
        </w:rPr>
        <w:t>54</w:t>
      </w:r>
      <w:r w:rsidR="009C65BB" w:rsidRPr="004D0A2C">
        <w:rPr>
          <w:lang w:val="fr-FR"/>
        </w:rPr>
        <w:t>.</w:t>
      </w:r>
      <w:r w:rsidRPr="004D0A2C">
        <w:rPr>
          <w:lang w:val="fr-FR"/>
        </w:rPr>
        <w:tab/>
        <w:t>Enfin, le Sous-Comité a décidé d</w:t>
      </w:r>
      <w:r w:rsidR="00AD27B0" w:rsidRPr="004D0A2C">
        <w:rPr>
          <w:lang w:val="fr-FR"/>
        </w:rPr>
        <w:t>’</w:t>
      </w:r>
      <w:r w:rsidRPr="004D0A2C">
        <w:rPr>
          <w:lang w:val="fr-FR"/>
        </w:rPr>
        <w:t>élargir en conséquence le mandat du groupe de travail informel (voir par</w:t>
      </w:r>
      <w:r w:rsidR="009C65BB" w:rsidRPr="004D0A2C">
        <w:rPr>
          <w:lang w:val="fr-FR"/>
        </w:rPr>
        <w:t>.</w:t>
      </w:r>
      <w:r w:rsidRPr="004D0A2C">
        <w:rPr>
          <w:lang w:val="fr-FR"/>
        </w:rPr>
        <w:t>53 b) ci-dessus)</w:t>
      </w:r>
      <w:r w:rsidR="009C65BB" w:rsidRPr="004D0A2C">
        <w:rPr>
          <w:lang w:val="fr-FR"/>
        </w:rPr>
        <w:t>.</w:t>
      </w:r>
      <w:r w:rsidRPr="004D0A2C">
        <w:rPr>
          <w:lang w:val="fr-FR"/>
        </w:rPr>
        <w:t xml:space="preserve"> Le Président du groupe de travail informel a annoncé que celui-ci se réunirait à nouveau après la session de décembre du Sous-Comité (6</w:t>
      </w:r>
      <w:r w:rsidR="00764FC8" w:rsidRPr="004D0A2C">
        <w:rPr>
          <w:lang w:val="fr-FR"/>
        </w:rPr>
        <w:noBreakHyphen/>
      </w:r>
      <w:r w:rsidRPr="004D0A2C">
        <w:rPr>
          <w:lang w:val="fr-FR"/>
        </w:rPr>
        <w:t>8 décembre 2023)</w:t>
      </w:r>
      <w:r w:rsidR="009C65BB" w:rsidRPr="004D0A2C">
        <w:rPr>
          <w:lang w:val="fr-FR"/>
        </w:rPr>
        <w:t>.</w:t>
      </w:r>
    </w:p>
    <w:p w14:paraId="7C938DAA" w14:textId="698E2521" w:rsidR="006F26A8" w:rsidRPr="004D0A2C" w:rsidRDefault="006F26A8" w:rsidP="00BD5A78">
      <w:pPr>
        <w:pStyle w:val="H1G"/>
        <w:rPr>
          <w:lang w:val="fr-FR"/>
        </w:rPr>
      </w:pPr>
      <w:r w:rsidRPr="004D0A2C">
        <w:rPr>
          <w:lang w:val="fr-FR"/>
        </w:rPr>
        <w:tab/>
        <w:t>C</w:t>
      </w:r>
      <w:r w:rsidR="009C65BB" w:rsidRPr="004D0A2C">
        <w:rPr>
          <w:lang w:val="fr-FR"/>
        </w:rPr>
        <w:t>.</w:t>
      </w:r>
      <w:r w:rsidRPr="004D0A2C">
        <w:rPr>
          <w:lang w:val="fr-FR"/>
        </w:rPr>
        <w:tab/>
        <w:t>Dispositions relatives au transport</w:t>
      </w:r>
    </w:p>
    <w:p w14:paraId="43AEA94B" w14:textId="07C47CBA" w:rsidR="006F26A8" w:rsidRPr="004D0A2C" w:rsidRDefault="006F26A8" w:rsidP="00BD5A78">
      <w:pPr>
        <w:pStyle w:val="H23G"/>
        <w:rPr>
          <w:lang w:val="fr-FR"/>
        </w:rPr>
      </w:pPr>
      <w:r w:rsidRPr="004D0A2C">
        <w:rPr>
          <w:lang w:val="fr-FR"/>
        </w:rPr>
        <w:tab/>
        <w:t>1</w:t>
      </w:r>
      <w:r w:rsidR="009C65BB" w:rsidRPr="004D0A2C">
        <w:rPr>
          <w:lang w:val="fr-FR"/>
        </w:rPr>
        <w:t>.</w:t>
      </w:r>
      <w:r w:rsidRPr="004D0A2C">
        <w:rPr>
          <w:lang w:val="fr-FR"/>
        </w:rPr>
        <w:tab/>
        <w:t>Modifications à apporter à la disposition spéciale 384 du Règlement type</w:t>
      </w:r>
    </w:p>
    <w:p w14:paraId="1EA189E0" w14:textId="720917C6"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38" w:history="1">
        <w:r w:rsidR="004F62B2">
          <w:rPr>
            <w:rStyle w:val="Hyperlink"/>
            <w:lang w:val="fr-FR"/>
          </w:rPr>
          <w:t>ST/SG/AC.10/C.3/2023/8</w:t>
        </w:r>
      </w:hyperlink>
      <w:r w:rsidRPr="004D0A2C">
        <w:rPr>
          <w:lang w:val="fr-FR"/>
        </w:rPr>
        <w:t xml:space="preserve"> (Chine)</w:t>
      </w:r>
    </w:p>
    <w:p w14:paraId="363311DE" w14:textId="00437239" w:rsidR="006F26A8" w:rsidRPr="004D0A2C" w:rsidRDefault="006F26A8" w:rsidP="00BD5A78">
      <w:pPr>
        <w:pStyle w:val="SingleTxtG"/>
        <w:rPr>
          <w:lang w:val="fr-FR"/>
        </w:rPr>
      </w:pPr>
      <w:r w:rsidRPr="004D0A2C">
        <w:rPr>
          <w:lang w:val="fr-FR"/>
        </w:rPr>
        <w:t>55</w:t>
      </w:r>
      <w:r w:rsidR="009C65BB" w:rsidRPr="004D0A2C">
        <w:rPr>
          <w:lang w:val="fr-FR"/>
        </w:rPr>
        <w:t>.</w:t>
      </w:r>
      <w:r w:rsidRPr="004D0A2C">
        <w:rPr>
          <w:lang w:val="fr-FR"/>
        </w:rPr>
        <w:tab/>
        <w:t>Le Sous-Comité a pris acte du fait que la proposition de la Chine visait à améliorer la communication d</w:t>
      </w:r>
      <w:r w:rsidR="00AD27B0" w:rsidRPr="004D0A2C">
        <w:rPr>
          <w:lang w:val="fr-FR"/>
        </w:rPr>
        <w:t>’</w:t>
      </w:r>
      <w:r w:rsidRPr="004D0A2C">
        <w:rPr>
          <w:lang w:val="fr-FR"/>
        </w:rPr>
        <w:t>informations relatives aux dangers</w:t>
      </w:r>
      <w:r w:rsidR="009C65BB" w:rsidRPr="004D0A2C">
        <w:rPr>
          <w:lang w:val="fr-FR"/>
        </w:rPr>
        <w:t>.</w:t>
      </w:r>
      <w:r w:rsidRPr="004D0A2C">
        <w:rPr>
          <w:lang w:val="fr-FR"/>
        </w:rPr>
        <w:t xml:space="preserve"> Un expert a appuyé les amendements proposés au point a) du document </w:t>
      </w:r>
      <w:hyperlink r:id="rId39" w:history="1">
        <w:r w:rsidR="004F62B2">
          <w:rPr>
            <w:rStyle w:val="Hyperlink"/>
            <w:lang w:val="fr-FR"/>
          </w:rPr>
          <w:t>ST/SG/AC.10/C.3/2023/8</w:t>
        </w:r>
      </w:hyperlink>
      <w:r w:rsidR="009C65BB" w:rsidRPr="004D0A2C">
        <w:rPr>
          <w:lang w:val="fr-FR"/>
        </w:rPr>
        <w:t>.</w:t>
      </w:r>
      <w:r w:rsidRPr="004D0A2C">
        <w:rPr>
          <w:lang w:val="fr-FR"/>
        </w:rPr>
        <w:t xml:space="preserve"> Toutefois, la plupart des experts n</w:t>
      </w:r>
      <w:r w:rsidR="00AD27B0" w:rsidRPr="004D0A2C">
        <w:rPr>
          <w:lang w:val="fr-FR"/>
        </w:rPr>
        <w:t>’</w:t>
      </w:r>
      <w:r w:rsidRPr="004D0A2C">
        <w:rPr>
          <w:lang w:val="fr-FR"/>
        </w:rPr>
        <w:t>ont pas appuyé la proposition en l</w:t>
      </w:r>
      <w:r w:rsidR="00AD27B0" w:rsidRPr="004D0A2C">
        <w:rPr>
          <w:lang w:val="fr-FR"/>
        </w:rPr>
        <w:t>’</w:t>
      </w:r>
      <w:r w:rsidRPr="004D0A2C">
        <w:rPr>
          <w:lang w:val="fr-FR"/>
        </w:rPr>
        <w:t>état</w:t>
      </w:r>
      <w:r w:rsidR="009C65BB" w:rsidRPr="004D0A2C">
        <w:rPr>
          <w:lang w:val="fr-FR"/>
        </w:rPr>
        <w:t>.</w:t>
      </w:r>
      <w:r w:rsidRPr="004D0A2C">
        <w:rPr>
          <w:lang w:val="fr-FR"/>
        </w:rPr>
        <w:t xml:space="preserve"> L</w:t>
      </w:r>
      <w:r w:rsidR="00AD27B0" w:rsidRPr="004D0A2C">
        <w:rPr>
          <w:lang w:val="fr-FR"/>
        </w:rPr>
        <w:t>’</w:t>
      </w:r>
      <w:r w:rsidRPr="004D0A2C">
        <w:rPr>
          <w:lang w:val="fr-FR"/>
        </w:rPr>
        <w:t>expert de la Chine a proposé d</w:t>
      </w:r>
      <w:r w:rsidR="00AD27B0" w:rsidRPr="004D0A2C">
        <w:rPr>
          <w:lang w:val="fr-FR"/>
        </w:rPr>
        <w:t>’</w:t>
      </w:r>
      <w:r w:rsidRPr="004D0A2C">
        <w:rPr>
          <w:lang w:val="fr-FR"/>
        </w:rPr>
        <w:t>établir une version révisée des dispositions relatives à l</w:t>
      </w:r>
      <w:r w:rsidR="00AD27B0" w:rsidRPr="004D0A2C">
        <w:rPr>
          <w:lang w:val="fr-FR"/>
        </w:rPr>
        <w:t>’</w:t>
      </w:r>
      <w:r w:rsidRPr="004D0A2C">
        <w:rPr>
          <w:lang w:val="fr-FR"/>
        </w:rPr>
        <w:t>étiquetage pour examen à la session suivante</w:t>
      </w:r>
      <w:r w:rsidR="009C65BB" w:rsidRPr="004D0A2C">
        <w:rPr>
          <w:lang w:val="fr-FR"/>
        </w:rPr>
        <w:t>.</w:t>
      </w:r>
    </w:p>
    <w:p w14:paraId="60415407" w14:textId="515F3568" w:rsidR="006F26A8" w:rsidRPr="004D0A2C" w:rsidRDefault="006F26A8" w:rsidP="00BD5A78">
      <w:pPr>
        <w:pStyle w:val="H23G"/>
        <w:rPr>
          <w:lang w:val="fr-FR"/>
        </w:rPr>
      </w:pPr>
      <w:r w:rsidRPr="004D0A2C">
        <w:rPr>
          <w:lang w:val="fr-FR"/>
        </w:rPr>
        <w:tab/>
        <w:t>2</w:t>
      </w:r>
      <w:r w:rsidR="009C65BB" w:rsidRPr="004D0A2C">
        <w:rPr>
          <w:lang w:val="fr-FR"/>
        </w:rPr>
        <w:t>.</w:t>
      </w:r>
      <w:r w:rsidRPr="004D0A2C">
        <w:rPr>
          <w:lang w:val="fr-FR"/>
        </w:rPr>
        <w:tab/>
        <w:t>Proposition visant à apposer la marque pour les batteries au lithium sur la même surface du colis que les étiquettes de danger</w:t>
      </w:r>
    </w:p>
    <w:p w14:paraId="45417D57" w14:textId="20DE1DA7"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0" w:history="1">
        <w:r w:rsidR="004F62B2">
          <w:rPr>
            <w:rStyle w:val="Hyperlink"/>
            <w:lang w:val="fr-FR"/>
          </w:rPr>
          <w:t>ST/SG/AC.10/C.3/2023/10</w:t>
        </w:r>
      </w:hyperlink>
      <w:r w:rsidRPr="004D0A2C">
        <w:rPr>
          <w:lang w:val="fr-FR"/>
        </w:rPr>
        <w:t xml:space="preserve"> (Chine)</w:t>
      </w:r>
    </w:p>
    <w:p w14:paraId="7C72428D" w14:textId="3651E266" w:rsidR="006F26A8" w:rsidRPr="004D0A2C" w:rsidRDefault="006F26A8" w:rsidP="00BD5A78">
      <w:pPr>
        <w:pStyle w:val="SingleTxtG"/>
        <w:rPr>
          <w:lang w:val="fr-FR"/>
        </w:rPr>
      </w:pPr>
      <w:r w:rsidRPr="004D0A2C">
        <w:rPr>
          <w:lang w:val="fr-FR"/>
        </w:rPr>
        <w:t>56</w:t>
      </w:r>
      <w:r w:rsidR="009C65BB" w:rsidRPr="004D0A2C">
        <w:rPr>
          <w:lang w:val="fr-FR"/>
        </w:rPr>
        <w:t>.</w:t>
      </w:r>
      <w:r w:rsidRPr="004D0A2C">
        <w:rPr>
          <w:lang w:val="fr-FR"/>
        </w:rPr>
        <w:tab/>
        <w:t>Certains experts ont apporté leur soutien de principe à la proposition</w:t>
      </w:r>
      <w:r w:rsidR="0096577C" w:rsidRPr="004D0A2C">
        <w:rPr>
          <w:lang w:val="fr-FR"/>
        </w:rPr>
        <w:t>,</w:t>
      </w:r>
      <w:r w:rsidRPr="004D0A2C">
        <w:rPr>
          <w:lang w:val="fr-FR"/>
        </w:rPr>
        <w:t xml:space="preserve"> mais jugeaient préférable d</w:t>
      </w:r>
      <w:r w:rsidR="00AD27B0" w:rsidRPr="004D0A2C">
        <w:rPr>
          <w:lang w:val="fr-FR"/>
        </w:rPr>
        <w:t>’</w:t>
      </w:r>
      <w:r w:rsidRPr="004D0A2C">
        <w:rPr>
          <w:lang w:val="fr-FR"/>
        </w:rPr>
        <w:t>inclure le libellé de la note dans les dispositions elles-mêmes</w:t>
      </w:r>
      <w:r w:rsidR="009C65BB" w:rsidRPr="004D0A2C">
        <w:rPr>
          <w:lang w:val="fr-FR"/>
        </w:rPr>
        <w:t>.</w:t>
      </w:r>
      <w:r w:rsidRPr="004D0A2C">
        <w:rPr>
          <w:lang w:val="fr-FR"/>
        </w:rPr>
        <w:t xml:space="preserve"> D</w:t>
      </w:r>
      <w:r w:rsidR="00AD27B0" w:rsidRPr="004D0A2C">
        <w:rPr>
          <w:lang w:val="fr-FR"/>
        </w:rPr>
        <w:t>’</w:t>
      </w:r>
      <w:r w:rsidRPr="004D0A2C">
        <w:rPr>
          <w:lang w:val="fr-FR"/>
        </w:rPr>
        <w:t>autres hésitaient à adopter dès à présent le texte tel qu</w:t>
      </w:r>
      <w:r w:rsidR="00AD27B0" w:rsidRPr="004D0A2C">
        <w:rPr>
          <w:lang w:val="fr-FR"/>
        </w:rPr>
        <w:t>’</w:t>
      </w:r>
      <w:r w:rsidRPr="004D0A2C">
        <w:rPr>
          <w:lang w:val="fr-FR"/>
        </w:rPr>
        <w:t>il était proposé et auraient préféré l</w:t>
      </w:r>
      <w:r w:rsidR="00AD27B0" w:rsidRPr="004D0A2C">
        <w:rPr>
          <w:lang w:val="fr-FR"/>
        </w:rPr>
        <w:t>’</w:t>
      </w:r>
      <w:r w:rsidRPr="004D0A2C">
        <w:rPr>
          <w:lang w:val="fr-FR"/>
        </w:rPr>
        <w:t>étudier plus en détail</w:t>
      </w:r>
      <w:r w:rsidR="009C65BB" w:rsidRPr="004D0A2C">
        <w:rPr>
          <w:lang w:val="fr-FR"/>
        </w:rPr>
        <w:t>.</w:t>
      </w:r>
      <w:r w:rsidRPr="004D0A2C">
        <w:rPr>
          <w:lang w:val="fr-FR"/>
        </w:rPr>
        <w:t xml:space="preserve"> L</w:t>
      </w:r>
      <w:r w:rsidR="00AD27B0" w:rsidRPr="004D0A2C">
        <w:rPr>
          <w:lang w:val="fr-FR"/>
        </w:rPr>
        <w:t>’</w:t>
      </w:r>
      <w:r w:rsidRPr="004D0A2C">
        <w:rPr>
          <w:lang w:val="fr-FR"/>
        </w:rPr>
        <w:t>expert de la Chine a proposé de revoir sa proposition et d</w:t>
      </w:r>
      <w:r w:rsidR="00AD27B0" w:rsidRPr="004D0A2C">
        <w:rPr>
          <w:lang w:val="fr-FR"/>
        </w:rPr>
        <w:t>’</w:t>
      </w:r>
      <w:r w:rsidRPr="004D0A2C">
        <w:rPr>
          <w:lang w:val="fr-FR"/>
        </w:rPr>
        <w:t>en soumettre une nouvelle à la session suivante</w:t>
      </w:r>
      <w:r w:rsidR="009C65BB" w:rsidRPr="004D0A2C">
        <w:rPr>
          <w:lang w:val="fr-FR"/>
        </w:rPr>
        <w:t>.</w:t>
      </w:r>
    </w:p>
    <w:p w14:paraId="46701428" w14:textId="5813F753" w:rsidR="006F26A8" w:rsidRPr="004D0A2C" w:rsidRDefault="006F26A8" w:rsidP="00BD5A78">
      <w:pPr>
        <w:pStyle w:val="H23G"/>
        <w:rPr>
          <w:lang w:val="fr-FR"/>
        </w:rPr>
      </w:pPr>
      <w:r w:rsidRPr="004D0A2C">
        <w:rPr>
          <w:lang w:val="fr-FR"/>
        </w:rPr>
        <w:tab/>
        <w:t>3</w:t>
      </w:r>
      <w:r w:rsidR="009C65BB" w:rsidRPr="004D0A2C">
        <w:rPr>
          <w:lang w:val="fr-FR"/>
        </w:rPr>
        <w:t>.</w:t>
      </w:r>
      <w:r w:rsidRPr="004D0A2C">
        <w:rPr>
          <w:lang w:val="fr-FR"/>
        </w:rPr>
        <w:tab/>
        <w:t>Questions à examiner concernant les dispositifs médicaux alimentés par des piles ou</w:t>
      </w:r>
      <w:r w:rsidR="00BD5A78" w:rsidRPr="004D0A2C">
        <w:rPr>
          <w:lang w:val="fr-FR"/>
        </w:rPr>
        <w:t> </w:t>
      </w:r>
      <w:r w:rsidRPr="004D0A2C">
        <w:rPr>
          <w:lang w:val="fr-FR"/>
        </w:rPr>
        <w:t>batteries au lithium</w:t>
      </w:r>
    </w:p>
    <w:p w14:paraId="54C222F7" w14:textId="5427047C"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1" w:history="1">
        <w:r w:rsidR="004F62B2">
          <w:rPr>
            <w:rStyle w:val="Hyperlink"/>
            <w:lang w:val="fr-FR"/>
          </w:rPr>
          <w:t>ST/SG/AC.10/C.3/2023/15</w:t>
        </w:r>
      </w:hyperlink>
      <w:r w:rsidRPr="004D0A2C">
        <w:rPr>
          <w:lang w:val="fr-FR"/>
        </w:rPr>
        <w:t xml:space="preserve"> (MDTC)</w:t>
      </w:r>
    </w:p>
    <w:p w14:paraId="36C42ECE" w14:textId="75705F73" w:rsidR="006F26A8" w:rsidRPr="004D0A2C" w:rsidRDefault="006F26A8" w:rsidP="00BD5A78">
      <w:pPr>
        <w:pStyle w:val="SingleTxtG"/>
        <w:rPr>
          <w:lang w:val="fr-FR"/>
        </w:rPr>
      </w:pPr>
      <w:r w:rsidRPr="004D0A2C">
        <w:rPr>
          <w:lang w:val="fr-FR"/>
        </w:rPr>
        <w:t>57</w:t>
      </w:r>
      <w:r w:rsidR="009C65BB" w:rsidRPr="004D0A2C">
        <w:rPr>
          <w:lang w:val="fr-FR"/>
        </w:rPr>
        <w:t>.</w:t>
      </w:r>
      <w:r w:rsidRPr="004D0A2C">
        <w:rPr>
          <w:lang w:val="fr-FR"/>
        </w:rPr>
        <w:tab/>
        <w:t>Le Sous-Comité a constaté que les avis concernant les amendements proposés étaient partagés</w:t>
      </w:r>
      <w:r w:rsidR="009C65BB" w:rsidRPr="004D0A2C">
        <w:rPr>
          <w:lang w:val="fr-FR"/>
        </w:rPr>
        <w:t>.</w:t>
      </w:r>
      <w:r w:rsidRPr="004D0A2C">
        <w:rPr>
          <w:lang w:val="fr-FR"/>
        </w:rPr>
        <w:t xml:space="preserve"> Si certains experts approuvaient l</w:t>
      </w:r>
      <w:r w:rsidR="00AD27B0" w:rsidRPr="004D0A2C">
        <w:rPr>
          <w:lang w:val="fr-FR"/>
        </w:rPr>
        <w:t>’</w:t>
      </w:r>
      <w:r w:rsidRPr="004D0A2C">
        <w:rPr>
          <w:lang w:val="fr-FR"/>
        </w:rPr>
        <w:t>objectif du document dans son principe, d</w:t>
      </w:r>
      <w:r w:rsidR="00AD27B0" w:rsidRPr="004D0A2C">
        <w:rPr>
          <w:lang w:val="fr-FR"/>
        </w:rPr>
        <w:t>’</w:t>
      </w:r>
      <w:r w:rsidRPr="004D0A2C">
        <w:rPr>
          <w:lang w:val="fr-FR"/>
        </w:rPr>
        <w:t>autres ont estimé qu</w:t>
      </w:r>
      <w:r w:rsidR="00AD27B0" w:rsidRPr="004D0A2C">
        <w:rPr>
          <w:lang w:val="fr-FR"/>
        </w:rPr>
        <w:t>’</w:t>
      </w:r>
      <w:r w:rsidRPr="004D0A2C">
        <w:rPr>
          <w:lang w:val="fr-FR"/>
        </w:rPr>
        <w:t>il serait plus approprié d</w:t>
      </w:r>
      <w:r w:rsidR="00AD27B0" w:rsidRPr="004D0A2C">
        <w:rPr>
          <w:lang w:val="fr-FR"/>
        </w:rPr>
        <w:t>’</w:t>
      </w:r>
      <w:r w:rsidRPr="004D0A2C">
        <w:rPr>
          <w:lang w:val="fr-FR"/>
        </w:rPr>
        <w:t>adopter une disposition spéciale plutôt que de créer de nouveaux numéros ONU</w:t>
      </w:r>
      <w:r w:rsidR="009C65BB" w:rsidRPr="004D0A2C">
        <w:rPr>
          <w:lang w:val="fr-FR"/>
        </w:rPr>
        <w:t>.</w:t>
      </w:r>
      <w:r w:rsidRPr="004D0A2C">
        <w:rPr>
          <w:lang w:val="fr-FR"/>
        </w:rPr>
        <w:t xml:space="preserve"> La plupart des experts ont toutefois estimé que la définition de «</w:t>
      </w:r>
      <w:r w:rsidR="001E550E" w:rsidRPr="004D0A2C">
        <w:rPr>
          <w:lang w:val="fr-FR"/>
        </w:rPr>
        <w:t> </w:t>
      </w:r>
      <w:r w:rsidRPr="004D0A2C">
        <w:rPr>
          <w:lang w:val="fr-FR"/>
        </w:rPr>
        <w:t>dispositif médical</w:t>
      </w:r>
      <w:r w:rsidR="001E550E" w:rsidRPr="004D0A2C">
        <w:rPr>
          <w:lang w:val="fr-FR"/>
        </w:rPr>
        <w:t> </w:t>
      </w:r>
      <w:r w:rsidRPr="004D0A2C">
        <w:rPr>
          <w:lang w:val="fr-FR"/>
        </w:rPr>
        <w:t xml:space="preserve">» proposée au paragraphe 17 du document </w:t>
      </w:r>
      <w:hyperlink r:id="rId42" w:history="1">
        <w:r w:rsidR="004F62B2">
          <w:rPr>
            <w:rStyle w:val="Hyperlink"/>
            <w:lang w:val="fr-FR"/>
          </w:rPr>
          <w:t>ST/SG/AC.10/C.3/2023/15</w:t>
        </w:r>
      </w:hyperlink>
      <w:r w:rsidRPr="004D0A2C">
        <w:rPr>
          <w:lang w:val="fr-FR"/>
        </w:rPr>
        <w:t xml:space="preserve"> était beaucoup trop large et qu</w:t>
      </w:r>
      <w:r w:rsidR="00AD27B0" w:rsidRPr="004D0A2C">
        <w:rPr>
          <w:lang w:val="fr-FR"/>
        </w:rPr>
        <w:t>’</w:t>
      </w:r>
      <w:r w:rsidRPr="004D0A2C">
        <w:rPr>
          <w:lang w:val="fr-FR"/>
        </w:rPr>
        <w:t>un amendement au Règlement type n</w:t>
      </w:r>
      <w:r w:rsidR="00AD27B0" w:rsidRPr="004D0A2C">
        <w:rPr>
          <w:lang w:val="fr-FR"/>
        </w:rPr>
        <w:t>’</w:t>
      </w:r>
      <w:r w:rsidRPr="004D0A2C">
        <w:rPr>
          <w:lang w:val="fr-FR"/>
        </w:rPr>
        <w:t>était pas justifié, étant donné que la nécessité d</w:t>
      </w:r>
      <w:r w:rsidR="00AD27B0" w:rsidRPr="004D0A2C">
        <w:rPr>
          <w:lang w:val="fr-FR"/>
        </w:rPr>
        <w:t>’</w:t>
      </w:r>
      <w:r w:rsidRPr="004D0A2C">
        <w:rPr>
          <w:lang w:val="fr-FR"/>
        </w:rPr>
        <w:t>opérer une distinction aux fins du transport de ces dispositifs n</w:t>
      </w:r>
      <w:r w:rsidR="00AD27B0" w:rsidRPr="004D0A2C">
        <w:rPr>
          <w:lang w:val="fr-FR"/>
        </w:rPr>
        <w:t>’</w:t>
      </w:r>
      <w:r w:rsidRPr="004D0A2C">
        <w:rPr>
          <w:lang w:val="fr-FR"/>
        </w:rPr>
        <w:t>était pas clairement établie</w:t>
      </w:r>
      <w:r w:rsidR="009C65BB" w:rsidRPr="004D0A2C">
        <w:rPr>
          <w:lang w:val="fr-FR"/>
        </w:rPr>
        <w:t>.</w:t>
      </w:r>
      <w:r w:rsidRPr="004D0A2C">
        <w:rPr>
          <w:lang w:val="fr-FR"/>
        </w:rPr>
        <w:t xml:space="preserve"> On a fait observer que les travaux actuels sur le classement des piles et batteries au lithium en fonction du danger pouvaient apporter une solution à cette question</w:t>
      </w:r>
      <w:r w:rsidR="009C65BB" w:rsidRPr="004D0A2C">
        <w:rPr>
          <w:lang w:val="fr-FR"/>
        </w:rPr>
        <w:t>.</w:t>
      </w:r>
    </w:p>
    <w:p w14:paraId="030C0D27" w14:textId="09E9855A" w:rsidR="00C5545A" w:rsidRPr="004D0A2C" w:rsidRDefault="006F26A8" w:rsidP="00BD5A78">
      <w:pPr>
        <w:pStyle w:val="SingleTxtG"/>
        <w:rPr>
          <w:lang w:val="fr-FR"/>
        </w:rPr>
      </w:pPr>
      <w:r w:rsidRPr="004D0A2C">
        <w:rPr>
          <w:lang w:val="fr-FR"/>
        </w:rPr>
        <w:lastRenderedPageBreak/>
        <w:t>58</w:t>
      </w:r>
      <w:r w:rsidR="009C65BB" w:rsidRPr="004D0A2C">
        <w:rPr>
          <w:lang w:val="fr-FR"/>
        </w:rPr>
        <w:t>.</w:t>
      </w:r>
      <w:r w:rsidRPr="004D0A2C">
        <w:rPr>
          <w:lang w:val="fr-FR"/>
        </w:rPr>
        <w:tab/>
        <w:t>Il a été recommandé que la question soulevée par le MDTC soit examinée par le Groupe d</w:t>
      </w:r>
      <w:r w:rsidR="00AD27B0" w:rsidRPr="004D0A2C">
        <w:rPr>
          <w:lang w:val="fr-FR"/>
        </w:rPr>
        <w:t>’</w:t>
      </w:r>
      <w:r w:rsidRPr="004D0A2C">
        <w:rPr>
          <w:lang w:val="fr-FR"/>
        </w:rPr>
        <w:t>experts sur les marchandises dangereuses de l</w:t>
      </w:r>
      <w:r w:rsidR="00AD27B0" w:rsidRPr="004D0A2C">
        <w:rPr>
          <w:lang w:val="fr-FR"/>
        </w:rPr>
        <w:t>’</w:t>
      </w:r>
      <w:r w:rsidRPr="004D0A2C">
        <w:rPr>
          <w:lang w:val="fr-FR"/>
        </w:rPr>
        <w:t>OACI, étant donné qu</w:t>
      </w:r>
      <w:r w:rsidR="00AD27B0" w:rsidRPr="004D0A2C">
        <w:rPr>
          <w:lang w:val="fr-FR"/>
        </w:rPr>
        <w:t>’</w:t>
      </w:r>
      <w:r w:rsidRPr="004D0A2C">
        <w:rPr>
          <w:lang w:val="fr-FR"/>
        </w:rPr>
        <w:t>elle concernait principalement le transport aérien</w:t>
      </w:r>
      <w:r w:rsidR="009C65BB" w:rsidRPr="004D0A2C">
        <w:rPr>
          <w:lang w:val="fr-FR"/>
        </w:rPr>
        <w:t>.</w:t>
      </w:r>
      <w:r w:rsidRPr="004D0A2C">
        <w:rPr>
          <w:lang w:val="fr-FR"/>
        </w:rPr>
        <w:t xml:space="preserve"> La représentante de l</w:t>
      </w:r>
      <w:r w:rsidR="00AD27B0" w:rsidRPr="004D0A2C">
        <w:rPr>
          <w:lang w:val="fr-FR"/>
        </w:rPr>
        <w:t>’</w:t>
      </w:r>
      <w:r w:rsidRPr="004D0A2C">
        <w:rPr>
          <w:lang w:val="fr-FR"/>
        </w:rPr>
        <w:t>OACI a rendu compte des résultats des discussions au sein du Groupe</w:t>
      </w:r>
      <w:r w:rsidR="009C65BB" w:rsidRPr="004D0A2C">
        <w:rPr>
          <w:lang w:val="fr-FR"/>
        </w:rPr>
        <w:t>.</w:t>
      </w:r>
    </w:p>
    <w:p w14:paraId="1CAA934D" w14:textId="43D3890A" w:rsidR="006F26A8" w:rsidRPr="004D0A2C" w:rsidRDefault="006F26A8" w:rsidP="00BD5A78">
      <w:pPr>
        <w:pStyle w:val="H23G"/>
        <w:rPr>
          <w:lang w:val="fr-FR"/>
        </w:rPr>
      </w:pPr>
      <w:r w:rsidRPr="004D0A2C">
        <w:rPr>
          <w:lang w:val="fr-FR"/>
        </w:rPr>
        <w:tab/>
        <w:t>4</w:t>
      </w:r>
      <w:r w:rsidR="009C65BB" w:rsidRPr="004D0A2C">
        <w:rPr>
          <w:lang w:val="fr-FR"/>
        </w:rPr>
        <w:t>.</w:t>
      </w:r>
      <w:r w:rsidRPr="004D0A2C">
        <w:rPr>
          <w:lang w:val="fr-FR"/>
        </w:rPr>
        <w:tab/>
        <w:t>Dispositions concernant les batteries hybrides constituées de piles au lithium ionique et de piles au sodium ionique</w:t>
      </w:r>
    </w:p>
    <w:p w14:paraId="56E1B9BA" w14:textId="3702DFE5"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33 (Chine)</w:t>
      </w:r>
    </w:p>
    <w:p w14:paraId="2C9EFCB9" w14:textId="21DD005E" w:rsidR="006F26A8" w:rsidRPr="004D0A2C" w:rsidRDefault="006F26A8" w:rsidP="00BD5A78">
      <w:pPr>
        <w:pStyle w:val="SingleTxtG"/>
        <w:rPr>
          <w:lang w:val="fr-FR"/>
        </w:rPr>
      </w:pPr>
      <w:r w:rsidRPr="004D0A2C">
        <w:rPr>
          <w:lang w:val="fr-FR"/>
        </w:rPr>
        <w:t>59</w:t>
      </w:r>
      <w:r w:rsidR="009C65BB" w:rsidRPr="004D0A2C">
        <w:rPr>
          <w:lang w:val="fr-FR"/>
        </w:rPr>
        <w:t>.</w:t>
      </w:r>
      <w:r w:rsidRPr="004D0A2C">
        <w:rPr>
          <w:lang w:val="fr-FR"/>
        </w:rPr>
        <w:tab/>
        <w:t>Le Sous-Comité a constaté que l</w:t>
      </w:r>
      <w:r w:rsidR="00AD27B0" w:rsidRPr="004D0A2C">
        <w:rPr>
          <w:lang w:val="fr-FR"/>
        </w:rPr>
        <w:t>’</w:t>
      </w:r>
      <w:r w:rsidRPr="004D0A2C">
        <w:rPr>
          <w:lang w:val="fr-FR"/>
        </w:rPr>
        <w:t>objectif de la proposition et l</w:t>
      </w:r>
      <w:r w:rsidR="00AD27B0" w:rsidRPr="004D0A2C">
        <w:rPr>
          <w:lang w:val="fr-FR"/>
        </w:rPr>
        <w:t>’</w:t>
      </w:r>
      <w:r w:rsidRPr="004D0A2C">
        <w:rPr>
          <w:lang w:val="fr-FR"/>
        </w:rPr>
        <w:t>approche suivie bénéficiaient d</w:t>
      </w:r>
      <w:r w:rsidR="00AD27B0" w:rsidRPr="004D0A2C">
        <w:rPr>
          <w:lang w:val="fr-FR"/>
        </w:rPr>
        <w:t>’</w:t>
      </w:r>
      <w:r w:rsidRPr="004D0A2C">
        <w:rPr>
          <w:lang w:val="fr-FR"/>
        </w:rPr>
        <w:t>une large adhésion</w:t>
      </w:r>
      <w:r w:rsidR="009C65BB" w:rsidRPr="004D0A2C">
        <w:rPr>
          <w:lang w:val="fr-FR"/>
        </w:rPr>
        <w:t>.</w:t>
      </w:r>
      <w:r w:rsidRPr="004D0A2C">
        <w:rPr>
          <w:lang w:val="fr-FR"/>
        </w:rPr>
        <w:t xml:space="preserve"> Certains experts étaient d</w:t>
      </w:r>
      <w:r w:rsidR="00AD27B0" w:rsidRPr="004D0A2C">
        <w:rPr>
          <w:lang w:val="fr-FR"/>
        </w:rPr>
        <w:t>’</w:t>
      </w:r>
      <w:r w:rsidRPr="004D0A2C">
        <w:rPr>
          <w:lang w:val="fr-FR"/>
        </w:rPr>
        <w:t>avis qu</w:t>
      </w:r>
      <w:r w:rsidR="00AD27B0" w:rsidRPr="004D0A2C">
        <w:rPr>
          <w:lang w:val="fr-FR"/>
        </w:rPr>
        <w:t>’</w:t>
      </w:r>
      <w:r w:rsidRPr="004D0A2C">
        <w:rPr>
          <w:lang w:val="fr-FR"/>
        </w:rPr>
        <w:t>il fallait adapter davantage les dispositions actuelles relatives aux épreuves (par exemple, les seuils) ainsi que certaines dispositions spéciales (par exemple, la disposition 388)</w:t>
      </w:r>
      <w:r w:rsidR="009C65BB" w:rsidRPr="004D0A2C">
        <w:rPr>
          <w:lang w:val="fr-FR"/>
        </w:rPr>
        <w:t>.</w:t>
      </w:r>
      <w:r w:rsidRPr="004D0A2C">
        <w:rPr>
          <w:lang w:val="fr-FR"/>
        </w:rPr>
        <w:t xml:space="preserve"> L</w:t>
      </w:r>
      <w:r w:rsidR="00AD27B0" w:rsidRPr="004D0A2C">
        <w:rPr>
          <w:lang w:val="fr-FR"/>
        </w:rPr>
        <w:t>’</w:t>
      </w:r>
      <w:r w:rsidRPr="004D0A2C">
        <w:rPr>
          <w:lang w:val="fr-FR"/>
        </w:rPr>
        <w:t>expert de la Chine a proposé d</w:t>
      </w:r>
      <w:r w:rsidR="00AD27B0" w:rsidRPr="004D0A2C">
        <w:rPr>
          <w:lang w:val="fr-FR"/>
        </w:rPr>
        <w:t>’</w:t>
      </w:r>
      <w:r w:rsidRPr="004D0A2C">
        <w:rPr>
          <w:lang w:val="fr-FR"/>
        </w:rPr>
        <w:t>affiner sa proposition et d</w:t>
      </w:r>
      <w:r w:rsidR="00AD27B0" w:rsidRPr="004D0A2C">
        <w:rPr>
          <w:lang w:val="fr-FR"/>
        </w:rPr>
        <w:t>’</w:t>
      </w:r>
      <w:r w:rsidRPr="004D0A2C">
        <w:rPr>
          <w:lang w:val="fr-FR"/>
        </w:rPr>
        <w:t>en soumettre une nouvelle à la session suivante</w:t>
      </w:r>
      <w:r w:rsidR="009C65BB" w:rsidRPr="004D0A2C">
        <w:rPr>
          <w:lang w:val="fr-FR"/>
        </w:rPr>
        <w:t>.</w:t>
      </w:r>
    </w:p>
    <w:p w14:paraId="6A520B1D" w14:textId="2F099BFA" w:rsidR="006F26A8" w:rsidRPr="004D0A2C" w:rsidRDefault="006F26A8" w:rsidP="00BD5A78">
      <w:pPr>
        <w:pStyle w:val="H1G"/>
        <w:rPr>
          <w:lang w:val="fr-FR"/>
        </w:rPr>
      </w:pPr>
      <w:r w:rsidRPr="004D0A2C">
        <w:rPr>
          <w:lang w:val="fr-FR"/>
        </w:rPr>
        <w:tab/>
        <w:t>D</w:t>
      </w:r>
      <w:r w:rsidR="009C65BB" w:rsidRPr="004D0A2C">
        <w:rPr>
          <w:lang w:val="fr-FR"/>
        </w:rPr>
        <w:t>.</w:t>
      </w:r>
      <w:r w:rsidRPr="004D0A2C">
        <w:rPr>
          <w:lang w:val="fr-FR"/>
        </w:rPr>
        <w:tab/>
        <w:t>Batteries au lithium endommagées ou défectueuses</w:t>
      </w:r>
    </w:p>
    <w:p w14:paraId="6881436E" w14:textId="1D839C5F"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9 (Belgique)</w:t>
      </w:r>
    </w:p>
    <w:p w14:paraId="4204C261" w14:textId="5FDC3B8E" w:rsidR="006F26A8" w:rsidRPr="004D0A2C" w:rsidRDefault="006F26A8" w:rsidP="00BD5A78">
      <w:pPr>
        <w:pStyle w:val="SingleTxtG"/>
        <w:rPr>
          <w:lang w:val="fr-FR"/>
        </w:rPr>
      </w:pPr>
      <w:r w:rsidRPr="004D0A2C">
        <w:rPr>
          <w:lang w:val="fr-FR"/>
        </w:rPr>
        <w:t>60</w:t>
      </w:r>
      <w:r w:rsidR="009C65BB" w:rsidRPr="004D0A2C">
        <w:rPr>
          <w:lang w:val="fr-FR"/>
        </w:rPr>
        <w:t>.</w:t>
      </w:r>
      <w:r w:rsidRPr="004D0A2C">
        <w:rPr>
          <w:lang w:val="fr-FR"/>
        </w:rPr>
        <w:tab/>
        <w:t>Il a été rappelé que, pour le transport des piles et batteries gravement endommagées, l</w:t>
      </w:r>
      <w:r w:rsidR="00AD27B0" w:rsidRPr="004D0A2C">
        <w:rPr>
          <w:lang w:val="fr-FR"/>
        </w:rPr>
        <w:t>’</w:t>
      </w:r>
      <w:r w:rsidRPr="004D0A2C">
        <w:rPr>
          <w:lang w:val="fr-FR"/>
        </w:rPr>
        <w:t>intention de départ du Sous-Comité était d</w:t>
      </w:r>
      <w:r w:rsidR="00AD27B0" w:rsidRPr="004D0A2C">
        <w:rPr>
          <w:lang w:val="fr-FR"/>
        </w:rPr>
        <w:t>’</w:t>
      </w:r>
      <w:r w:rsidRPr="004D0A2C">
        <w:rPr>
          <w:lang w:val="fr-FR"/>
        </w:rPr>
        <w:t>édicter des conditions d</w:t>
      </w:r>
      <w:r w:rsidR="00AD27B0" w:rsidRPr="004D0A2C">
        <w:rPr>
          <w:lang w:val="fr-FR"/>
        </w:rPr>
        <w:t>’</w:t>
      </w:r>
      <w:r w:rsidRPr="004D0A2C">
        <w:rPr>
          <w:lang w:val="fr-FR"/>
        </w:rPr>
        <w:t>emballage et de transport visant à rendre ces piles et batteries inertes et non réactives pendant le transport</w:t>
      </w:r>
      <w:r w:rsidR="009C65BB" w:rsidRPr="004D0A2C">
        <w:rPr>
          <w:lang w:val="fr-FR"/>
        </w:rPr>
        <w:t>.</w:t>
      </w:r>
      <w:r w:rsidRPr="004D0A2C">
        <w:rPr>
          <w:lang w:val="fr-FR"/>
        </w:rPr>
        <w:t xml:space="preserve"> Le</w:t>
      </w:r>
      <w:r w:rsidR="00C02845" w:rsidRPr="004D0A2C">
        <w:rPr>
          <w:lang w:val="fr-FR"/>
        </w:rPr>
        <w:t> </w:t>
      </w:r>
      <w:r w:rsidRPr="004D0A2C">
        <w:rPr>
          <w:lang w:val="fr-FR"/>
        </w:rPr>
        <w:t>Sous-Comité n</w:t>
      </w:r>
      <w:r w:rsidR="00AD27B0" w:rsidRPr="004D0A2C">
        <w:rPr>
          <w:lang w:val="fr-FR"/>
        </w:rPr>
        <w:t>’</w:t>
      </w:r>
      <w:r w:rsidRPr="004D0A2C">
        <w:rPr>
          <w:lang w:val="fr-FR"/>
        </w:rPr>
        <w:t>ayant pu élaborer un texte harmonisé décrivant la vaste gamme de solutions possibles pour atteindre cet objectif, il a été décidé d</w:t>
      </w:r>
      <w:r w:rsidR="00AD27B0" w:rsidRPr="004D0A2C">
        <w:rPr>
          <w:lang w:val="fr-FR"/>
        </w:rPr>
        <w:t>’</w:t>
      </w:r>
      <w:r w:rsidRPr="004D0A2C">
        <w:rPr>
          <w:lang w:val="fr-FR"/>
        </w:rPr>
        <w:t>ajouter dans les instructions d</w:t>
      </w:r>
      <w:r w:rsidR="00AD27B0" w:rsidRPr="004D0A2C">
        <w:rPr>
          <w:lang w:val="fr-FR"/>
        </w:rPr>
        <w:t>’</w:t>
      </w:r>
      <w:r w:rsidRPr="004D0A2C">
        <w:rPr>
          <w:lang w:val="fr-FR"/>
        </w:rPr>
        <w:t>emballage P911 et LP906 un ensemble de prescriptions visant à contenir une réaction dangereuse pendant le transport de piles et de batteries gravement endommagées</w:t>
      </w:r>
      <w:r w:rsidR="009C65BB" w:rsidRPr="004D0A2C">
        <w:rPr>
          <w:lang w:val="fr-FR"/>
        </w:rPr>
        <w:t>.</w:t>
      </w:r>
      <w:r w:rsidRPr="004D0A2C">
        <w:rPr>
          <w:lang w:val="fr-FR"/>
        </w:rPr>
        <w:t xml:space="preserve"> En outre, il a été décidé d</w:t>
      </w:r>
      <w:r w:rsidR="00AD27B0" w:rsidRPr="004D0A2C">
        <w:rPr>
          <w:lang w:val="fr-FR"/>
        </w:rPr>
        <w:t>’</w:t>
      </w:r>
      <w:r w:rsidRPr="004D0A2C">
        <w:rPr>
          <w:lang w:val="fr-FR"/>
        </w:rPr>
        <w:t>indiquer dans la dernière phrase du cinquième paragraphe de la disposition spéciale 376 que l</w:t>
      </w:r>
      <w:r w:rsidR="00AD27B0" w:rsidRPr="004D0A2C">
        <w:rPr>
          <w:lang w:val="fr-FR"/>
        </w:rPr>
        <w:t>’</w:t>
      </w:r>
      <w:r w:rsidRPr="004D0A2C">
        <w:rPr>
          <w:lang w:val="fr-FR"/>
        </w:rPr>
        <w:t>autorité compétente était autorisée à approuver des méthodes d</w:t>
      </w:r>
      <w:r w:rsidR="00AD27B0" w:rsidRPr="004D0A2C">
        <w:rPr>
          <w:lang w:val="fr-FR"/>
        </w:rPr>
        <w:t>’</w:t>
      </w:r>
      <w:r w:rsidRPr="004D0A2C">
        <w:rPr>
          <w:lang w:val="fr-FR"/>
        </w:rPr>
        <w:t>emballage ou des conditions de transport alternatives permettant d</w:t>
      </w:r>
      <w:r w:rsidR="00AD27B0" w:rsidRPr="004D0A2C">
        <w:rPr>
          <w:lang w:val="fr-FR"/>
        </w:rPr>
        <w:t>’</w:t>
      </w:r>
      <w:r w:rsidRPr="004D0A2C">
        <w:rPr>
          <w:lang w:val="fr-FR"/>
        </w:rPr>
        <w:t>atteindre un niveau de sécurité acceptable</w:t>
      </w:r>
      <w:r w:rsidR="009C65BB" w:rsidRPr="004D0A2C">
        <w:rPr>
          <w:lang w:val="fr-FR"/>
        </w:rPr>
        <w:t>.</w:t>
      </w:r>
    </w:p>
    <w:p w14:paraId="4BA1E0E6" w14:textId="7522658F" w:rsidR="006F26A8" w:rsidRPr="004D0A2C" w:rsidRDefault="006F26A8" w:rsidP="00BD5A78">
      <w:pPr>
        <w:pStyle w:val="SingleTxtG"/>
        <w:rPr>
          <w:lang w:val="fr-FR"/>
        </w:rPr>
      </w:pPr>
      <w:r w:rsidRPr="004D0A2C">
        <w:rPr>
          <w:lang w:val="fr-FR"/>
        </w:rPr>
        <w:t>61</w:t>
      </w:r>
      <w:r w:rsidR="009C65BB" w:rsidRPr="004D0A2C">
        <w:rPr>
          <w:lang w:val="fr-FR"/>
        </w:rPr>
        <w:t>.</w:t>
      </w:r>
      <w:r w:rsidRPr="004D0A2C">
        <w:rPr>
          <w:lang w:val="fr-FR"/>
        </w:rPr>
        <w:tab/>
        <w:t>L</w:t>
      </w:r>
      <w:r w:rsidR="00AD27B0" w:rsidRPr="004D0A2C">
        <w:rPr>
          <w:lang w:val="fr-FR"/>
        </w:rPr>
        <w:t>’</w:t>
      </w:r>
      <w:r w:rsidRPr="004D0A2C">
        <w:rPr>
          <w:lang w:val="fr-FR"/>
        </w:rPr>
        <w:t>expert de la Belgique s</w:t>
      </w:r>
      <w:r w:rsidR="00AD27B0" w:rsidRPr="004D0A2C">
        <w:rPr>
          <w:lang w:val="fr-FR"/>
        </w:rPr>
        <w:t>’</w:t>
      </w:r>
      <w:r w:rsidRPr="004D0A2C">
        <w:rPr>
          <w:lang w:val="fr-FR"/>
        </w:rPr>
        <w:t>est porté volontaire pour établir, en vue de la prochaine session, une version révisée de la proposition qui tiendrait compte des observations formulées, notamment s</w:t>
      </w:r>
      <w:r w:rsidR="00AD27B0" w:rsidRPr="004D0A2C">
        <w:rPr>
          <w:lang w:val="fr-FR"/>
        </w:rPr>
        <w:t>’</w:t>
      </w:r>
      <w:r w:rsidRPr="004D0A2C">
        <w:rPr>
          <w:lang w:val="fr-FR"/>
        </w:rPr>
        <w:t>agissant de clarifier la question de la communication d</w:t>
      </w:r>
      <w:r w:rsidR="00AD27B0" w:rsidRPr="004D0A2C">
        <w:rPr>
          <w:lang w:val="fr-FR"/>
        </w:rPr>
        <w:t>’</w:t>
      </w:r>
      <w:r w:rsidRPr="004D0A2C">
        <w:rPr>
          <w:lang w:val="fr-FR"/>
        </w:rPr>
        <w:t>informations et d</w:t>
      </w:r>
      <w:r w:rsidR="00AD27B0" w:rsidRPr="004D0A2C">
        <w:rPr>
          <w:lang w:val="fr-FR"/>
        </w:rPr>
        <w:t>’</w:t>
      </w:r>
      <w:r w:rsidRPr="004D0A2C">
        <w:rPr>
          <w:lang w:val="fr-FR"/>
        </w:rPr>
        <w:t>y faire figurer une justification détaillée</w:t>
      </w:r>
      <w:r w:rsidR="009C65BB" w:rsidRPr="004D0A2C">
        <w:rPr>
          <w:lang w:val="fr-FR"/>
        </w:rPr>
        <w:t>.</w:t>
      </w:r>
    </w:p>
    <w:p w14:paraId="1C3DB358" w14:textId="4BBFBE3A" w:rsidR="006F26A8" w:rsidRPr="004D0A2C" w:rsidRDefault="006F26A8" w:rsidP="00BD5A78">
      <w:pPr>
        <w:pStyle w:val="H1G"/>
        <w:rPr>
          <w:lang w:val="fr-FR"/>
        </w:rPr>
      </w:pPr>
      <w:r w:rsidRPr="004D0A2C">
        <w:rPr>
          <w:lang w:val="fr-FR"/>
        </w:rPr>
        <w:tab/>
        <w:t>E</w:t>
      </w:r>
      <w:r w:rsidR="009C65BB" w:rsidRPr="004D0A2C">
        <w:rPr>
          <w:lang w:val="fr-FR"/>
        </w:rPr>
        <w:t>.</w:t>
      </w:r>
      <w:r w:rsidRPr="004D0A2C">
        <w:rPr>
          <w:lang w:val="fr-FR"/>
        </w:rPr>
        <w:tab/>
        <w:t>Batteries au sodium ionique</w:t>
      </w:r>
    </w:p>
    <w:p w14:paraId="0615FE01" w14:textId="6E73B646"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24 (OACI)</w:t>
      </w:r>
    </w:p>
    <w:p w14:paraId="14BE2756" w14:textId="6441F470" w:rsidR="006F26A8" w:rsidRPr="004D0A2C" w:rsidRDefault="006F26A8" w:rsidP="00BD5A78">
      <w:pPr>
        <w:pStyle w:val="SingleTxtG"/>
        <w:rPr>
          <w:lang w:val="fr-FR"/>
        </w:rPr>
      </w:pPr>
      <w:r w:rsidRPr="004D0A2C">
        <w:rPr>
          <w:lang w:val="fr-FR"/>
        </w:rPr>
        <w:t>62</w:t>
      </w:r>
      <w:r w:rsidR="009C65BB" w:rsidRPr="004D0A2C">
        <w:rPr>
          <w:lang w:val="fr-FR"/>
        </w:rPr>
        <w:t>.</w:t>
      </w:r>
      <w:r w:rsidRPr="004D0A2C">
        <w:rPr>
          <w:lang w:val="fr-FR"/>
        </w:rPr>
        <w:tab/>
        <w:t>En ce qui concerne la limite applicable aux marchandises dangereuses contenues dans les batteries spécifiée à l</w:t>
      </w:r>
      <w:r w:rsidR="00AD27B0" w:rsidRPr="004D0A2C">
        <w:rPr>
          <w:lang w:val="fr-FR"/>
        </w:rPr>
        <w:t>’</w:t>
      </w:r>
      <w:r w:rsidRPr="004D0A2C">
        <w:rPr>
          <w:lang w:val="fr-FR"/>
        </w:rPr>
        <w:t>alinéa f) de la disposition spéciale 400, il a été relevé que les batteries existantes contenaient généralement une quantité d</w:t>
      </w:r>
      <w:r w:rsidR="00AD27B0" w:rsidRPr="004D0A2C">
        <w:rPr>
          <w:lang w:val="fr-FR"/>
        </w:rPr>
        <w:t>’</w:t>
      </w:r>
      <w:r w:rsidRPr="004D0A2C">
        <w:rPr>
          <w:lang w:val="fr-FR"/>
        </w:rPr>
        <w:t>électrolyte largement inférieure à la quantité maximale autorisée, même s</w:t>
      </w:r>
      <w:r w:rsidR="00AD27B0" w:rsidRPr="004D0A2C">
        <w:rPr>
          <w:lang w:val="fr-FR"/>
        </w:rPr>
        <w:t>’</w:t>
      </w:r>
      <w:r w:rsidRPr="004D0A2C">
        <w:rPr>
          <w:lang w:val="fr-FR"/>
        </w:rPr>
        <w:t>il était envisageable que des batteries de taille supérieure soient fabriquées à l</w:t>
      </w:r>
      <w:r w:rsidR="00AD27B0" w:rsidRPr="004D0A2C">
        <w:rPr>
          <w:lang w:val="fr-FR"/>
        </w:rPr>
        <w:t>’</w:t>
      </w:r>
      <w:r w:rsidRPr="004D0A2C">
        <w:rPr>
          <w:lang w:val="fr-FR"/>
        </w:rPr>
        <w:t>avenir</w:t>
      </w:r>
      <w:r w:rsidR="009C65BB" w:rsidRPr="004D0A2C">
        <w:rPr>
          <w:lang w:val="fr-FR"/>
        </w:rPr>
        <w:t>.</w:t>
      </w:r>
      <w:r w:rsidRPr="004D0A2C">
        <w:rPr>
          <w:lang w:val="fr-FR"/>
        </w:rPr>
        <w:t xml:space="preserve"> Le représentant de RECHARGE a proposé de communiquer des informations sur la masse moyenne des batteries concernées et le pourcentage d</w:t>
      </w:r>
      <w:r w:rsidR="00AD27B0" w:rsidRPr="004D0A2C">
        <w:rPr>
          <w:lang w:val="fr-FR"/>
        </w:rPr>
        <w:t>’</w:t>
      </w:r>
      <w:r w:rsidRPr="004D0A2C">
        <w:rPr>
          <w:lang w:val="fr-FR"/>
        </w:rPr>
        <w:t>électrolyte correspondant</w:t>
      </w:r>
      <w:r w:rsidR="009C65BB" w:rsidRPr="004D0A2C">
        <w:rPr>
          <w:lang w:val="fr-FR"/>
        </w:rPr>
        <w:t>.</w:t>
      </w:r>
    </w:p>
    <w:p w14:paraId="2CE70BF2" w14:textId="2974CA99" w:rsidR="00C5545A" w:rsidRPr="004D0A2C" w:rsidRDefault="006F26A8" w:rsidP="00BD5A78">
      <w:pPr>
        <w:pStyle w:val="SingleTxtG"/>
        <w:rPr>
          <w:lang w:val="fr-FR"/>
        </w:rPr>
      </w:pPr>
      <w:r w:rsidRPr="004D0A2C">
        <w:rPr>
          <w:lang w:val="fr-FR"/>
        </w:rPr>
        <w:t>63</w:t>
      </w:r>
      <w:r w:rsidR="009C65BB" w:rsidRPr="004D0A2C">
        <w:rPr>
          <w:lang w:val="fr-FR"/>
        </w:rPr>
        <w:t>.</w:t>
      </w:r>
      <w:r w:rsidRPr="004D0A2C">
        <w:rPr>
          <w:lang w:val="fr-FR"/>
        </w:rPr>
        <w:tab/>
        <w:t>Les avis étaient partagés au sujet des avantages et inconvénients liés à l</w:t>
      </w:r>
      <w:r w:rsidR="00AD27B0" w:rsidRPr="004D0A2C">
        <w:rPr>
          <w:lang w:val="fr-FR"/>
        </w:rPr>
        <w:t>’</w:t>
      </w:r>
      <w:r w:rsidRPr="004D0A2C">
        <w:rPr>
          <w:lang w:val="fr-FR"/>
        </w:rPr>
        <w:t>apposition, sur les colis, du marquage défini à l</w:t>
      </w:r>
      <w:r w:rsidR="00AD27B0" w:rsidRPr="004D0A2C">
        <w:rPr>
          <w:lang w:val="fr-FR"/>
        </w:rPr>
        <w:t>’</w:t>
      </w:r>
      <w:r w:rsidRPr="004D0A2C">
        <w:rPr>
          <w:lang w:val="fr-FR"/>
        </w:rPr>
        <w:t>alinéa c) de la disposition spéciale 400</w:t>
      </w:r>
      <w:r w:rsidR="009C65BB" w:rsidRPr="004D0A2C">
        <w:rPr>
          <w:lang w:val="fr-FR"/>
        </w:rPr>
        <w:t>.</w:t>
      </w:r>
    </w:p>
    <w:p w14:paraId="0487A4C1" w14:textId="63EC5F76" w:rsidR="006F26A8" w:rsidRPr="004D0A2C" w:rsidRDefault="006F26A8" w:rsidP="00BD5A78">
      <w:pPr>
        <w:pStyle w:val="SingleTxtG"/>
        <w:rPr>
          <w:lang w:val="fr-FR"/>
        </w:rPr>
      </w:pPr>
      <w:r w:rsidRPr="004D0A2C">
        <w:rPr>
          <w:lang w:val="fr-FR"/>
        </w:rPr>
        <w:t>64</w:t>
      </w:r>
      <w:r w:rsidR="009C65BB" w:rsidRPr="004D0A2C">
        <w:rPr>
          <w:lang w:val="fr-FR"/>
        </w:rPr>
        <w:t>.</w:t>
      </w:r>
      <w:r w:rsidRPr="004D0A2C">
        <w:rPr>
          <w:lang w:val="fr-FR"/>
        </w:rPr>
        <w:tab/>
        <w:t>La plupart des experts qui se sont exprimés étaient favorables aux modifications d</w:t>
      </w:r>
      <w:r w:rsidR="00AD27B0" w:rsidRPr="004D0A2C">
        <w:rPr>
          <w:lang w:val="fr-FR"/>
        </w:rPr>
        <w:t>’</w:t>
      </w:r>
      <w:r w:rsidRPr="004D0A2C">
        <w:rPr>
          <w:lang w:val="fr-FR"/>
        </w:rPr>
        <w:t>ordre rédactionnel proposées</w:t>
      </w:r>
      <w:r w:rsidR="009C65BB" w:rsidRPr="004D0A2C">
        <w:rPr>
          <w:lang w:val="fr-FR"/>
        </w:rPr>
        <w:t>.</w:t>
      </w:r>
    </w:p>
    <w:p w14:paraId="62C82713" w14:textId="1694D735" w:rsidR="006F26A8" w:rsidRPr="004D0A2C" w:rsidRDefault="006F26A8" w:rsidP="00BD5A78">
      <w:pPr>
        <w:pStyle w:val="SingleTxtG"/>
        <w:rPr>
          <w:lang w:val="fr-FR"/>
        </w:rPr>
      </w:pPr>
      <w:r w:rsidRPr="004D0A2C">
        <w:rPr>
          <w:lang w:val="fr-FR"/>
        </w:rPr>
        <w:t>65</w:t>
      </w:r>
      <w:r w:rsidR="009C65BB" w:rsidRPr="004D0A2C">
        <w:rPr>
          <w:lang w:val="fr-FR"/>
        </w:rPr>
        <w:t>.</w:t>
      </w:r>
      <w:r w:rsidRPr="004D0A2C">
        <w:rPr>
          <w:lang w:val="fr-FR"/>
        </w:rPr>
        <w:tab/>
        <w:t>Il a été décidé que ces modifications seraient présentées par l</w:t>
      </w:r>
      <w:r w:rsidR="00AD27B0" w:rsidRPr="004D0A2C">
        <w:rPr>
          <w:lang w:val="fr-FR"/>
        </w:rPr>
        <w:t>’</w:t>
      </w:r>
      <w:r w:rsidRPr="004D0A2C">
        <w:rPr>
          <w:lang w:val="fr-FR"/>
        </w:rPr>
        <w:t>OACI dans un document officiel à la session suivante</w:t>
      </w:r>
      <w:r w:rsidR="009C65BB" w:rsidRPr="004D0A2C">
        <w:rPr>
          <w:lang w:val="fr-FR"/>
        </w:rPr>
        <w:t>.</w:t>
      </w:r>
    </w:p>
    <w:p w14:paraId="338FEF20" w14:textId="0AD16101" w:rsidR="006F26A8" w:rsidRPr="004D0A2C" w:rsidRDefault="006F26A8" w:rsidP="005F3872">
      <w:pPr>
        <w:pStyle w:val="H1G"/>
        <w:rPr>
          <w:lang w:val="fr-FR"/>
        </w:rPr>
      </w:pPr>
      <w:r w:rsidRPr="004D0A2C">
        <w:rPr>
          <w:lang w:val="fr-FR"/>
        </w:rPr>
        <w:lastRenderedPageBreak/>
        <w:tab/>
        <w:t>F</w:t>
      </w:r>
      <w:r w:rsidR="009C65BB" w:rsidRPr="004D0A2C">
        <w:rPr>
          <w:lang w:val="fr-FR"/>
        </w:rPr>
        <w:t>.</w:t>
      </w:r>
      <w:r w:rsidRPr="004D0A2C">
        <w:rPr>
          <w:lang w:val="fr-FR"/>
        </w:rPr>
        <w:tab/>
        <w:t>Autres questions</w:t>
      </w:r>
    </w:p>
    <w:p w14:paraId="33D575B1" w14:textId="59171B2B" w:rsidR="006F26A8" w:rsidRPr="004D0A2C" w:rsidRDefault="006F26A8" w:rsidP="005F3872">
      <w:pPr>
        <w:pStyle w:val="SingleTxtG"/>
        <w:keepNext/>
        <w:keepLines/>
        <w:tabs>
          <w:tab w:val="clear" w:pos="1701"/>
          <w:tab w:val="clear" w:pos="2268"/>
          <w:tab w:val="clear" w:pos="2835"/>
          <w:tab w:val="left" w:pos="2977"/>
        </w:tabs>
        <w:ind w:left="3124" w:hanging="1990"/>
        <w:rPr>
          <w:lang w:val="fr-FR"/>
        </w:rPr>
      </w:pPr>
      <w:r w:rsidRPr="004D0A2C">
        <w:rPr>
          <w:i/>
          <w:iCs/>
          <w:lang w:val="fr-FR"/>
        </w:rPr>
        <w:t>Documents</w:t>
      </w:r>
      <w:r w:rsidR="00AD27B0" w:rsidRPr="004D0A2C">
        <w:rPr>
          <w:i/>
          <w:iCs/>
          <w:lang w:val="fr-FR"/>
        </w:rPr>
        <w:t> </w:t>
      </w:r>
      <w:r w:rsidR="005F36F6" w:rsidRPr="004D0A2C">
        <w:rPr>
          <w:iCs/>
          <w:lang w:val="fr-FR"/>
        </w:rPr>
        <w:t>:</w:t>
      </w:r>
      <w:r w:rsidRPr="004D0A2C">
        <w:rPr>
          <w:lang w:val="fr-FR"/>
        </w:rPr>
        <w:tab/>
      </w:r>
      <w:hyperlink r:id="rId43" w:history="1">
        <w:r w:rsidR="004F62B2">
          <w:rPr>
            <w:rStyle w:val="Hyperlink"/>
            <w:lang w:val="fr-FR"/>
          </w:rPr>
          <w:t>ST/SG/AC.10/C.3/2023/23</w:t>
        </w:r>
      </w:hyperlink>
      <w:r w:rsidRPr="004D0A2C">
        <w:rPr>
          <w:lang w:val="fr-FR"/>
        </w:rPr>
        <w:t xml:space="preserve"> et </w:t>
      </w:r>
      <w:hyperlink r:id="rId44" w:history="1">
        <w:r w:rsidR="004F62B2">
          <w:rPr>
            <w:rStyle w:val="Hyperlink"/>
            <w:lang w:val="fr-FR"/>
          </w:rPr>
          <w:t>ST/SG/AC.10/C.3/2023/24</w:t>
        </w:r>
      </w:hyperlink>
      <w:r w:rsidRPr="004D0A2C">
        <w:rPr>
          <w:lang w:val="fr-FR"/>
        </w:rPr>
        <w:t xml:space="preserve"> (IATA)</w:t>
      </w:r>
    </w:p>
    <w:p w14:paraId="1F10E3B1" w14:textId="5486DBB0" w:rsidR="006F26A8" w:rsidRPr="004D0A2C" w:rsidRDefault="006F26A8" w:rsidP="00BD5A78">
      <w:pPr>
        <w:pStyle w:val="SingleTxtG"/>
        <w:rPr>
          <w:lang w:val="fr-FR"/>
        </w:rPr>
      </w:pPr>
      <w:r w:rsidRPr="004D0A2C">
        <w:rPr>
          <w:lang w:val="fr-FR"/>
        </w:rPr>
        <w:t>66</w:t>
      </w:r>
      <w:r w:rsidR="009C65BB" w:rsidRPr="004D0A2C">
        <w:rPr>
          <w:lang w:val="fr-FR"/>
        </w:rPr>
        <w:t>.</w:t>
      </w:r>
      <w:r w:rsidRPr="004D0A2C">
        <w:rPr>
          <w:lang w:val="fr-FR"/>
        </w:rPr>
        <w:tab/>
        <w:t>Le Sous-Comité s</w:t>
      </w:r>
      <w:r w:rsidR="00AD27B0" w:rsidRPr="004D0A2C">
        <w:rPr>
          <w:lang w:val="fr-FR"/>
        </w:rPr>
        <w:t>’</w:t>
      </w:r>
      <w:r w:rsidRPr="004D0A2C">
        <w:rPr>
          <w:lang w:val="fr-FR"/>
        </w:rPr>
        <w:t>est souvenu qu</w:t>
      </w:r>
      <w:r w:rsidR="00AD27B0" w:rsidRPr="004D0A2C">
        <w:rPr>
          <w:lang w:val="fr-FR"/>
        </w:rPr>
        <w:t>’</w:t>
      </w:r>
      <w:r w:rsidRPr="004D0A2C">
        <w:rPr>
          <w:lang w:val="fr-FR"/>
        </w:rPr>
        <w:t>il avait décidé de reporter l</w:t>
      </w:r>
      <w:r w:rsidR="00AD27B0" w:rsidRPr="004D0A2C">
        <w:rPr>
          <w:lang w:val="fr-FR"/>
        </w:rPr>
        <w:t>’</w:t>
      </w:r>
      <w:r w:rsidRPr="004D0A2C">
        <w:rPr>
          <w:lang w:val="fr-FR"/>
        </w:rPr>
        <w:t>examen des documents officiels énumérés sous ce point à sa session de décembre 2023 (voir par</w:t>
      </w:r>
      <w:r w:rsidR="009C65BB" w:rsidRPr="004D0A2C">
        <w:rPr>
          <w:lang w:val="fr-FR"/>
        </w:rPr>
        <w:t>.</w:t>
      </w:r>
      <w:r w:rsidRPr="004D0A2C">
        <w:rPr>
          <w:lang w:val="fr-FR"/>
        </w:rPr>
        <w:t>11 ci-dessus)</w:t>
      </w:r>
      <w:r w:rsidR="009C65BB" w:rsidRPr="004D0A2C">
        <w:rPr>
          <w:lang w:val="fr-FR"/>
        </w:rPr>
        <w:t>.</w:t>
      </w:r>
    </w:p>
    <w:p w14:paraId="65FBAF5A" w14:textId="1FD8704B" w:rsidR="006F26A8" w:rsidRPr="004D0A2C" w:rsidRDefault="006F26A8" w:rsidP="00BD5A78">
      <w:pPr>
        <w:pStyle w:val="HChG"/>
        <w:rPr>
          <w:lang w:val="fr-FR"/>
        </w:rPr>
      </w:pPr>
      <w:r w:rsidRPr="004D0A2C">
        <w:rPr>
          <w:lang w:val="fr-FR"/>
        </w:rPr>
        <w:tab/>
        <w:t>VII</w:t>
      </w:r>
      <w:r w:rsidR="009C65BB" w:rsidRPr="004D0A2C">
        <w:rPr>
          <w:lang w:val="fr-FR"/>
        </w:rPr>
        <w:t>.</w:t>
      </w:r>
      <w:r w:rsidRPr="004D0A2C">
        <w:rPr>
          <w:lang w:val="fr-FR"/>
        </w:rPr>
        <w:tab/>
        <w:t>Transport de gaz (point 5 de l</w:t>
      </w:r>
      <w:r w:rsidR="00AD27B0" w:rsidRPr="004D0A2C">
        <w:rPr>
          <w:lang w:val="fr-FR"/>
        </w:rPr>
        <w:t>’</w:t>
      </w:r>
      <w:r w:rsidRPr="004D0A2C">
        <w:rPr>
          <w:lang w:val="fr-FR"/>
        </w:rPr>
        <w:t>ordre du jour)</w:t>
      </w:r>
    </w:p>
    <w:p w14:paraId="0382F66D" w14:textId="5C1AAAE1"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Reconnaissance universelle des récipients à pression ONU et non ONU</w:t>
      </w:r>
    </w:p>
    <w:p w14:paraId="52346832" w14:textId="452E9C46" w:rsidR="006F26A8" w:rsidRPr="004D0A2C" w:rsidRDefault="006F26A8" w:rsidP="00BD5A78">
      <w:pPr>
        <w:pStyle w:val="SingleTxtG"/>
        <w:rPr>
          <w:lang w:val="fr-FR"/>
        </w:rPr>
      </w:pPr>
      <w:r w:rsidRPr="004D0A2C">
        <w:rPr>
          <w:lang w:val="fr-FR"/>
        </w:rPr>
        <w:t>67</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3F8E33A2" w14:textId="3585A702" w:rsidR="006F26A8" w:rsidRPr="004D0A2C" w:rsidRDefault="006F26A8" w:rsidP="00BD5A78">
      <w:pPr>
        <w:pStyle w:val="H1G"/>
        <w:rPr>
          <w:lang w:val="fr-FR"/>
        </w:rPr>
      </w:pPr>
      <w:r w:rsidRPr="004D0A2C">
        <w:rPr>
          <w:lang w:val="fr-FR"/>
        </w:rPr>
        <w:tab/>
        <w:t>B</w:t>
      </w:r>
      <w:r w:rsidR="009C65BB" w:rsidRPr="004D0A2C">
        <w:rPr>
          <w:lang w:val="fr-FR"/>
        </w:rPr>
        <w:t>.</w:t>
      </w:r>
      <w:r w:rsidRPr="004D0A2C">
        <w:rPr>
          <w:lang w:val="fr-FR"/>
        </w:rPr>
        <w:tab/>
        <w:t>Gaz de la division 2</w:t>
      </w:r>
      <w:r w:rsidR="009C65BB" w:rsidRPr="004D0A2C">
        <w:rPr>
          <w:lang w:val="fr-FR"/>
        </w:rPr>
        <w:t>.</w:t>
      </w:r>
      <w:r w:rsidRPr="004D0A2C">
        <w:rPr>
          <w:lang w:val="fr-FR"/>
        </w:rPr>
        <w:t>2 transportés en quantités limitées</w:t>
      </w:r>
    </w:p>
    <w:p w14:paraId="4D5FB627" w14:textId="17FA3BD7" w:rsidR="006F26A8" w:rsidRPr="004D0A2C" w:rsidRDefault="006F26A8" w:rsidP="00BD5A78">
      <w:pPr>
        <w:pStyle w:val="SingleTxtG"/>
        <w:rPr>
          <w:lang w:val="fr-FR"/>
        </w:rPr>
      </w:pPr>
      <w:r w:rsidRPr="004D0A2C">
        <w:rPr>
          <w:lang w:val="fr-FR"/>
        </w:rPr>
        <w:t>68</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6BDBCA03" w14:textId="3DF2FA0E" w:rsidR="006F26A8" w:rsidRPr="004D0A2C" w:rsidRDefault="006F26A8" w:rsidP="00BD5A78">
      <w:pPr>
        <w:pStyle w:val="H1G"/>
        <w:rPr>
          <w:lang w:val="fr-FR"/>
        </w:rPr>
      </w:pPr>
      <w:r w:rsidRPr="004D0A2C">
        <w:rPr>
          <w:lang w:val="fr-FR"/>
        </w:rPr>
        <w:tab/>
        <w:t>C</w:t>
      </w:r>
      <w:r w:rsidR="009C65BB" w:rsidRPr="004D0A2C">
        <w:rPr>
          <w:lang w:val="fr-FR"/>
        </w:rPr>
        <w:t>.</w:t>
      </w:r>
      <w:r w:rsidRPr="004D0A2C">
        <w:rPr>
          <w:lang w:val="fr-FR"/>
        </w:rPr>
        <w:tab/>
        <w:t>Autres questions</w:t>
      </w:r>
    </w:p>
    <w:p w14:paraId="69E1B8BE" w14:textId="35807726" w:rsidR="006F26A8" w:rsidRPr="004D0A2C" w:rsidRDefault="006F26A8" w:rsidP="00BD5A78">
      <w:pPr>
        <w:pStyle w:val="H23G"/>
        <w:rPr>
          <w:lang w:val="fr-FR"/>
        </w:rPr>
      </w:pPr>
      <w:r w:rsidRPr="004D0A2C">
        <w:rPr>
          <w:lang w:val="fr-FR"/>
        </w:rPr>
        <w:tab/>
        <w:t>1</w:t>
      </w:r>
      <w:r w:rsidR="009C65BB" w:rsidRPr="004D0A2C">
        <w:rPr>
          <w:lang w:val="fr-FR"/>
        </w:rPr>
        <w:t>.</w:t>
      </w:r>
      <w:r w:rsidRPr="004D0A2C">
        <w:rPr>
          <w:lang w:val="fr-FR"/>
        </w:rPr>
        <w:tab/>
        <w:t xml:space="preserve">Rapport du groupe de travail intersessions de la limite du produit pV </w:t>
      </w:r>
      <w:r w:rsidR="00BD5A78" w:rsidRPr="004D0A2C">
        <w:rPr>
          <w:lang w:val="fr-FR"/>
        </w:rPr>
        <w:br/>
      </w:r>
      <w:r w:rsidRPr="004D0A2C">
        <w:rPr>
          <w:lang w:val="fr-FR"/>
        </w:rPr>
        <w:t>pour les récipients à pression</w:t>
      </w:r>
    </w:p>
    <w:p w14:paraId="13794158" w14:textId="565B034E" w:rsidR="006F26A8" w:rsidRPr="004D0A2C" w:rsidRDefault="006F26A8" w:rsidP="001E550E">
      <w:pPr>
        <w:pStyle w:val="SingleTxtG"/>
        <w:tabs>
          <w:tab w:val="clear" w:pos="1701"/>
          <w:tab w:val="clear" w:pos="2268"/>
          <w:tab w:val="clear" w:pos="2835"/>
          <w:tab w:val="left" w:pos="2977"/>
        </w:tabs>
        <w:ind w:left="2977" w:hanging="1843"/>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5" w:history="1">
        <w:r w:rsidR="004F62B2">
          <w:rPr>
            <w:rStyle w:val="Hyperlink"/>
            <w:lang w:val="fr-FR"/>
          </w:rPr>
          <w:t>ST/SG/AC.10/C.3/2023/1</w:t>
        </w:r>
      </w:hyperlink>
      <w:r w:rsidRPr="004D0A2C">
        <w:rPr>
          <w:lang w:val="fr-FR"/>
        </w:rPr>
        <w:t xml:space="preserve"> (Allemagne au nom du groupe de travail informel)</w:t>
      </w:r>
    </w:p>
    <w:p w14:paraId="2DCC8B29" w14:textId="3631BCC6" w:rsidR="006F26A8" w:rsidRPr="004D0A2C" w:rsidRDefault="006F26A8" w:rsidP="0031185C">
      <w:pPr>
        <w:pStyle w:val="SingleTxtG"/>
        <w:tabs>
          <w:tab w:val="clear" w:pos="1701"/>
          <w:tab w:val="clear" w:pos="2268"/>
          <w:tab w:val="clear" w:pos="2835"/>
          <w:tab w:val="left" w:pos="2977"/>
        </w:tabs>
        <w:ind w:left="2977" w:hanging="1843"/>
        <w:rPr>
          <w:iCs/>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44 (Allemagne)</w:t>
      </w:r>
    </w:p>
    <w:p w14:paraId="1B037498" w14:textId="338FE0F1" w:rsidR="006F26A8" w:rsidRPr="004D0A2C" w:rsidRDefault="006F26A8" w:rsidP="00BD5A78">
      <w:pPr>
        <w:pStyle w:val="SingleTxtG"/>
        <w:rPr>
          <w:spacing w:val="-1"/>
          <w:lang w:val="fr-FR"/>
        </w:rPr>
      </w:pPr>
      <w:r w:rsidRPr="004D0A2C">
        <w:rPr>
          <w:spacing w:val="-1"/>
          <w:lang w:val="fr-FR"/>
        </w:rPr>
        <w:t>69</w:t>
      </w:r>
      <w:r w:rsidR="009C65BB" w:rsidRPr="004D0A2C">
        <w:rPr>
          <w:spacing w:val="-1"/>
          <w:lang w:val="fr-FR"/>
        </w:rPr>
        <w:t>.</w:t>
      </w:r>
      <w:r w:rsidRPr="004D0A2C">
        <w:rPr>
          <w:spacing w:val="-1"/>
          <w:lang w:val="fr-FR"/>
        </w:rPr>
        <w:tab/>
        <w:t>Le Sous-Comité a accueilli avec satisfaction le rapport final présentant les résultats obtenus par le groupe de travail intersessions</w:t>
      </w:r>
      <w:r w:rsidR="009C65BB" w:rsidRPr="004D0A2C">
        <w:rPr>
          <w:spacing w:val="-1"/>
          <w:lang w:val="fr-FR"/>
        </w:rPr>
        <w:t>.</w:t>
      </w:r>
      <w:r w:rsidRPr="004D0A2C">
        <w:rPr>
          <w:spacing w:val="-1"/>
          <w:lang w:val="fr-FR"/>
        </w:rPr>
        <w:t xml:space="preserve"> Il a adopté les propositions 1 à 4 figurant dans le document </w:t>
      </w:r>
      <w:hyperlink r:id="rId46" w:history="1">
        <w:r w:rsidR="004F62B2">
          <w:rPr>
            <w:rStyle w:val="Hyperlink"/>
            <w:spacing w:val="-1"/>
            <w:lang w:val="fr-FR"/>
          </w:rPr>
          <w:t>ST/SG/AC.10/C.3/2023/1</w:t>
        </w:r>
      </w:hyperlink>
      <w:r w:rsidRPr="004D0A2C">
        <w:rPr>
          <w:spacing w:val="-1"/>
          <w:lang w:val="fr-FR"/>
        </w:rPr>
        <w:t xml:space="preserve"> et a décidé de les placer entre crochets (voir annexe</w:t>
      </w:r>
      <w:r w:rsidR="002B38E7" w:rsidRPr="004D0A2C">
        <w:rPr>
          <w:spacing w:val="-1"/>
          <w:lang w:val="fr-FR"/>
        </w:rPr>
        <w:t> </w:t>
      </w:r>
      <w:r w:rsidRPr="004D0A2C">
        <w:rPr>
          <w:spacing w:val="-1"/>
          <w:lang w:val="fr-FR"/>
        </w:rPr>
        <w:t>I)</w:t>
      </w:r>
      <w:r w:rsidR="009C65BB" w:rsidRPr="004D0A2C">
        <w:rPr>
          <w:spacing w:val="-1"/>
          <w:lang w:val="fr-FR"/>
        </w:rPr>
        <w:t>.</w:t>
      </w:r>
    </w:p>
    <w:p w14:paraId="6E9CB6BE" w14:textId="0DD5E546" w:rsidR="006F26A8" w:rsidRPr="004D0A2C" w:rsidRDefault="006F26A8" w:rsidP="00BD5A78">
      <w:pPr>
        <w:pStyle w:val="SingleTxtG"/>
        <w:rPr>
          <w:lang w:val="fr-FR"/>
        </w:rPr>
      </w:pPr>
      <w:r w:rsidRPr="004D0A2C">
        <w:rPr>
          <w:lang w:val="fr-FR"/>
        </w:rPr>
        <w:t>70</w:t>
      </w:r>
      <w:r w:rsidR="009C65BB" w:rsidRPr="004D0A2C">
        <w:rPr>
          <w:lang w:val="fr-FR"/>
        </w:rPr>
        <w:t>.</w:t>
      </w:r>
      <w:r w:rsidRPr="004D0A2C">
        <w:rPr>
          <w:lang w:val="fr-FR"/>
        </w:rPr>
        <w:tab/>
        <w:t>Le Sous-Comité a pris note de certaines observations relatives à la nécessité de clarifier les amendements supplémentaires au 6</w:t>
      </w:r>
      <w:r w:rsidR="009C65BB" w:rsidRPr="004D0A2C">
        <w:rPr>
          <w:lang w:val="fr-FR"/>
        </w:rPr>
        <w:t>.</w:t>
      </w:r>
      <w:r w:rsidRPr="004D0A2C">
        <w:rPr>
          <w:lang w:val="fr-FR"/>
        </w:rPr>
        <w:t>2</w:t>
      </w:r>
      <w:r w:rsidR="009C65BB" w:rsidRPr="004D0A2C">
        <w:rPr>
          <w:lang w:val="fr-FR"/>
        </w:rPr>
        <w:t>.</w:t>
      </w:r>
      <w:r w:rsidRPr="004D0A2C">
        <w:rPr>
          <w:lang w:val="fr-FR"/>
        </w:rPr>
        <w:t>3</w:t>
      </w:r>
      <w:r w:rsidR="009C65BB" w:rsidRPr="004D0A2C">
        <w:rPr>
          <w:lang w:val="fr-FR"/>
        </w:rPr>
        <w:t>.</w:t>
      </w:r>
      <w:r w:rsidRPr="004D0A2C">
        <w:rPr>
          <w:lang w:val="fr-FR"/>
        </w:rPr>
        <w:t>5 proposés dans le document informel INF</w:t>
      </w:r>
      <w:r w:rsidR="009C65BB" w:rsidRPr="004D0A2C">
        <w:rPr>
          <w:lang w:val="fr-FR"/>
        </w:rPr>
        <w:t>.</w:t>
      </w:r>
      <w:r w:rsidRPr="004D0A2C">
        <w:rPr>
          <w:lang w:val="fr-FR"/>
        </w:rPr>
        <w:t>44 et d</w:t>
      </w:r>
      <w:r w:rsidR="00AD27B0" w:rsidRPr="004D0A2C">
        <w:rPr>
          <w:lang w:val="fr-FR"/>
        </w:rPr>
        <w:t>’</w:t>
      </w:r>
      <w:r w:rsidRPr="004D0A2C">
        <w:rPr>
          <w:lang w:val="fr-FR"/>
        </w:rPr>
        <w:t>ajouter des dispositions concernant le marquage</w:t>
      </w:r>
      <w:r w:rsidR="009C65BB" w:rsidRPr="004D0A2C">
        <w:rPr>
          <w:lang w:val="fr-FR"/>
        </w:rPr>
        <w:t>.</w:t>
      </w:r>
      <w:r w:rsidRPr="004D0A2C">
        <w:rPr>
          <w:lang w:val="fr-FR"/>
        </w:rPr>
        <w:t xml:space="preserve"> Il a été convenu de reprendre l</w:t>
      </w:r>
      <w:r w:rsidR="00AD27B0" w:rsidRPr="004D0A2C">
        <w:rPr>
          <w:lang w:val="fr-FR"/>
        </w:rPr>
        <w:t>’</w:t>
      </w:r>
      <w:r w:rsidRPr="004D0A2C">
        <w:rPr>
          <w:lang w:val="fr-FR"/>
        </w:rPr>
        <w:t>examen de cette question à la session de décembre 2023, sur la base d</w:t>
      </w:r>
      <w:r w:rsidR="00AD27B0" w:rsidRPr="004D0A2C">
        <w:rPr>
          <w:lang w:val="fr-FR"/>
        </w:rPr>
        <w:t>’</w:t>
      </w:r>
      <w:r w:rsidRPr="004D0A2C">
        <w:rPr>
          <w:lang w:val="fr-FR"/>
        </w:rPr>
        <w:t>un document officiel soumis par l</w:t>
      </w:r>
      <w:r w:rsidR="00AD27B0" w:rsidRPr="004D0A2C">
        <w:rPr>
          <w:lang w:val="fr-FR"/>
        </w:rPr>
        <w:t>’</w:t>
      </w:r>
      <w:r w:rsidRPr="004D0A2C">
        <w:rPr>
          <w:lang w:val="fr-FR"/>
        </w:rPr>
        <w:t>Allemagne</w:t>
      </w:r>
      <w:r w:rsidR="009C65BB" w:rsidRPr="004D0A2C">
        <w:rPr>
          <w:lang w:val="fr-FR"/>
        </w:rPr>
        <w:t>.</w:t>
      </w:r>
    </w:p>
    <w:p w14:paraId="0D1B9AD3" w14:textId="05C392B3" w:rsidR="006F26A8" w:rsidRPr="004D0A2C" w:rsidRDefault="006F26A8" w:rsidP="00BD5A78">
      <w:pPr>
        <w:pStyle w:val="H23G"/>
        <w:rPr>
          <w:lang w:val="fr-FR"/>
        </w:rPr>
      </w:pPr>
      <w:r w:rsidRPr="004D0A2C">
        <w:rPr>
          <w:lang w:val="fr-FR"/>
        </w:rPr>
        <w:tab/>
        <w:t>2</w:t>
      </w:r>
      <w:r w:rsidR="009C65BB" w:rsidRPr="004D0A2C">
        <w:rPr>
          <w:lang w:val="fr-FR"/>
        </w:rPr>
        <w:t>.</w:t>
      </w:r>
      <w:r w:rsidRPr="004D0A2C">
        <w:rPr>
          <w:lang w:val="fr-FR"/>
        </w:rPr>
        <w:tab/>
        <w:t>Normes ISO mises à jour</w:t>
      </w:r>
    </w:p>
    <w:p w14:paraId="770F579B" w14:textId="488D260D"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7" w:history="1">
        <w:r w:rsidR="004F62B2">
          <w:rPr>
            <w:rStyle w:val="Hyperlink"/>
            <w:lang w:val="fr-FR"/>
          </w:rPr>
          <w:t>ST/SG/AC.10/C.3/2023/21</w:t>
        </w:r>
      </w:hyperlink>
      <w:r w:rsidRPr="004D0A2C">
        <w:rPr>
          <w:lang w:val="fr-FR"/>
        </w:rPr>
        <w:t xml:space="preserve"> (ISO)</w:t>
      </w:r>
    </w:p>
    <w:p w14:paraId="22A0D60A" w14:textId="6BC86031" w:rsidR="006F26A8" w:rsidRPr="004D0A2C" w:rsidRDefault="006F26A8" w:rsidP="00BD5A78">
      <w:pPr>
        <w:pStyle w:val="SingleTxtG"/>
        <w:rPr>
          <w:lang w:val="fr-FR"/>
        </w:rPr>
      </w:pPr>
      <w:r w:rsidRPr="004D0A2C">
        <w:rPr>
          <w:lang w:val="fr-FR"/>
        </w:rPr>
        <w:t>71</w:t>
      </w:r>
      <w:r w:rsidR="009C65BB" w:rsidRPr="004D0A2C">
        <w:rPr>
          <w:lang w:val="fr-FR"/>
        </w:rPr>
        <w:t>.</w:t>
      </w:r>
      <w:r w:rsidRPr="004D0A2C">
        <w:rPr>
          <w:lang w:val="fr-FR"/>
        </w:rPr>
        <w:tab/>
        <w:t>Le Sous-Comité s</w:t>
      </w:r>
      <w:r w:rsidR="00AD27B0" w:rsidRPr="004D0A2C">
        <w:rPr>
          <w:lang w:val="fr-FR"/>
        </w:rPr>
        <w:t>’</w:t>
      </w:r>
      <w:r w:rsidRPr="004D0A2C">
        <w:rPr>
          <w:lang w:val="fr-FR"/>
        </w:rPr>
        <w:t>est souvenu qu</w:t>
      </w:r>
      <w:r w:rsidR="00AD27B0" w:rsidRPr="004D0A2C">
        <w:rPr>
          <w:lang w:val="fr-FR"/>
        </w:rPr>
        <w:t>’</w:t>
      </w:r>
      <w:r w:rsidRPr="004D0A2C">
        <w:rPr>
          <w:lang w:val="fr-FR"/>
        </w:rPr>
        <w:t>il avait décidé de reporter l</w:t>
      </w:r>
      <w:r w:rsidR="00AD27B0" w:rsidRPr="004D0A2C">
        <w:rPr>
          <w:lang w:val="fr-FR"/>
        </w:rPr>
        <w:t>’</w:t>
      </w:r>
      <w:r w:rsidRPr="004D0A2C">
        <w:rPr>
          <w:lang w:val="fr-FR"/>
        </w:rPr>
        <w:t>examen du document officiel énuméré sous ce point à sa session de décembre 2023 (voir par</w:t>
      </w:r>
      <w:r w:rsidR="009C65BB" w:rsidRPr="004D0A2C">
        <w:rPr>
          <w:lang w:val="fr-FR"/>
        </w:rPr>
        <w:t>.</w:t>
      </w:r>
      <w:r w:rsidRPr="004D0A2C">
        <w:rPr>
          <w:lang w:val="fr-FR"/>
        </w:rPr>
        <w:t>11 ci-dessus)</w:t>
      </w:r>
      <w:r w:rsidR="009C65BB" w:rsidRPr="004D0A2C">
        <w:rPr>
          <w:lang w:val="fr-FR"/>
        </w:rPr>
        <w:t>.</w:t>
      </w:r>
      <w:r w:rsidRPr="004D0A2C">
        <w:rPr>
          <w:lang w:val="fr-FR"/>
        </w:rPr>
        <w:t xml:space="preserve"> Le</w:t>
      </w:r>
      <w:r w:rsidR="006C0BD4" w:rsidRPr="004D0A2C">
        <w:rPr>
          <w:lang w:val="fr-FR"/>
        </w:rPr>
        <w:t> </w:t>
      </w:r>
      <w:r w:rsidRPr="004D0A2C">
        <w:rPr>
          <w:lang w:val="fr-FR"/>
        </w:rPr>
        <w:t>secrétariat a rappelé que les normes énumérées dans ledit document venaient d</w:t>
      </w:r>
      <w:r w:rsidR="00AD27B0" w:rsidRPr="004D0A2C">
        <w:rPr>
          <w:lang w:val="fr-FR"/>
        </w:rPr>
        <w:t>’</w:t>
      </w:r>
      <w:r w:rsidRPr="004D0A2C">
        <w:rPr>
          <w:lang w:val="fr-FR"/>
        </w:rPr>
        <w:t>être diffusées par courriel</w:t>
      </w:r>
      <w:r w:rsidR="009C65BB" w:rsidRPr="004D0A2C">
        <w:rPr>
          <w:lang w:val="fr-FR"/>
        </w:rPr>
        <w:t>.</w:t>
      </w:r>
    </w:p>
    <w:p w14:paraId="0F3FF382" w14:textId="20F186F2" w:rsidR="006F26A8" w:rsidRPr="004D0A2C" w:rsidRDefault="006F26A8" w:rsidP="00BD5A78">
      <w:pPr>
        <w:pStyle w:val="HChG"/>
        <w:rPr>
          <w:lang w:val="fr-FR"/>
        </w:rPr>
      </w:pPr>
      <w:r w:rsidRPr="004D0A2C">
        <w:rPr>
          <w:lang w:val="fr-FR"/>
        </w:rPr>
        <w:tab/>
        <w:t>VIII</w:t>
      </w:r>
      <w:r w:rsidR="009C65BB" w:rsidRPr="004D0A2C">
        <w:rPr>
          <w:lang w:val="fr-FR"/>
        </w:rPr>
        <w:t>.</w:t>
      </w:r>
      <w:r w:rsidRPr="004D0A2C">
        <w:rPr>
          <w:lang w:val="fr-FR"/>
        </w:rPr>
        <w:tab/>
        <w:t>Propositions diverses d</w:t>
      </w:r>
      <w:r w:rsidR="00AD27B0" w:rsidRPr="004D0A2C">
        <w:rPr>
          <w:lang w:val="fr-FR"/>
        </w:rPr>
        <w:t>’</w:t>
      </w:r>
      <w:r w:rsidRPr="004D0A2C">
        <w:rPr>
          <w:lang w:val="fr-FR"/>
        </w:rPr>
        <w:t xml:space="preserve">amendements au Règlement type pour le transport des marchandises dangereuses </w:t>
      </w:r>
      <w:r w:rsidR="00BD5A78" w:rsidRPr="004D0A2C">
        <w:rPr>
          <w:lang w:val="fr-FR"/>
        </w:rPr>
        <w:br/>
      </w:r>
      <w:r w:rsidRPr="004D0A2C">
        <w:rPr>
          <w:lang w:val="fr-FR"/>
        </w:rPr>
        <w:t>(point 6 de l</w:t>
      </w:r>
      <w:r w:rsidR="00AD27B0" w:rsidRPr="004D0A2C">
        <w:rPr>
          <w:lang w:val="fr-FR"/>
        </w:rPr>
        <w:t>’</w:t>
      </w:r>
      <w:r w:rsidRPr="004D0A2C">
        <w:rPr>
          <w:lang w:val="fr-FR"/>
        </w:rPr>
        <w:t>ordre du jour)</w:t>
      </w:r>
    </w:p>
    <w:p w14:paraId="236D8CB5" w14:textId="6C3EBB09"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Marquage et étiquetage</w:t>
      </w:r>
    </w:p>
    <w:p w14:paraId="3CBBC45C" w14:textId="05E216A2"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8" w:history="1">
        <w:r w:rsidR="004F62B2">
          <w:rPr>
            <w:rStyle w:val="Hyperlink"/>
            <w:lang w:val="fr-FR"/>
          </w:rPr>
          <w:t>ST/SG/AC.10/C.3/2023/10</w:t>
        </w:r>
      </w:hyperlink>
      <w:r w:rsidRPr="004D0A2C">
        <w:rPr>
          <w:lang w:val="fr-FR"/>
        </w:rPr>
        <w:t xml:space="preserve"> (Chine)</w:t>
      </w:r>
    </w:p>
    <w:p w14:paraId="0A68D7A4" w14:textId="3DC50179" w:rsidR="006F26A8" w:rsidRPr="004D0A2C" w:rsidRDefault="006F26A8" w:rsidP="00BD5A78">
      <w:pPr>
        <w:pStyle w:val="SingleTxtG"/>
        <w:rPr>
          <w:lang w:val="fr-FR"/>
        </w:rPr>
      </w:pPr>
      <w:r w:rsidRPr="004D0A2C">
        <w:rPr>
          <w:lang w:val="fr-FR"/>
        </w:rPr>
        <w:t>72</w:t>
      </w:r>
      <w:r w:rsidR="009C65BB" w:rsidRPr="004D0A2C">
        <w:rPr>
          <w:lang w:val="fr-FR"/>
        </w:rPr>
        <w:t>.</w:t>
      </w:r>
      <w:r w:rsidRPr="004D0A2C">
        <w:rPr>
          <w:lang w:val="fr-FR"/>
        </w:rPr>
        <w:tab/>
        <w:t>Le document initialement soumis au titre de ce point de l</w:t>
      </w:r>
      <w:r w:rsidR="00AD27B0" w:rsidRPr="004D0A2C">
        <w:rPr>
          <w:lang w:val="fr-FR"/>
        </w:rPr>
        <w:t>’</w:t>
      </w:r>
      <w:r w:rsidRPr="004D0A2C">
        <w:rPr>
          <w:lang w:val="fr-FR"/>
        </w:rPr>
        <w:t>ordre du jour a été examiné au titre du point 4 c) de l</w:t>
      </w:r>
      <w:r w:rsidR="00AD27B0" w:rsidRPr="004D0A2C">
        <w:rPr>
          <w:lang w:val="fr-FR"/>
        </w:rPr>
        <w:t>’</w:t>
      </w:r>
      <w:r w:rsidRPr="004D0A2C">
        <w:rPr>
          <w:lang w:val="fr-FR"/>
        </w:rPr>
        <w:t>ordre du jour (voir par</w:t>
      </w:r>
      <w:r w:rsidR="009C65BB" w:rsidRPr="004D0A2C">
        <w:rPr>
          <w:lang w:val="fr-FR"/>
        </w:rPr>
        <w:t>.</w:t>
      </w:r>
      <w:r w:rsidRPr="004D0A2C">
        <w:rPr>
          <w:lang w:val="fr-FR"/>
        </w:rPr>
        <w:t xml:space="preserve"> 56 ci-dessus)</w:t>
      </w:r>
      <w:r w:rsidR="009C65BB" w:rsidRPr="004D0A2C">
        <w:rPr>
          <w:lang w:val="fr-FR"/>
        </w:rPr>
        <w:t>.</w:t>
      </w:r>
    </w:p>
    <w:p w14:paraId="7325565D" w14:textId="3F24DB44" w:rsidR="006F26A8" w:rsidRPr="004D0A2C" w:rsidRDefault="006F26A8" w:rsidP="00834855">
      <w:pPr>
        <w:pStyle w:val="H1G"/>
        <w:rPr>
          <w:lang w:val="fr-FR"/>
        </w:rPr>
      </w:pPr>
      <w:r w:rsidRPr="004D0A2C">
        <w:rPr>
          <w:lang w:val="fr-FR"/>
        </w:rPr>
        <w:lastRenderedPageBreak/>
        <w:tab/>
        <w:t>B</w:t>
      </w:r>
      <w:r w:rsidR="009C65BB" w:rsidRPr="004D0A2C">
        <w:rPr>
          <w:lang w:val="fr-FR"/>
        </w:rPr>
        <w:t>.</w:t>
      </w:r>
      <w:r w:rsidRPr="004D0A2C">
        <w:rPr>
          <w:lang w:val="fr-FR"/>
        </w:rPr>
        <w:tab/>
        <w:t>Emballages, y compris l</w:t>
      </w:r>
      <w:r w:rsidR="00AD27B0" w:rsidRPr="004D0A2C">
        <w:rPr>
          <w:lang w:val="fr-FR"/>
        </w:rPr>
        <w:t>’</w:t>
      </w:r>
      <w:r w:rsidRPr="004D0A2C">
        <w:rPr>
          <w:lang w:val="fr-FR"/>
        </w:rPr>
        <w:t>utilisation des matières plastiques recyclées</w:t>
      </w:r>
    </w:p>
    <w:p w14:paraId="7A6F18EE" w14:textId="0A119866" w:rsidR="006F26A8" w:rsidRPr="004D0A2C" w:rsidRDefault="006F26A8" w:rsidP="00834855">
      <w:pPr>
        <w:pStyle w:val="H23G"/>
        <w:rPr>
          <w:lang w:val="fr-FR"/>
        </w:rPr>
      </w:pPr>
      <w:r w:rsidRPr="004D0A2C">
        <w:rPr>
          <w:lang w:val="fr-FR"/>
        </w:rPr>
        <w:tab/>
        <w:t>1</w:t>
      </w:r>
      <w:r w:rsidR="009C65BB" w:rsidRPr="004D0A2C">
        <w:rPr>
          <w:lang w:val="fr-FR"/>
        </w:rPr>
        <w:t>.</w:t>
      </w:r>
      <w:r w:rsidRPr="004D0A2C">
        <w:rPr>
          <w:lang w:val="fr-FR"/>
        </w:rPr>
        <w:tab/>
        <w:t>Utilisation de matières plastiques recyclées pour les grands récipients pour vrac souples</w:t>
      </w:r>
    </w:p>
    <w:p w14:paraId="131C5913" w14:textId="2C79B2F6" w:rsidR="006F26A8" w:rsidRPr="004D0A2C" w:rsidRDefault="006F26A8" w:rsidP="00834855">
      <w:pPr>
        <w:pStyle w:val="SingleTxtG"/>
        <w:keepNext/>
        <w:keepLines/>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49" w:history="1">
        <w:r w:rsidR="004F62B2">
          <w:rPr>
            <w:rStyle w:val="Hyperlink"/>
            <w:lang w:val="fr-FR"/>
          </w:rPr>
          <w:t>ST/SG/AC.10/C.3/2023/27</w:t>
        </w:r>
      </w:hyperlink>
      <w:r w:rsidRPr="004D0A2C">
        <w:rPr>
          <w:lang w:val="fr-FR"/>
        </w:rPr>
        <w:t xml:space="preserve"> (Belgique)</w:t>
      </w:r>
    </w:p>
    <w:p w14:paraId="348ABA3A" w14:textId="20FD5ED2" w:rsidR="00C5545A" w:rsidRPr="004D0A2C" w:rsidRDefault="006F26A8" w:rsidP="00BD5A78">
      <w:pPr>
        <w:pStyle w:val="SingleTxtG"/>
        <w:rPr>
          <w:lang w:val="fr-FR"/>
        </w:rPr>
      </w:pPr>
      <w:r w:rsidRPr="004D0A2C">
        <w:rPr>
          <w:lang w:val="fr-FR"/>
        </w:rPr>
        <w:t>73</w:t>
      </w:r>
      <w:r w:rsidR="009C65BB" w:rsidRPr="004D0A2C">
        <w:rPr>
          <w:lang w:val="fr-FR"/>
        </w:rPr>
        <w:t>.</w:t>
      </w:r>
      <w:r w:rsidRPr="004D0A2C">
        <w:rPr>
          <w:lang w:val="fr-FR"/>
        </w:rPr>
        <w:tab/>
        <w:t>La plupart des experts qui se sont exprimés ont appuyé la proposition dans son principe et ont rappelé que le Sous-Comité avait décidé de permettre une utilisation accrue des matières plastiques recyclées grâce au recours aux polymères recyclables et à des procédures d</w:t>
      </w:r>
      <w:r w:rsidR="00AD27B0" w:rsidRPr="004D0A2C">
        <w:rPr>
          <w:lang w:val="fr-FR"/>
        </w:rPr>
        <w:t>’</w:t>
      </w:r>
      <w:r w:rsidRPr="004D0A2C">
        <w:rPr>
          <w:lang w:val="fr-FR"/>
        </w:rPr>
        <w:t>assurance qualité</w:t>
      </w:r>
      <w:r w:rsidR="009C65BB" w:rsidRPr="004D0A2C">
        <w:rPr>
          <w:lang w:val="fr-FR"/>
        </w:rPr>
        <w:t>.</w:t>
      </w:r>
      <w:r w:rsidRPr="004D0A2C">
        <w:rPr>
          <w:lang w:val="fr-FR"/>
        </w:rPr>
        <w:t xml:space="preserve"> D</w:t>
      </w:r>
      <w:r w:rsidR="00AD27B0" w:rsidRPr="004D0A2C">
        <w:rPr>
          <w:lang w:val="fr-FR"/>
        </w:rPr>
        <w:t>’</w:t>
      </w:r>
      <w:r w:rsidRPr="004D0A2C">
        <w:rPr>
          <w:lang w:val="fr-FR"/>
        </w:rPr>
        <w:t>autres ont estimé que le texte proposé n</w:t>
      </w:r>
      <w:r w:rsidR="00AD27B0" w:rsidRPr="004D0A2C">
        <w:rPr>
          <w:lang w:val="fr-FR"/>
        </w:rPr>
        <w:t>’</w:t>
      </w:r>
      <w:r w:rsidRPr="004D0A2C">
        <w:rPr>
          <w:lang w:val="fr-FR"/>
        </w:rPr>
        <w:t>était pas nécessaire</w:t>
      </w:r>
      <w:r w:rsidR="00F11B64" w:rsidRPr="004D0A2C">
        <w:rPr>
          <w:lang w:val="fr-FR"/>
        </w:rPr>
        <w:t>,</w:t>
      </w:r>
      <w:r w:rsidRPr="004D0A2C">
        <w:rPr>
          <w:lang w:val="fr-FR"/>
        </w:rPr>
        <w:t xml:space="preserve"> car le 6</w:t>
      </w:r>
      <w:r w:rsidR="009C65BB" w:rsidRPr="004D0A2C">
        <w:rPr>
          <w:lang w:val="fr-FR"/>
        </w:rPr>
        <w:t>.</w:t>
      </w:r>
      <w:r w:rsidRPr="004D0A2C">
        <w:rPr>
          <w:lang w:val="fr-FR"/>
        </w:rPr>
        <w:t>5</w:t>
      </w:r>
      <w:r w:rsidR="009C65BB" w:rsidRPr="004D0A2C">
        <w:rPr>
          <w:lang w:val="fr-FR"/>
        </w:rPr>
        <w:t>.</w:t>
      </w:r>
      <w:r w:rsidRPr="004D0A2C">
        <w:rPr>
          <w:lang w:val="fr-FR"/>
        </w:rPr>
        <w:t>5</w:t>
      </w:r>
      <w:r w:rsidR="009C65BB" w:rsidRPr="004D0A2C">
        <w:rPr>
          <w:lang w:val="fr-FR"/>
        </w:rPr>
        <w:t>.</w:t>
      </w:r>
      <w:r w:rsidRPr="004D0A2C">
        <w:rPr>
          <w:lang w:val="fr-FR"/>
        </w:rPr>
        <w:t>2</w:t>
      </w:r>
      <w:r w:rsidR="009C65BB" w:rsidRPr="004D0A2C">
        <w:rPr>
          <w:lang w:val="fr-FR"/>
        </w:rPr>
        <w:t>.</w:t>
      </w:r>
      <w:r w:rsidRPr="004D0A2C">
        <w:rPr>
          <w:lang w:val="fr-FR"/>
        </w:rPr>
        <w:t>8 ne faisait pas référence aux matières plastiques mais aux matériaux en général (par exemple, pour les composants et les pièces) et que l</w:t>
      </w:r>
      <w:r w:rsidR="00AD27B0" w:rsidRPr="004D0A2C">
        <w:rPr>
          <w:lang w:val="fr-FR"/>
        </w:rPr>
        <w:t>’</w:t>
      </w:r>
      <w:r w:rsidRPr="004D0A2C">
        <w:rPr>
          <w:lang w:val="fr-FR"/>
        </w:rPr>
        <w:t>utilisation de matières plastiques recyclées était déjà autorisée par la formulation actuelle</w:t>
      </w:r>
      <w:r w:rsidR="009C65BB" w:rsidRPr="004D0A2C">
        <w:rPr>
          <w:lang w:val="fr-FR"/>
        </w:rPr>
        <w:t>.</w:t>
      </w:r>
    </w:p>
    <w:p w14:paraId="2CA455C6" w14:textId="1E7548C8" w:rsidR="00C5545A" w:rsidRPr="004D0A2C" w:rsidRDefault="006F26A8" w:rsidP="00BD5A78">
      <w:pPr>
        <w:pStyle w:val="SingleTxtG"/>
        <w:rPr>
          <w:lang w:val="fr-FR"/>
        </w:rPr>
      </w:pPr>
      <w:r w:rsidRPr="004D0A2C">
        <w:rPr>
          <w:lang w:val="fr-FR"/>
        </w:rPr>
        <w:t>74</w:t>
      </w:r>
      <w:r w:rsidR="009C65BB" w:rsidRPr="004D0A2C">
        <w:rPr>
          <w:lang w:val="fr-FR"/>
        </w:rPr>
        <w:t>.</w:t>
      </w:r>
      <w:r w:rsidRPr="004D0A2C">
        <w:rPr>
          <w:lang w:val="fr-FR"/>
        </w:rPr>
        <w:tab/>
        <w:t>L</w:t>
      </w:r>
      <w:r w:rsidR="00AD27B0" w:rsidRPr="004D0A2C">
        <w:rPr>
          <w:lang w:val="fr-FR"/>
        </w:rPr>
        <w:t>’</w:t>
      </w:r>
      <w:r w:rsidRPr="004D0A2C">
        <w:rPr>
          <w:lang w:val="fr-FR"/>
        </w:rPr>
        <w:t>expert de la Belgique a invité tous les représentants à lui faire parvenir leurs commentaires par écrit et a proposé d</w:t>
      </w:r>
      <w:r w:rsidR="00AD27B0" w:rsidRPr="004D0A2C">
        <w:rPr>
          <w:lang w:val="fr-FR"/>
        </w:rPr>
        <w:t>’</w:t>
      </w:r>
      <w:r w:rsidRPr="004D0A2C">
        <w:rPr>
          <w:lang w:val="fr-FR"/>
        </w:rPr>
        <w:t>élaborer un document révisé pour la session suivante, en tenant compte des observations reçues</w:t>
      </w:r>
      <w:r w:rsidR="009C65BB" w:rsidRPr="004D0A2C">
        <w:rPr>
          <w:lang w:val="fr-FR"/>
        </w:rPr>
        <w:t>.</w:t>
      </w:r>
    </w:p>
    <w:p w14:paraId="750C48DB" w14:textId="09E7508A" w:rsidR="006F26A8" w:rsidRPr="004D0A2C" w:rsidRDefault="006F26A8" w:rsidP="00BD5A78">
      <w:pPr>
        <w:pStyle w:val="H23G"/>
        <w:rPr>
          <w:lang w:val="fr-FR"/>
        </w:rPr>
      </w:pPr>
      <w:r w:rsidRPr="004D0A2C">
        <w:rPr>
          <w:lang w:val="fr-FR"/>
        </w:rPr>
        <w:tab/>
        <w:t>2</w:t>
      </w:r>
      <w:r w:rsidR="009C65BB" w:rsidRPr="004D0A2C">
        <w:rPr>
          <w:lang w:val="fr-FR"/>
        </w:rPr>
        <w:t>.</w:t>
      </w:r>
      <w:r w:rsidRPr="004D0A2C">
        <w:rPr>
          <w:lang w:val="fr-FR"/>
        </w:rPr>
        <w:tab/>
        <w:t>Révision de la norme ISO 535</w:t>
      </w:r>
      <w:r w:rsidR="00AD27B0" w:rsidRPr="004D0A2C">
        <w:rPr>
          <w:lang w:val="fr-FR"/>
        </w:rPr>
        <w:t>:</w:t>
      </w:r>
      <w:r w:rsidRPr="004D0A2C">
        <w:rPr>
          <w:lang w:val="fr-FR"/>
        </w:rPr>
        <w:t>2014</w:t>
      </w:r>
    </w:p>
    <w:p w14:paraId="7353E275" w14:textId="2A325E7F"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20 (Espagne)</w:t>
      </w:r>
    </w:p>
    <w:p w14:paraId="742387BB" w14:textId="5EB9A042" w:rsidR="006F26A8" w:rsidRPr="004D0A2C" w:rsidRDefault="006F26A8" w:rsidP="00BD5A78">
      <w:pPr>
        <w:pStyle w:val="SingleTxtG"/>
        <w:rPr>
          <w:lang w:val="fr-FR"/>
        </w:rPr>
      </w:pPr>
      <w:r w:rsidRPr="004D0A2C">
        <w:rPr>
          <w:lang w:val="fr-FR"/>
        </w:rPr>
        <w:t>75</w:t>
      </w:r>
      <w:r w:rsidR="009C65BB" w:rsidRPr="004D0A2C">
        <w:rPr>
          <w:lang w:val="fr-FR"/>
        </w:rPr>
        <w:t>.</w:t>
      </w:r>
      <w:r w:rsidRPr="004D0A2C">
        <w:rPr>
          <w:lang w:val="fr-FR"/>
        </w:rPr>
        <w:tab/>
        <w:t>La plupart des experts qui se sont exprimés ont apporté leur soutien de principe aux amendements proposés dans le document informel INF</w:t>
      </w:r>
      <w:r w:rsidR="009C65BB" w:rsidRPr="004D0A2C">
        <w:rPr>
          <w:lang w:val="fr-FR"/>
        </w:rPr>
        <w:t>.</w:t>
      </w:r>
      <w:r w:rsidRPr="004D0A2C">
        <w:rPr>
          <w:lang w:val="fr-FR"/>
        </w:rPr>
        <w:t>20</w:t>
      </w:r>
      <w:r w:rsidR="009C65BB" w:rsidRPr="004D0A2C">
        <w:rPr>
          <w:lang w:val="fr-FR"/>
        </w:rPr>
        <w:t>.</w:t>
      </w:r>
      <w:r w:rsidRPr="004D0A2C">
        <w:rPr>
          <w:lang w:val="fr-FR"/>
        </w:rPr>
        <w:t xml:space="preserve"> Certains préféraient toutefois procéder à un examen approfondi de la question avant d</w:t>
      </w:r>
      <w:r w:rsidR="00AD27B0" w:rsidRPr="004D0A2C">
        <w:rPr>
          <w:lang w:val="fr-FR"/>
        </w:rPr>
        <w:t>’</w:t>
      </w:r>
      <w:r w:rsidRPr="004D0A2C">
        <w:rPr>
          <w:lang w:val="fr-FR"/>
        </w:rPr>
        <w:t>adopter les amendements</w:t>
      </w:r>
      <w:r w:rsidR="009C65BB" w:rsidRPr="004D0A2C">
        <w:rPr>
          <w:lang w:val="fr-FR"/>
        </w:rPr>
        <w:t>.</w:t>
      </w:r>
      <w:r w:rsidRPr="004D0A2C">
        <w:rPr>
          <w:lang w:val="fr-FR"/>
        </w:rPr>
        <w:t xml:space="preserve"> Le</w:t>
      </w:r>
      <w:r w:rsidR="009C69C8" w:rsidRPr="004D0A2C">
        <w:rPr>
          <w:lang w:val="fr-FR"/>
        </w:rPr>
        <w:t> </w:t>
      </w:r>
      <w:r w:rsidRPr="004D0A2C">
        <w:rPr>
          <w:lang w:val="fr-FR"/>
        </w:rPr>
        <w:t>secrétariat a été prié de contacter l</w:t>
      </w:r>
      <w:r w:rsidR="00AD27B0" w:rsidRPr="004D0A2C">
        <w:rPr>
          <w:lang w:val="fr-FR"/>
        </w:rPr>
        <w:t>’</w:t>
      </w:r>
      <w:r w:rsidRPr="004D0A2C">
        <w:rPr>
          <w:lang w:val="fr-FR"/>
        </w:rPr>
        <w:t>ISO pour obtenir une copie électronique de la norme ISO 535</w:t>
      </w:r>
      <w:r w:rsidR="00AD27B0" w:rsidRPr="004D0A2C">
        <w:rPr>
          <w:lang w:val="fr-FR"/>
        </w:rPr>
        <w:t>:</w:t>
      </w:r>
      <w:r w:rsidRPr="004D0A2C">
        <w:rPr>
          <w:lang w:val="fr-FR"/>
        </w:rPr>
        <w:t>2023 afin de la distribuer aux représentants</w:t>
      </w:r>
      <w:r w:rsidR="009C65BB" w:rsidRPr="004D0A2C">
        <w:rPr>
          <w:lang w:val="fr-FR"/>
        </w:rPr>
        <w:t>.</w:t>
      </w:r>
      <w:r w:rsidRPr="004D0A2C">
        <w:rPr>
          <w:lang w:val="fr-FR"/>
        </w:rPr>
        <w:t xml:space="preserve"> Le Sous-Comité a décidé que les discussions sur cette question continueraient à la session suivante, sur la base d</w:t>
      </w:r>
      <w:r w:rsidR="00AD27B0" w:rsidRPr="004D0A2C">
        <w:rPr>
          <w:lang w:val="fr-FR"/>
        </w:rPr>
        <w:t>’</w:t>
      </w:r>
      <w:r w:rsidRPr="004D0A2C">
        <w:rPr>
          <w:lang w:val="fr-FR"/>
        </w:rPr>
        <w:t>un document officiel qui serait soumis par l</w:t>
      </w:r>
      <w:r w:rsidR="00AD27B0" w:rsidRPr="004D0A2C">
        <w:rPr>
          <w:lang w:val="fr-FR"/>
        </w:rPr>
        <w:t>’</w:t>
      </w:r>
      <w:r w:rsidRPr="004D0A2C">
        <w:rPr>
          <w:lang w:val="fr-FR"/>
        </w:rPr>
        <w:t>Espagne</w:t>
      </w:r>
      <w:r w:rsidR="009C65BB" w:rsidRPr="004D0A2C">
        <w:rPr>
          <w:lang w:val="fr-FR"/>
        </w:rPr>
        <w:t>.</w:t>
      </w:r>
    </w:p>
    <w:p w14:paraId="121AFA10" w14:textId="1EA8DD99" w:rsidR="006F26A8" w:rsidRPr="004D0A2C" w:rsidRDefault="006F26A8" w:rsidP="00BD5A78">
      <w:pPr>
        <w:pStyle w:val="H1G"/>
        <w:rPr>
          <w:lang w:val="fr-FR"/>
        </w:rPr>
      </w:pPr>
      <w:r w:rsidRPr="004D0A2C">
        <w:rPr>
          <w:lang w:val="fr-FR"/>
        </w:rPr>
        <w:tab/>
        <w:t>C</w:t>
      </w:r>
      <w:r w:rsidR="009C65BB" w:rsidRPr="004D0A2C">
        <w:rPr>
          <w:lang w:val="fr-FR"/>
        </w:rPr>
        <w:t>.</w:t>
      </w:r>
      <w:r w:rsidRPr="004D0A2C">
        <w:rPr>
          <w:lang w:val="fr-FR"/>
        </w:rPr>
        <w:tab/>
        <w:t>Citernes mobiles</w:t>
      </w:r>
    </w:p>
    <w:p w14:paraId="2FF7E54C" w14:textId="434362E0" w:rsidR="006F26A8" w:rsidRPr="004D0A2C" w:rsidRDefault="006F26A8" w:rsidP="00BD5A78">
      <w:pPr>
        <w:pStyle w:val="H23G"/>
        <w:rPr>
          <w:lang w:val="fr-FR"/>
        </w:rPr>
      </w:pPr>
      <w:r w:rsidRPr="004D0A2C">
        <w:rPr>
          <w:lang w:val="fr-FR"/>
        </w:rPr>
        <w:tab/>
        <w:t>1</w:t>
      </w:r>
      <w:r w:rsidR="009C65BB" w:rsidRPr="004D0A2C">
        <w:rPr>
          <w:lang w:val="fr-FR"/>
        </w:rPr>
        <w:t>.</w:t>
      </w:r>
      <w:r w:rsidRPr="004D0A2C">
        <w:rPr>
          <w:lang w:val="fr-FR"/>
        </w:rPr>
        <w:tab/>
        <w:t>Modification de la définition des termes «</w:t>
      </w:r>
      <w:r w:rsidR="001E550E" w:rsidRPr="004D0A2C">
        <w:rPr>
          <w:lang w:val="fr-FR"/>
        </w:rPr>
        <w:t> </w:t>
      </w:r>
      <w:r w:rsidRPr="004D0A2C">
        <w:rPr>
          <w:lang w:val="fr-FR"/>
        </w:rPr>
        <w:t>citerne en PRF</w:t>
      </w:r>
      <w:r w:rsidR="001E550E" w:rsidRPr="004D0A2C">
        <w:rPr>
          <w:lang w:val="fr-FR"/>
        </w:rPr>
        <w:t> </w:t>
      </w:r>
      <w:r w:rsidRPr="004D0A2C">
        <w:rPr>
          <w:lang w:val="fr-FR"/>
        </w:rPr>
        <w:t>» et «</w:t>
      </w:r>
      <w:r w:rsidR="001E550E" w:rsidRPr="004D0A2C">
        <w:rPr>
          <w:lang w:val="fr-FR"/>
        </w:rPr>
        <w:t> </w:t>
      </w:r>
      <w:r w:rsidRPr="004D0A2C">
        <w:rPr>
          <w:lang w:val="fr-FR"/>
        </w:rPr>
        <w:t>réservoir en PRF</w:t>
      </w:r>
      <w:r w:rsidR="001E550E" w:rsidRPr="004D0A2C">
        <w:rPr>
          <w:lang w:val="fr-FR"/>
        </w:rPr>
        <w:t> </w:t>
      </w:r>
      <w:r w:rsidRPr="004D0A2C">
        <w:rPr>
          <w:lang w:val="fr-FR"/>
        </w:rPr>
        <w:t>» au</w:t>
      </w:r>
      <w:r w:rsidR="00BD5A78" w:rsidRPr="004D0A2C">
        <w:rPr>
          <w:lang w:val="fr-FR"/>
        </w:rPr>
        <w:t> </w:t>
      </w:r>
      <w:r w:rsidRPr="004D0A2C">
        <w:rPr>
          <w:lang w:val="fr-FR"/>
        </w:rPr>
        <w:t>6</w:t>
      </w:r>
      <w:r w:rsidR="009C65BB" w:rsidRPr="004D0A2C">
        <w:rPr>
          <w:lang w:val="fr-FR"/>
        </w:rPr>
        <w:t>.</w:t>
      </w:r>
      <w:r w:rsidRPr="004D0A2C">
        <w:rPr>
          <w:lang w:val="fr-FR"/>
        </w:rPr>
        <w:t>9</w:t>
      </w:r>
      <w:r w:rsidR="009C65BB" w:rsidRPr="004D0A2C">
        <w:rPr>
          <w:lang w:val="fr-FR"/>
        </w:rPr>
        <w:t>.</w:t>
      </w:r>
      <w:r w:rsidRPr="004D0A2C">
        <w:rPr>
          <w:lang w:val="fr-FR"/>
        </w:rPr>
        <w:t>2</w:t>
      </w:r>
      <w:r w:rsidR="009C65BB" w:rsidRPr="004D0A2C">
        <w:rPr>
          <w:lang w:val="fr-FR"/>
        </w:rPr>
        <w:t>.</w:t>
      </w:r>
      <w:r w:rsidRPr="004D0A2C">
        <w:rPr>
          <w:lang w:val="fr-FR"/>
        </w:rPr>
        <w:t>1 du Règlement type</w:t>
      </w:r>
    </w:p>
    <w:p w14:paraId="542451E6" w14:textId="5AFCF746"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0" w:history="1">
        <w:r w:rsidR="004F62B2">
          <w:rPr>
            <w:rStyle w:val="Hyperlink"/>
            <w:lang w:val="fr-FR"/>
          </w:rPr>
          <w:t>ST/SG/AC.10/C.3/2023/20</w:t>
        </w:r>
      </w:hyperlink>
      <w:r w:rsidRPr="004D0A2C">
        <w:rPr>
          <w:lang w:val="fr-FR"/>
        </w:rPr>
        <w:t xml:space="preserve"> (Pologne)</w:t>
      </w:r>
    </w:p>
    <w:p w14:paraId="1066D4BA" w14:textId="355078EA"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43 (Fédération de Russie au nom du groupe de travail informel des équipements de service en PRF)</w:t>
      </w:r>
    </w:p>
    <w:p w14:paraId="53FB93D3" w14:textId="6A09A8A7" w:rsidR="006F26A8" w:rsidRPr="004D0A2C" w:rsidRDefault="006F26A8" w:rsidP="00BD5A78">
      <w:pPr>
        <w:pStyle w:val="SingleTxtG"/>
        <w:rPr>
          <w:lang w:val="fr-FR"/>
        </w:rPr>
      </w:pPr>
      <w:r w:rsidRPr="004D0A2C">
        <w:rPr>
          <w:lang w:val="fr-FR"/>
        </w:rPr>
        <w:t>76</w:t>
      </w:r>
      <w:r w:rsidR="009C65BB" w:rsidRPr="004D0A2C">
        <w:rPr>
          <w:lang w:val="fr-FR"/>
        </w:rPr>
        <w:t>.</w:t>
      </w:r>
      <w:r w:rsidRPr="004D0A2C">
        <w:rPr>
          <w:lang w:val="fr-FR"/>
        </w:rPr>
        <w:tab/>
        <w:t>Le Sous-Comité a adopté les amendements proposés dans le document informel INF</w:t>
      </w:r>
      <w:r w:rsidR="009C65BB" w:rsidRPr="004D0A2C">
        <w:rPr>
          <w:lang w:val="fr-FR"/>
        </w:rPr>
        <w:t>.</w:t>
      </w:r>
      <w:r w:rsidRPr="004D0A2C">
        <w:rPr>
          <w:lang w:val="fr-FR"/>
        </w:rPr>
        <w:t>43 et est convenu de les maintenir entre crochets, sous réserve d</w:t>
      </w:r>
      <w:r w:rsidR="00AD27B0" w:rsidRPr="004D0A2C">
        <w:rPr>
          <w:lang w:val="fr-FR"/>
        </w:rPr>
        <w:t>’</w:t>
      </w:r>
      <w:r w:rsidRPr="004D0A2C">
        <w:rPr>
          <w:lang w:val="fr-FR"/>
        </w:rPr>
        <w:t>un examen final à une session future</w:t>
      </w:r>
      <w:r w:rsidR="009C65BB" w:rsidRPr="004D0A2C">
        <w:rPr>
          <w:lang w:val="fr-FR"/>
        </w:rPr>
        <w:t>.</w:t>
      </w:r>
      <w:r w:rsidRPr="004D0A2C">
        <w:rPr>
          <w:lang w:val="fr-FR"/>
        </w:rPr>
        <w:t xml:space="preserve"> L</w:t>
      </w:r>
      <w:r w:rsidR="00AD27B0" w:rsidRPr="004D0A2C">
        <w:rPr>
          <w:lang w:val="fr-FR"/>
        </w:rPr>
        <w:t>’</w:t>
      </w:r>
      <w:r w:rsidRPr="004D0A2C">
        <w:rPr>
          <w:lang w:val="fr-FR"/>
        </w:rPr>
        <w:t>expert de la Pologne a indiqué qu</w:t>
      </w:r>
      <w:r w:rsidR="00AD27B0" w:rsidRPr="004D0A2C">
        <w:rPr>
          <w:lang w:val="fr-FR"/>
        </w:rPr>
        <w:t>’</w:t>
      </w:r>
      <w:r w:rsidRPr="004D0A2C">
        <w:rPr>
          <w:lang w:val="fr-FR"/>
        </w:rPr>
        <w:t>il présenterait à la prochaine session une version révisée de la proposition, en tenant compte des observations formulées</w:t>
      </w:r>
      <w:r w:rsidR="009C65BB" w:rsidRPr="004D0A2C">
        <w:rPr>
          <w:lang w:val="fr-FR"/>
        </w:rPr>
        <w:t>.</w:t>
      </w:r>
    </w:p>
    <w:p w14:paraId="7562DE97" w14:textId="544937AB" w:rsidR="006F26A8" w:rsidRPr="004D0A2C" w:rsidRDefault="006F26A8" w:rsidP="00BD5A78">
      <w:pPr>
        <w:pStyle w:val="H23G"/>
        <w:rPr>
          <w:lang w:val="fr-FR"/>
        </w:rPr>
      </w:pPr>
      <w:r w:rsidRPr="004D0A2C">
        <w:rPr>
          <w:lang w:val="fr-FR"/>
        </w:rPr>
        <w:tab/>
        <w:t>2</w:t>
      </w:r>
      <w:r w:rsidR="009C65BB" w:rsidRPr="004D0A2C">
        <w:rPr>
          <w:lang w:val="fr-FR"/>
        </w:rPr>
        <w:t>.</w:t>
      </w:r>
      <w:r w:rsidRPr="004D0A2C">
        <w:rPr>
          <w:lang w:val="fr-FR"/>
        </w:rPr>
        <w:tab/>
        <w:t>Rapport du groupe de travail informel des équipements de service en plastique renforcé de fibres pour citernes mobiles</w:t>
      </w:r>
    </w:p>
    <w:p w14:paraId="6D0237FF" w14:textId="65997FAD" w:rsidR="006F26A8" w:rsidRPr="004D0A2C" w:rsidRDefault="006F26A8" w:rsidP="008B3DF8">
      <w:pPr>
        <w:pStyle w:val="SingleTxtG"/>
        <w:tabs>
          <w:tab w:val="clear" w:pos="1701"/>
          <w:tab w:val="clear" w:pos="2268"/>
          <w:tab w:val="clear" w:pos="2835"/>
          <w:tab w:val="left" w:pos="2977"/>
        </w:tabs>
        <w:ind w:left="2977" w:hanging="1843"/>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1" w:history="1">
        <w:r w:rsidR="004F62B2">
          <w:rPr>
            <w:rStyle w:val="Hyperlink"/>
            <w:lang w:val="fr-FR"/>
          </w:rPr>
          <w:t>ST/SG/AC.10/C.3/2023/22</w:t>
        </w:r>
      </w:hyperlink>
      <w:r w:rsidRPr="004D0A2C">
        <w:rPr>
          <w:lang w:val="fr-FR"/>
        </w:rPr>
        <w:t xml:space="preserve"> (Fédération de Russie au nom du groupe de travail informel des équipements de service en PRF)</w:t>
      </w:r>
    </w:p>
    <w:p w14:paraId="092B1645" w14:textId="47437095"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42 (Fédération de Russie au nom du groupe de travail informel des équipements de service en PRF)</w:t>
      </w:r>
    </w:p>
    <w:p w14:paraId="55020671" w14:textId="753C0988" w:rsidR="006F26A8" w:rsidRPr="004D0A2C" w:rsidRDefault="006F26A8" w:rsidP="00BD5A78">
      <w:pPr>
        <w:pStyle w:val="SingleTxtG"/>
        <w:rPr>
          <w:lang w:val="fr-FR"/>
        </w:rPr>
      </w:pPr>
      <w:r w:rsidRPr="004D0A2C">
        <w:rPr>
          <w:lang w:val="fr-FR"/>
        </w:rPr>
        <w:t>77</w:t>
      </w:r>
      <w:r w:rsidR="009C65BB" w:rsidRPr="004D0A2C">
        <w:rPr>
          <w:lang w:val="fr-FR"/>
        </w:rPr>
        <w:t>.</w:t>
      </w:r>
      <w:r w:rsidRPr="004D0A2C">
        <w:rPr>
          <w:lang w:val="fr-FR"/>
        </w:rPr>
        <w:tab/>
        <w:t>Le Sous-Comité a pris note des progrès réalisés par le groupe de travail informel des équipements de service en PRF pour citernes mobiles pendant la réunion qu</w:t>
      </w:r>
      <w:r w:rsidR="00AD27B0" w:rsidRPr="004D0A2C">
        <w:rPr>
          <w:lang w:val="fr-FR"/>
        </w:rPr>
        <w:t>’</w:t>
      </w:r>
      <w:r w:rsidRPr="004D0A2C">
        <w:rPr>
          <w:lang w:val="fr-FR"/>
        </w:rPr>
        <w:t>il avait tenue du 3 au 5 juillet 2023</w:t>
      </w:r>
      <w:r w:rsidR="009C65BB" w:rsidRPr="004D0A2C">
        <w:rPr>
          <w:lang w:val="fr-FR"/>
        </w:rPr>
        <w:t>.</w:t>
      </w:r>
    </w:p>
    <w:p w14:paraId="49BE11CA" w14:textId="12F655B1" w:rsidR="006F26A8" w:rsidRPr="004D0A2C" w:rsidRDefault="006F26A8" w:rsidP="00BD5A78">
      <w:pPr>
        <w:pStyle w:val="SingleTxtG"/>
        <w:rPr>
          <w:lang w:val="fr-FR"/>
        </w:rPr>
      </w:pPr>
      <w:r w:rsidRPr="004D0A2C">
        <w:rPr>
          <w:lang w:val="fr-FR"/>
        </w:rPr>
        <w:t>78</w:t>
      </w:r>
      <w:r w:rsidR="009C65BB" w:rsidRPr="004D0A2C">
        <w:rPr>
          <w:lang w:val="fr-FR"/>
        </w:rPr>
        <w:t>.</w:t>
      </w:r>
      <w:r w:rsidRPr="004D0A2C">
        <w:rPr>
          <w:lang w:val="fr-FR"/>
        </w:rPr>
        <w:tab/>
        <w:t>La plupart des experts ont appuyé les propositions figurant dans le document informel INF</w:t>
      </w:r>
      <w:r w:rsidR="009C65BB" w:rsidRPr="004D0A2C">
        <w:rPr>
          <w:lang w:val="fr-FR"/>
        </w:rPr>
        <w:t>.</w:t>
      </w:r>
      <w:r w:rsidRPr="004D0A2C">
        <w:rPr>
          <w:lang w:val="fr-FR"/>
        </w:rPr>
        <w:t>42, qui visent à modifier le Règlement type et le Manuel d</w:t>
      </w:r>
      <w:r w:rsidR="00AD27B0" w:rsidRPr="004D0A2C">
        <w:rPr>
          <w:lang w:val="fr-FR"/>
        </w:rPr>
        <w:t>’</w:t>
      </w:r>
      <w:r w:rsidRPr="004D0A2C">
        <w:rPr>
          <w:lang w:val="fr-FR"/>
        </w:rPr>
        <w:t>épreuves et de critères</w:t>
      </w:r>
      <w:r w:rsidR="009C65BB" w:rsidRPr="004D0A2C">
        <w:rPr>
          <w:lang w:val="fr-FR"/>
        </w:rPr>
        <w:t>.</w:t>
      </w:r>
      <w:r w:rsidRPr="004D0A2C">
        <w:rPr>
          <w:lang w:val="fr-FR"/>
        </w:rPr>
        <w:t xml:space="preserve"> D</w:t>
      </w:r>
      <w:r w:rsidR="00AD27B0" w:rsidRPr="004D0A2C">
        <w:rPr>
          <w:lang w:val="fr-FR"/>
        </w:rPr>
        <w:t>’</w:t>
      </w:r>
      <w:r w:rsidRPr="004D0A2C">
        <w:rPr>
          <w:lang w:val="fr-FR"/>
        </w:rPr>
        <w:t>autres préféraient procéder à un dernier examen des propositions avec leurs experts nationaux avant de les adopter</w:t>
      </w:r>
      <w:r w:rsidR="009C65BB" w:rsidRPr="004D0A2C">
        <w:rPr>
          <w:lang w:val="fr-FR"/>
        </w:rPr>
        <w:t>.</w:t>
      </w:r>
    </w:p>
    <w:p w14:paraId="1BBD4C13" w14:textId="770C552C" w:rsidR="006F26A8" w:rsidRPr="004D0A2C" w:rsidRDefault="006F26A8" w:rsidP="00CD2039">
      <w:pPr>
        <w:pStyle w:val="SingleTxtG"/>
        <w:spacing w:after="100"/>
        <w:rPr>
          <w:lang w:val="fr-FR"/>
        </w:rPr>
      </w:pPr>
      <w:r w:rsidRPr="004D0A2C">
        <w:rPr>
          <w:lang w:val="fr-FR"/>
        </w:rPr>
        <w:lastRenderedPageBreak/>
        <w:t>79</w:t>
      </w:r>
      <w:r w:rsidR="009C65BB" w:rsidRPr="004D0A2C">
        <w:rPr>
          <w:lang w:val="fr-FR"/>
        </w:rPr>
        <w:t>.</w:t>
      </w:r>
      <w:r w:rsidRPr="004D0A2C">
        <w:rPr>
          <w:lang w:val="fr-FR"/>
        </w:rPr>
        <w:tab/>
        <w:t>Il a été rappelé aux représentants que pour garantir la qualité des figures reproduites dans le Règlement type et dans le Manuel d</w:t>
      </w:r>
      <w:r w:rsidR="00AD27B0" w:rsidRPr="004D0A2C">
        <w:rPr>
          <w:lang w:val="fr-FR"/>
        </w:rPr>
        <w:t>’</w:t>
      </w:r>
      <w:r w:rsidRPr="004D0A2C">
        <w:rPr>
          <w:lang w:val="fr-FR"/>
        </w:rPr>
        <w:t>épreuves et de critères, il fallait fournir au secrétariat des images vectorielles modifiables</w:t>
      </w:r>
      <w:r w:rsidR="009C65BB" w:rsidRPr="004D0A2C">
        <w:rPr>
          <w:lang w:val="fr-FR"/>
        </w:rPr>
        <w:t>.</w:t>
      </w:r>
    </w:p>
    <w:p w14:paraId="481C38A3" w14:textId="5A4E0B45" w:rsidR="006F26A8" w:rsidRPr="004D0A2C" w:rsidRDefault="006F26A8" w:rsidP="00CD2039">
      <w:pPr>
        <w:pStyle w:val="SingleTxtG"/>
        <w:spacing w:after="100"/>
        <w:rPr>
          <w:lang w:val="fr-FR"/>
        </w:rPr>
      </w:pPr>
      <w:r w:rsidRPr="004D0A2C">
        <w:rPr>
          <w:lang w:val="fr-FR"/>
        </w:rPr>
        <w:t>80</w:t>
      </w:r>
      <w:r w:rsidR="009C65BB" w:rsidRPr="004D0A2C">
        <w:rPr>
          <w:lang w:val="fr-FR"/>
        </w:rPr>
        <w:t>.</w:t>
      </w:r>
      <w:r w:rsidRPr="004D0A2C">
        <w:rPr>
          <w:lang w:val="fr-FR"/>
        </w:rPr>
        <w:tab/>
        <w:t>Le Sous-Comité a décidé que les discussions sur cette question se poursuivraient à sa session de décembre 2023, sur la base d</w:t>
      </w:r>
      <w:r w:rsidR="00AD27B0" w:rsidRPr="004D0A2C">
        <w:rPr>
          <w:lang w:val="fr-FR"/>
        </w:rPr>
        <w:t>’</w:t>
      </w:r>
      <w:r w:rsidRPr="004D0A2C">
        <w:rPr>
          <w:lang w:val="fr-FR"/>
        </w:rPr>
        <w:t>un document officiel qui serait soumis par la Fédération de Russie</w:t>
      </w:r>
      <w:r w:rsidR="009C65BB" w:rsidRPr="004D0A2C">
        <w:rPr>
          <w:lang w:val="fr-FR"/>
        </w:rPr>
        <w:t>.</w:t>
      </w:r>
    </w:p>
    <w:p w14:paraId="7DB5A6D8" w14:textId="22DBD282" w:rsidR="006F26A8" w:rsidRPr="004D0A2C" w:rsidRDefault="006F26A8" w:rsidP="00BD5A78">
      <w:pPr>
        <w:pStyle w:val="H23G"/>
        <w:rPr>
          <w:lang w:val="fr-FR"/>
        </w:rPr>
      </w:pPr>
      <w:r w:rsidRPr="004D0A2C">
        <w:rPr>
          <w:lang w:val="fr-FR"/>
        </w:rPr>
        <w:tab/>
        <w:t>3</w:t>
      </w:r>
      <w:r w:rsidR="009C65BB" w:rsidRPr="004D0A2C">
        <w:rPr>
          <w:lang w:val="fr-FR"/>
        </w:rPr>
        <w:t>.</w:t>
      </w:r>
      <w:r w:rsidRPr="004D0A2C">
        <w:rPr>
          <w:lang w:val="fr-FR"/>
        </w:rPr>
        <w:tab/>
        <w:t xml:space="preserve">Transport du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ONU 1789 en grands récipients pour vrac (IBC02) et en citernes mobiles (T8)</w:t>
      </w:r>
    </w:p>
    <w:p w14:paraId="3CCEA04F" w14:textId="1C547E02"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2" w:history="1">
        <w:r w:rsidR="004F62B2">
          <w:rPr>
            <w:rStyle w:val="Hyperlink"/>
            <w:lang w:val="fr-FR"/>
          </w:rPr>
          <w:t>ST/SG/AC.10/C.3/2023/29</w:t>
        </w:r>
      </w:hyperlink>
      <w:r w:rsidRPr="004D0A2C">
        <w:rPr>
          <w:lang w:val="fr-FR"/>
        </w:rPr>
        <w:t xml:space="preserve"> (IDGCA)</w:t>
      </w:r>
    </w:p>
    <w:p w14:paraId="5DE8C9A5" w14:textId="077956F9" w:rsidR="006F26A8" w:rsidRPr="004D0A2C" w:rsidRDefault="006F26A8" w:rsidP="000D6293">
      <w:pPr>
        <w:pStyle w:val="SingleTxtG"/>
        <w:tabs>
          <w:tab w:val="clear" w:pos="1701"/>
          <w:tab w:val="clear" w:pos="2268"/>
          <w:tab w:val="clear" w:pos="2835"/>
          <w:tab w:val="left" w:pos="2977"/>
        </w:tabs>
        <w:spacing w:after="0"/>
        <w:ind w:left="2977" w:hanging="1843"/>
        <w:rPr>
          <w:lang w:val="fr-FR"/>
        </w:rPr>
      </w:pPr>
      <w:r w:rsidRPr="004D0A2C">
        <w:rPr>
          <w:i/>
          <w:iCs/>
          <w:lang w:val="fr-FR"/>
        </w:rPr>
        <w:t>Documents informels</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21 (ICIBCA et ICPP)</w:t>
      </w:r>
    </w:p>
    <w:p w14:paraId="468C9BB4" w14:textId="076D6A08"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ab/>
      </w:r>
      <w:r w:rsidRPr="004D0A2C">
        <w:rPr>
          <w:lang w:val="fr-FR"/>
        </w:rPr>
        <w:t>INF</w:t>
      </w:r>
      <w:r w:rsidR="009C65BB" w:rsidRPr="004D0A2C">
        <w:rPr>
          <w:lang w:val="fr-FR"/>
        </w:rPr>
        <w:t>.</w:t>
      </w:r>
      <w:r w:rsidRPr="004D0A2C">
        <w:rPr>
          <w:lang w:val="fr-FR"/>
        </w:rPr>
        <w:t>38 (IDGCA)</w:t>
      </w:r>
    </w:p>
    <w:p w14:paraId="1B3E1D49" w14:textId="43C2E02C" w:rsidR="006F26A8" w:rsidRPr="004D0A2C" w:rsidRDefault="006F26A8" w:rsidP="00CD2039">
      <w:pPr>
        <w:pStyle w:val="SingleTxtG"/>
        <w:spacing w:after="100"/>
        <w:rPr>
          <w:lang w:val="fr-FR"/>
        </w:rPr>
      </w:pPr>
      <w:r w:rsidRPr="004D0A2C">
        <w:rPr>
          <w:lang w:val="fr-FR"/>
        </w:rPr>
        <w:t>81</w:t>
      </w:r>
      <w:r w:rsidR="009C65BB" w:rsidRPr="004D0A2C">
        <w:rPr>
          <w:lang w:val="fr-FR"/>
        </w:rPr>
        <w:t>.</w:t>
      </w:r>
      <w:r w:rsidRPr="004D0A2C">
        <w:rPr>
          <w:lang w:val="fr-FR"/>
        </w:rPr>
        <w:tab/>
        <w:t>Les experts qui ont pris la parole étaient d</w:t>
      </w:r>
      <w:r w:rsidR="00AD27B0" w:rsidRPr="004D0A2C">
        <w:rPr>
          <w:lang w:val="fr-FR"/>
        </w:rPr>
        <w:t>’</w:t>
      </w:r>
      <w:r w:rsidRPr="004D0A2C">
        <w:rPr>
          <w:lang w:val="fr-FR"/>
        </w:rPr>
        <w:t>avis que les dispositions actuelles du 4</w:t>
      </w:r>
      <w:r w:rsidR="009C65BB" w:rsidRPr="004D0A2C">
        <w:rPr>
          <w:lang w:val="fr-FR"/>
        </w:rPr>
        <w:t>.</w:t>
      </w:r>
      <w:r w:rsidRPr="004D0A2C">
        <w:rPr>
          <w:lang w:val="fr-FR"/>
        </w:rPr>
        <w:t>1</w:t>
      </w:r>
      <w:r w:rsidR="009C65BB" w:rsidRPr="004D0A2C">
        <w:rPr>
          <w:lang w:val="fr-FR"/>
        </w:rPr>
        <w:t>.</w:t>
      </w:r>
      <w:r w:rsidRPr="004D0A2C">
        <w:rPr>
          <w:lang w:val="fr-FR"/>
        </w:rPr>
        <w:t>4</w:t>
      </w:r>
      <w:r w:rsidR="009C65BB" w:rsidRPr="004D0A2C">
        <w:rPr>
          <w:lang w:val="fr-FR"/>
        </w:rPr>
        <w:t>.</w:t>
      </w:r>
      <w:r w:rsidRPr="004D0A2C">
        <w:rPr>
          <w:lang w:val="fr-FR"/>
        </w:rPr>
        <w:t>2 permettaient d</w:t>
      </w:r>
      <w:r w:rsidR="00AD27B0" w:rsidRPr="004D0A2C">
        <w:rPr>
          <w:lang w:val="fr-FR"/>
        </w:rPr>
        <w:t>’</w:t>
      </w:r>
      <w:r w:rsidRPr="004D0A2C">
        <w:rPr>
          <w:lang w:val="fr-FR"/>
        </w:rPr>
        <w:t>équiper les GRV de dispositifs de vidange par le bas aux fins du transport de marchandises dangereuses, ce qui n</w:t>
      </w:r>
      <w:r w:rsidR="00AD27B0" w:rsidRPr="004D0A2C">
        <w:rPr>
          <w:lang w:val="fr-FR"/>
        </w:rPr>
        <w:t>’</w:t>
      </w:r>
      <w:r w:rsidRPr="004D0A2C">
        <w:rPr>
          <w:lang w:val="fr-FR"/>
        </w:rPr>
        <w:t>était toutefois pas le cas pour les citernes mobiles</w:t>
      </w:r>
      <w:r w:rsidR="009C65BB" w:rsidRPr="004D0A2C">
        <w:rPr>
          <w:lang w:val="fr-FR"/>
        </w:rPr>
        <w:t>.</w:t>
      </w:r>
      <w:r w:rsidRPr="004D0A2C">
        <w:rPr>
          <w:lang w:val="fr-FR"/>
        </w:rPr>
        <w:t xml:space="preserve"> La</w:t>
      </w:r>
      <w:r w:rsidR="00431000" w:rsidRPr="004D0A2C">
        <w:rPr>
          <w:lang w:val="fr-FR"/>
        </w:rPr>
        <w:t> </w:t>
      </w:r>
      <w:r w:rsidRPr="004D0A2C">
        <w:rPr>
          <w:lang w:val="fr-FR"/>
        </w:rPr>
        <w:t>plupart des experts ne jugeaient pas nécessaire de modifier le 4</w:t>
      </w:r>
      <w:r w:rsidR="009C65BB" w:rsidRPr="004D0A2C">
        <w:rPr>
          <w:lang w:val="fr-FR"/>
        </w:rPr>
        <w:t>.</w:t>
      </w:r>
      <w:r w:rsidRPr="004D0A2C">
        <w:rPr>
          <w:lang w:val="fr-FR"/>
        </w:rPr>
        <w:t>1</w:t>
      </w:r>
      <w:r w:rsidR="009C65BB" w:rsidRPr="004D0A2C">
        <w:rPr>
          <w:lang w:val="fr-FR"/>
        </w:rPr>
        <w:t>.</w:t>
      </w:r>
      <w:r w:rsidRPr="004D0A2C">
        <w:rPr>
          <w:lang w:val="fr-FR"/>
        </w:rPr>
        <w:t>4</w:t>
      </w:r>
      <w:r w:rsidR="009C65BB" w:rsidRPr="004D0A2C">
        <w:rPr>
          <w:lang w:val="fr-FR"/>
        </w:rPr>
        <w:t>.</w:t>
      </w:r>
      <w:r w:rsidRPr="004D0A2C">
        <w:rPr>
          <w:lang w:val="fr-FR"/>
        </w:rPr>
        <w:t>2 à cet égard et préféraient conserver les dispositions actuelles telles qu</w:t>
      </w:r>
      <w:r w:rsidR="00AD27B0" w:rsidRPr="004D0A2C">
        <w:rPr>
          <w:lang w:val="fr-FR"/>
        </w:rPr>
        <w:t>’</w:t>
      </w:r>
      <w:r w:rsidRPr="004D0A2C">
        <w:rPr>
          <w:lang w:val="fr-FR"/>
        </w:rPr>
        <w:t>elles étaient décrites dans le document informel INF</w:t>
      </w:r>
      <w:r w:rsidR="009C65BB" w:rsidRPr="004D0A2C">
        <w:rPr>
          <w:lang w:val="fr-FR"/>
        </w:rPr>
        <w:t>.</w:t>
      </w:r>
      <w:r w:rsidRPr="004D0A2C">
        <w:rPr>
          <w:lang w:val="fr-FR"/>
        </w:rPr>
        <w:t>21</w:t>
      </w:r>
      <w:r w:rsidR="009C65BB" w:rsidRPr="004D0A2C">
        <w:rPr>
          <w:lang w:val="fr-FR"/>
        </w:rPr>
        <w:t>.</w:t>
      </w:r>
    </w:p>
    <w:p w14:paraId="38F64BA4" w14:textId="37E59938" w:rsidR="006F26A8" w:rsidRPr="004D0A2C" w:rsidRDefault="006F26A8" w:rsidP="00CD2039">
      <w:pPr>
        <w:pStyle w:val="SingleTxtG"/>
        <w:spacing w:after="100"/>
        <w:rPr>
          <w:lang w:val="fr-FR"/>
        </w:rPr>
      </w:pPr>
      <w:r w:rsidRPr="004D0A2C">
        <w:rPr>
          <w:lang w:val="fr-FR"/>
        </w:rPr>
        <w:t>82</w:t>
      </w:r>
      <w:r w:rsidR="009C65BB" w:rsidRPr="004D0A2C">
        <w:rPr>
          <w:lang w:val="fr-FR"/>
        </w:rPr>
        <w:t>.</w:t>
      </w:r>
      <w:r w:rsidRPr="004D0A2C">
        <w:rPr>
          <w:lang w:val="fr-FR"/>
        </w:rPr>
        <w:tab/>
        <w:t>Le représentant de l</w:t>
      </w:r>
      <w:r w:rsidR="00AD27B0" w:rsidRPr="004D0A2C">
        <w:rPr>
          <w:lang w:val="fr-FR"/>
        </w:rPr>
        <w:t>’</w:t>
      </w:r>
      <w:r w:rsidRPr="004D0A2C">
        <w:rPr>
          <w:lang w:val="fr-FR"/>
        </w:rPr>
        <w:t>IDGCA a ajouté que les questions soulevées dans son document ont été déclenchées par un incident et a indiqué qu</w:t>
      </w:r>
      <w:r w:rsidR="00AD27B0" w:rsidRPr="004D0A2C">
        <w:rPr>
          <w:lang w:val="fr-FR"/>
        </w:rPr>
        <w:t>’</w:t>
      </w:r>
      <w:r w:rsidRPr="004D0A2C">
        <w:rPr>
          <w:lang w:val="fr-FR"/>
        </w:rPr>
        <w:t>il ferait part au Sous-Comité des résultats de l</w:t>
      </w:r>
      <w:r w:rsidR="00AD27B0" w:rsidRPr="004D0A2C">
        <w:rPr>
          <w:lang w:val="fr-FR"/>
        </w:rPr>
        <w:t>’</w:t>
      </w:r>
      <w:r w:rsidRPr="004D0A2C">
        <w:rPr>
          <w:lang w:val="fr-FR"/>
        </w:rPr>
        <w:t>enquête une fois que celle-ci serait terminée</w:t>
      </w:r>
      <w:r w:rsidR="009C65BB" w:rsidRPr="004D0A2C">
        <w:rPr>
          <w:lang w:val="fr-FR"/>
        </w:rPr>
        <w:t>.</w:t>
      </w:r>
    </w:p>
    <w:p w14:paraId="5BC0AF6A" w14:textId="24EEC71C" w:rsidR="006F26A8" w:rsidRPr="004D0A2C" w:rsidRDefault="006F26A8" w:rsidP="00BD5A78">
      <w:pPr>
        <w:pStyle w:val="H1G"/>
        <w:rPr>
          <w:lang w:val="fr-FR"/>
        </w:rPr>
      </w:pPr>
      <w:r w:rsidRPr="004D0A2C">
        <w:rPr>
          <w:lang w:val="fr-FR"/>
        </w:rPr>
        <w:tab/>
        <w:t>D</w:t>
      </w:r>
      <w:r w:rsidR="009C65BB" w:rsidRPr="004D0A2C">
        <w:rPr>
          <w:lang w:val="fr-FR"/>
        </w:rPr>
        <w:t>.</w:t>
      </w:r>
      <w:r w:rsidRPr="004D0A2C">
        <w:rPr>
          <w:lang w:val="fr-FR"/>
        </w:rPr>
        <w:tab/>
        <w:t>Autres propositions diverses</w:t>
      </w:r>
    </w:p>
    <w:p w14:paraId="0A165160" w14:textId="3829EE3F" w:rsidR="006F26A8" w:rsidRPr="004D0A2C" w:rsidRDefault="006F26A8" w:rsidP="00BD5A78">
      <w:pPr>
        <w:pStyle w:val="H23G"/>
        <w:rPr>
          <w:lang w:val="fr-FR"/>
        </w:rPr>
      </w:pPr>
      <w:r w:rsidRPr="004D0A2C">
        <w:rPr>
          <w:lang w:val="fr-FR"/>
        </w:rPr>
        <w:tab/>
        <w:t>1</w:t>
      </w:r>
      <w:r w:rsidR="009C65BB" w:rsidRPr="004D0A2C">
        <w:rPr>
          <w:lang w:val="fr-FR"/>
        </w:rPr>
        <w:t>.</w:t>
      </w:r>
      <w:r w:rsidRPr="004D0A2C">
        <w:rPr>
          <w:lang w:val="fr-FR"/>
        </w:rPr>
        <w:tab/>
        <w:t>Amendements à la version espagnole</w:t>
      </w:r>
    </w:p>
    <w:p w14:paraId="153C7784" w14:textId="14FDDDA6"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3" w:history="1">
        <w:r w:rsidR="004F62B2">
          <w:rPr>
            <w:rStyle w:val="Hyperlink"/>
            <w:lang w:val="fr-FR"/>
          </w:rPr>
          <w:t>ST/SG/AC.10/C.3/2023/4</w:t>
        </w:r>
      </w:hyperlink>
      <w:r w:rsidRPr="004D0A2C">
        <w:rPr>
          <w:lang w:val="fr-FR"/>
        </w:rPr>
        <w:t xml:space="preserve"> (Mexique et Espagne)</w:t>
      </w:r>
    </w:p>
    <w:p w14:paraId="4BC1B9CD" w14:textId="6C8F1C13"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7 (Espagne)</w:t>
      </w:r>
    </w:p>
    <w:p w14:paraId="6201C5D0" w14:textId="0484DB72" w:rsidR="006F26A8" w:rsidRPr="004D0A2C" w:rsidRDefault="006F26A8" w:rsidP="00CD2039">
      <w:pPr>
        <w:pStyle w:val="SingleTxtG"/>
        <w:spacing w:after="100"/>
        <w:rPr>
          <w:lang w:val="fr-FR"/>
        </w:rPr>
      </w:pPr>
      <w:r w:rsidRPr="004D0A2C">
        <w:rPr>
          <w:lang w:val="fr-FR"/>
        </w:rPr>
        <w:t>83</w:t>
      </w:r>
      <w:r w:rsidR="009C65BB" w:rsidRPr="004D0A2C">
        <w:rPr>
          <w:lang w:val="fr-FR"/>
        </w:rPr>
        <w:t>.</w:t>
      </w:r>
      <w:r w:rsidRPr="004D0A2C">
        <w:rPr>
          <w:lang w:val="fr-FR"/>
        </w:rPr>
        <w:tab/>
        <w:t xml:space="preserve">Le Sous-Comité a adopté les amendements proposés dans le document </w:t>
      </w:r>
      <w:hyperlink r:id="rId54" w:history="1">
        <w:r w:rsidR="004F62B2">
          <w:rPr>
            <w:rStyle w:val="Hyperlink"/>
            <w:lang w:val="fr-FR"/>
          </w:rPr>
          <w:t>ST/SG/AC.10/C.3/2023/4</w:t>
        </w:r>
      </w:hyperlink>
      <w:r w:rsidRPr="004D0A2C">
        <w:rPr>
          <w:lang w:val="fr-FR"/>
        </w:rPr>
        <w:t xml:space="preserve"> et dans le document informel INF</w:t>
      </w:r>
      <w:r w:rsidR="009C65BB" w:rsidRPr="004D0A2C">
        <w:rPr>
          <w:lang w:val="fr-FR"/>
        </w:rPr>
        <w:t>.</w:t>
      </w:r>
      <w:r w:rsidRPr="004D0A2C">
        <w:rPr>
          <w:lang w:val="fr-FR"/>
        </w:rPr>
        <w:t>7, qui concernent la version espagnole du Règlement type et du Manuel d</w:t>
      </w:r>
      <w:r w:rsidR="00AD27B0" w:rsidRPr="004D0A2C">
        <w:rPr>
          <w:lang w:val="fr-FR"/>
        </w:rPr>
        <w:t>’</w:t>
      </w:r>
      <w:r w:rsidRPr="004D0A2C">
        <w:rPr>
          <w:lang w:val="fr-FR"/>
        </w:rPr>
        <w:t>épreuves et de critères (voir annexe I)</w:t>
      </w:r>
      <w:r w:rsidR="009C65BB" w:rsidRPr="004D0A2C">
        <w:rPr>
          <w:lang w:val="fr-FR"/>
        </w:rPr>
        <w:t>.</w:t>
      </w:r>
    </w:p>
    <w:p w14:paraId="790E9C51" w14:textId="146255A3" w:rsidR="006F26A8" w:rsidRPr="004D0A2C" w:rsidRDefault="006F26A8" w:rsidP="00CD2039">
      <w:pPr>
        <w:pStyle w:val="H23G"/>
        <w:spacing w:before="220" w:after="100"/>
        <w:rPr>
          <w:lang w:val="fr-FR"/>
        </w:rPr>
      </w:pPr>
      <w:r w:rsidRPr="004D0A2C">
        <w:rPr>
          <w:lang w:val="fr-FR"/>
        </w:rPr>
        <w:tab/>
        <w:t>2</w:t>
      </w:r>
      <w:r w:rsidR="009C65BB" w:rsidRPr="004D0A2C">
        <w:rPr>
          <w:lang w:val="fr-FR"/>
        </w:rPr>
        <w:t>.</w:t>
      </w:r>
      <w:r w:rsidRPr="004D0A2C">
        <w:rPr>
          <w:lang w:val="fr-FR"/>
        </w:rPr>
        <w:tab/>
        <w:t>Proposition relative à la charge de gerbage maximale autorisée pour un suremballage contenant de grands récipients pour vrac</w:t>
      </w:r>
    </w:p>
    <w:p w14:paraId="408FD4E0" w14:textId="2E5A0F01"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5" w:history="1">
        <w:r w:rsidR="004F62B2">
          <w:rPr>
            <w:rStyle w:val="Hyperlink"/>
            <w:lang w:val="fr-FR"/>
          </w:rPr>
          <w:t>ST/SG/AC.10/C.3/2023/9</w:t>
        </w:r>
      </w:hyperlink>
      <w:r w:rsidRPr="004D0A2C">
        <w:rPr>
          <w:lang w:val="fr-FR"/>
        </w:rPr>
        <w:t xml:space="preserve"> (Chine)</w:t>
      </w:r>
    </w:p>
    <w:p w14:paraId="68E65C2E" w14:textId="2453B23C" w:rsidR="006F26A8" w:rsidRPr="004D0A2C" w:rsidRDefault="006F26A8" w:rsidP="00CD2039">
      <w:pPr>
        <w:pStyle w:val="SingleTxtG"/>
        <w:spacing w:after="100"/>
        <w:rPr>
          <w:lang w:val="fr-FR"/>
        </w:rPr>
      </w:pPr>
      <w:r w:rsidRPr="004D0A2C">
        <w:rPr>
          <w:lang w:val="fr-FR"/>
        </w:rPr>
        <w:t>84</w:t>
      </w:r>
      <w:r w:rsidR="009C65BB" w:rsidRPr="004D0A2C">
        <w:rPr>
          <w:lang w:val="fr-FR"/>
        </w:rPr>
        <w:t>.</w:t>
      </w:r>
      <w:r w:rsidRPr="004D0A2C">
        <w:rPr>
          <w:lang w:val="fr-FR"/>
        </w:rPr>
        <w:tab/>
        <w:t>Si plusieurs experts ont estimé qu</w:t>
      </w:r>
      <w:r w:rsidR="00AD27B0" w:rsidRPr="004D0A2C">
        <w:rPr>
          <w:lang w:val="fr-FR"/>
        </w:rPr>
        <w:t>’</w:t>
      </w:r>
      <w:r w:rsidRPr="004D0A2C">
        <w:rPr>
          <w:lang w:val="fr-FR"/>
        </w:rPr>
        <w:t>il fallait poursuivre les travaux et les débats, d</w:t>
      </w:r>
      <w:r w:rsidR="00AD27B0" w:rsidRPr="004D0A2C">
        <w:rPr>
          <w:lang w:val="fr-FR"/>
        </w:rPr>
        <w:t>’</w:t>
      </w:r>
      <w:r w:rsidRPr="004D0A2C">
        <w:rPr>
          <w:lang w:val="fr-FR"/>
        </w:rPr>
        <w:t>autres ont appelé à la prudence en ce qui concerne l</w:t>
      </w:r>
      <w:r w:rsidR="00AD27B0" w:rsidRPr="004D0A2C">
        <w:rPr>
          <w:lang w:val="fr-FR"/>
        </w:rPr>
        <w:t>’</w:t>
      </w:r>
      <w:r w:rsidRPr="004D0A2C">
        <w:rPr>
          <w:lang w:val="fr-FR"/>
        </w:rPr>
        <w:t>empilement des suremballages et préféraient clarifier les dispositions en vue d</w:t>
      </w:r>
      <w:r w:rsidR="00AD27B0" w:rsidRPr="004D0A2C">
        <w:rPr>
          <w:lang w:val="fr-FR"/>
        </w:rPr>
        <w:t>’</w:t>
      </w:r>
      <w:r w:rsidRPr="004D0A2C">
        <w:rPr>
          <w:lang w:val="fr-FR"/>
        </w:rPr>
        <w:t>interdire cette pratique pour le transport ou la manutention des marchandises dangereuses</w:t>
      </w:r>
      <w:r w:rsidR="009C65BB" w:rsidRPr="004D0A2C">
        <w:rPr>
          <w:lang w:val="fr-FR"/>
        </w:rPr>
        <w:t>.</w:t>
      </w:r>
    </w:p>
    <w:p w14:paraId="686B4380" w14:textId="25EA40FC" w:rsidR="006F26A8" w:rsidRPr="004D0A2C" w:rsidRDefault="006F26A8" w:rsidP="00BD5A78">
      <w:pPr>
        <w:pStyle w:val="SingleTxtG"/>
        <w:rPr>
          <w:lang w:val="fr-FR"/>
        </w:rPr>
      </w:pPr>
      <w:r w:rsidRPr="004D0A2C">
        <w:rPr>
          <w:lang w:val="fr-FR"/>
        </w:rPr>
        <w:t>85</w:t>
      </w:r>
      <w:r w:rsidR="009C65BB" w:rsidRPr="004D0A2C">
        <w:rPr>
          <w:lang w:val="fr-FR"/>
        </w:rPr>
        <w:t>.</w:t>
      </w:r>
      <w:r w:rsidRPr="004D0A2C">
        <w:rPr>
          <w:lang w:val="fr-FR"/>
        </w:rPr>
        <w:tab/>
        <w:t>Le Sous-Comité a admis que cette question était complexe et décidé de poursuivre les débats à sa session suivante sur la base d</w:t>
      </w:r>
      <w:r w:rsidR="00AD27B0" w:rsidRPr="004D0A2C">
        <w:rPr>
          <w:lang w:val="fr-FR"/>
        </w:rPr>
        <w:t>’</w:t>
      </w:r>
      <w:r w:rsidRPr="004D0A2C">
        <w:rPr>
          <w:lang w:val="fr-FR"/>
        </w:rPr>
        <w:t>une proposition plus détaillée de la Chine</w:t>
      </w:r>
      <w:r w:rsidR="009C65BB" w:rsidRPr="004D0A2C">
        <w:rPr>
          <w:lang w:val="fr-FR"/>
        </w:rPr>
        <w:t>.</w:t>
      </w:r>
    </w:p>
    <w:p w14:paraId="760969D3" w14:textId="71AEE209" w:rsidR="006F26A8" w:rsidRPr="004D0A2C" w:rsidRDefault="006F26A8" w:rsidP="00CD2039">
      <w:pPr>
        <w:pStyle w:val="H23G"/>
        <w:spacing w:before="220" w:after="100"/>
        <w:rPr>
          <w:lang w:val="fr-FR"/>
        </w:rPr>
      </w:pPr>
      <w:r w:rsidRPr="004D0A2C">
        <w:rPr>
          <w:lang w:val="fr-FR"/>
        </w:rPr>
        <w:tab/>
        <w:t>3</w:t>
      </w:r>
      <w:r w:rsidR="009C65BB" w:rsidRPr="004D0A2C">
        <w:rPr>
          <w:lang w:val="fr-FR"/>
        </w:rPr>
        <w:t>.</w:t>
      </w:r>
      <w:r w:rsidRPr="004D0A2C">
        <w:rPr>
          <w:lang w:val="fr-FR"/>
        </w:rPr>
        <w:tab/>
        <w:t>Unités de mesure</w:t>
      </w:r>
    </w:p>
    <w:p w14:paraId="622DCC2C" w14:textId="1309B1C8"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6" w:history="1">
        <w:r w:rsidR="004F62B2">
          <w:rPr>
            <w:rStyle w:val="Hyperlink"/>
            <w:lang w:val="fr-FR"/>
          </w:rPr>
          <w:t>ST/SG/AC.10/C.3/2023/2</w:t>
        </w:r>
      </w:hyperlink>
      <w:r w:rsidRPr="004D0A2C">
        <w:rPr>
          <w:lang w:val="fr-FR"/>
        </w:rPr>
        <w:t xml:space="preserve"> (Espagne)</w:t>
      </w:r>
    </w:p>
    <w:p w14:paraId="11FE8C07" w14:textId="5EF7435F" w:rsidR="006F26A8" w:rsidRPr="004D0A2C" w:rsidRDefault="006F26A8" w:rsidP="00CD2039">
      <w:pPr>
        <w:pStyle w:val="SingleTxtG"/>
        <w:spacing w:after="100"/>
        <w:rPr>
          <w:lang w:val="fr-FR"/>
        </w:rPr>
      </w:pPr>
      <w:r w:rsidRPr="004D0A2C">
        <w:rPr>
          <w:lang w:val="fr-FR"/>
        </w:rPr>
        <w:t>86</w:t>
      </w:r>
      <w:r w:rsidR="009C65BB" w:rsidRPr="004D0A2C">
        <w:rPr>
          <w:lang w:val="fr-FR"/>
        </w:rPr>
        <w:t>.</w:t>
      </w:r>
      <w:r w:rsidRPr="004D0A2C">
        <w:rPr>
          <w:lang w:val="fr-FR"/>
        </w:rPr>
        <w:tab/>
        <w:t xml:space="preserve">Le Sous-Comité a adopté les amendements figurant dans les propositions 1 et 2 du document </w:t>
      </w:r>
      <w:hyperlink r:id="rId57" w:history="1">
        <w:r w:rsidR="004F62B2">
          <w:rPr>
            <w:rStyle w:val="Hyperlink"/>
            <w:lang w:val="fr-FR"/>
          </w:rPr>
          <w:t>ST/SG/AC.10/C.3/2023/2</w:t>
        </w:r>
      </w:hyperlink>
      <w:r w:rsidRPr="004D0A2C">
        <w:rPr>
          <w:lang w:val="fr-FR"/>
        </w:rPr>
        <w:t xml:space="preserve"> (voir annexe I)</w:t>
      </w:r>
      <w:r w:rsidR="009C65BB" w:rsidRPr="004D0A2C">
        <w:rPr>
          <w:lang w:val="fr-FR"/>
        </w:rPr>
        <w:t>.</w:t>
      </w:r>
    </w:p>
    <w:p w14:paraId="6D4EAC6D" w14:textId="4B4A3945" w:rsidR="006F26A8" w:rsidRPr="004D0A2C" w:rsidRDefault="006F26A8" w:rsidP="00CD2039">
      <w:pPr>
        <w:pStyle w:val="SingleTxtG"/>
        <w:spacing w:after="100"/>
        <w:rPr>
          <w:lang w:val="fr-FR"/>
        </w:rPr>
      </w:pPr>
      <w:r w:rsidRPr="004D0A2C">
        <w:rPr>
          <w:lang w:val="fr-FR"/>
        </w:rPr>
        <w:t>87</w:t>
      </w:r>
      <w:r w:rsidR="009C65BB" w:rsidRPr="004D0A2C">
        <w:rPr>
          <w:lang w:val="fr-FR"/>
        </w:rPr>
        <w:t>.</w:t>
      </w:r>
      <w:r w:rsidRPr="004D0A2C">
        <w:rPr>
          <w:lang w:val="fr-FR"/>
        </w:rPr>
        <w:tab/>
        <w:t>Certains experts ont estimé que les amendements figurant dans les propositions 4 et 5 devaient encore être améliorés pour une mise en œuvre plus facile</w:t>
      </w:r>
      <w:r w:rsidR="009C65BB" w:rsidRPr="004D0A2C">
        <w:rPr>
          <w:lang w:val="fr-FR"/>
        </w:rPr>
        <w:t>.</w:t>
      </w:r>
    </w:p>
    <w:p w14:paraId="7E39C12A" w14:textId="490D6D14" w:rsidR="006F26A8" w:rsidRPr="004D0A2C" w:rsidRDefault="006F26A8" w:rsidP="00AC61A8">
      <w:pPr>
        <w:pStyle w:val="SingleTxtG"/>
        <w:widowControl w:val="0"/>
        <w:rPr>
          <w:lang w:val="fr-FR"/>
        </w:rPr>
      </w:pPr>
      <w:r w:rsidRPr="004D0A2C">
        <w:rPr>
          <w:lang w:val="fr-FR"/>
        </w:rPr>
        <w:t>88</w:t>
      </w:r>
      <w:r w:rsidR="009C65BB" w:rsidRPr="004D0A2C">
        <w:rPr>
          <w:lang w:val="fr-FR"/>
        </w:rPr>
        <w:t>.</w:t>
      </w:r>
      <w:r w:rsidRPr="004D0A2C">
        <w:rPr>
          <w:lang w:val="fr-FR"/>
        </w:rPr>
        <w:tab/>
        <w:t>En ce qui concerne la proposition 6, les avis des membres du Groupe de travail des explosifs étaient partagés quant à l</w:t>
      </w:r>
      <w:r w:rsidR="00AD27B0" w:rsidRPr="004D0A2C">
        <w:rPr>
          <w:lang w:val="fr-FR"/>
        </w:rPr>
        <w:t>’</w:t>
      </w:r>
      <w:r w:rsidRPr="004D0A2C">
        <w:rPr>
          <w:lang w:val="fr-FR"/>
        </w:rPr>
        <w:t>idée de supprimer le terme «</w:t>
      </w:r>
      <w:r w:rsidR="001E550E" w:rsidRPr="004D0A2C">
        <w:rPr>
          <w:lang w:val="fr-FR"/>
        </w:rPr>
        <w:t> </w:t>
      </w:r>
      <w:r w:rsidRPr="004D0A2C">
        <w:rPr>
          <w:lang w:val="fr-FR"/>
        </w:rPr>
        <w:t>masse nette de matières explosibles</w:t>
      </w:r>
      <w:r w:rsidR="001E550E" w:rsidRPr="004D0A2C">
        <w:rPr>
          <w:lang w:val="fr-FR"/>
        </w:rPr>
        <w:t> </w:t>
      </w:r>
      <w:r w:rsidRPr="004D0A2C">
        <w:rPr>
          <w:lang w:val="fr-FR"/>
        </w:rPr>
        <w:t>» du Règlement type</w:t>
      </w:r>
      <w:r w:rsidR="009C65BB" w:rsidRPr="004D0A2C">
        <w:rPr>
          <w:lang w:val="fr-FR"/>
        </w:rPr>
        <w:t>.</w:t>
      </w:r>
      <w:r w:rsidRPr="004D0A2C">
        <w:rPr>
          <w:lang w:val="fr-FR"/>
        </w:rPr>
        <w:t xml:space="preserve"> Tout le monde s</w:t>
      </w:r>
      <w:r w:rsidR="00AD27B0" w:rsidRPr="004D0A2C">
        <w:rPr>
          <w:lang w:val="fr-FR"/>
        </w:rPr>
        <w:t>’</w:t>
      </w:r>
      <w:r w:rsidRPr="004D0A2C">
        <w:rPr>
          <w:lang w:val="fr-FR"/>
        </w:rPr>
        <w:t>est accordé à dire que ce terme était correct d</w:t>
      </w:r>
      <w:r w:rsidR="00AD27B0" w:rsidRPr="004D0A2C">
        <w:rPr>
          <w:lang w:val="fr-FR"/>
        </w:rPr>
        <w:t>’</w:t>
      </w:r>
      <w:r w:rsidRPr="004D0A2C">
        <w:rPr>
          <w:lang w:val="fr-FR"/>
        </w:rPr>
        <w:t>un point de vue scientifique, mais il a également été admis que le terme «</w:t>
      </w:r>
      <w:r w:rsidR="001E550E" w:rsidRPr="004D0A2C">
        <w:rPr>
          <w:lang w:val="fr-FR"/>
        </w:rPr>
        <w:t> </w:t>
      </w:r>
      <w:r w:rsidRPr="004D0A2C">
        <w:rPr>
          <w:lang w:val="fr-FR"/>
        </w:rPr>
        <w:t>poids net de matières explosibles</w:t>
      </w:r>
      <w:r w:rsidR="001E550E" w:rsidRPr="004D0A2C">
        <w:rPr>
          <w:lang w:val="fr-FR"/>
        </w:rPr>
        <w:t> </w:t>
      </w:r>
      <w:r w:rsidRPr="004D0A2C">
        <w:rPr>
          <w:lang w:val="fr-FR"/>
        </w:rPr>
        <w:t>» était largement employé</w:t>
      </w:r>
      <w:r w:rsidR="009C65BB" w:rsidRPr="004D0A2C">
        <w:rPr>
          <w:lang w:val="fr-FR"/>
        </w:rPr>
        <w:t>.</w:t>
      </w:r>
    </w:p>
    <w:p w14:paraId="08B453EF" w14:textId="628D7AA9" w:rsidR="006F26A8" w:rsidRPr="004D0A2C" w:rsidRDefault="006F26A8" w:rsidP="00BD5A78">
      <w:pPr>
        <w:pStyle w:val="SingleTxtG"/>
        <w:rPr>
          <w:lang w:val="fr-FR"/>
        </w:rPr>
      </w:pPr>
      <w:r w:rsidRPr="004D0A2C">
        <w:rPr>
          <w:lang w:val="fr-FR"/>
        </w:rPr>
        <w:lastRenderedPageBreak/>
        <w:t>89</w:t>
      </w:r>
      <w:r w:rsidR="009C65BB" w:rsidRPr="004D0A2C">
        <w:rPr>
          <w:lang w:val="fr-FR"/>
        </w:rPr>
        <w:t>.</w:t>
      </w:r>
      <w:r w:rsidRPr="004D0A2C">
        <w:rPr>
          <w:lang w:val="fr-FR"/>
        </w:rPr>
        <w:tab/>
        <w:t>Le Sous-Comité a décidé que les discussions sur cette question continueraient à la session suivante, sur la base d</w:t>
      </w:r>
      <w:r w:rsidR="00AD27B0" w:rsidRPr="004D0A2C">
        <w:rPr>
          <w:lang w:val="fr-FR"/>
        </w:rPr>
        <w:t>’</w:t>
      </w:r>
      <w:r w:rsidRPr="004D0A2C">
        <w:rPr>
          <w:lang w:val="fr-FR"/>
        </w:rPr>
        <w:t>une proposition révisée qui serait soumise par l</w:t>
      </w:r>
      <w:r w:rsidR="00AD27B0" w:rsidRPr="004D0A2C">
        <w:rPr>
          <w:lang w:val="fr-FR"/>
        </w:rPr>
        <w:t>’</w:t>
      </w:r>
      <w:r w:rsidRPr="004D0A2C">
        <w:rPr>
          <w:lang w:val="fr-FR"/>
        </w:rPr>
        <w:t>Espagne</w:t>
      </w:r>
      <w:r w:rsidR="009C65BB" w:rsidRPr="004D0A2C">
        <w:rPr>
          <w:lang w:val="fr-FR"/>
        </w:rPr>
        <w:t>.</w:t>
      </w:r>
    </w:p>
    <w:p w14:paraId="0904AC0E" w14:textId="7F5854FB" w:rsidR="006F26A8" w:rsidRPr="004D0A2C" w:rsidRDefault="006F26A8" w:rsidP="00BD5A78">
      <w:pPr>
        <w:pStyle w:val="H23G"/>
        <w:rPr>
          <w:lang w:val="fr-FR"/>
        </w:rPr>
      </w:pPr>
      <w:r w:rsidRPr="004D0A2C">
        <w:rPr>
          <w:lang w:val="fr-FR"/>
        </w:rPr>
        <w:tab/>
        <w:t>4</w:t>
      </w:r>
      <w:r w:rsidR="009C65BB" w:rsidRPr="004D0A2C">
        <w:rPr>
          <w:lang w:val="fr-FR"/>
        </w:rPr>
        <w:t>.</w:t>
      </w:r>
      <w:r w:rsidRPr="004D0A2C">
        <w:rPr>
          <w:lang w:val="fr-FR"/>
        </w:rPr>
        <w:tab/>
        <w:t>Masse et poids</w:t>
      </w:r>
    </w:p>
    <w:p w14:paraId="1349395B" w14:textId="61C3B736"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58" w:history="1">
        <w:r w:rsidR="004F62B2">
          <w:rPr>
            <w:rStyle w:val="Hyperlink"/>
            <w:lang w:val="fr-FR"/>
          </w:rPr>
          <w:t>ST/SG/AC.10/C.3/2023/3</w:t>
        </w:r>
      </w:hyperlink>
      <w:r w:rsidRPr="004D0A2C">
        <w:rPr>
          <w:lang w:val="fr-FR"/>
        </w:rPr>
        <w:t xml:space="preserve"> (Espagne)</w:t>
      </w:r>
    </w:p>
    <w:p w14:paraId="7B2A083C" w14:textId="3DD4625F"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8 (Espagne)</w:t>
      </w:r>
    </w:p>
    <w:p w14:paraId="168ADE22" w14:textId="78D24C25" w:rsidR="006F26A8" w:rsidRPr="004D0A2C" w:rsidRDefault="006F26A8" w:rsidP="00BD5A78">
      <w:pPr>
        <w:pStyle w:val="SingleTxtG"/>
        <w:rPr>
          <w:lang w:val="fr-FR"/>
        </w:rPr>
      </w:pPr>
      <w:r w:rsidRPr="004D0A2C">
        <w:rPr>
          <w:lang w:val="fr-FR"/>
        </w:rPr>
        <w:t>90</w:t>
      </w:r>
      <w:r w:rsidR="009C65BB" w:rsidRPr="004D0A2C">
        <w:rPr>
          <w:lang w:val="fr-FR"/>
        </w:rPr>
        <w:t>.</w:t>
      </w:r>
      <w:r w:rsidRPr="004D0A2C">
        <w:rPr>
          <w:lang w:val="fr-FR"/>
        </w:rPr>
        <w:tab/>
        <w:t xml:space="preserve">Le Sous-Comité a adopté les amendements proposés dans le document </w:t>
      </w:r>
      <w:hyperlink r:id="rId59" w:history="1">
        <w:r w:rsidR="004F62B2">
          <w:rPr>
            <w:rStyle w:val="Hyperlink"/>
            <w:lang w:val="fr-FR"/>
          </w:rPr>
          <w:t>ST/SG/AC.10/C.3/2023/3</w:t>
        </w:r>
      </w:hyperlink>
      <w:r w:rsidRPr="004D0A2C">
        <w:rPr>
          <w:lang w:val="fr-FR"/>
        </w:rPr>
        <w:t>, tel que modifié (voir annexe I)</w:t>
      </w:r>
      <w:r w:rsidR="009C65BB" w:rsidRPr="004D0A2C">
        <w:rPr>
          <w:lang w:val="fr-FR"/>
        </w:rPr>
        <w:t>.</w:t>
      </w:r>
    </w:p>
    <w:p w14:paraId="68788D66" w14:textId="6EBED95B" w:rsidR="006F26A8" w:rsidRPr="004D0A2C" w:rsidRDefault="006F26A8" w:rsidP="00BD5A78">
      <w:pPr>
        <w:pStyle w:val="SingleTxtG"/>
        <w:rPr>
          <w:spacing w:val="-3"/>
          <w:lang w:val="fr-FR"/>
        </w:rPr>
      </w:pPr>
      <w:r w:rsidRPr="004D0A2C">
        <w:rPr>
          <w:spacing w:val="-3"/>
          <w:lang w:val="fr-FR"/>
        </w:rPr>
        <w:t>91</w:t>
      </w:r>
      <w:r w:rsidR="009C65BB" w:rsidRPr="004D0A2C">
        <w:rPr>
          <w:spacing w:val="-3"/>
          <w:lang w:val="fr-FR"/>
        </w:rPr>
        <w:t>.</w:t>
      </w:r>
      <w:r w:rsidRPr="004D0A2C">
        <w:rPr>
          <w:spacing w:val="-3"/>
          <w:lang w:val="fr-FR"/>
        </w:rPr>
        <w:tab/>
        <w:t>À l</w:t>
      </w:r>
      <w:r w:rsidR="00AD27B0" w:rsidRPr="004D0A2C">
        <w:rPr>
          <w:spacing w:val="-3"/>
          <w:lang w:val="fr-FR"/>
        </w:rPr>
        <w:t>’</w:t>
      </w:r>
      <w:r w:rsidRPr="004D0A2C">
        <w:rPr>
          <w:spacing w:val="-3"/>
          <w:lang w:val="fr-FR"/>
        </w:rPr>
        <w:t>issue d</w:t>
      </w:r>
      <w:r w:rsidR="00AD27B0" w:rsidRPr="004D0A2C">
        <w:rPr>
          <w:spacing w:val="-3"/>
          <w:lang w:val="fr-FR"/>
        </w:rPr>
        <w:t>’</w:t>
      </w:r>
      <w:r w:rsidRPr="004D0A2C">
        <w:rPr>
          <w:spacing w:val="-3"/>
          <w:lang w:val="fr-FR"/>
        </w:rPr>
        <w:t>une réunion informelle consacrée au document informel INF</w:t>
      </w:r>
      <w:r w:rsidR="009C65BB" w:rsidRPr="004D0A2C">
        <w:rPr>
          <w:spacing w:val="-3"/>
          <w:lang w:val="fr-FR"/>
        </w:rPr>
        <w:t>.</w:t>
      </w:r>
      <w:r w:rsidRPr="004D0A2C">
        <w:rPr>
          <w:spacing w:val="-3"/>
          <w:lang w:val="fr-FR"/>
        </w:rPr>
        <w:t>8, l</w:t>
      </w:r>
      <w:r w:rsidR="00AD27B0" w:rsidRPr="004D0A2C">
        <w:rPr>
          <w:spacing w:val="-3"/>
          <w:lang w:val="fr-FR"/>
        </w:rPr>
        <w:t>’</w:t>
      </w:r>
      <w:r w:rsidRPr="004D0A2C">
        <w:rPr>
          <w:spacing w:val="-3"/>
          <w:lang w:val="fr-FR"/>
        </w:rPr>
        <w:t>expert de l</w:t>
      </w:r>
      <w:r w:rsidR="00AD27B0" w:rsidRPr="004D0A2C">
        <w:rPr>
          <w:spacing w:val="-3"/>
          <w:lang w:val="fr-FR"/>
        </w:rPr>
        <w:t>’</w:t>
      </w:r>
      <w:r w:rsidRPr="004D0A2C">
        <w:rPr>
          <w:spacing w:val="-3"/>
          <w:lang w:val="fr-FR"/>
        </w:rPr>
        <w:t>Espagne s</w:t>
      </w:r>
      <w:r w:rsidR="00AD27B0" w:rsidRPr="004D0A2C">
        <w:rPr>
          <w:spacing w:val="-3"/>
          <w:lang w:val="fr-FR"/>
        </w:rPr>
        <w:t>’</w:t>
      </w:r>
      <w:r w:rsidRPr="004D0A2C">
        <w:rPr>
          <w:spacing w:val="-3"/>
          <w:lang w:val="fr-FR"/>
        </w:rPr>
        <w:t>est porté volontaire pour soumettre une proposition mise à jour à la session suivante</w:t>
      </w:r>
      <w:r w:rsidR="009C65BB" w:rsidRPr="004D0A2C">
        <w:rPr>
          <w:spacing w:val="-3"/>
          <w:lang w:val="fr-FR"/>
        </w:rPr>
        <w:t>.</w:t>
      </w:r>
    </w:p>
    <w:p w14:paraId="73D57418" w14:textId="27710632" w:rsidR="006F26A8" w:rsidRPr="004D0A2C" w:rsidRDefault="006F26A8" w:rsidP="00BD5A78">
      <w:pPr>
        <w:pStyle w:val="HChG"/>
        <w:rPr>
          <w:lang w:val="fr-FR"/>
        </w:rPr>
      </w:pPr>
      <w:r w:rsidRPr="004D0A2C">
        <w:rPr>
          <w:lang w:val="fr-FR"/>
        </w:rPr>
        <w:tab/>
        <w:t>IX</w:t>
      </w:r>
      <w:r w:rsidR="009C65BB" w:rsidRPr="004D0A2C">
        <w:rPr>
          <w:lang w:val="fr-FR"/>
        </w:rPr>
        <w:t>.</w:t>
      </w:r>
      <w:r w:rsidRPr="004D0A2C">
        <w:rPr>
          <w:lang w:val="fr-FR"/>
        </w:rPr>
        <w:tab/>
        <w:t>Harmonisation générale des Règlements relatifs au transport des marchandises dangereuses avec le Règlement type (point 7 de l</w:t>
      </w:r>
      <w:r w:rsidR="00AD27B0" w:rsidRPr="004D0A2C">
        <w:rPr>
          <w:lang w:val="fr-FR"/>
        </w:rPr>
        <w:t>’</w:t>
      </w:r>
      <w:r w:rsidRPr="004D0A2C">
        <w:rPr>
          <w:lang w:val="fr-FR"/>
        </w:rPr>
        <w:t>ordre du jour)</w:t>
      </w:r>
    </w:p>
    <w:p w14:paraId="5ED3A817" w14:textId="34A1E6D3"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Projet d</w:t>
      </w:r>
      <w:r w:rsidR="00AD27B0" w:rsidRPr="004D0A2C">
        <w:rPr>
          <w:lang w:val="fr-FR"/>
        </w:rPr>
        <w:t>’</w:t>
      </w:r>
      <w:r w:rsidRPr="004D0A2C">
        <w:rPr>
          <w:lang w:val="fr-FR"/>
        </w:rPr>
        <w:t>amendements de l</w:t>
      </w:r>
      <w:r w:rsidR="00AD27B0" w:rsidRPr="004D0A2C">
        <w:rPr>
          <w:lang w:val="fr-FR"/>
        </w:rPr>
        <w:t>’</w:t>
      </w:r>
      <w:r w:rsidRPr="004D0A2C">
        <w:rPr>
          <w:lang w:val="fr-FR"/>
        </w:rPr>
        <w:t>Organisation maritime internationale concernant la section 5</w:t>
      </w:r>
      <w:r w:rsidR="009C65BB" w:rsidRPr="004D0A2C">
        <w:rPr>
          <w:lang w:val="fr-FR"/>
        </w:rPr>
        <w:t>.</w:t>
      </w:r>
      <w:r w:rsidRPr="004D0A2C">
        <w:rPr>
          <w:lang w:val="fr-FR"/>
        </w:rPr>
        <w:t>5</w:t>
      </w:r>
      <w:r w:rsidR="009C65BB" w:rsidRPr="004D0A2C">
        <w:rPr>
          <w:lang w:val="fr-FR"/>
        </w:rPr>
        <w:t>.</w:t>
      </w:r>
      <w:r w:rsidRPr="004D0A2C">
        <w:rPr>
          <w:lang w:val="fr-FR"/>
        </w:rPr>
        <w:t>4 du Code maritime international des</w:t>
      </w:r>
      <w:r w:rsidR="00BD5A78" w:rsidRPr="004D0A2C">
        <w:rPr>
          <w:lang w:val="fr-FR"/>
        </w:rPr>
        <w:t> </w:t>
      </w:r>
      <w:r w:rsidRPr="004D0A2C">
        <w:rPr>
          <w:lang w:val="fr-FR"/>
        </w:rPr>
        <w:t>marchandises dangereuses</w:t>
      </w:r>
    </w:p>
    <w:p w14:paraId="78E45F6E" w14:textId="306639DB" w:rsidR="006F26A8" w:rsidRPr="004D0A2C" w:rsidRDefault="006F26A8" w:rsidP="00EB6A0C">
      <w:pPr>
        <w:pStyle w:val="SingleTxtG"/>
        <w:tabs>
          <w:tab w:val="clear" w:pos="1701"/>
          <w:tab w:val="clear" w:pos="2268"/>
          <w:tab w:val="clear" w:pos="2835"/>
          <w:tab w:val="left" w:pos="2977"/>
        </w:tabs>
        <w:ind w:left="3124" w:hanging="1990"/>
        <w:rPr>
          <w:lang w:val="fr-FR"/>
        </w:rPr>
      </w:pPr>
      <w:r w:rsidRPr="004D0A2C">
        <w:rPr>
          <w:i/>
          <w:iCs/>
          <w:lang w:val="fr-FR"/>
        </w:rPr>
        <w:t>Document</w:t>
      </w:r>
      <w:r w:rsidR="00AD27B0" w:rsidRPr="004D0A2C">
        <w:rPr>
          <w:i/>
          <w:iCs/>
          <w:lang w:val="fr-FR"/>
        </w:rPr>
        <w:t> </w:t>
      </w:r>
      <w:r w:rsidR="005F36F6" w:rsidRPr="004D0A2C">
        <w:rPr>
          <w:iCs/>
          <w:lang w:val="fr-FR"/>
        </w:rPr>
        <w:t>:</w:t>
      </w:r>
      <w:r w:rsidRPr="004D0A2C">
        <w:rPr>
          <w:lang w:val="fr-FR"/>
        </w:rPr>
        <w:tab/>
      </w:r>
      <w:hyperlink r:id="rId60" w:history="1">
        <w:r w:rsidR="004F62B2">
          <w:rPr>
            <w:rStyle w:val="Hyperlink"/>
            <w:lang w:val="fr-FR"/>
          </w:rPr>
          <w:t>ST/SG/AC.10/C.3/2023/14</w:t>
        </w:r>
      </w:hyperlink>
      <w:r w:rsidRPr="004D0A2C">
        <w:rPr>
          <w:lang w:val="fr-FR"/>
        </w:rPr>
        <w:t xml:space="preserve"> (France)</w:t>
      </w:r>
    </w:p>
    <w:p w14:paraId="6C2E006F" w14:textId="0D512EE0"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45 (France)</w:t>
      </w:r>
    </w:p>
    <w:p w14:paraId="3BD39DBB" w14:textId="3D9B127B" w:rsidR="006F26A8" w:rsidRPr="004D0A2C" w:rsidRDefault="006F26A8" w:rsidP="00B73391">
      <w:pPr>
        <w:pStyle w:val="SingleTxtG"/>
        <w:spacing w:after="100"/>
        <w:rPr>
          <w:rFonts w:cstheme="minorHAnsi"/>
          <w:lang w:val="fr-FR"/>
        </w:rPr>
      </w:pPr>
      <w:r w:rsidRPr="004D0A2C">
        <w:rPr>
          <w:lang w:val="fr-FR"/>
        </w:rPr>
        <w:t>92</w:t>
      </w:r>
      <w:r w:rsidR="009C65BB" w:rsidRPr="004D0A2C">
        <w:rPr>
          <w:lang w:val="fr-FR"/>
        </w:rPr>
        <w:t>.</w:t>
      </w:r>
      <w:r w:rsidRPr="004D0A2C">
        <w:rPr>
          <w:lang w:val="fr-FR"/>
        </w:rPr>
        <w:tab/>
        <w:t>La plupart des experts qui ont pris la parole étaient d</w:t>
      </w:r>
      <w:r w:rsidR="00AD27B0" w:rsidRPr="004D0A2C">
        <w:rPr>
          <w:lang w:val="fr-FR"/>
        </w:rPr>
        <w:t>’</w:t>
      </w:r>
      <w:r w:rsidRPr="004D0A2C">
        <w:rPr>
          <w:lang w:val="fr-FR"/>
        </w:rPr>
        <w:t xml:space="preserve">avis que les dispositions relatives aux enregistreurs de données, capteurs et dispositifs de suivi de la cargaison proposées dans le document </w:t>
      </w:r>
      <w:hyperlink r:id="rId61" w:history="1">
        <w:r w:rsidR="004F62B2">
          <w:rPr>
            <w:rStyle w:val="Hyperlink"/>
            <w:lang w:val="fr-FR"/>
          </w:rPr>
          <w:t>ST/SG/AC.10/C.3/2023/14</w:t>
        </w:r>
      </w:hyperlink>
      <w:r w:rsidRPr="004D0A2C">
        <w:rPr>
          <w:lang w:val="fr-FR"/>
        </w:rPr>
        <w:t xml:space="preserve"> pour ajout en tant que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3 et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4 convenaient au transport maritime</w:t>
      </w:r>
      <w:r w:rsidR="00733EAB" w:rsidRPr="004D0A2C">
        <w:rPr>
          <w:lang w:val="fr-FR"/>
        </w:rPr>
        <w:t>,</w:t>
      </w:r>
      <w:r w:rsidRPr="004D0A2C">
        <w:rPr>
          <w:lang w:val="fr-FR"/>
        </w:rPr>
        <w:t xml:space="preserve"> mais pas forcément aux autres modes de transport</w:t>
      </w:r>
      <w:r w:rsidR="009C65BB" w:rsidRPr="004D0A2C">
        <w:rPr>
          <w:lang w:val="fr-FR"/>
        </w:rPr>
        <w:t>.</w:t>
      </w:r>
      <w:r w:rsidRPr="004D0A2C">
        <w:rPr>
          <w:lang w:val="fr-FR"/>
        </w:rPr>
        <w:t xml:space="preserve"> Le Sous-Comité a préféré préserver la simplicité de la disposition figurant dans le Règlement type et a adopté les amendements aux 5</w:t>
      </w:r>
      <w:r w:rsidR="009C65BB" w:rsidRPr="004D0A2C">
        <w:rPr>
          <w:lang w:val="fr-FR"/>
        </w:rPr>
        <w:t>.</w:t>
      </w:r>
      <w:r w:rsidRPr="004D0A2C">
        <w:rPr>
          <w:lang w:val="fr-FR"/>
        </w:rPr>
        <w:t>5</w:t>
      </w:r>
      <w:r w:rsidR="009C65BB" w:rsidRPr="004D0A2C">
        <w:rPr>
          <w:lang w:val="fr-FR"/>
        </w:rPr>
        <w:t>.</w:t>
      </w:r>
      <w:r w:rsidRPr="004D0A2C">
        <w:rPr>
          <w:lang w:val="fr-FR"/>
        </w:rPr>
        <w:t>4, 5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1 et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2 tels que modifiés (voir annexe I)</w:t>
      </w:r>
      <w:r w:rsidR="009C65BB" w:rsidRPr="004D0A2C">
        <w:rPr>
          <w:lang w:val="fr-FR"/>
        </w:rPr>
        <w:t>.</w:t>
      </w:r>
    </w:p>
    <w:p w14:paraId="4056EF11" w14:textId="3D4FF850" w:rsidR="006F26A8" w:rsidRPr="004D0A2C" w:rsidRDefault="006F26A8" w:rsidP="00BD5A78">
      <w:pPr>
        <w:pStyle w:val="SingleTxtG"/>
        <w:rPr>
          <w:rFonts w:cstheme="minorHAnsi"/>
          <w:lang w:val="fr-FR"/>
        </w:rPr>
      </w:pPr>
      <w:r w:rsidRPr="004D0A2C">
        <w:rPr>
          <w:lang w:val="fr-FR"/>
        </w:rPr>
        <w:t>93</w:t>
      </w:r>
      <w:r w:rsidR="009C65BB" w:rsidRPr="004D0A2C">
        <w:rPr>
          <w:lang w:val="fr-FR"/>
        </w:rPr>
        <w:t>.</w:t>
      </w:r>
      <w:r w:rsidRPr="004D0A2C">
        <w:rPr>
          <w:lang w:val="fr-FR"/>
        </w:rPr>
        <w:tab/>
        <w:t>L</w:t>
      </w:r>
      <w:r w:rsidR="00AD27B0" w:rsidRPr="004D0A2C">
        <w:rPr>
          <w:lang w:val="fr-FR"/>
        </w:rPr>
        <w:t>’</w:t>
      </w:r>
      <w:r w:rsidRPr="004D0A2C">
        <w:rPr>
          <w:lang w:val="fr-FR"/>
        </w:rPr>
        <w:t>expert des États-Unis d</w:t>
      </w:r>
      <w:r w:rsidR="00AD27B0" w:rsidRPr="004D0A2C">
        <w:rPr>
          <w:lang w:val="fr-FR"/>
        </w:rPr>
        <w:t>’</w:t>
      </w:r>
      <w:r w:rsidRPr="004D0A2C">
        <w:rPr>
          <w:lang w:val="fr-FR"/>
        </w:rPr>
        <w:t>Amérique a proposé d</w:t>
      </w:r>
      <w:r w:rsidR="00AD27B0" w:rsidRPr="004D0A2C">
        <w:rPr>
          <w:lang w:val="fr-FR"/>
        </w:rPr>
        <w:t>’</w:t>
      </w:r>
      <w:r w:rsidRPr="004D0A2C">
        <w:rPr>
          <w:lang w:val="fr-FR"/>
        </w:rPr>
        <w:t>établir, en collaboration avec le secrétariat de l</w:t>
      </w:r>
      <w:r w:rsidR="00AD27B0" w:rsidRPr="004D0A2C">
        <w:rPr>
          <w:lang w:val="fr-FR"/>
        </w:rPr>
        <w:t>’</w:t>
      </w:r>
      <w:r w:rsidRPr="004D0A2C">
        <w:rPr>
          <w:lang w:val="fr-FR"/>
        </w:rPr>
        <w:t>OMI, un document contenant une justification plus détaillée concernant les nouvelles dispositions énoncées aux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3 et 5</w:t>
      </w:r>
      <w:r w:rsidR="009C65BB" w:rsidRPr="004D0A2C">
        <w:rPr>
          <w:lang w:val="fr-FR"/>
        </w:rPr>
        <w:t>.</w:t>
      </w:r>
      <w:r w:rsidRPr="004D0A2C">
        <w:rPr>
          <w:lang w:val="fr-FR"/>
        </w:rPr>
        <w:t>5</w:t>
      </w:r>
      <w:r w:rsidR="009C65BB" w:rsidRPr="004D0A2C">
        <w:rPr>
          <w:lang w:val="fr-FR"/>
        </w:rPr>
        <w:t>.</w:t>
      </w:r>
      <w:r w:rsidRPr="004D0A2C">
        <w:rPr>
          <w:lang w:val="fr-FR"/>
        </w:rPr>
        <w:t>4</w:t>
      </w:r>
      <w:r w:rsidR="009C65BB" w:rsidRPr="004D0A2C">
        <w:rPr>
          <w:lang w:val="fr-FR"/>
        </w:rPr>
        <w:t>.</w:t>
      </w:r>
      <w:r w:rsidRPr="004D0A2C">
        <w:rPr>
          <w:lang w:val="fr-FR"/>
        </w:rPr>
        <w:t>4 du Code IMDG, en vue de la prochaine session</w:t>
      </w:r>
      <w:r w:rsidR="009C65BB" w:rsidRPr="004D0A2C">
        <w:rPr>
          <w:lang w:val="fr-FR"/>
        </w:rPr>
        <w:t>.</w:t>
      </w:r>
    </w:p>
    <w:p w14:paraId="621E3ABD" w14:textId="55E6E79A" w:rsidR="006F26A8" w:rsidRPr="004D0A2C" w:rsidRDefault="006F26A8" w:rsidP="00BD5A78">
      <w:pPr>
        <w:pStyle w:val="H1G"/>
        <w:rPr>
          <w:lang w:val="fr-FR"/>
        </w:rPr>
      </w:pPr>
      <w:r w:rsidRPr="004D0A2C">
        <w:rPr>
          <w:lang w:val="fr-FR"/>
        </w:rPr>
        <w:tab/>
        <w:t>B</w:t>
      </w:r>
      <w:r w:rsidR="009C65BB" w:rsidRPr="004D0A2C">
        <w:rPr>
          <w:lang w:val="fr-FR"/>
        </w:rPr>
        <w:t>.</w:t>
      </w:r>
      <w:r w:rsidRPr="004D0A2C">
        <w:rPr>
          <w:lang w:val="fr-FR"/>
        </w:rPr>
        <w:tab/>
        <w:t>Amendements au Règlement type proposés par le Groupe de travail spécial de l</w:t>
      </w:r>
      <w:r w:rsidR="00AD27B0" w:rsidRPr="004D0A2C">
        <w:rPr>
          <w:lang w:val="fr-FR"/>
        </w:rPr>
        <w:t>’</w:t>
      </w:r>
      <w:r w:rsidRPr="004D0A2C">
        <w:rPr>
          <w:lang w:val="fr-FR"/>
        </w:rPr>
        <w:t xml:space="preserve">harmonisation des Règlements RID/ADR/ADN </w:t>
      </w:r>
      <w:r w:rsidR="00BD5A78" w:rsidRPr="004D0A2C">
        <w:rPr>
          <w:lang w:val="fr-FR"/>
        </w:rPr>
        <w:br/>
      </w:r>
      <w:r w:rsidRPr="004D0A2C">
        <w:rPr>
          <w:rFonts w:ascii="Times New Roman Bold" w:hAnsi="Times New Roman Bold"/>
          <w:spacing w:val="2"/>
          <w:lang w:val="fr-FR"/>
        </w:rPr>
        <w:t>avec les Recommandations de l</w:t>
      </w:r>
      <w:r w:rsidR="00AD27B0" w:rsidRPr="004D0A2C">
        <w:rPr>
          <w:rFonts w:ascii="Times New Roman Bold" w:hAnsi="Times New Roman Bold"/>
          <w:spacing w:val="2"/>
          <w:lang w:val="fr-FR"/>
        </w:rPr>
        <w:t>’</w:t>
      </w:r>
      <w:r w:rsidRPr="004D0A2C">
        <w:rPr>
          <w:rFonts w:ascii="Times New Roman Bold" w:hAnsi="Times New Roman Bold"/>
          <w:spacing w:val="2"/>
          <w:lang w:val="fr-FR"/>
        </w:rPr>
        <w:t>ONU relatives</w:t>
      </w:r>
      <w:r w:rsidRPr="004D0A2C">
        <w:rPr>
          <w:lang w:val="fr-FR"/>
        </w:rPr>
        <w:t xml:space="preserve"> </w:t>
      </w:r>
      <w:r w:rsidR="00BD5A78" w:rsidRPr="004D0A2C">
        <w:rPr>
          <w:lang w:val="fr-FR"/>
        </w:rPr>
        <w:br/>
      </w:r>
      <w:r w:rsidRPr="004D0A2C">
        <w:rPr>
          <w:lang w:val="fr-FR"/>
        </w:rPr>
        <w:t>au transport des marchandises dangereuses</w:t>
      </w:r>
    </w:p>
    <w:p w14:paraId="3CC03D27" w14:textId="119DF8CA"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13 (secrétariat)</w:t>
      </w:r>
    </w:p>
    <w:p w14:paraId="35F6C880" w14:textId="2DAECCC3" w:rsidR="006F26A8" w:rsidRPr="004D0A2C" w:rsidRDefault="006F26A8" w:rsidP="00B73391">
      <w:pPr>
        <w:pStyle w:val="SingleTxtG"/>
        <w:spacing w:after="100"/>
        <w:rPr>
          <w:lang w:val="fr-FR"/>
        </w:rPr>
      </w:pPr>
      <w:r w:rsidRPr="004D0A2C">
        <w:rPr>
          <w:lang w:val="fr-FR"/>
        </w:rPr>
        <w:t>94</w:t>
      </w:r>
      <w:r w:rsidR="009C65BB" w:rsidRPr="004D0A2C">
        <w:rPr>
          <w:lang w:val="fr-FR"/>
        </w:rPr>
        <w:t>.</w:t>
      </w:r>
      <w:r w:rsidRPr="004D0A2C">
        <w:rPr>
          <w:lang w:val="fr-FR"/>
        </w:rPr>
        <w:tab/>
        <w:t>Le Sous-Comité a estimé que les modifications qu</w:t>
      </w:r>
      <w:r w:rsidR="00AD27B0" w:rsidRPr="004D0A2C">
        <w:rPr>
          <w:lang w:val="fr-FR"/>
        </w:rPr>
        <w:t>’</w:t>
      </w:r>
      <w:r w:rsidRPr="004D0A2C">
        <w:rPr>
          <w:lang w:val="fr-FR"/>
        </w:rPr>
        <w:t>il était proposé d</w:t>
      </w:r>
      <w:r w:rsidR="00AD27B0" w:rsidRPr="004D0A2C">
        <w:rPr>
          <w:lang w:val="fr-FR"/>
        </w:rPr>
        <w:t>’</w:t>
      </w:r>
      <w:r w:rsidRPr="004D0A2C">
        <w:rPr>
          <w:lang w:val="fr-FR"/>
        </w:rPr>
        <w:t>apporter aux 2</w:t>
      </w:r>
      <w:r w:rsidR="009C65BB" w:rsidRPr="004D0A2C">
        <w:rPr>
          <w:lang w:val="fr-FR"/>
        </w:rPr>
        <w:t>.</w:t>
      </w:r>
      <w:r w:rsidRPr="004D0A2C">
        <w:rPr>
          <w:lang w:val="fr-FR"/>
        </w:rPr>
        <w:t>0</w:t>
      </w:r>
      <w:r w:rsidR="009C65BB" w:rsidRPr="004D0A2C">
        <w:rPr>
          <w:lang w:val="fr-FR"/>
        </w:rPr>
        <w:t>.</w:t>
      </w:r>
      <w:r w:rsidRPr="004D0A2C">
        <w:rPr>
          <w:lang w:val="fr-FR"/>
        </w:rPr>
        <w:t>5</w:t>
      </w:r>
      <w:r w:rsidR="009C65BB" w:rsidRPr="004D0A2C">
        <w:rPr>
          <w:lang w:val="fr-FR"/>
        </w:rPr>
        <w:t>.</w:t>
      </w:r>
      <w:r w:rsidRPr="004D0A2C">
        <w:rPr>
          <w:lang w:val="fr-FR"/>
        </w:rPr>
        <w:t>2, P006 et LP03 n</w:t>
      </w:r>
      <w:r w:rsidR="00AD27B0" w:rsidRPr="004D0A2C">
        <w:rPr>
          <w:lang w:val="fr-FR"/>
        </w:rPr>
        <w:t>’</w:t>
      </w:r>
      <w:r w:rsidRPr="004D0A2C">
        <w:rPr>
          <w:lang w:val="fr-FR"/>
        </w:rPr>
        <w:t>étaient pas d</w:t>
      </w:r>
      <w:r w:rsidR="00AD27B0" w:rsidRPr="004D0A2C">
        <w:rPr>
          <w:lang w:val="fr-FR"/>
        </w:rPr>
        <w:t>’</w:t>
      </w:r>
      <w:r w:rsidRPr="004D0A2C">
        <w:rPr>
          <w:lang w:val="fr-FR"/>
        </w:rPr>
        <w:t>ordre rédactionnel puisqu</w:t>
      </w:r>
      <w:r w:rsidR="00AD27B0" w:rsidRPr="004D0A2C">
        <w:rPr>
          <w:lang w:val="fr-FR"/>
        </w:rPr>
        <w:t>’</w:t>
      </w:r>
      <w:r w:rsidRPr="004D0A2C">
        <w:rPr>
          <w:lang w:val="fr-FR"/>
        </w:rPr>
        <w:t>il était question d</w:t>
      </w:r>
      <w:r w:rsidR="00AD27B0" w:rsidRPr="004D0A2C">
        <w:rPr>
          <w:lang w:val="fr-FR"/>
        </w:rPr>
        <w:t>’</w:t>
      </w:r>
      <w:r w:rsidRPr="004D0A2C">
        <w:rPr>
          <w:lang w:val="fr-FR"/>
        </w:rPr>
        <w:t xml:space="preserve">appliquer </w:t>
      </w:r>
      <w:r w:rsidRPr="004D0A2C">
        <w:rPr>
          <w:spacing w:val="-2"/>
          <w:lang w:val="fr-FR"/>
        </w:rPr>
        <w:t>aux objets contenant des batteries au sodium ionique des dispositions relatives aux objets contenant des batteries au lithium</w:t>
      </w:r>
      <w:r w:rsidR="009C65BB" w:rsidRPr="004D0A2C">
        <w:rPr>
          <w:spacing w:val="-2"/>
          <w:lang w:val="fr-FR"/>
        </w:rPr>
        <w:t>.</w:t>
      </w:r>
      <w:r w:rsidRPr="004D0A2C">
        <w:rPr>
          <w:spacing w:val="-2"/>
          <w:lang w:val="fr-FR"/>
        </w:rPr>
        <w:t xml:space="preserve"> Il a été rappelé que l</w:t>
      </w:r>
      <w:r w:rsidR="00AD27B0" w:rsidRPr="004D0A2C">
        <w:rPr>
          <w:spacing w:val="-2"/>
          <w:lang w:val="fr-FR"/>
        </w:rPr>
        <w:t>’</w:t>
      </w:r>
      <w:r w:rsidRPr="004D0A2C">
        <w:rPr>
          <w:spacing w:val="-2"/>
          <w:lang w:val="fr-FR"/>
        </w:rPr>
        <w:t>idée de départ était d</w:t>
      </w:r>
      <w:r w:rsidR="00AD27B0" w:rsidRPr="004D0A2C">
        <w:rPr>
          <w:spacing w:val="-2"/>
          <w:lang w:val="fr-FR"/>
        </w:rPr>
        <w:t>’</w:t>
      </w:r>
      <w:r w:rsidRPr="004D0A2C">
        <w:rPr>
          <w:spacing w:val="-2"/>
          <w:lang w:val="fr-FR"/>
        </w:rPr>
        <w:t>appliquer les mêmes dispositions aux batteries au lithium et aux batteries au sodium ionique</w:t>
      </w:r>
      <w:r w:rsidR="009C65BB" w:rsidRPr="004D0A2C">
        <w:rPr>
          <w:spacing w:val="-2"/>
          <w:lang w:val="fr-FR"/>
        </w:rPr>
        <w:t>.</w:t>
      </w:r>
      <w:r w:rsidRPr="004D0A2C">
        <w:rPr>
          <w:spacing w:val="-2"/>
          <w:lang w:val="fr-FR"/>
        </w:rPr>
        <w:t xml:space="preserve"> Le Sous-Comité a invité le secrétariat à soumettre ces propositions dans un document officiel à la prochaine session</w:t>
      </w:r>
      <w:r w:rsidRPr="004D0A2C">
        <w:rPr>
          <w:lang w:val="fr-FR"/>
        </w:rPr>
        <w:t xml:space="preserve"> pour confirmation</w:t>
      </w:r>
      <w:r w:rsidR="009C65BB" w:rsidRPr="004D0A2C">
        <w:rPr>
          <w:lang w:val="fr-FR"/>
        </w:rPr>
        <w:t>.</w:t>
      </w:r>
      <w:r w:rsidRPr="004D0A2C">
        <w:rPr>
          <w:lang w:val="fr-FR"/>
        </w:rPr>
        <w:t xml:space="preserve"> Les autres modifications proposées dans la partie II du document informel INF</w:t>
      </w:r>
      <w:r w:rsidR="009C65BB" w:rsidRPr="004D0A2C">
        <w:rPr>
          <w:lang w:val="fr-FR"/>
        </w:rPr>
        <w:t>.</w:t>
      </w:r>
      <w:r w:rsidRPr="004D0A2C">
        <w:rPr>
          <w:lang w:val="fr-FR"/>
        </w:rPr>
        <w:t>13 ont été considérées comme étant d</w:t>
      </w:r>
      <w:r w:rsidR="00AD27B0" w:rsidRPr="004D0A2C">
        <w:rPr>
          <w:lang w:val="fr-FR"/>
        </w:rPr>
        <w:t>’</w:t>
      </w:r>
      <w:r w:rsidRPr="004D0A2C">
        <w:rPr>
          <w:lang w:val="fr-FR"/>
        </w:rPr>
        <w:t>ordre rédactionnel et ont été adoptées par le Sous-Comité (voir annexe I)</w:t>
      </w:r>
      <w:r w:rsidR="009C65BB" w:rsidRPr="004D0A2C">
        <w:rPr>
          <w:lang w:val="fr-FR"/>
        </w:rPr>
        <w:t>.</w:t>
      </w:r>
    </w:p>
    <w:p w14:paraId="5776AD57" w14:textId="215DD225" w:rsidR="006F26A8" w:rsidRPr="004D0A2C" w:rsidRDefault="006F26A8" w:rsidP="00B73391">
      <w:pPr>
        <w:pStyle w:val="SingleTxtG"/>
        <w:widowControl w:val="0"/>
        <w:rPr>
          <w:rStyle w:val="ui-provider"/>
          <w:lang w:val="fr-FR"/>
        </w:rPr>
      </w:pPr>
      <w:r w:rsidRPr="004D0A2C">
        <w:rPr>
          <w:lang w:val="fr-FR"/>
        </w:rPr>
        <w:t>95</w:t>
      </w:r>
      <w:r w:rsidR="009C65BB" w:rsidRPr="004D0A2C">
        <w:rPr>
          <w:lang w:val="fr-FR"/>
        </w:rPr>
        <w:t>.</w:t>
      </w:r>
      <w:r w:rsidRPr="004D0A2C">
        <w:rPr>
          <w:lang w:val="fr-FR"/>
        </w:rPr>
        <w:tab/>
        <w:t>En ce qui concerne la partie III, le Sous-Comité a noté que les débats au sujet du changement de nom de la marque devraient se poursuivre sur la base d</w:t>
      </w:r>
      <w:r w:rsidR="00AD27B0" w:rsidRPr="004D0A2C">
        <w:rPr>
          <w:lang w:val="fr-FR"/>
        </w:rPr>
        <w:t>’</w:t>
      </w:r>
      <w:r w:rsidRPr="004D0A2C">
        <w:rPr>
          <w:lang w:val="fr-FR"/>
        </w:rPr>
        <w:t>une proposition officielle</w:t>
      </w:r>
      <w:r w:rsidR="009C65BB" w:rsidRPr="004D0A2C">
        <w:rPr>
          <w:lang w:val="fr-FR"/>
        </w:rPr>
        <w:t>.</w:t>
      </w:r>
      <w:r w:rsidRPr="004D0A2C">
        <w:rPr>
          <w:lang w:val="fr-FR"/>
        </w:rPr>
        <w:t xml:space="preserve"> En ce qui concerne la question soulevée dans la partie IV, les délégations intéressées ont été invitées à envoyer au secrétariat leurs observations sur les dispositions relatives à l</w:t>
      </w:r>
      <w:r w:rsidR="00AD27B0" w:rsidRPr="004D0A2C">
        <w:rPr>
          <w:lang w:val="fr-FR"/>
        </w:rPr>
        <w:t>’</w:t>
      </w:r>
      <w:r w:rsidRPr="004D0A2C">
        <w:rPr>
          <w:lang w:val="fr-FR"/>
        </w:rPr>
        <w:t xml:space="preserve">emballage en commun pour le </w:t>
      </w:r>
      <w:r w:rsidR="00AD27B0" w:rsidRPr="004D0A2C">
        <w:rPr>
          <w:lang w:val="fr-FR"/>
        </w:rPr>
        <w:t>n</w:t>
      </w:r>
      <w:r w:rsidR="00AD27B0" w:rsidRPr="004D0A2C">
        <w:rPr>
          <w:vertAlign w:val="superscript"/>
          <w:lang w:val="fr-FR"/>
        </w:rPr>
        <w:t>o</w:t>
      </w:r>
      <w:r w:rsidRPr="004D0A2C">
        <w:rPr>
          <w:vertAlign w:val="superscript"/>
          <w:lang w:val="fr-FR"/>
        </w:rPr>
        <w:t> </w:t>
      </w:r>
      <w:r w:rsidRPr="004D0A2C">
        <w:rPr>
          <w:lang w:val="fr-FR"/>
        </w:rPr>
        <w:t>ONU 0514</w:t>
      </w:r>
      <w:r w:rsidR="009C65BB" w:rsidRPr="004D0A2C">
        <w:rPr>
          <w:lang w:val="fr-FR"/>
        </w:rPr>
        <w:t>.</w:t>
      </w:r>
    </w:p>
    <w:p w14:paraId="7EE4D072" w14:textId="4B81A7FD" w:rsidR="006F26A8" w:rsidRPr="004D0A2C" w:rsidRDefault="006F26A8" w:rsidP="00BD5A78">
      <w:pPr>
        <w:pStyle w:val="H1G"/>
        <w:rPr>
          <w:lang w:val="fr-FR"/>
        </w:rPr>
      </w:pPr>
      <w:r w:rsidRPr="004D0A2C">
        <w:rPr>
          <w:lang w:val="fr-FR"/>
        </w:rPr>
        <w:lastRenderedPageBreak/>
        <w:tab/>
        <w:t>C</w:t>
      </w:r>
      <w:r w:rsidR="009C65BB" w:rsidRPr="004D0A2C">
        <w:rPr>
          <w:lang w:val="fr-FR"/>
        </w:rPr>
        <w:t>.</w:t>
      </w:r>
      <w:r w:rsidRPr="004D0A2C">
        <w:rPr>
          <w:lang w:val="fr-FR"/>
        </w:rPr>
        <w:tab/>
        <w:t>Résultats des travaux de la trente-huitième session du Groupe de</w:t>
      </w:r>
      <w:r w:rsidR="00BD5A78" w:rsidRPr="004D0A2C">
        <w:rPr>
          <w:lang w:val="fr-FR"/>
        </w:rPr>
        <w:t> </w:t>
      </w:r>
      <w:r w:rsidRPr="004D0A2C">
        <w:rPr>
          <w:lang w:val="fr-FR"/>
        </w:rPr>
        <w:t>rédaction et des questions (Code IMDG)</w:t>
      </w:r>
    </w:p>
    <w:p w14:paraId="2B1DB08F" w14:textId="22556E63"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17 (OMI)</w:t>
      </w:r>
    </w:p>
    <w:p w14:paraId="2D0B1D44" w14:textId="580324D2" w:rsidR="006F26A8" w:rsidRPr="004D0A2C" w:rsidRDefault="006F26A8" w:rsidP="00BD5A78">
      <w:pPr>
        <w:pStyle w:val="SingleTxtG"/>
        <w:rPr>
          <w:rFonts w:cstheme="minorHAnsi"/>
          <w:lang w:val="fr-FR"/>
        </w:rPr>
      </w:pPr>
      <w:r w:rsidRPr="004D0A2C">
        <w:rPr>
          <w:lang w:val="fr-FR"/>
        </w:rPr>
        <w:t>96</w:t>
      </w:r>
      <w:r w:rsidR="009C65BB" w:rsidRPr="004D0A2C">
        <w:rPr>
          <w:lang w:val="fr-FR"/>
        </w:rPr>
        <w:t>.</w:t>
      </w:r>
      <w:r w:rsidRPr="004D0A2C">
        <w:rPr>
          <w:lang w:val="fr-FR"/>
        </w:rPr>
        <w:tab/>
        <w:t>L</w:t>
      </w:r>
      <w:r w:rsidR="00AD27B0" w:rsidRPr="004D0A2C">
        <w:rPr>
          <w:lang w:val="fr-FR"/>
        </w:rPr>
        <w:t>’</w:t>
      </w:r>
      <w:r w:rsidRPr="004D0A2C">
        <w:rPr>
          <w:lang w:val="fr-FR"/>
        </w:rPr>
        <w:t>expert de l</w:t>
      </w:r>
      <w:r w:rsidR="00AD27B0" w:rsidRPr="004D0A2C">
        <w:rPr>
          <w:lang w:val="fr-FR"/>
        </w:rPr>
        <w:t>’</w:t>
      </w:r>
      <w:r w:rsidRPr="004D0A2C">
        <w:rPr>
          <w:lang w:val="fr-FR"/>
        </w:rPr>
        <w:t>OMI a fait rapport sur les résultats de la récente session du Groupe de rédaction et des questions techniques du Sous-</w:t>
      </w:r>
      <w:r w:rsidR="00420707" w:rsidRPr="004D0A2C">
        <w:rPr>
          <w:lang w:val="fr-FR"/>
        </w:rPr>
        <w:t>C</w:t>
      </w:r>
      <w:r w:rsidRPr="004D0A2C">
        <w:rPr>
          <w:lang w:val="fr-FR"/>
        </w:rPr>
        <w:t>omité du transport des cargaisons et des conteneurs (Sous-Comité CCC de l</w:t>
      </w:r>
      <w:r w:rsidR="00AD27B0" w:rsidRPr="004D0A2C">
        <w:rPr>
          <w:lang w:val="fr-FR"/>
        </w:rPr>
        <w:t>’</w:t>
      </w:r>
      <w:r w:rsidRPr="004D0A2C">
        <w:rPr>
          <w:lang w:val="fr-FR"/>
        </w:rPr>
        <w:t>OMI)</w:t>
      </w:r>
      <w:r w:rsidR="009C65BB" w:rsidRPr="004D0A2C">
        <w:rPr>
          <w:lang w:val="fr-FR"/>
        </w:rPr>
        <w:t>.</w:t>
      </w:r>
      <w:r w:rsidRPr="004D0A2C">
        <w:rPr>
          <w:lang w:val="fr-FR"/>
        </w:rPr>
        <w:t xml:space="preserve"> Le Sous-Comité a noté que certaines des précisions apportées dans le document informel INF</w:t>
      </w:r>
      <w:r w:rsidR="009C65BB" w:rsidRPr="004D0A2C">
        <w:rPr>
          <w:lang w:val="fr-FR"/>
        </w:rPr>
        <w:t>.</w:t>
      </w:r>
      <w:r w:rsidRPr="004D0A2C">
        <w:rPr>
          <w:lang w:val="fr-FR"/>
        </w:rPr>
        <w:t>17 pouvaient avoir des conséquences pour le transport multimodal et donc donner lieu à un certain nombre d</w:t>
      </w:r>
      <w:r w:rsidR="00AD27B0" w:rsidRPr="004D0A2C">
        <w:rPr>
          <w:lang w:val="fr-FR"/>
        </w:rPr>
        <w:t>’</w:t>
      </w:r>
      <w:r w:rsidRPr="004D0A2C">
        <w:rPr>
          <w:lang w:val="fr-FR"/>
        </w:rPr>
        <w:t>amendements au Règlement type</w:t>
      </w:r>
      <w:r w:rsidR="009C65BB" w:rsidRPr="004D0A2C">
        <w:rPr>
          <w:lang w:val="fr-FR"/>
        </w:rPr>
        <w:t>.</w:t>
      </w:r>
    </w:p>
    <w:p w14:paraId="1E6E7FD7" w14:textId="56AAAE6D" w:rsidR="006F26A8" w:rsidRPr="004D0A2C" w:rsidRDefault="006F26A8" w:rsidP="00BD5A78">
      <w:pPr>
        <w:pStyle w:val="HChG"/>
        <w:rPr>
          <w:lang w:val="fr-FR"/>
        </w:rPr>
      </w:pPr>
      <w:r w:rsidRPr="004D0A2C">
        <w:rPr>
          <w:lang w:val="fr-FR"/>
        </w:rPr>
        <w:tab/>
        <w:t>X</w:t>
      </w:r>
      <w:r w:rsidR="009C65BB" w:rsidRPr="004D0A2C">
        <w:rPr>
          <w:lang w:val="fr-FR"/>
        </w:rPr>
        <w:t>.</w:t>
      </w:r>
      <w:r w:rsidRPr="004D0A2C">
        <w:rPr>
          <w:lang w:val="fr-FR"/>
        </w:rPr>
        <w:tab/>
      </w:r>
      <w:r w:rsidRPr="004D0A2C">
        <w:rPr>
          <w:rFonts w:ascii="Times New Roman Bold" w:hAnsi="Times New Roman Bold"/>
          <w:spacing w:val="-4"/>
          <w:lang w:val="fr-FR"/>
        </w:rPr>
        <w:t>Coopération avec l</w:t>
      </w:r>
      <w:r w:rsidR="00AD27B0" w:rsidRPr="004D0A2C">
        <w:rPr>
          <w:rFonts w:ascii="Times New Roman Bold" w:hAnsi="Times New Roman Bold"/>
          <w:spacing w:val="-4"/>
          <w:lang w:val="fr-FR"/>
        </w:rPr>
        <w:t>’</w:t>
      </w:r>
      <w:r w:rsidRPr="004D0A2C">
        <w:rPr>
          <w:rFonts w:ascii="Times New Roman Bold" w:hAnsi="Times New Roman Bold"/>
          <w:spacing w:val="-4"/>
          <w:lang w:val="fr-FR"/>
        </w:rPr>
        <w:t>Agence internationale de l</w:t>
      </w:r>
      <w:r w:rsidR="00AD27B0" w:rsidRPr="004D0A2C">
        <w:rPr>
          <w:rFonts w:ascii="Times New Roman Bold" w:hAnsi="Times New Roman Bold"/>
          <w:spacing w:val="-4"/>
          <w:lang w:val="fr-FR"/>
        </w:rPr>
        <w:t>’</w:t>
      </w:r>
      <w:r w:rsidRPr="004D0A2C">
        <w:rPr>
          <w:rFonts w:ascii="Times New Roman Bold" w:hAnsi="Times New Roman Bold"/>
          <w:spacing w:val="-4"/>
          <w:lang w:val="fr-FR"/>
        </w:rPr>
        <w:t>énergie atomique</w:t>
      </w:r>
      <w:r w:rsidRPr="004D0A2C">
        <w:rPr>
          <w:lang w:val="fr-FR"/>
        </w:rPr>
        <w:t xml:space="preserve"> (point 8 de l</w:t>
      </w:r>
      <w:r w:rsidR="00AD27B0" w:rsidRPr="004D0A2C">
        <w:rPr>
          <w:lang w:val="fr-FR"/>
        </w:rPr>
        <w:t>’</w:t>
      </w:r>
      <w:r w:rsidRPr="004D0A2C">
        <w:rPr>
          <w:lang w:val="fr-FR"/>
        </w:rPr>
        <w:t>ordre du jour)</w:t>
      </w:r>
    </w:p>
    <w:p w14:paraId="102B0F2F" w14:textId="30B02617" w:rsidR="006F26A8" w:rsidRPr="004D0A2C" w:rsidRDefault="006F26A8" w:rsidP="00BD5A78">
      <w:pPr>
        <w:pStyle w:val="SingleTxtG"/>
        <w:rPr>
          <w:lang w:val="fr-FR"/>
        </w:rPr>
      </w:pPr>
      <w:r w:rsidRPr="004D0A2C">
        <w:rPr>
          <w:lang w:val="fr-FR"/>
        </w:rPr>
        <w:t>97</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5EF23AC4" w14:textId="7798F064" w:rsidR="006F26A8" w:rsidRPr="004D0A2C" w:rsidRDefault="006F26A8" w:rsidP="00BD5A78">
      <w:pPr>
        <w:pStyle w:val="HChG"/>
        <w:rPr>
          <w:lang w:val="fr-FR"/>
        </w:rPr>
      </w:pPr>
      <w:r w:rsidRPr="004D0A2C">
        <w:rPr>
          <w:lang w:val="fr-FR"/>
        </w:rPr>
        <w:tab/>
        <w:t>XI</w:t>
      </w:r>
      <w:r w:rsidR="009C65BB" w:rsidRPr="004D0A2C">
        <w:rPr>
          <w:lang w:val="fr-FR"/>
        </w:rPr>
        <w:t>.</w:t>
      </w:r>
      <w:r w:rsidRPr="004D0A2C">
        <w:rPr>
          <w:lang w:val="fr-FR"/>
        </w:rPr>
        <w:tab/>
        <w:t xml:space="preserve">Principes directeurs du Règlement type </w:t>
      </w:r>
      <w:r w:rsidR="00BD5A78" w:rsidRPr="004D0A2C">
        <w:rPr>
          <w:lang w:val="fr-FR"/>
        </w:rPr>
        <w:br/>
      </w:r>
      <w:r w:rsidRPr="004D0A2C">
        <w:rPr>
          <w:lang w:val="fr-FR"/>
        </w:rPr>
        <w:t>(point 9 de l</w:t>
      </w:r>
      <w:r w:rsidR="00AD27B0" w:rsidRPr="004D0A2C">
        <w:rPr>
          <w:lang w:val="fr-FR"/>
        </w:rPr>
        <w:t>’</w:t>
      </w:r>
      <w:r w:rsidRPr="004D0A2C">
        <w:rPr>
          <w:lang w:val="fr-FR"/>
        </w:rPr>
        <w:t>ordre du jour)</w:t>
      </w:r>
    </w:p>
    <w:p w14:paraId="0DC54FFE" w14:textId="2287E16C" w:rsidR="006F26A8" w:rsidRPr="004D0A2C" w:rsidRDefault="006F26A8" w:rsidP="00BD5A78">
      <w:pPr>
        <w:pStyle w:val="SingleTxtG"/>
        <w:rPr>
          <w:lang w:val="fr-FR"/>
        </w:rPr>
      </w:pPr>
      <w:r w:rsidRPr="004D0A2C">
        <w:rPr>
          <w:lang w:val="fr-FR"/>
        </w:rPr>
        <w:t>98</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659A6E21" w14:textId="0F90C628" w:rsidR="006F26A8" w:rsidRPr="004D0A2C" w:rsidRDefault="006F26A8" w:rsidP="00BD5A78">
      <w:pPr>
        <w:pStyle w:val="HChG"/>
        <w:rPr>
          <w:lang w:val="fr-FR"/>
        </w:rPr>
      </w:pPr>
      <w:r w:rsidRPr="004D0A2C">
        <w:rPr>
          <w:lang w:val="fr-FR"/>
        </w:rPr>
        <w:tab/>
        <w:t>XII</w:t>
      </w:r>
      <w:r w:rsidR="009C65BB" w:rsidRPr="004D0A2C">
        <w:rPr>
          <w:lang w:val="fr-FR"/>
        </w:rPr>
        <w:t>.</w:t>
      </w:r>
      <w:r w:rsidRPr="004D0A2C">
        <w:rPr>
          <w:lang w:val="fr-FR"/>
        </w:rPr>
        <w:tab/>
        <w:t>Questions relatives au Système général harmonisé de</w:t>
      </w:r>
      <w:r w:rsidR="00BD5A78" w:rsidRPr="004D0A2C">
        <w:rPr>
          <w:lang w:val="fr-FR"/>
        </w:rPr>
        <w:t> </w:t>
      </w:r>
      <w:r w:rsidRPr="004D0A2C">
        <w:rPr>
          <w:lang w:val="fr-FR"/>
        </w:rPr>
        <w:t>classification et d</w:t>
      </w:r>
      <w:r w:rsidR="00AD27B0" w:rsidRPr="004D0A2C">
        <w:rPr>
          <w:lang w:val="fr-FR"/>
        </w:rPr>
        <w:t>’</w:t>
      </w:r>
      <w:r w:rsidRPr="004D0A2C">
        <w:rPr>
          <w:lang w:val="fr-FR"/>
        </w:rPr>
        <w:t>étiquetage des produits chimiques (SGH) (point 10 de l</w:t>
      </w:r>
      <w:r w:rsidR="00AD27B0" w:rsidRPr="004D0A2C">
        <w:rPr>
          <w:lang w:val="fr-FR"/>
        </w:rPr>
        <w:t>’</w:t>
      </w:r>
      <w:r w:rsidRPr="004D0A2C">
        <w:rPr>
          <w:lang w:val="fr-FR"/>
        </w:rPr>
        <w:t>ordre du jour)</w:t>
      </w:r>
    </w:p>
    <w:p w14:paraId="707FE44B" w14:textId="0DA70CAF"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Épreuves relatives aux matières comburantes</w:t>
      </w:r>
    </w:p>
    <w:p w14:paraId="7565F832" w14:textId="6A7D5D09" w:rsidR="006F26A8" w:rsidRPr="004D0A2C" w:rsidRDefault="006F26A8" w:rsidP="00BD5A78">
      <w:pPr>
        <w:pStyle w:val="SingleTxtG"/>
        <w:rPr>
          <w:lang w:val="fr-FR"/>
        </w:rPr>
      </w:pPr>
      <w:r w:rsidRPr="004D0A2C">
        <w:rPr>
          <w:lang w:val="fr-FR"/>
        </w:rPr>
        <w:t>99</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63EF862E" w14:textId="1CE7760A" w:rsidR="006F26A8" w:rsidRPr="004D0A2C" w:rsidRDefault="006F26A8" w:rsidP="00BD5A78">
      <w:pPr>
        <w:pStyle w:val="H1G"/>
        <w:rPr>
          <w:lang w:val="fr-FR"/>
        </w:rPr>
      </w:pPr>
      <w:r w:rsidRPr="004D0A2C">
        <w:rPr>
          <w:lang w:val="fr-FR"/>
        </w:rPr>
        <w:tab/>
        <w:t>B</w:t>
      </w:r>
      <w:r w:rsidR="009C65BB" w:rsidRPr="004D0A2C">
        <w:rPr>
          <w:lang w:val="fr-FR"/>
        </w:rPr>
        <w:t>.</w:t>
      </w:r>
      <w:r w:rsidRPr="004D0A2C">
        <w:rPr>
          <w:lang w:val="fr-FR"/>
        </w:rPr>
        <w:tab/>
      </w:r>
      <w:r w:rsidRPr="004D0A2C">
        <w:rPr>
          <w:lang w:val="fr-FR"/>
        </w:rPr>
        <w:tab/>
        <w:t>Affectation à plusieurs classes de danger physique et éventuelle combinaison de dangers</w:t>
      </w:r>
    </w:p>
    <w:p w14:paraId="76FB81D4" w14:textId="287A12C9"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26 (Allemagne)</w:t>
      </w:r>
    </w:p>
    <w:p w14:paraId="29B08A2B" w14:textId="25E08047" w:rsidR="006F26A8" w:rsidRPr="004D0A2C" w:rsidRDefault="006F26A8" w:rsidP="00BD5A78">
      <w:pPr>
        <w:pStyle w:val="SingleTxtG"/>
        <w:rPr>
          <w:lang w:val="fr-FR"/>
        </w:rPr>
      </w:pPr>
      <w:r w:rsidRPr="004D0A2C">
        <w:rPr>
          <w:lang w:val="fr-FR"/>
        </w:rPr>
        <w:t>100</w:t>
      </w:r>
      <w:r w:rsidR="009C65BB" w:rsidRPr="004D0A2C">
        <w:rPr>
          <w:lang w:val="fr-FR"/>
        </w:rPr>
        <w:t>.</w:t>
      </w:r>
      <w:r w:rsidRPr="004D0A2C">
        <w:rPr>
          <w:lang w:val="fr-FR"/>
        </w:rPr>
        <w:tab/>
        <w:t>Le Sous-Comité a pris note du rapport d</w:t>
      </w:r>
      <w:r w:rsidR="00AD27B0" w:rsidRPr="004D0A2C">
        <w:rPr>
          <w:lang w:val="fr-FR"/>
        </w:rPr>
        <w:t>’</w:t>
      </w:r>
      <w:r w:rsidRPr="004D0A2C">
        <w:rPr>
          <w:lang w:val="fr-FR"/>
        </w:rPr>
        <w:t>étape du groupe de travail informel des combinaisons de dangers physiques</w:t>
      </w:r>
      <w:r w:rsidR="009C65BB" w:rsidRPr="004D0A2C">
        <w:rPr>
          <w:lang w:val="fr-FR"/>
        </w:rPr>
        <w:t>.</w:t>
      </w:r>
    </w:p>
    <w:p w14:paraId="74B159AD" w14:textId="661AB9E8" w:rsidR="006F26A8" w:rsidRPr="004D0A2C" w:rsidRDefault="006F26A8" w:rsidP="00BD5A78">
      <w:pPr>
        <w:pStyle w:val="H1G"/>
        <w:rPr>
          <w:lang w:val="fr-FR"/>
        </w:rPr>
      </w:pPr>
      <w:r w:rsidRPr="004D0A2C">
        <w:rPr>
          <w:lang w:val="fr-FR"/>
        </w:rPr>
        <w:tab/>
        <w:t>C</w:t>
      </w:r>
      <w:r w:rsidR="009C65BB" w:rsidRPr="004D0A2C">
        <w:rPr>
          <w:lang w:val="fr-FR"/>
        </w:rPr>
        <w:t>.</w:t>
      </w:r>
      <w:r w:rsidRPr="004D0A2C">
        <w:rPr>
          <w:lang w:val="fr-FR"/>
        </w:rPr>
        <w:tab/>
      </w:r>
      <w:r w:rsidRPr="004D0A2C">
        <w:rPr>
          <w:lang w:val="fr-FR"/>
        </w:rPr>
        <w:tab/>
        <w:t>Autres questions</w:t>
      </w:r>
    </w:p>
    <w:p w14:paraId="52CA3BAE" w14:textId="6C056C3F" w:rsidR="006F26A8" w:rsidRPr="004D0A2C" w:rsidRDefault="006F26A8" w:rsidP="00BD5A78">
      <w:pPr>
        <w:pStyle w:val="H23G"/>
        <w:rPr>
          <w:lang w:val="fr-FR"/>
        </w:rPr>
      </w:pPr>
      <w:r w:rsidRPr="004D0A2C">
        <w:rPr>
          <w:lang w:val="fr-FR"/>
        </w:rPr>
        <w:tab/>
      </w:r>
      <w:r w:rsidRPr="004D0A2C">
        <w:rPr>
          <w:lang w:val="fr-FR"/>
        </w:rPr>
        <w:tab/>
        <w:t>Aérosols</w:t>
      </w:r>
      <w:r w:rsidR="00AD27B0" w:rsidRPr="004D0A2C">
        <w:rPr>
          <w:lang w:val="fr-FR"/>
        </w:rPr>
        <w:t> :</w:t>
      </w:r>
      <w:r w:rsidRPr="004D0A2C">
        <w:rPr>
          <w:lang w:val="fr-FR"/>
        </w:rPr>
        <w:t xml:space="preserve"> harmonisation de la disposition spéciale 63 avec la disposition spéciale 362</w:t>
      </w:r>
    </w:p>
    <w:p w14:paraId="3360698A" w14:textId="7E1F275B"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 (FEA)</w:t>
      </w:r>
    </w:p>
    <w:p w14:paraId="14BD991E" w14:textId="6B66E11C" w:rsidR="006F26A8" w:rsidRPr="004D0A2C" w:rsidRDefault="006F26A8" w:rsidP="00BD5A78">
      <w:pPr>
        <w:pStyle w:val="SingleTxtG"/>
        <w:rPr>
          <w:lang w:val="fr-FR"/>
        </w:rPr>
      </w:pPr>
      <w:r w:rsidRPr="004D0A2C">
        <w:rPr>
          <w:lang w:val="fr-FR"/>
        </w:rPr>
        <w:t>101</w:t>
      </w:r>
      <w:r w:rsidR="009C65BB" w:rsidRPr="004D0A2C">
        <w:rPr>
          <w:lang w:val="fr-FR"/>
        </w:rPr>
        <w:t>.</w:t>
      </w:r>
      <w:r w:rsidRPr="004D0A2C">
        <w:rPr>
          <w:lang w:val="fr-FR"/>
        </w:rPr>
        <w:tab/>
        <w:t>Aucun représentant de la FEA n</w:t>
      </w:r>
      <w:r w:rsidR="00AD27B0" w:rsidRPr="004D0A2C">
        <w:rPr>
          <w:lang w:val="fr-FR"/>
        </w:rPr>
        <w:t>’</w:t>
      </w:r>
      <w:r w:rsidRPr="004D0A2C">
        <w:rPr>
          <w:lang w:val="fr-FR"/>
        </w:rPr>
        <w:t>étant présent, le Sous-Comité n</w:t>
      </w:r>
      <w:r w:rsidR="00AD27B0" w:rsidRPr="004D0A2C">
        <w:rPr>
          <w:lang w:val="fr-FR"/>
        </w:rPr>
        <w:t>’</w:t>
      </w:r>
      <w:r w:rsidRPr="004D0A2C">
        <w:rPr>
          <w:lang w:val="fr-FR"/>
        </w:rPr>
        <w:t>a pas examiné le document</w:t>
      </w:r>
      <w:r w:rsidR="009C65BB" w:rsidRPr="004D0A2C">
        <w:rPr>
          <w:lang w:val="fr-FR"/>
        </w:rPr>
        <w:t>.</w:t>
      </w:r>
    </w:p>
    <w:p w14:paraId="48A7E066" w14:textId="2381F4DF" w:rsidR="006F26A8" w:rsidRPr="004D0A2C" w:rsidRDefault="006F26A8" w:rsidP="002D6111">
      <w:pPr>
        <w:pStyle w:val="HChG"/>
        <w:rPr>
          <w:lang w:val="fr-FR"/>
        </w:rPr>
      </w:pPr>
      <w:r w:rsidRPr="004D0A2C">
        <w:rPr>
          <w:lang w:val="fr-FR"/>
        </w:rPr>
        <w:lastRenderedPageBreak/>
        <w:tab/>
        <w:t>XIII</w:t>
      </w:r>
      <w:r w:rsidR="009C65BB" w:rsidRPr="004D0A2C">
        <w:rPr>
          <w:lang w:val="fr-FR"/>
        </w:rPr>
        <w:t>.</w:t>
      </w:r>
      <w:r w:rsidRPr="004D0A2C">
        <w:rPr>
          <w:lang w:val="fr-FR"/>
        </w:rPr>
        <w:tab/>
        <w:t>Uniformisation des interprétations du Règlement type (point 11 de l</w:t>
      </w:r>
      <w:r w:rsidR="00AD27B0" w:rsidRPr="004D0A2C">
        <w:rPr>
          <w:lang w:val="fr-FR"/>
        </w:rPr>
        <w:t>’</w:t>
      </w:r>
      <w:r w:rsidRPr="004D0A2C">
        <w:rPr>
          <w:lang w:val="fr-FR"/>
        </w:rPr>
        <w:t>ordre du jour)</w:t>
      </w:r>
    </w:p>
    <w:p w14:paraId="6B58945A" w14:textId="31CEA397" w:rsidR="006F26A8" w:rsidRPr="004D0A2C" w:rsidRDefault="006F26A8" w:rsidP="002D6111">
      <w:pPr>
        <w:pStyle w:val="SingleTxtG"/>
        <w:keepNext/>
        <w:keepLines/>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34 (Chine)</w:t>
      </w:r>
    </w:p>
    <w:p w14:paraId="40401EBB" w14:textId="505569E1" w:rsidR="006F26A8" w:rsidRPr="004D0A2C" w:rsidRDefault="006F26A8" w:rsidP="00BD5A78">
      <w:pPr>
        <w:pStyle w:val="SingleTxtG"/>
        <w:rPr>
          <w:lang w:val="fr-FR"/>
        </w:rPr>
      </w:pPr>
      <w:r w:rsidRPr="004D0A2C">
        <w:rPr>
          <w:lang w:val="fr-FR"/>
        </w:rPr>
        <w:t>102</w:t>
      </w:r>
      <w:r w:rsidR="009C65BB" w:rsidRPr="004D0A2C">
        <w:rPr>
          <w:lang w:val="fr-FR"/>
        </w:rPr>
        <w:t>.</w:t>
      </w:r>
      <w:r w:rsidRPr="004D0A2C">
        <w:rPr>
          <w:lang w:val="fr-FR"/>
        </w:rPr>
        <w:tab/>
        <w:t>Le Sous-Comité a donné son accord de principe à l</w:t>
      </w:r>
      <w:r w:rsidR="00AD27B0" w:rsidRPr="004D0A2C">
        <w:rPr>
          <w:lang w:val="fr-FR"/>
        </w:rPr>
        <w:t>’</w:t>
      </w:r>
      <w:r w:rsidRPr="004D0A2C">
        <w:rPr>
          <w:lang w:val="fr-FR"/>
        </w:rPr>
        <w:t>objectif de ce document</w:t>
      </w:r>
      <w:r w:rsidR="009C65BB" w:rsidRPr="004D0A2C">
        <w:rPr>
          <w:lang w:val="fr-FR"/>
        </w:rPr>
        <w:t>.</w:t>
      </w:r>
      <w:r w:rsidRPr="004D0A2C">
        <w:rPr>
          <w:lang w:val="fr-FR"/>
        </w:rPr>
        <w:t xml:space="preserve"> L</w:t>
      </w:r>
      <w:r w:rsidR="00AD27B0" w:rsidRPr="004D0A2C">
        <w:rPr>
          <w:lang w:val="fr-FR"/>
        </w:rPr>
        <w:t>’</w:t>
      </w:r>
      <w:r w:rsidRPr="004D0A2C">
        <w:rPr>
          <w:lang w:val="fr-FR"/>
        </w:rPr>
        <w:t>expert de la Chine a invité tous les représentants à lui faire part de leurs observations par écrit et a annoncé qu</w:t>
      </w:r>
      <w:r w:rsidR="00AD27B0" w:rsidRPr="004D0A2C">
        <w:rPr>
          <w:lang w:val="fr-FR"/>
        </w:rPr>
        <w:t>’</w:t>
      </w:r>
      <w:r w:rsidRPr="004D0A2C">
        <w:rPr>
          <w:lang w:val="fr-FR"/>
        </w:rPr>
        <w:t>il entendait soumettre une proposition révisée sous la forme d</w:t>
      </w:r>
      <w:r w:rsidR="00AD27B0" w:rsidRPr="004D0A2C">
        <w:rPr>
          <w:lang w:val="fr-FR"/>
        </w:rPr>
        <w:t>’</w:t>
      </w:r>
      <w:r w:rsidRPr="004D0A2C">
        <w:rPr>
          <w:lang w:val="fr-FR"/>
        </w:rPr>
        <w:t>un document officiel à la session suivante, en tenant compte des résultats des discussions de la quarante</w:t>
      </w:r>
      <w:r w:rsidR="0029609F" w:rsidRPr="004D0A2C">
        <w:rPr>
          <w:lang w:val="fr-FR"/>
        </w:rPr>
        <w:noBreakHyphen/>
      </w:r>
      <w:r w:rsidRPr="004D0A2C">
        <w:rPr>
          <w:lang w:val="fr-FR"/>
        </w:rPr>
        <w:t>deuxième session du Sous-Comité SGH</w:t>
      </w:r>
      <w:r w:rsidR="009C65BB" w:rsidRPr="004D0A2C">
        <w:rPr>
          <w:lang w:val="fr-FR"/>
        </w:rPr>
        <w:t>.</w:t>
      </w:r>
    </w:p>
    <w:p w14:paraId="76E7C445" w14:textId="5F7842CB" w:rsidR="006F26A8" w:rsidRPr="004D0A2C" w:rsidRDefault="006F26A8" w:rsidP="00BD5A78">
      <w:pPr>
        <w:pStyle w:val="HChG"/>
        <w:rPr>
          <w:lang w:val="fr-FR"/>
        </w:rPr>
      </w:pPr>
      <w:r w:rsidRPr="004D0A2C">
        <w:rPr>
          <w:lang w:val="fr-FR"/>
        </w:rPr>
        <w:tab/>
        <w:t>XIV</w:t>
      </w:r>
      <w:r w:rsidR="009C65BB" w:rsidRPr="004D0A2C">
        <w:rPr>
          <w:lang w:val="fr-FR"/>
        </w:rPr>
        <w:t>.</w:t>
      </w:r>
      <w:r w:rsidRPr="004D0A2C">
        <w:rPr>
          <w:lang w:val="fr-FR"/>
        </w:rPr>
        <w:tab/>
        <w:t>Application du Règlement type (point 12 de l</w:t>
      </w:r>
      <w:r w:rsidR="00AD27B0" w:rsidRPr="004D0A2C">
        <w:rPr>
          <w:lang w:val="fr-FR"/>
        </w:rPr>
        <w:t>’</w:t>
      </w:r>
      <w:r w:rsidRPr="004D0A2C">
        <w:rPr>
          <w:lang w:val="fr-FR"/>
        </w:rPr>
        <w:t>ordre du jour)</w:t>
      </w:r>
    </w:p>
    <w:p w14:paraId="34619130" w14:textId="4DEA82BF" w:rsidR="006F26A8" w:rsidRPr="004D0A2C" w:rsidRDefault="006F26A8" w:rsidP="00BD5A78">
      <w:pPr>
        <w:pStyle w:val="SingleTxtG"/>
        <w:rPr>
          <w:lang w:val="fr-FR"/>
        </w:rPr>
      </w:pPr>
      <w:r w:rsidRPr="004D0A2C">
        <w:rPr>
          <w:lang w:val="fr-FR"/>
        </w:rPr>
        <w:t>103</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1E0BBDAC" w14:textId="6F9AF9B4" w:rsidR="006F26A8" w:rsidRPr="004D0A2C" w:rsidRDefault="006F26A8" w:rsidP="00BD5A78">
      <w:pPr>
        <w:pStyle w:val="HChG"/>
        <w:rPr>
          <w:lang w:val="fr-FR"/>
        </w:rPr>
      </w:pPr>
      <w:r w:rsidRPr="004D0A2C">
        <w:rPr>
          <w:lang w:val="fr-FR"/>
        </w:rPr>
        <w:tab/>
        <w:t>XV</w:t>
      </w:r>
      <w:r w:rsidR="009C65BB" w:rsidRPr="004D0A2C">
        <w:rPr>
          <w:lang w:val="fr-FR"/>
        </w:rPr>
        <w:t>.</w:t>
      </w:r>
      <w:r w:rsidRPr="004D0A2C">
        <w:rPr>
          <w:lang w:val="fr-FR"/>
        </w:rPr>
        <w:tab/>
        <w:t xml:space="preserve">Formation à la sécurité et renforcement des capacités </w:t>
      </w:r>
      <w:r w:rsidR="00BD5A78" w:rsidRPr="004D0A2C">
        <w:rPr>
          <w:lang w:val="fr-FR"/>
        </w:rPr>
        <w:br/>
      </w:r>
      <w:r w:rsidRPr="004D0A2C">
        <w:rPr>
          <w:lang w:val="fr-FR"/>
        </w:rPr>
        <w:t xml:space="preserve">en ce qui concerne les marchandises dangereuses </w:t>
      </w:r>
      <w:r w:rsidR="00BD5A78" w:rsidRPr="004D0A2C">
        <w:rPr>
          <w:lang w:val="fr-FR"/>
        </w:rPr>
        <w:br/>
      </w:r>
      <w:r w:rsidRPr="004D0A2C">
        <w:rPr>
          <w:lang w:val="fr-FR"/>
        </w:rPr>
        <w:t>(point 13 de l</w:t>
      </w:r>
      <w:r w:rsidR="00AD27B0" w:rsidRPr="004D0A2C">
        <w:rPr>
          <w:lang w:val="fr-FR"/>
        </w:rPr>
        <w:t>’</w:t>
      </w:r>
      <w:r w:rsidRPr="004D0A2C">
        <w:rPr>
          <w:lang w:val="fr-FR"/>
        </w:rPr>
        <w:t>ordre du jour)</w:t>
      </w:r>
    </w:p>
    <w:p w14:paraId="43784427" w14:textId="46894BFD" w:rsidR="006F26A8" w:rsidRPr="004D0A2C" w:rsidRDefault="006F26A8" w:rsidP="00BD5A78">
      <w:pPr>
        <w:pStyle w:val="SingleTxtG"/>
        <w:rPr>
          <w:lang w:val="fr-FR"/>
        </w:rPr>
      </w:pPr>
      <w:r w:rsidRPr="004D0A2C">
        <w:rPr>
          <w:lang w:val="fr-FR"/>
        </w:rPr>
        <w:t>104</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77DB6FBF" w14:textId="3A246100" w:rsidR="006F26A8" w:rsidRPr="004D0A2C" w:rsidRDefault="006F26A8" w:rsidP="00BD5A78">
      <w:pPr>
        <w:pStyle w:val="HChG"/>
        <w:rPr>
          <w:lang w:val="fr-FR"/>
        </w:rPr>
      </w:pPr>
      <w:r w:rsidRPr="004D0A2C">
        <w:rPr>
          <w:lang w:val="fr-FR"/>
        </w:rPr>
        <w:tab/>
        <w:t>XVI</w:t>
      </w:r>
      <w:r w:rsidR="009C65BB" w:rsidRPr="004D0A2C">
        <w:rPr>
          <w:lang w:val="fr-FR"/>
        </w:rPr>
        <w:t>.</w:t>
      </w:r>
      <w:r w:rsidRPr="004D0A2C">
        <w:rPr>
          <w:lang w:val="fr-FR"/>
        </w:rPr>
        <w:tab/>
        <w:t>Programme de développement durable à l</w:t>
      </w:r>
      <w:r w:rsidR="00AD27B0" w:rsidRPr="004D0A2C">
        <w:rPr>
          <w:lang w:val="fr-FR"/>
        </w:rPr>
        <w:t>’</w:t>
      </w:r>
      <w:r w:rsidRPr="004D0A2C">
        <w:rPr>
          <w:lang w:val="fr-FR"/>
        </w:rPr>
        <w:t>horizon 2030 (point 14 de l</w:t>
      </w:r>
      <w:r w:rsidR="00AD27B0" w:rsidRPr="004D0A2C">
        <w:rPr>
          <w:lang w:val="fr-FR"/>
        </w:rPr>
        <w:t>’</w:t>
      </w:r>
      <w:r w:rsidRPr="004D0A2C">
        <w:rPr>
          <w:lang w:val="fr-FR"/>
        </w:rPr>
        <w:t>ordre du jour)</w:t>
      </w:r>
    </w:p>
    <w:p w14:paraId="385ADB96" w14:textId="71AFB1DF" w:rsidR="006F26A8" w:rsidRPr="004D0A2C" w:rsidRDefault="006F26A8" w:rsidP="00BD5A78">
      <w:pPr>
        <w:pStyle w:val="SingleTxtG"/>
        <w:rPr>
          <w:lang w:val="fr-FR"/>
        </w:rPr>
      </w:pPr>
      <w:r w:rsidRPr="004D0A2C">
        <w:rPr>
          <w:lang w:val="fr-FR"/>
        </w:rPr>
        <w:t>105</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10A6E43C" w14:textId="62EC5055" w:rsidR="006F26A8" w:rsidRPr="004D0A2C" w:rsidRDefault="006F26A8" w:rsidP="00BD5A78">
      <w:pPr>
        <w:pStyle w:val="HChG"/>
        <w:rPr>
          <w:lang w:val="fr-FR"/>
        </w:rPr>
      </w:pPr>
      <w:r w:rsidRPr="004D0A2C">
        <w:rPr>
          <w:lang w:val="fr-FR"/>
        </w:rPr>
        <w:tab/>
        <w:t>XVII</w:t>
      </w:r>
      <w:r w:rsidR="009C65BB" w:rsidRPr="004D0A2C">
        <w:rPr>
          <w:lang w:val="fr-FR"/>
        </w:rPr>
        <w:t>.</w:t>
      </w:r>
      <w:r w:rsidRPr="004D0A2C">
        <w:rPr>
          <w:lang w:val="fr-FR"/>
        </w:rPr>
        <w:tab/>
        <w:t xml:space="preserve">Possibilités de rendre le fonctionnement du Sous-Comité </w:t>
      </w:r>
      <w:r w:rsidR="00BD5A78" w:rsidRPr="004D0A2C">
        <w:rPr>
          <w:lang w:val="fr-FR"/>
        </w:rPr>
        <w:br/>
      </w:r>
      <w:r w:rsidRPr="004D0A2C">
        <w:rPr>
          <w:lang w:val="fr-FR"/>
        </w:rPr>
        <w:t>plus efficace et plus ouvert à tous les acteurs concernés (point 15 de l</w:t>
      </w:r>
      <w:r w:rsidR="00AD27B0" w:rsidRPr="004D0A2C">
        <w:rPr>
          <w:lang w:val="fr-FR"/>
        </w:rPr>
        <w:t>’</w:t>
      </w:r>
      <w:r w:rsidRPr="004D0A2C">
        <w:rPr>
          <w:lang w:val="fr-FR"/>
        </w:rPr>
        <w:t>ordre du jour)</w:t>
      </w:r>
    </w:p>
    <w:p w14:paraId="6D8E83FF" w14:textId="7FEAFADE" w:rsidR="006F26A8" w:rsidRPr="004D0A2C" w:rsidRDefault="006F26A8" w:rsidP="00BD5A78">
      <w:pPr>
        <w:pStyle w:val="SingleTxtG"/>
        <w:rPr>
          <w:lang w:val="fr-FR"/>
        </w:rPr>
      </w:pPr>
      <w:r w:rsidRPr="004D0A2C">
        <w:rPr>
          <w:lang w:val="fr-FR"/>
        </w:rPr>
        <w:t>106</w:t>
      </w:r>
      <w:r w:rsidR="009C65BB" w:rsidRPr="004D0A2C">
        <w:rPr>
          <w:lang w:val="fr-FR"/>
        </w:rPr>
        <w:t>.</w:t>
      </w:r>
      <w:r w:rsidRPr="004D0A2C">
        <w:rPr>
          <w:lang w:val="fr-FR"/>
        </w:rPr>
        <w:tab/>
        <w:t>Aucun document n</w:t>
      </w:r>
      <w:r w:rsidR="00AD27B0" w:rsidRPr="004D0A2C">
        <w:rPr>
          <w:lang w:val="fr-FR"/>
        </w:rPr>
        <w:t>’</w:t>
      </w:r>
      <w:r w:rsidRPr="004D0A2C">
        <w:rPr>
          <w:lang w:val="fr-FR"/>
        </w:rPr>
        <w:t>ayant été soumis au titre de ce point de l</w:t>
      </w:r>
      <w:r w:rsidR="00AD27B0" w:rsidRPr="004D0A2C">
        <w:rPr>
          <w:lang w:val="fr-FR"/>
        </w:rPr>
        <w:t>’</w:t>
      </w:r>
      <w:r w:rsidRPr="004D0A2C">
        <w:rPr>
          <w:lang w:val="fr-FR"/>
        </w:rPr>
        <w:t>ordre du jour, la question n</w:t>
      </w:r>
      <w:r w:rsidR="00AD27B0" w:rsidRPr="004D0A2C">
        <w:rPr>
          <w:lang w:val="fr-FR"/>
        </w:rPr>
        <w:t>’</w:t>
      </w:r>
      <w:r w:rsidRPr="004D0A2C">
        <w:rPr>
          <w:lang w:val="fr-FR"/>
        </w:rPr>
        <w:t>a pas été abordée</w:t>
      </w:r>
      <w:r w:rsidR="009C65BB" w:rsidRPr="004D0A2C">
        <w:rPr>
          <w:lang w:val="fr-FR"/>
        </w:rPr>
        <w:t>.</w:t>
      </w:r>
    </w:p>
    <w:p w14:paraId="0F6AC24E" w14:textId="4A6C2C33" w:rsidR="006F26A8" w:rsidRPr="004D0A2C" w:rsidRDefault="006F26A8" w:rsidP="00BD5A78">
      <w:pPr>
        <w:pStyle w:val="HChG"/>
        <w:rPr>
          <w:lang w:val="fr-FR"/>
        </w:rPr>
      </w:pPr>
      <w:r w:rsidRPr="004D0A2C">
        <w:rPr>
          <w:lang w:val="fr-FR"/>
        </w:rPr>
        <w:tab/>
        <w:t>XVIII</w:t>
      </w:r>
      <w:r w:rsidR="009C65BB" w:rsidRPr="004D0A2C">
        <w:rPr>
          <w:lang w:val="fr-FR"/>
        </w:rPr>
        <w:t>.</w:t>
      </w:r>
      <w:r w:rsidRPr="004D0A2C">
        <w:rPr>
          <w:lang w:val="fr-FR"/>
        </w:rPr>
        <w:tab/>
        <w:t>Questions diverses (point 16 de l</w:t>
      </w:r>
      <w:r w:rsidR="00AD27B0" w:rsidRPr="004D0A2C">
        <w:rPr>
          <w:lang w:val="fr-FR"/>
        </w:rPr>
        <w:t>’</w:t>
      </w:r>
      <w:r w:rsidRPr="004D0A2C">
        <w:rPr>
          <w:lang w:val="fr-FR"/>
        </w:rPr>
        <w:t>ordre du jour)</w:t>
      </w:r>
    </w:p>
    <w:p w14:paraId="0DACD6C6" w14:textId="79EEC137" w:rsidR="006F26A8" w:rsidRPr="004D0A2C" w:rsidRDefault="006F26A8" w:rsidP="00BD5A78">
      <w:pPr>
        <w:pStyle w:val="H1G"/>
        <w:rPr>
          <w:lang w:val="fr-FR"/>
        </w:rPr>
      </w:pPr>
      <w:r w:rsidRPr="004D0A2C">
        <w:rPr>
          <w:lang w:val="fr-FR"/>
        </w:rPr>
        <w:tab/>
        <w:t>A</w:t>
      </w:r>
      <w:r w:rsidR="009C65BB" w:rsidRPr="004D0A2C">
        <w:rPr>
          <w:lang w:val="fr-FR"/>
        </w:rPr>
        <w:t>.</w:t>
      </w:r>
      <w:r w:rsidRPr="004D0A2C">
        <w:rPr>
          <w:lang w:val="fr-FR"/>
        </w:rPr>
        <w:tab/>
        <w:t xml:space="preserve">Rapport du Secrétaire général sur les travaux du Comité </w:t>
      </w:r>
      <w:r w:rsidR="00BD5A78" w:rsidRPr="004D0A2C">
        <w:rPr>
          <w:lang w:val="fr-FR"/>
        </w:rPr>
        <w:br/>
      </w:r>
      <w:r w:rsidRPr="004D0A2C">
        <w:rPr>
          <w:rFonts w:ascii="Times New Roman Bold" w:hAnsi="Times New Roman Bold"/>
          <w:spacing w:val="2"/>
          <w:lang w:val="fr-FR"/>
        </w:rPr>
        <w:t xml:space="preserve">et de ses Sous-Comités pendant la période 2021-2022 </w:t>
      </w:r>
      <w:r w:rsidR="00BD5A78" w:rsidRPr="004D0A2C">
        <w:rPr>
          <w:lang w:val="fr-FR"/>
        </w:rPr>
        <w:br/>
      </w:r>
      <w:r w:rsidRPr="004D0A2C">
        <w:rPr>
          <w:rFonts w:ascii="Times New Roman Bold" w:hAnsi="Times New Roman Bold"/>
          <w:spacing w:val="-2"/>
          <w:lang w:val="fr-FR"/>
        </w:rPr>
        <w:t xml:space="preserve">et résolution </w:t>
      </w:r>
      <w:hyperlink r:id="rId62" w:history="1">
        <w:r w:rsidR="004F62B2">
          <w:rPr>
            <w:rStyle w:val="Hyperlink"/>
            <w:rFonts w:ascii="Times New Roman Bold" w:hAnsi="Times New Roman Bold"/>
            <w:spacing w:val="-2"/>
            <w:lang w:val="fr-FR"/>
          </w:rPr>
          <w:t>2023/5</w:t>
        </w:r>
      </w:hyperlink>
      <w:r w:rsidRPr="004D0A2C">
        <w:rPr>
          <w:rFonts w:ascii="Times New Roman Bold" w:hAnsi="Times New Roman Bold"/>
          <w:spacing w:val="-2"/>
          <w:lang w:val="fr-FR"/>
        </w:rPr>
        <w:t xml:space="preserve"> du Conseil économique et social</w:t>
      </w:r>
    </w:p>
    <w:p w14:paraId="3AB81264" w14:textId="03285796"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Documents informels</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16 et Add</w:t>
      </w:r>
      <w:r w:rsidR="009C65BB" w:rsidRPr="004D0A2C">
        <w:rPr>
          <w:lang w:val="fr-FR"/>
        </w:rPr>
        <w:t>.</w:t>
      </w:r>
      <w:r w:rsidRPr="004D0A2C">
        <w:rPr>
          <w:lang w:val="fr-FR"/>
        </w:rPr>
        <w:t xml:space="preserve"> 1 (secrétariat)</w:t>
      </w:r>
    </w:p>
    <w:p w14:paraId="42A66377" w14:textId="55F9EC16" w:rsidR="006F26A8" w:rsidRPr="004D0A2C" w:rsidRDefault="006F26A8" w:rsidP="00BD5A78">
      <w:pPr>
        <w:pStyle w:val="SingleTxtG"/>
        <w:rPr>
          <w:lang w:val="fr-FR"/>
        </w:rPr>
      </w:pPr>
      <w:r w:rsidRPr="004D0A2C">
        <w:rPr>
          <w:lang w:val="fr-FR"/>
        </w:rPr>
        <w:t>107</w:t>
      </w:r>
      <w:r w:rsidR="009C65BB" w:rsidRPr="004D0A2C">
        <w:rPr>
          <w:lang w:val="fr-FR"/>
        </w:rPr>
        <w:t>.</w:t>
      </w:r>
      <w:r w:rsidRPr="004D0A2C">
        <w:rPr>
          <w:lang w:val="fr-FR"/>
        </w:rPr>
        <w:tab/>
        <w:t xml:space="preserve">Un membre du secrétariat a informé le Sous-Comité que le Conseil économique et social avait examiné, le 7 juin 2023, le rapport du Secrétaire général sur les travaux du Comité et de ses Sous-Comités pendant la période 2021-2022 (document </w:t>
      </w:r>
      <w:hyperlink r:id="rId63" w:history="1">
        <w:r w:rsidR="004F62B2">
          <w:rPr>
            <w:rStyle w:val="Hyperlink"/>
            <w:lang w:val="fr-FR"/>
          </w:rPr>
          <w:t>E/2023/56</w:t>
        </w:r>
      </w:hyperlink>
      <w:r w:rsidRPr="004D0A2C">
        <w:rPr>
          <w:lang w:val="fr-FR"/>
        </w:rPr>
        <w:t>) et avait adopté sans aucune modification la résolution élaborée par le Comité à sa onzième session (</w:t>
      </w:r>
      <w:hyperlink r:id="rId64" w:history="1">
        <w:r w:rsidR="004F62B2">
          <w:rPr>
            <w:rStyle w:val="Hyperlink"/>
            <w:lang w:val="fr-FR"/>
          </w:rPr>
          <w:t>ST/SG/AC.10/50</w:t>
        </w:r>
      </w:hyperlink>
      <w:r w:rsidRPr="004D0A2C">
        <w:rPr>
          <w:lang w:val="fr-FR"/>
        </w:rPr>
        <w:t>, annexe IV), telle qu</w:t>
      </w:r>
      <w:r w:rsidR="00AD27B0" w:rsidRPr="004D0A2C">
        <w:rPr>
          <w:lang w:val="fr-FR"/>
        </w:rPr>
        <w:t>’</w:t>
      </w:r>
      <w:r w:rsidRPr="004D0A2C">
        <w:rPr>
          <w:lang w:val="fr-FR"/>
        </w:rPr>
        <w:t>elle figure dans le document informel INF</w:t>
      </w:r>
      <w:r w:rsidR="009C65BB" w:rsidRPr="004D0A2C">
        <w:rPr>
          <w:lang w:val="fr-FR"/>
        </w:rPr>
        <w:t>.</w:t>
      </w:r>
      <w:r w:rsidRPr="004D0A2C">
        <w:rPr>
          <w:lang w:val="fr-FR"/>
        </w:rPr>
        <w:t>16/Add</w:t>
      </w:r>
      <w:r w:rsidR="009C65BB" w:rsidRPr="004D0A2C">
        <w:rPr>
          <w:lang w:val="fr-FR"/>
        </w:rPr>
        <w:t>.</w:t>
      </w:r>
      <w:r w:rsidRPr="004D0A2C">
        <w:rPr>
          <w:lang w:val="fr-FR"/>
        </w:rPr>
        <w:t>1</w:t>
      </w:r>
      <w:r w:rsidR="009C65BB" w:rsidRPr="004D0A2C">
        <w:rPr>
          <w:lang w:val="fr-FR"/>
        </w:rPr>
        <w:t>.</w:t>
      </w:r>
    </w:p>
    <w:p w14:paraId="04429D9B" w14:textId="53131544" w:rsidR="006F26A8" w:rsidRPr="004D0A2C" w:rsidRDefault="006F26A8" w:rsidP="00BD5A78">
      <w:pPr>
        <w:pStyle w:val="SingleTxtG"/>
        <w:rPr>
          <w:lang w:val="fr-FR"/>
        </w:rPr>
      </w:pPr>
      <w:r w:rsidRPr="004D0A2C">
        <w:rPr>
          <w:lang w:val="fr-FR"/>
        </w:rPr>
        <w:lastRenderedPageBreak/>
        <w:t>108</w:t>
      </w:r>
      <w:r w:rsidR="009C65BB" w:rsidRPr="004D0A2C">
        <w:rPr>
          <w:lang w:val="fr-FR"/>
        </w:rPr>
        <w:t>.</w:t>
      </w:r>
      <w:r w:rsidRPr="004D0A2C">
        <w:rPr>
          <w:lang w:val="fr-FR"/>
        </w:rPr>
        <w:tab/>
        <w:t xml:space="preserve">Le programme de travail du Comité comprenait le calendrier de ses réunions et de celles de ses Sous-Comités pour 2023-2024, qui était reproduit au paragraphe 50 du rapport du Secrétaire général sur les travaux du Comité, publié sous la cote </w:t>
      </w:r>
      <w:hyperlink r:id="rId65" w:history="1">
        <w:r w:rsidR="004F62B2">
          <w:rPr>
            <w:rStyle w:val="Hyperlink"/>
            <w:lang w:val="fr-FR"/>
          </w:rPr>
          <w:t>E/2023/56</w:t>
        </w:r>
      </w:hyperlink>
      <w:r w:rsidRPr="004D0A2C">
        <w:rPr>
          <w:rStyle w:val="FootnoteReference"/>
          <w:lang w:val="fr-FR"/>
        </w:rPr>
        <w:footnoteReference w:id="4"/>
      </w:r>
      <w:r w:rsidR="009C65BB" w:rsidRPr="004D0A2C">
        <w:rPr>
          <w:lang w:val="fr-FR"/>
        </w:rPr>
        <w:t>.</w:t>
      </w:r>
    </w:p>
    <w:p w14:paraId="0AA500D4" w14:textId="2AF37A92" w:rsidR="006F26A8" w:rsidRPr="004D0A2C" w:rsidRDefault="006F26A8" w:rsidP="00BD5A78">
      <w:pPr>
        <w:pStyle w:val="H1G"/>
        <w:rPr>
          <w:lang w:val="fr-FR"/>
        </w:rPr>
      </w:pPr>
      <w:r w:rsidRPr="004D0A2C">
        <w:rPr>
          <w:lang w:val="fr-FR"/>
        </w:rPr>
        <w:tab/>
        <w:t>B</w:t>
      </w:r>
      <w:r w:rsidR="009C65BB" w:rsidRPr="004D0A2C">
        <w:rPr>
          <w:lang w:val="fr-FR"/>
        </w:rPr>
        <w:t>.</w:t>
      </w:r>
      <w:r w:rsidRPr="004D0A2C">
        <w:rPr>
          <w:lang w:val="fr-FR"/>
        </w:rPr>
        <w:tab/>
        <w:t>Contacts entre l</w:t>
      </w:r>
      <w:r w:rsidR="00AD27B0" w:rsidRPr="004D0A2C">
        <w:rPr>
          <w:lang w:val="fr-FR"/>
        </w:rPr>
        <w:t>’</w:t>
      </w:r>
      <w:r w:rsidRPr="004D0A2C">
        <w:rPr>
          <w:lang w:val="fr-FR"/>
        </w:rPr>
        <w:t>Organisation des Nations Unies et les organisations non gouvernementales à des fins de consultation</w:t>
      </w:r>
    </w:p>
    <w:p w14:paraId="771D7D5C" w14:textId="1BAB27AF"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15 (secrétariat)</w:t>
      </w:r>
    </w:p>
    <w:p w14:paraId="415F230A" w14:textId="4A577E06" w:rsidR="006F26A8" w:rsidRPr="004D0A2C" w:rsidRDefault="006F26A8" w:rsidP="00BD5A78">
      <w:pPr>
        <w:pStyle w:val="SingleTxtG"/>
        <w:rPr>
          <w:lang w:val="fr-FR"/>
        </w:rPr>
      </w:pPr>
      <w:r w:rsidRPr="004D0A2C">
        <w:rPr>
          <w:lang w:val="fr-FR"/>
        </w:rPr>
        <w:t>109</w:t>
      </w:r>
      <w:r w:rsidR="009C65BB" w:rsidRPr="004D0A2C">
        <w:rPr>
          <w:lang w:val="fr-FR"/>
        </w:rPr>
        <w:t>.</w:t>
      </w:r>
      <w:r w:rsidRPr="004D0A2C">
        <w:rPr>
          <w:lang w:val="fr-FR"/>
        </w:rPr>
        <w:tab/>
        <w:t>Le secrétariat a souligné qu</w:t>
      </w:r>
      <w:r w:rsidR="00AD27B0" w:rsidRPr="004D0A2C">
        <w:rPr>
          <w:lang w:val="fr-FR"/>
        </w:rPr>
        <w:t>’</w:t>
      </w:r>
      <w:r w:rsidRPr="004D0A2C">
        <w:rPr>
          <w:lang w:val="fr-FR"/>
        </w:rPr>
        <w:t>il importait de tenir ces renseignements à jour et invité les délégations à vérifier si le nom et les coordonnées de la personne désignée comme chef de délégation pour leur État ou leur organisation étaient exacts</w:t>
      </w:r>
      <w:r w:rsidR="009C65BB" w:rsidRPr="004D0A2C">
        <w:rPr>
          <w:lang w:val="fr-FR"/>
        </w:rPr>
        <w:t>.</w:t>
      </w:r>
      <w:r w:rsidRPr="004D0A2C">
        <w:rPr>
          <w:lang w:val="fr-FR"/>
        </w:rPr>
        <w:t xml:space="preserve"> Les changements devaient être notifiés au secrétariat dès que possible, par les voies officielles (c</w:t>
      </w:r>
      <w:r w:rsidR="00AD27B0" w:rsidRPr="004D0A2C">
        <w:rPr>
          <w:lang w:val="fr-FR"/>
        </w:rPr>
        <w:t>’</w:t>
      </w:r>
      <w:r w:rsidRPr="004D0A2C">
        <w:rPr>
          <w:lang w:val="fr-FR"/>
        </w:rPr>
        <w:t>est-à-dire par l</w:t>
      </w:r>
      <w:r w:rsidR="00AD27B0" w:rsidRPr="004D0A2C">
        <w:rPr>
          <w:lang w:val="fr-FR"/>
        </w:rPr>
        <w:t>’</w:t>
      </w:r>
      <w:r w:rsidRPr="004D0A2C">
        <w:rPr>
          <w:lang w:val="fr-FR"/>
        </w:rPr>
        <w:t>intermédiaire de la Mission permanente ou du Ministère des affaires étrangères dans le cas des États, et par une lettre ou un courriel officiels dans le cas des ONG)</w:t>
      </w:r>
      <w:r w:rsidR="009C65BB" w:rsidRPr="004D0A2C">
        <w:rPr>
          <w:lang w:val="fr-FR"/>
        </w:rPr>
        <w:t>.</w:t>
      </w:r>
    </w:p>
    <w:p w14:paraId="79D010C5" w14:textId="29A6D1F8" w:rsidR="006F26A8" w:rsidRPr="004D0A2C" w:rsidRDefault="006F26A8" w:rsidP="00BD5A78">
      <w:pPr>
        <w:pStyle w:val="SingleTxtG"/>
        <w:rPr>
          <w:lang w:val="fr-FR"/>
        </w:rPr>
      </w:pPr>
      <w:r w:rsidRPr="004D0A2C">
        <w:rPr>
          <w:lang w:val="fr-FR"/>
        </w:rPr>
        <w:t>110</w:t>
      </w:r>
      <w:r w:rsidR="009C65BB" w:rsidRPr="004D0A2C">
        <w:rPr>
          <w:lang w:val="fr-FR"/>
        </w:rPr>
        <w:t>.</w:t>
      </w:r>
      <w:r w:rsidRPr="004D0A2C">
        <w:rPr>
          <w:lang w:val="fr-FR"/>
        </w:rPr>
        <w:tab/>
        <w:t>Le secrétariat a fait observer que, pour certains pays, les renseignements relatifs à l</w:t>
      </w:r>
      <w:r w:rsidR="00AD27B0" w:rsidRPr="004D0A2C">
        <w:rPr>
          <w:lang w:val="fr-FR"/>
        </w:rPr>
        <w:t>’</w:t>
      </w:r>
      <w:r w:rsidRPr="004D0A2C">
        <w:rPr>
          <w:lang w:val="fr-FR"/>
        </w:rPr>
        <w:t>expert accrédité pour représenter l</w:t>
      </w:r>
      <w:r w:rsidR="00AD27B0" w:rsidRPr="004D0A2C">
        <w:rPr>
          <w:lang w:val="fr-FR"/>
        </w:rPr>
        <w:t>’</w:t>
      </w:r>
      <w:r w:rsidRPr="004D0A2C">
        <w:rPr>
          <w:lang w:val="fr-FR"/>
        </w:rPr>
        <w:t>État étaient absents ou incomplets, ou n</w:t>
      </w:r>
      <w:r w:rsidR="00AD27B0" w:rsidRPr="004D0A2C">
        <w:rPr>
          <w:lang w:val="fr-FR"/>
        </w:rPr>
        <w:t>’</w:t>
      </w:r>
      <w:r w:rsidRPr="004D0A2C">
        <w:rPr>
          <w:lang w:val="fr-FR"/>
        </w:rPr>
        <w:t>étaient plus d</w:t>
      </w:r>
      <w:r w:rsidR="00AD27B0" w:rsidRPr="004D0A2C">
        <w:rPr>
          <w:lang w:val="fr-FR"/>
        </w:rPr>
        <w:t>’</w:t>
      </w:r>
      <w:r w:rsidRPr="004D0A2C">
        <w:rPr>
          <w:lang w:val="fr-FR"/>
        </w:rPr>
        <w:t>actualité</w:t>
      </w:r>
      <w:r w:rsidR="009C65BB" w:rsidRPr="004D0A2C">
        <w:rPr>
          <w:lang w:val="fr-FR"/>
        </w:rPr>
        <w:t>.</w:t>
      </w:r>
      <w:r w:rsidRPr="004D0A2C">
        <w:rPr>
          <w:lang w:val="fr-FR"/>
        </w:rPr>
        <w:t xml:space="preserve"> Il a également été rappelé que seules les ONG dotées du statut consultatif auprès du Conseil économique et social ou du Comité ou de ses Sous-Comités qui s</w:t>
      </w:r>
      <w:r w:rsidR="00AD27B0" w:rsidRPr="004D0A2C">
        <w:rPr>
          <w:lang w:val="fr-FR"/>
        </w:rPr>
        <w:t>’</w:t>
      </w:r>
      <w:r w:rsidRPr="004D0A2C">
        <w:rPr>
          <w:lang w:val="fr-FR"/>
        </w:rPr>
        <w:t>occupaient de questions relevant de la compétence du Comité ou de ses Sous-Comités étaient habilitées à participer aux sessions</w:t>
      </w:r>
      <w:r w:rsidR="009C65BB" w:rsidRPr="004D0A2C">
        <w:rPr>
          <w:lang w:val="fr-FR"/>
        </w:rPr>
        <w:t>.</w:t>
      </w:r>
      <w:r w:rsidRPr="004D0A2C">
        <w:rPr>
          <w:lang w:val="fr-FR"/>
        </w:rPr>
        <w:t xml:space="preserve"> Les ONG dotées du statut consultatif auprès du Comité et de ses Sous-Comités (mais pas auprès du Conseil économique et social) étaient invitées à communiquer tout changement de nom au secrétariat</w:t>
      </w:r>
      <w:r w:rsidR="009C65BB" w:rsidRPr="004D0A2C">
        <w:rPr>
          <w:lang w:val="fr-FR"/>
        </w:rPr>
        <w:t>.</w:t>
      </w:r>
      <w:r w:rsidRPr="004D0A2C">
        <w:rPr>
          <w:lang w:val="fr-FR"/>
        </w:rPr>
        <w:t xml:space="preserve"> Des informations plus détaillées et des liens figuraient dans le document informel INF</w:t>
      </w:r>
      <w:r w:rsidR="009C65BB" w:rsidRPr="004D0A2C">
        <w:rPr>
          <w:lang w:val="fr-FR"/>
        </w:rPr>
        <w:t>.</w:t>
      </w:r>
      <w:r w:rsidRPr="004D0A2C">
        <w:rPr>
          <w:lang w:val="fr-FR"/>
        </w:rPr>
        <w:t>15</w:t>
      </w:r>
      <w:r w:rsidR="009C65BB" w:rsidRPr="004D0A2C">
        <w:rPr>
          <w:lang w:val="fr-FR"/>
        </w:rPr>
        <w:t>.</w:t>
      </w:r>
    </w:p>
    <w:p w14:paraId="3E20431D" w14:textId="32EF9FB0" w:rsidR="006F26A8" w:rsidRPr="004D0A2C" w:rsidRDefault="006F26A8" w:rsidP="00BD5A78">
      <w:pPr>
        <w:pStyle w:val="H1G"/>
        <w:rPr>
          <w:lang w:val="fr-FR"/>
        </w:rPr>
      </w:pPr>
      <w:r w:rsidRPr="004D0A2C">
        <w:rPr>
          <w:lang w:val="fr-FR"/>
        </w:rPr>
        <w:tab/>
        <w:t>C</w:t>
      </w:r>
      <w:r w:rsidR="009C65BB" w:rsidRPr="004D0A2C">
        <w:rPr>
          <w:lang w:val="fr-FR"/>
        </w:rPr>
        <w:t>.</w:t>
      </w:r>
      <w:r w:rsidRPr="004D0A2C">
        <w:rPr>
          <w:lang w:val="fr-FR"/>
        </w:rPr>
        <w:tab/>
        <w:t>Autres questions diverses</w:t>
      </w:r>
    </w:p>
    <w:p w14:paraId="76BB7896" w14:textId="5216B396" w:rsidR="006F26A8" w:rsidRPr="004D0A2C" w:rsidRDefault="006F26A8" w:rsidP="00BD5A78">
      <w:pPr>
        <w:pStyle w:val="H23G"/>
        <w:rPr>
          <w:lang w:val="fr-FR"/>
        </w:rPr>
      </w:pPr>
      <w:r w:rsidRPr="004D0A2C">
        <w:rPr>
          <w:lang w:val="fr-FR"/>
        </w:rPr>
        <w:tab/>
        <w:t>1</w:t>
      </w:r>
      <w:r w:rsidR="009C65BB" w:rsidRPr="004D0A2C">
        <w:rPr>
          <w:lang w:val="fr-FR"/>
        </w:rPr>
        <w:t>.</w:t>
      </w:r>
      <w:r w:rsidRPr="004D0A2C">
        <w:rPr>
          <w:lang w:val="fr-FR"/>
        </w:rPr>
        <w:tab/>
        <w:t>Transport de matières infectieuses</w:t>
      </w:r>
    </w:p>
    <w:p w14:paraId="110E1685" w14:textId="785ADDCE" w:rsidR="006F26A8" w:rsidRPr="004D0A2C" w:rsidRDefault="006F26A8" w:rsidP="0031185C">
      <w:pPr>
        <w:pStyle w:val="SingleTxtG"/>
        <w:tabs>
          <w:tab w:val="clear" w:pos="1701"/>
          <w:tab w:val="clear" w:pos="2268"/>
          <w:tab w:val="clear" w:pos="2835"/>
          <w:tab w:val="left" w:pos="2977"/>
        </w:tabs>
        <w:ind w:left="2977" w:hanging="1843"/>
        <w:rPr>
          <w:lang w:val="fr-FR"/>
        </w:rPr>
      </w:pPr>
      <w:r w:rsidRPr="004D0A2C">
        <w:rPr>
          <w:i/>
          <w:iCs/>
          <w:lang w:val="fr-FR"/>
        </w:rPr>
        <w:t>Document informel</w:t>
      </w:r>
      <w:r w:rsidR="00AD27B0" w:rsidRPr="004D0A2C">
        <w:rPr>
          <w:i/>
          <w:iCs/>
          <w:lang w:val="fr-FR"/>
        </w:rPr>
        <w:t> </w:t>
      </w:r>
      <w:r w:rsidR="005F36F6" w:rsidRPr="004D0A2C">
        <w:rPr>
          <w:iCs/>
          <w:lang w:val="fr-FR"/>
        </w:rPr>
        <w:t>:</w:t>
      </w:r>
      <w:r w:rsidRPr="004D0A2C">
        <w:rPr>
          <w:lang w:val="fr-FR"/>
        </w:rPr>
        <w:tab/>
        <w:t>INF</w:t>
      </w:r>
      <w:r w:rsidR="009C65BB" w:rsidRPr="004D0A2C">
        <w:rPr>
          <w:lang w:val="fr-FR"/>
        </w:rPr>
        <w:t>.</w:t>
      </w:r>
      <w:r w:rsidRPr="004D0A2C">
        <w:rPr>
          <w:lang w:val="fr-FR"/>
        </w:rPr>
        <w:t>46 (COSTHA, DGTA et FAO)</w:t>
      </w:r>
    </w:p>
    <w:p w14:paraId="6482A1E3" w14:textId="77FB8B52" w:rsidR="006F26A8" w:rsidRPr="004D0A2C" w:rsidRDefault="006F26A8" w:rsidP="00BD5A78">
      <w:pPr>
        <w:pStyle w:val="SingleTxtG"/>
        <w:rPr>
          <w:lang w:val="fr-FR"/>
        </w:rPr>
      </w:pPr>
      <w:r w:rsidRPr="004D0A2C">
        <w:rPr>
          <w:lang w:val="fr-FR"/>
        </w:rPr>
        <w:t>111</w:t>
      </w:r>
      <w:r w:rsidR="009C65BB" w:rsidRPr="004D0A2C">
        <w:rPr>
          <w:lang w:val="fr-FR"/>
        </w:rPr>
        <w:t>.</w:t>
      </w:r>
      <w:r w:rsidRPr="004D0A2C">
        <w:rPr>
          <w:lang w:val="fr-FR"/>
        </w:rPr>
        <w:tab/>
        <w:t>Le Sous-Comité a relevé que, dans le document informel INF</w:t>
      </w:r>
      <w:r w:rsidR="009C65BB" w:rsidRPr="004D0A2C">
        <w:rPr>
          <w:lang w:val="fr-FR"/>
        </w:rPr>
        <w:t>.</w:t>
      </w:r>
      <w:r w:rsidRPr="004D0A2C">
        <w:rPr>
          <w:lang w:val="fr-FR"/>
        </w:rPr>
        <w:t>46, il était demandé que soient organisées, parallèlement aux sessions suivantes des Sous-Comités TMD et SGH, des réunions informelles sur le transport des matières infectieuses</w:t>
      </w:r>
      <w:r w:rsidR="009C65BB" w:rsidRPr="004D0A2C">
        <w:rPr>
          <w:lang w:val="fr-FR"/>
        </w:rPr>
        <w:t>.</w:t>
      </w:r>
      <w:r w:rsidRPr="004D0A2C">
        <w:rPr>
          <w:lang w:val="fr-FR"/>
        </w:rPr>
        <w:t xml:space="preserve"> Il a approuvé cette demande et a invité les organisateurs à planifier d</w:t>
      </w:r>
      <w:r w:rsidR="00AD27B0" w:rsidRPr="004D0A2C">
        <w:rPr>
          <w:lang w:val="fr-FR"/>
        </w:rPr>
        <w:t>’</w:t>
      </w:r>
      <w:r w:rsidRPr="004D0A2C">
        <w:rPr>
          <w:lang w:val="fr-FR"/>
        </w:rPr>
        <w:t>ores et déjà des réunions préparatoires en ligne</w:t>
      </w:r>
      <w:r w:rsidR="009C65BB" w:rsidRPr="004D0A2C">
        <w:rPr>
          <w:lang w:val="fr-FR"/>
        </w:rPr>
        <w:t>.</w:t>
      </w:r>
    </w:p>
    <w:p w14:paraId="02897CCD" w14:textId="53298C17" w:rsidR="006F26A8" w:rsidRPr="004D0A2C" w:rsidRDefault="006F26A8" w:rsidP="00BD5A78">
      <w:pPr>
        <w:pStyle w:val="H23G"/>
        <w:rPr>
          <w:lang w:val="fr-FR"/>
        </w:rPr>
      </w:pPr>
      <w:r w:rsidRPr="004D0A2C">
        <w:rPr>
          <w:lang w:val="fr-FR"/>
        </w:rPr>
        <w:tab/>
        <w:t>2</w:t>
      </w:r>
      <w:r w:rsidR="009C65BB" w:rsidRPr="004D0A2C">
        <w:rPr>
          <w:lang w:val="fr-FR"/>
        </w:rPr>
        <w:t>.</w:t>
      </w:r>
      <w:r w:rsidRPr="004D0A2C">
        <w:rPr>
          <w:lang w:val="fr-FR"/>
        </w:rPr>
        <w:tab/>
        <w:t>Dates de la soixante-troisième session</w:t>
      </w:r>
    </w:p>
    <w:p w14:paraId="6F857732" w14:textId="469EFF35" w:rsidR="006F26A8" w:rsidRPr="004D0A2C" w:rsidRDefault="006F26A8" w:rsidP="00BD5A78">
      <w:pPr>
        <w:pStyle w:val="SingleTxtG"/>
        <w:rPr>
          <w:lang w:val="fr-FR"/>
        </w:rPr>
      </w:pPr>
      <w:r w:rsidRPr="004D0A2C">
        <w:rPr>
          <w:lang w:val="fr-FR"/>
        </w:rPr>
        <w:t>112</w:t>
      </w:r>
      <w:r w:rsidR="009C65BB" w:rsidRPr="004D0A2C">
        <w:rPr>
          <w:lang w:val="fr-FR"/>
        </w:rPr>
        <w:t>.</w:t>
      </w:r>
      <w:r w:rsidRPr="004D0A2C">
        <w:rPr>
          <w:lang w:val="fr-FR"/>
        </w:rPr>
        <w:tab/>
        <w:t>Le Sous-Comité a pris note des dates de sa soixante-troisième session et de la date limite de soumission des documents</w:t>
      </w:r>
      <w:r w:rsidR="00AD27B0" w:rsidRPr="004D0A2C">
        <w:rPr>
          <w:lang w:val="fr-FR"/>
        </w:rPr>
        <w:t> :</w:t>
      </w:r>
    </w:p>
    <w:p w14:paraId="6E3AB83E" w14:textId="1E8018E4" w:rsidR="006F26A8" w:rsidRPr="004D0A2C" w:rsidRDefault="006F26A8" w:rsidP="00BD5A78">
      <w:pPr>
        <w:pStyle w:val="SingleTxtG"/>
        <w:rPr>
          <w:lang w:val="fr-FR"/>
        </w:rPr>
      </w:pPr>
      <w:r w:rsidRPr="004D0A2C">
        <w:rPr>
          <w:lang w:val="fr-FR"/>
        </w:rPr>
        <w:t>113</w:t>
      </w:r>
      <w:r w:rsidR="009C65BB" w:rsidRPr="004D0A2C">
        <w:rPr>
          <w:lang w:val="fr-FR"/>
        </w:rPr>
        <w:t>.</w:t>
      </w:r>
      <w:r w:rsidRPr="004D0A2C">
        <w:rPr>
          <w:lang w:val="fr-FR"/>
        </w:rPr>
        <w:tab/>
        <w:t>Dates de la session</w:t>
      </w:r>
      <w:r w:rsidR="00AD27B0" w:rsidRPr="004D0A2C">
        <w:rPr>
          <w:lang w:val="fr-FR"/>
        </w:rPr>
        <w:t> :</w:t>
      </w:r>
      <w:r w:rsidRPr="004D0A2C">
        <w:rPr>
          <w:lang w:val="fr-FR"/>
        </w:rPr>
        <w:t xml:space="preserve"> du 27 novembre au 6 décembre 2023</w:t>
      </w:r>
      <w:r w:rsidR="00AD27B0" w:rsidRPr="004D0A2C">
        <w:rPr>
          <w:lang w:val="fr-FR"/>
        </w:rPr>
        <w:t> ;</w:t>
      </w:r>
    </w:p>
    <w:p w14:paraId="5DBB15D6" w14:textId="4DF3A9CC" w:rsidR="006F26A8" w:rsidRPr="004D0A2C" w:rsidRDefault="006F26A8" w:rsidP="00BD5A78">
      <w:pPr>
        <w:pStyle w:val="SingleTxtG"/>
        <w:rPr>
          <w:lang w:val="fr-FR"/>
        </w:rPr>
      </w:pPr>
      <w:r w:rsidRPr="004D0A2C">
        <w:rPr>
          <w:lang w:val="fr-FR"/>
        </w:rPr>
        <w:t>114</w:t>
      </w:r>
      <w:r w:rsidR="009C65BB" w:rsidRPr="004D0A2C">
        <w:rPr>
          <w:lang w:val="fr-FR"/>
        </w:rPr>
        <w:t>.</w:t>
      </w:r>
      <w:r w:rsidRPr="004D0A2C">
        <w:rPr>
          <w:lang w:val="fr-FR"/>
        </w:rPr>
        <w:tab/>
        <w:t>Date limite de soumission des documents officiels</w:t>
      </w:r>
      <w:r w:rsidR="00AD27B0" w:rsidRPr="004D0A2C">
        <w:rPr>
          <w:lang w:val="fr-FR"/>
        </w:rPr>
        <w:t> :</w:t>
      </w:r>
      <w:r w:rsidRPr="004D0A2C">
        <w:rPr>
          <w:lang w:val="fr-FR"/>
        </w:rPr>
        <w:t xml:space="preserve"> </w:t>
      </w:r>
      <w:r w:rsidR="00AD27B0" w:rsidRPr="004D0A2C">
        <w:rPr>
          <w:lang w:val="fr-FR"/>
        </w:rPr>
        <w:t>1</w:t>
      </w:r>
      <w:r w:rsidR="00AD27B0" w:rsidRPr="004D0A2C">
        <w:rPr>
          <w:vertAlign w:val="superscript"/>
          <w:lang w:val="fr-FR"/>
        </w:rPr>
        <w:t>er</w:t>
      </w:r>
      <w:r w:rsidRPr="004D0A2C">
        <w:rPr>
          <w:lang w:val="fr-FR"/>
        </w:rPr>
        <w:t> septembre 2023</w:t>
      </w:r>
      <w:r w:rsidR="009C65BB" w:rsidRPr="004D0A2C">
        <w:rPr>
          <w:lang w:val="fr-FR"/>
        </w:rPr>
        <w:t>.</w:t>
      </w:r>
    </w:p>
    <w:p w14:paraId="6D41A18F" w14:textId="1B04CAEB" w:rsidR="006F26A8" w:rsidRPr="004D0A2C" w:rsidRDefault="006F26A8" w:rsidP="00BD5A78">
      <w:pPr>
        <w:pStyle w:val="H1G"/>
        <w:rPr>
          <w:lang w:val="fr-FR"/>
        </w:rPr>
      </w:pPr>
      <w:r w:rsidRPr="004D0A2C">
        <w:rPr>
          <w:lang w:val="fr-FR"/>
        </w:rPr>
        <w:tab/>
        <w:t>D</w:t>
      </w:r>
      <w:r w:rsidR="009C65BB" w:rsidRPr="004D0A2C">
        <w:rPr>
          <w:lang w:val="fr-FR"/>
        </w:rPr>
        <w:t>.</w:t>
      </w:r>
      <w:r w:rsidRPr="004D0A2C">
        <w:rPr>
          <w:lang w:val="fr-FR"/>
        </w:rPr>
        <w:tab/>
        <w:t>Hommages</w:t>
      </w:r>
    </w:p>
    <w:p w14:paraId="09DFDD98" w14:textId="28550722" w:rsidR="006F26A8" w:rsidRPr="004D0A2C" w:rsidRDefault="006F26A8" w:rsidP="00BD5A78">
      <w:pPr>
        <w:pStyle w:val="SingleTxtG"/>
        <w:rPr>
          <w:lang w:val="fr-FR"/>
        </w:rPr>
      </w:pPr>
      <w:r w:rsidRPr="004D0A2C">
        <w:rPr>
          <w:lang w:val="fr-FR"/>
        </w:rPr>
        <w:t>115</w:t>
      </w:r>
      <w:r w:rsidR="009C65BB" w:rsidRPr="004D0A2C">
        <w:rPr>
          <w:lang w:val="fr-FR"/>
        </w:rPr>
        <w:t>.</w:t>
      </w:r>
      <w:r w:rsidRPr="004D0A2C">
        <w:rPr>
          <w:lang w:val="fr-FR"/>
        </w:rPr>
        <w:tab/>
        <w:t>Apprenant que M</w:t>
      </w:r>
      <w:r w:rsidR="009C65BB" w:rsidRPr="004D0A2C">
        <w:rPr>
          <w:lang w:val="fr-FR"/>
        </w:rPr>
        <w:t>.</w:t>
      </w:r>
      <w:r w:rsidR="00200C26" w:rsidRPr="004D0A2C">
        <w:rPr>
          <w:lang w:val="fr-FR"/>
        </w:rPr>
        <w:t> </w:t>
      </w:r>
      <w:r w:rsidRPr="004D0A2C">
        <w:rPr>
          <w:lang w:val="fr-FR"/>
        </w:rPr>
        <w:t>Ed de Jong (Pays-Bas) s</w:t>
      </w:r>
      <w:r w:rsidR="00AD27B0" w:rsidRPr="004D0A2C">
        <w:rPr>
          <w:lang w:val="fr-FR"/>
        </w:rPr>
        <w:t>’</w:t>
      </w:r>
      <w:r w:rsidRPr="004D0A2C">
        <w:rPr>
          <w:lang w:val="fr-FR"/>
        </w:rPr>
        <w:t>apprêtait à prendre sa retraite et ne participerait plus aux sessions, le Sous-Comité l</w:t>
      </w:r>
      <w:r w:rsidR="00AD27B0" w:rsidRPr="004D0A2C">
        <w:rPr>
          <w:lang w:val="fr-FR"/>
        </w:rPr>
        <w:t>’</w:t>
      </w:r>
      <w:r w:rsidRPr="004D0A2C">
        <w:rPr>
          <w:lang w:val="fr-FR"/>
        </w:rPr>
        <w:t>a vivement remercié de ses excellentes contributions aux travaux des deux Sous-Comités depuis 1993 et lui a souhaité une longue et heureuse retraite</w:t>
      </w:r>
      <w:r w:rsidR="009C65BB" w:rsidRPr="004D0A2C">
        <w:rPr>
          <w:lang w:val="fr-FR"/>
        </w:rPr>
        <w:t>.</w:t>
      </w:r>
      <w:r w:rsidRPr="004D0A2C">
        <w:rPr>
          <w:lang w:val="fr-FR"/>
        </w:rPr>
        <w:t xml:space="preserve"> Le Président l</w:t>
      </w:r>
      <w:r w:rsidR="00AD27B0" w:rsidRPr="004D0A2C">
        <w:rPr>
          <w:lang w:val="fr-FR"/>
        </w:rPr>
        <w:t>’</w:t>
      </w:r>
      <w:r w:rsidRPr="004D0A2C">
        <w:rPr>
          <w:lang w:val="fr-FR"/>
        </w:rPr>
        <w:t>a remercié pour les contributions essentielles qu</w:t>
      </w:r>
      <w:r w:rsidR="00AD27B0" w:rsidRPr="004D0A2C">
        <w:rPr>
          <w:lang w:val="fr-FR"/>
        </w:rPr>
        <w:t>’</w:t>
      </w:r>
      <w:r w:rsidRPr="004D0A2C">
        <w:rPr>
          <w:lang w:val="fr-FR"/>
        </w:rPr>
        <w:t>il avait apportées pendant les quinze dernières années passées à la présidence du Groupe de travail informel des explosifs</w:t>
      </w:r>
      <w:r w:rsidR="009C65BB" w:rsidRPr="004D0A2C">
        <w:rPr>
          <w:lang w:val="fr-FR"/>
        </w:rPr>
        <w:t>.</w:t>
      </w:r>
    </w:p>
    <w:p w14:paraId="6C44C065" w14:textId="42676A03" w:rsidR="006F26A8" w:rsidRPr="004D0A2C" w:rsidRDefault="006F26A8" w:rsidP="00200C26">
      <w:pPr>
        <w:pStyle w:val="SingleTxtG"/>
        <w:keepNext/>
        <w:keepLines/>
        <w:rPr>
          <w:lang w:val="fr-FR"/>
        </w:rPr>
      </w:pPr>
      <w:r w:rsidRPr="004D0A2C">
        <w:rPr>
          <w:lang w:val="fr-FR"/>
        </w:rPr>
        <w:lastRenderedPageBreak/>
        <w:t>116</w:t>
      </w:r>
      <w:r w:rsidR="009C65BB" w:rsidRPr="004D0A2C">
        <w:rPr>
          <w:lang w:val="fr-FR"/>
        </w:rPr>
        <w:t>.</w:t>
      </w:r>
      <w:r w:rsidRPr="004D0A2C">
        <w:rPr>
          <w:lang w:val="fr-FR"/>
        </w:rPr>
        <w:tab/>
        <w:t xml:space="preserve">Le Sous-Comité a noté que </w:t>
      </w:r>
      <w:r w:rsidR="00AD27B0" w:rsidRPr="004D0A2C">
        <w:rPr>
          <w:lang w:val="fr-FR"/>
        </w:rPr>
        <w:t>M</w:t>
      </w:r>
      <w:r w:rsidR="00AD27B0" w:rsidRPr="004D0A2C">
        <w:rPr>
          <w:vertAlign w:val="superscript"/>
          <w:lang w:val="fr-FR"/>
        </w:rPr>
        <w:t>me</w:t>
      </w:r>
      <w:r w:rsidR="0085236D" w:rsidRPr="004D0A2C">
        <w:rPr>
          <w:lang w:val="fr-FR"/>
        </w:rPr>
        <w:t> </w:t>
      </w:r>
      <w:r w:rsidRPr="004D0A2C">
        <w:rPr>
          <w:lang w:val="fr-FR"/>
        </w:rPr>
        <w:t>Laurence Berthet, qui fournissait avec un grand dévouement des services de secrétariat depuis 2007, avait pris sa retraite en mai 2023 et ne participerait plus aux futures sessions</w:t>
      </w:r>
      <w:r w:rsidR="009C65BB" w:rsidRPr="004D0A2C">
        <w:rPr>
          <w:lang w:val="fr-FR"/>
        </w:rPr>
        <w:t>.</w:t>
      </w:r>
      <w:r w:rsidRPr="004D0A2C">
        <w:rPr>
          <w:lang w:val="fr-FR"/>
        </w:rPr>
        <w:t xml:space="preserve"> Le Sous-Comité l</w:t>
      </w:r>
      <w:r w:rsidR="00AD27B0" w:rsidRPr="004D0A2C">
        <w:rPr>
          <w:lang w:val="fr-FR"/>
        </w:rPr>
        <w:t>’</w:t>
      </w:r>
      <w:r w:rsidRPr="004D0A2C">
        <w:rPr>
          <w:lang w:val="fr-FR"/>
        </w:rPr>
        <w:t>a remerciée pour son aide et pour son engagement pendant toutes ces années de service et lui a souhaité une longue et heureuse retraite</w:t>
      </w:r>
      <w:r w:rsidR="009C65BB" w:rsidRPr="004D0A2C">
        <w:rPr>
          <w:lang w:val="fr-FR"/>
        </w:rPr>
        <w:t>.</w:t>
      </w:r>
    </w:p>
    <w:p w14:paraId="2495DB07" w14:textId="56258AA3" w:rsidR="006F26A8" w:rsidRPr="004D0A2C" w:rsidRDefault="006F26A8" w:rsidP="00BD5A78">
      <w:pPr>
        <w:pStyle w:val="HChG"/>
        <w:rPr>
          <w:lang w:val="fr-FR"/>
        </w:rPr>
      </w:pPr>
      <w:r w:rsidRPr="004D0A2C">
        <w:rPr>
          <w:lang w:val="fr-FR"/>
        </w:rPr>
        <w:tab/>
      </w:r>
      <w:r w:rsidR="00DE5FFC" w:rsidRPr="004D0A2C">
        <w:rPr>
          <w:lang w:val="fr-FR"/>
        </w:rPr>
        <w:t>X</w:t>
      </w:r>
      <w:r w:rsidRPr="004D0A2C">
        <w:rPr>
          <w:lang w:val="fr-FR"/>
        </w:rPr>
        <w:t>IX</w:t>
      </w:r>
      <w:r w:rsidR="009C65BB" w:rsidRPr="004D0A2C">
        <w:rPr>
          <w:lang w:val="fr-FR"/>
        </w:rPr>
        <w:t>.</w:t>
      </w:r>
      <w:r w:rsidRPr="004D0A2C">
        <w:rPr>
          <w:lang w:val="fr-FR"/>
        </w:rPr>
        <w:tab/>
        <w:t>Adoption du rapport (point 17 de l</w:t>
      </w:r>
      <w:r w:rsidR="00AD27B0" w:rsidRPr="004D0A2C">
        <w:rPr>
          <w:lang w:val="fr-FR"/>
        </w:rPr>
        <w:t>’</w:t>
      </w:r>
      <w:r w:rsidRPr="004D0A2C">
        <w:rPr>
          <w:lang w:val="fr-FR"/>
        </w:rPr>
        <w:t>ordre du jour)</w:t>
      </w:r>
    </w:p>
    <w:p w14:paraId="2A2A6FD4" w14:textId="2FA3EB7E" w:rsidR="00446FE5" w:rsidRPr="004D0A2C" w:rsidRDefault="006F26A8" w:rsidP="00BD5A78">
      <w:pPr>
        <w:pStyle w:val="SingleTxtG"/>
        <w:rPr>
          <w:lang w:val="fr-FR"/>
        </w:rPr>
      </w:pPr>
      <w:r w:rsidRPr="004D0A2C">
        <w:rPr>
          <w:lang w:val="fr-FR"/>
        </w:rPr>
        <w:t>117</w:t>
      </w:r>
      <w:r w:rsidR="009C65BB" w:rsidRPr="004D0A2C">
        <w:rPr>
          <w:lang w:val="fr-FR"/>
        </w:rPr>
        <w:t>.</w:t>
      </w:r>
      <w:r w:rsidRPr="004D0A2C">
        <w:rPr>
          <w:lang w:val="fr-FR"/>
        </w:rPr>
        <w:tab/>
        <w:t>Conformément à l</w:t>
      </w:r>
      <w:r w:rsidR="00AD27B0" w:rsidRPr="004D0A2C">
        <w:rPr>
          <w:lang w:val="fr-FR"/>
        </w:rPr>
        <w:t>’</w:t>
      </w:r>
      <w:r w:rsidRPr="004D0A2C">
        <w:rPr>
          <w:lang w:val="fr-FR"/>
        </w:rPr>
        <w:t>usage, le Sous-Comité a adopté le rapport de sa soixante-deuxième session et ses annexes sur la base d</w:t>
      </w:r>
      <w:r w:rsidR="00AD27B0" w:rsidRPr="004D0A2C">
        <w:rPr>
          <w:lang w:val="fr-FR"/>
        </w:rPr>
        <w:t>’</w:t>
      </w:r>
      <w:r w:rsidRPr="004D0A2C">
        <w:rPr>
          <w:lang w:val="fr-FR"/>
        </w:rPr>
        <w:t>un projet établi par le secrétariat</w:t>
      </w:r>
      <w:r w:rsidR="009C65BB" w:rsidRPr="004D0A2C">
        <w:rPr>
          <w:lang w:val="fr-FR"/>
        </w:rPr>
        <w:t>.</w:t>
      </w:r>
    </w:p>
    <w:p w14:paraId="05E704D0" w14:textId="77DAE5DE" w:rsidR="006F26A8" w:rsidRPr="004D0A2C" w:rsidRDefault="006F26A8" w:rsidP="006F26A8">
      <w:pPr>
        <w:pStyle w:val="SingleTxtG"/>
        <w:spacing w:before="240" w:after="0"/>
        <w:jc w:val="center"/>
        <w:rPr>
          <w:u w:val="single"/>
          <w:lang w:val="fr-FR"/>
        </w:rPr>
      </w:pPr>
      <w:r w:rsidRPr="004D0A2C">
        <w:rPr>
          <w:u w:val="single"/>
          <w:lang w:val="fr-FR"/>
        </w:rPr>
        <w:tab/>
      </w:r>
      <w:r w:rsidRPr="004D0A2C">
        <w:rPr>
          <w:u w:val="single"/>
          <w:lang w:val="fr-FR"/>
        </w:rPr>
        <w:tab/>
      </w:r>
      <w:r w:rsidRPr="004D0A2C">
        <w:rPr>
          <w:u w:val="single"/>
          <w:lang w:val="fr-FR"/>
        </w:rPr>
        <w:tab/>
      </w:r>
    </w:p>
    <w:sectPr w:rsidR="006F26A8" w:rsidRPr="004D0A2C" w:rsidSect="006F26A8">
      <w:headerReference w:type="even" r:id="rId66"/>
      <w:headerReference w:type="default" r:id="rId67"/>
      <w:footerReference w:type="even" r:id="rId68"/>
      <w:footerReference w:type="default" r:id="rId69"/>
      <w:footerReference w:type="first" r:id="rId7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8B90" w14:textId="77777777" w:rsidR="0034521B" w:rsidRDefault="0034521B" w:rsidP="00F95C08">
      <w:pPr>
        <w:spacing w:line="240" w:lineRule="auto"/>
      </w:pPr>
    </w:p>
  </w:endnote>
  <w:endnote w:type="continuationSeparator" w:id="0">
    <w:p w14:paraId="25AB4676" w14:textId="77777777" w:rsidR="0034521B" w:rsidRPr="00AC3823" w:rsidRDefault="0034521B" w:rsidP="00AC3823">
      <w:pPr>
        <w:pStyle w:val="Footer"/>
      </w:pPr>
    </w:p>
  </w:endnote>
  <w:endnote w:type="continuationNotice" w:id="1">
    <w:p w14:paraId="3D918FAF" w14:textId="77777777" w:rsidR="0034521B" w:rsidRDefault="003452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16C5" w14:textId="61E004F9" w:rsidR="006F26A8" w:rsidRPr="006F26A8" w:rsidRDefault="006F26A8" w:rsidP="006F26A8">
    <w:pPr>
      <w:pStyle w:val="Footer"/>
      <w:tabs>
        <w:tab w:val="right" w:pos="9638"/>
      </w:tabs>
    </w:pPr>
    <w:r w:rsidRPr="006F26A8">
      <w:rPr>
        <w:b/>
        <w:sz w:val="18"/>
      </w:rPr>
      <w:fldChar w:fldCharType="begin"/>
    </w:r>
    <w:r w:rsidRPr="006F26A8">
      <w:rPr>
        <w:b/>
        <w:sz w:val="18"/>
      </w:rPr>
      <w:instrText xml:space="preserve"> PAGE  \* MERGEFORMAT </w:instrText>
    </w:r>
    <w:r w:rsidRPr="006F26A8">
      <w:rPr>
        <w:b/>
        <w:sz w:val="18"/>
      </w:rPr>
      <w:fldChar w:fldCharType="separate"/>
    </w:r>
    <w:r w:rsidRPr="006F26A8">
      <w:rPr>
        <w:b/>
        <w:noProof/>
        <w:sz w:val="18"/>
      </w:rPr>
      <w:t>2</w:t>
    </w:r>
    <w:r w:rsidRPr="006F26A8">
      <w:rPr>
        <w:b/>
        <w:sz w:val="18"/>
      </w:rPr>
      <w:fldChar w:fldCharType="end"/>
    </w:r>
    <w:r>
      <w:rPr>
        <w:b/>
        <w:sz w:val="18"/>
      </w:rPr>
      <w:tab/>
    </w:r>
    <w:r>
      <w:t>GE.23-14338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A0A" w14:textId="401DF2E4" w:rsidR="006F26A8" w:rsidRPr="006F26A8" w:rsidRDefault="006F26A8" w:rsidP="006F26A8">
    <w:pPr>
      <w:pStyle w:val="Footer"/>
      <w:tabs>
        <w:tab w:val="right" w:pos="9638"/>
      </w:tabs>
      <w:rPr>
        <w:b/>
        <w:sz w:val="18"/>
      </w:rPr>
    </w:pPr>
    <w:r>
      <w:t>GE.23-14338</w:t>
    </w:r>
    <w:r>
      <w:tab/>
    </w:r>
    <w:r w:rsidRPr="006F26A8">
      <w:rPr>
        <w:b/>
        <w:sz w:val="18"/>
      </w:rPr>
      <w:fldChar w:fldCharType="begin"/>
    </w:r>
    <w:r w:rsidRPr="006F26A8">
      <w:rPr>
        <w:b/>
        <w:sz w:val="18"/>
      </w:rPr>
      <w:instrText xml:space="preserve"> PAGE  \* MERGEFORMAT </w:instrText>
    </w:r>
    <w:r w:rsidRPr="006F26A8">
      <w:rPr>
        <w:b/>
        <w:sz w:val="18"/>
      </w:rPr>
      <w:fldChar w:fldCharType="separate"/>
    </w:r>
    <w:r w:rsidRPr="006F26A8">
      <w:rPr>
        <w:b/>
        <w:noProof/>
        <w:sz w:val="18"/>
      </w:rPr>
      <w:t>3</w:t>
    </w:r>
    <w:r w:rsidRPr="006F26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9708" w14:textId="1F34A9BB" w:rsidR="0068456F" w:rsidRPr="006F26A8" w:rsidRDefault="006F26A8" w:rsidP="006F26A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88A9E7D" wp14:editId="5825D6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23-14338  (F)</w:t>
    </w:r>
    <w:r>
      <w:rPr>
        <w:noProof/>
        <w:sz w:val="20"/>
      </w:rPr>
      <w:drawing>
        <wp:anchor distT="0" distB="0" distL="114300" distR="114300" simplePos="0" relativeHeight="251660288" behindDoc="0" locked="0" layoutInCell="1" allowOverlap="1" wp14:anchorId="41647147" wp14:editId="375A3593">
          <wp:simplePos x="0" y="0"/>
          <wp:positionH relativeFrom="margin">
            <wp:posOffset>5489575</wp:posOffset>
          </wp:positionH>
          <wp:positionV relativeFrom="margin">
            <wp:posOffset>8891905</wp:posOffset>
          </wp:positionV>
          <wp:extent cx="561975" cy="561975"/>
          <wp:effectExtent l="0" t="0" r="9525" b="9525"/>
          <wp:wrapNone/>
          <wp:docPr id="1317886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011223    041223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45BF" w14:textId="77777777" w:rsidR="0034521B" w:rsidRPr="00AC3823" w:rsidRDefault="0034521B" w:rsidP="00AC3823">
      <w:pPr>
        <w:pStyle w:val="Footer"/>
        <w:tabs>
          <w:tab w:val="right" w:pos="2155"/>
        </w:tabs>
        <w:spacing w:after="80" w:line="240" w:lineRule="atLeast"/>
        <w:ind w:left="680"/>
        <w:rPr>
          <w:u w:val="single"/>
        </w:rPr>
      </w:pPr>
      <w:r>
        <w:rPr>
          <w:u w:val="single"/>
        </w:rPr>
        <w:tab/>
      </w:r>
    </w:p>
  </w:footnote>
  <w:footnote w:type="continuationSeparator" w:id="0">
    <w:p w14:paraId="51BF17B2" w14:textId="77777777" w:rsidR="0034521B" w:rsidRPr="00AC3823" w:rsidRDefault="0034521B" w:rsidP="00AC3823">
      <w:pPr>
        <w:pStyle w:val="Footer"/>
        <w:tabs>
          <w:tab w:val="right" w:pos="2155"/>
        </w:tabs>
        <w:spacing w:after="80" w:line="240" w:lineRule="atLeast"/>
        <w:ind w:left="680"/>
        <w:rPr>
          <w:u w:val="single"/>
        </w:rPr>
      </w:pPr>
      <w:r>
        <w:rPr>
          <w:u w:val="single"/>
        </w:rPr>
        <w:tab/>
      </w:r>
    </w:p>
  </w:footnote>
  <w:footnote w:type="continuationNotice" w:id="1">
    <w:p w14:paraId="442FCED8" w14:textId="77777777" w:rsidR="0034521B" w:rsidRPr="00AC3823" w:rsidRDefault="0034521B">
      <w:pPr>
        <w:spacing w:line="240" w:lineRule="auto"/>
        <w:rPr>
          <w:sz w:val="2"/>
          <w:szCs w:val="2"/>
        </w:rPr>
      </w:pPr>
    </w:p>
  </w:footnote>
  <w:footnote w:id="2">
    <w:p w14:paraId="36BA9ABA" w14:textId="4433EE20" w:rsidR="00CC0492" w:rsidRPr="00150D9D" w:rsidRDefault="00150D9D" w:rsidP="00150D9D">
      <w:pPr>
        <w:pStyle w:val="FootnoteText"/>
        <w:rPr>
          <w:lang w:val="fr-FR"/>
        </w:rPr>
      </w:pPr>
      <w:r w:rsidRPr="00150D9D">
        <w:tab/>
      </w:r>
      <w:r w:rsidR="00CC0492" w:rsidRPr="00150D9D">
        <w:rPr>
          <w:rStyle w:val="FootnoteReference"/>
        </w:rPr>
        <w:footnoteRef/>
      </w:r>
      <w:r w:rsidRPr="00150D9D">
        <w:tab/>
      </w:r>
      <w:r w:rsidRPr="00150D9D">
        <w:t xml:space="preserve">Pour des raisons pratiques, cette annexe est reproduite sous forme d’additif au présent document, sous la cote </w:t>
      </w:r>
      <w:hyperlink r:id="rId1" w:history="1">
        <w:r w:rsidR="004F62B2">
          <w:rPr>
            <w:rStyle w:val="Hyperlink"/>
          </w:rPr>
          <w:t>ST/SG/AC.</w:t>
        </w:r>
        <w:r w:rsidR="004F62B2">
          <w:rPr>
            <w:rStyle w:val="Hyperlink"/>
          </w:rPr>
          <w:t>1</w:t>
        </w:r>
        <w:r w:rsidR="004F62B2">
          <w:rPr>
            <w:rStyle w:val="Hyperlink"/>
          </w:rPr>
          <w:t>0/C.3/124/Add.1</w:t>
        </w:r>
      </w:hyperlink>
      <w:r>
        <w:t>.</w:t>
      </w:r>
    </w:p>
  </w:footnote>
  <w:footnote w:id="3">
    <w:p w14:paraId="675C8090" w14:textId="08E1505A" w:rsidR="006F26A8" w:rsidRPr="00C709B5" w:rsidRDefault="006F26A8" w:rsidP="00150D9D">
      <w:pPr>
        <w:pStyle w:val="FootnoteText"/>
      </w:pPr>
      <w:r w:rsidRPr="00A5171D">
        <w:rPr>
          <w:lang w:val="fr-FR"/>
        </w:rPr>
        <w:tab/>
      </w:r>
      <w:r w:rsidRPr="00150D9D">
        <w:rPr>
          <w:rStyle w:val="FootnoteReference"/>
        </w:rPr>
        <w:footnoteRef/>
      </w:r>
      <w:r>
        <w:rPr>
          <w:lang w:val="fr-FR"/>
        </w:rPr>
        <w:tab/>
        <w:t>On peut consulter l</w:t>
      </w:r>
      <w:r w:rsidR="00FF7E63">
        <w:rPr>
          <w:lang w:val="fr-FR"/>
        </w:rPr>
        <w:t>’</w:t>
      </w:r>
      <w:r>
        <w:rPr>
          <w:lang w:val="fr-FR"/>
        </w:rPr>
        <w:t>enquête à l</w:t>
      </w:r>
      <w:r w:rsidR="00FF7E63">
        <w:rPr>
          <w:lang w:val="fr-FR"/>
        </w:rPr>
        <w:t>’</w:t>
      </w:r>
      <w:r>
        <w:rPr>
          <w:lang w:val="fr-FR"/>
        </w:rPr>
        <w:t>adresse suivante</w:t>
      </w:r>
      <w:r w:rsidR="00A5171D">
        <w:rPr>
          <w:lang w:val="fr-FR"/>
        </w:rPr>
        <w:t> </w:t>
      </w:r>
      <w:r>
        <w:rPr>
          <w:lang w:val="fr-FR"/>
        </w:rPr>
        <w:t xml:space="preserve">: </w:t>
      </w:r>
      <w:hyperlink r:id="rId2" w:history="1">
        <w:r w:rsidR="004F62B2" w:rsidRPr="004B55DF">
          <w:rPr>
            <w:rStyle w:val="Hyperlink"/>
            <w:lang w:val="fr-FR"/>
          </w:rPr>
          <w:t>http://conf.unog.ch/dcmsurvey</w:t>
        </w:r>
      </w:hyperlink>
      <w:r w:rsidR="004B1A04">
        <w:rPr>
          <w:lang w:val="fr-FR"/>
        </w:rPr>
        <w:t>.</w:t>
      </w:r>
    </w:p>
  </w:footnote>
  <w:footnote w:id="4">
    <w:p w14:paraId="62BCF950" w14:textId="6FB2E895" w:rsidR="006F26A8" w:rsidRPr="00C709B5" w:rsidRDefault="006F26A8" w:rsidP="00150D9D">
      <w:pPr>
        <w:pStyle w:val="FootnoteText"/>
        <w:rPr>
          <w:lang w:val="fr-FR"/>
        </w:rPr>
      </w:pPr>
      <w:r>
        <w:rPr>
          <w:lang w:val="fr-FR"/>
        </w:rPr>
        <w:tab/>
      </w:r>
      <w:r w:rsidRPr="00150D9D">
        <w:rPr>
          <w:rStyle w:val="FootnoteReference"/>
        </w:rPr>
        <w:footnoteRef/>
      </w:r>
      <w:r>
        <w:rPr>
          <w:lang w:val="fr-FR"/>
        </w:rPr>
        <w:tab/>
      </w:r>
      <w:hyperlink r:id="rId3" w:history="1">
        <w:r w:rsidR="004F62B2">
          <w:rPr>
            <w:rStyle w:val="Hyperlink"/>
            <w:lang w:val="fr-FR"/>
          </w:rPr>
          <w:t>https://documents-dds-ny.un.org/doc/UNDOC/GEN/N23/087/79/PDF/N2308779.pdf?OpenElement</w:t>
        </w:r>
      </w:hyperlink>
      <w:r w:rsidR="004B1A0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64E9" w14:textId="1A16FA77" w:rsidR="006F26A8" w:rsidRPr="006F26A8" w:rsidRDefault="00000000">
    <w:pPr>
      <w:pStyle w:val="Header"/>
    </w:pPr>
    <w:fldSimple w:instr=" TITLE  \* MERGEFORMAT ">
      <w:r w:rsidR="001D1B7B">
        <w:t>ST/SG/AC.10/C.3/124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F736" w14:textId="7A896FB1" w:rsidR="006F26A8" w:rsidRPr="006F26A8" w:rsidRDefault="00000000" w:rsidP="006F26A8">
    <w:pPr>
      <w:pStyle w:val="Header"/>
      <w:jc w:val="right"/>
    </w:pPr>
    <w:fldSimple w:instr=" TITLE  \* MERGEFORMAT ">
      <w:r w:rsidR="001D1B7B">
        <w:t>ST/SG/AC.10/C.3/124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0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A43C2E"/>
    <w:multiLevelType w:val="hybridMultilevel"/>
    <w:tmpl w:val="608687CA"/>
    <w:lvl w:ilvl="0" w:tplc="EE0E15D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B5278"/>
    <w:multiLevelType w:val="hybridMultilevel"/>
    <w:tmpl w:val="CCAEDFB2"/>
    <w:lvl w:ilvl="0" w:tplc="E578A8C2">
      <w:start w:val="1"/>
      <w:numFmt w:val="upperLetter"/>
      <w:lvlText w:val="%1."/>
      <w:lvlJc w:val="left"/>
      <w:pPr>
        <w:ind w:left="1560" w:hanging="4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18A7AE5"/>
    <w:multiLevelType w:val="hybridMultilevel"/>
    <w:tmpl w:val="8D7440B6"/>
    <w:lvl w:ilvl="0" w:tplc="A0624064">
      <w:start w:val="1"/>
      <w:numFmt w:val="decimal"/>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23" w15:restartNumberingAfterBreak="0">
    <w:nsid w:val="45854350"/>
    <w:multiLevelType w:val="hybridMultilevel"/>
    <w:tmpl w:val="0F9AF16E"/>
    <w:lvl w:ilvl="0" w:tplc="4F5C0CD8">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4"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4D090C46"/>
    <w:multiLevelType w:val="hybridMultilevel"/>
    <w:tmpl w:val="C34E094C"/>
    <w:lvl w:ilvl="0" w:tplc="D144997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59FA04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3D5720"/>
    <w:multiLevelType w:val="hybridMultilevel"/>
    <w:tmpl w:val="0076EF02"/>
    <w:lvl w:ilvl="0" w:tplc="2B40AC1A">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1219277">
    <w:abstractNumId w:val="30"/>
  </w:num>
  <w:num w:numId="2" w16cid:durableId="1126316697">
    <w:abstractNumId w:val="21"/>
  </w:num>
  <w:num w:numId="3" w16cid:durableId="1374843222">
    <w:abstractNumId w:val="13"/>
  </w:num>
  <w:num w:numId="4" w16cid:durableId="1704016282">
    <w:abstractNumId w:val="8"/>
  </w:num>
  <w:num w:numId="5" w16cid:durableId="94061643">
    <w:abstractNumId w:val="3"/>
  </w:num>
  <w:num w:numId="6" w16cid:durableId="1972441062">
    <w:abstractNumId w:val="2"/>
  </w:num>
  <w:num w:numId="7" w16cid:durableId="92167553">
    <w:abstractNumId w:val="1"/>
  </w:num>
  <w:num w:numId="8" w16cid:durableId="129328586">
    <w:abstractNumId w:val="0"/>
  </w:num>
  <w:num w:numId="9" w16cid:durableId="1040595416">
    <w:abstractNumId w:val="9"/>
  </w:num>
  <w:num w:numId="10" w16cid:durableId="1310553867">
    <w:abstractNumId w:val="7"/>
  </w:num>
  <w:num w:numId="11" w16cid:durableId="973674591">
    <w:abstractNumId w:val="6"/>
  </w:num>
  <w:num w:numId="12" w16cid:durableId="810368790">
    <w:abstractNumId w:val="5"/>
  </w:num>
  <w:num w:numId="13" w16cid:durableId="345594345">
    <w:abstractNumId w:val="4"/>
  </w:num>
  <w:num w:numId="14" w16cid:durableId="956713491">
    <w:abstractNumId w:val="30"/>
  </w:num>
  <w:num w:numId="15" w16cid:durableId="1802069959">
    <w:abstractNumId w:val="21"/>
  </w:num>
  <w:num w:numId="16" w16cid:durableId="349645690">
    <w:abstractNumId w:val="13"/>
  </w:num>
  <w:num w:numId="17" w16cid:durableId="956913389">
    <w:abstractNumId w:val="19"/>
  </w:num>
  <w:num w:numId="18" w16cid:durableId="388235601">
    <w:abstractNumId w:val="17"/>
  </w:num>
  <w:num w:numId="19" w16cid:durableId="2108497901">
    <w:abstractNumId w:val="10"/>
  </w:num>
  <w:num w:numId="20" w16cid:durableId="1311056415">
    <w:abstractNumId w:val="27"/>
  </w:num>
  <w:num w:numId="21" w16cid:durableId="753160544">
    <w:abstractNumId w:val="11"/>
  </w:num>
  <w:num w:numId="22" w16cid:durableId="1077360731">
    <w:abstractNumId w:val="26"/>
  </w:num>
  <w:num w:numId="23" w16cid:durableId="1066146355">
    <w:abstractNumId w:val="15"/>
  </w:num>
  <w:num w:numId="24" w16cid:durableId="1806773007">
    <w:abstractNumId w:val="12"/>
  </w:num>
  <w:num w:numId="25" w16cid:durableId="55976334">
    <w:abstractNumId w:val="29"/>
  </w:num>
  <w:num w:numId="26" w16cid:durableId="1807164135">
    <w:abstractNumId w:val="24"/>
  </w:num>
  <w:num w:numId="27" w16cid:durableId="230652790">
    <w:abstractNumId w:val="14"/>
  </w:num>
  <w:num w:numId="28" w16cid:durableId="1877311397">
    <w:abstractNumId w:val="16"/>
  </w:num>
  <w:num w:numId="29" w16cid:durableId="415714585">
    <w:abstractNumId w:val="25"/>
  </w:num>
  <w:num w:numId="30" w16cid:durableId="714504401">
    <w:abstractNumId w:val="28"/>
  </w:num>
  <w:num w:numId="31" w16cid:durableId="238491740">
    <w:abstractNumId w:val="20"/>
  </w:num>
  <w:num w:numId="32" w16cid:durableId="1629706714">
    <w:abstractNumId w:val="23"/>
  </w:num>
  <w:num w:numId="33" w16cid:durableId="1145396773">
    <w:abstractNumId w:val="22"/>
  </w:num>
  <w:num w:numId="34" w16cid:durableId="2007055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48"/>
    <w:rsid w:val="00017F94"/>
    <w:rsid w:val="0002382B"/>
    <w:rsid w:val="00023842"/>
    <w:rsid w:val="000305D3"/>
    <w:rsid w:val="000334F9"/>
    <w:rsid w:val="00036D21"/>
    <w:rsid w:val="00052323"/>
    <w:rsid w:val="000575CB"/>
    <w:rsid w:val="000651E9"/>
    <w:rsid w:val="000767B8"/>
    <w:rsid w:val="0007796D"/>
    <w:rsid w:val="0009745C"/>
    <w:rsid w:val="000B7790"/>
    <w:rsid w:val="000D6293"/>
    <w:rsid w:val="00111F2F"/>
    <w:rsid w:val="001143C8"/>
    <w:rsid w:val="00132EA9"/>
    <w:rsid w:val="0014365E"/>
    <w:rsid w:val="00150D9D"/>
    <w:rsid w:val="00152A39"/>
    <w:rsid w:val="00172657"/>
    <w:rsid w:val="00172E49"/>
    <w:rsid w:val="0017430E"/>
    <w:rsid w:val="00176178"/>
    <w:rsid w:val="00182E20"/>
    <w:rsid w:val="00190716"/>
    <w:rsid w:val="001B0943"/>
    <w:rsid w:val="001C0985"/>
    <w:rsid w:val="001D1B7B"/>
    <w:rsid w:val="001E550E"/>
    <w:rsid w:val="001F525A"/>
    <w:rsid w:val="00200C26"/>
    <w:rsid w:val="002106E2"/>
    <w:rsid w:val="00216989"/>
    <w:rsid w:val="00223272"/>
    <w:rsid w:val="00230818"/>
    <w:rsid w:val="0024779E"/>
    <w:rsid w:val="00280264"/>
    <w:rsid w:val="00283190"/>
    <w:rsid w:val="002832AC"/>
    <w:rsid w:val="0029609F"/>
    <w:rsid w:val="002A5622"/>
    <w:rsid w:val="002B38E7"/>
    <w:rsid w:val="002B66BC"/>
    <w:rsid w:val="002D44D1"/>
    <w:rsid w:val="002D6111"/>
    <w:rsid w:val="002D7C93"/>
    <w:rsid w:val="00304D0D"/>
    <w:rsid w:val="0031185C"/>
    <w:rsid w:val="00311AC4"/>
    <w:rsid w:val="003204AA"/>
    <w:rsid w:val="003245C3"/>
    <w:rsid w:val="0034521B"/>
    <w:rsid w:val="00367323"/>
    <w:rsid w:val="003C6342"/>
    <w:rsid w:val="003E4912"/>
    <w:rsid w:val="003E7FC5"/>
    <w:rsid w:val="003F1E2A"/>
    <w:rsid w:val="004118CE"/>
    <w:rsid w:val="00420707"/>
    <w:rsid w:val="00431000"/>
    <w:rsid w:val="00441C3B"/>
    <w:rsid w:val="004441B8"/>
    <w:rsid w:val="00446FE5"/>
    <w:rsid w:val="00452396"/>
    <w:rsid w:val="004630DB"/>
    <w:rsid w:val="00491CE5"/>
    <w:rsid w:val="004B1A04"/>
    <w:rsid w:val="004B55DF"/>
    <w:rsid w:val="004D0A2C"/>
    <w:rsid w:val="004E468C"/>
    <w:rsid w:val="004E471D"/>
    <w:rsid w:val="004E6A48"/>
    <w:rsid w:val="004F62B2"/>
    <w:rsid w:val="00534BEB"/>
    <w:rsid w:val="005505B7"/>
    <w:rsid w:val="00566E07"/>
    <w:rsid w:val="00573BE5"/>
    <w:rsid w:val="00584DC4"/>
    <w:rsid w:val="00586ED3"/>
    <w:rsid w:val="005927B7"/>
    <w:rsid w:val="00596AA9"/>
    <w:rsid w:val="005D0006"/>
    <w:rsid w:val="005D27AF"/>
    <w:rsid w:val="005D7917"/>
    <w:rsid w:val="005F36F6"/>
    <w:rsid w:val="005F3872"/>
    <w:rsid w:val="00611B1D"/>
    <w:rsid w:val="00632778"/>
    <w:rsid w:val="0064790F"/>
    <w:rsid w:val="00650E4B"/>
    <w:rsid w:val="0068456F"/>
    <w:rsid w:val="00684F9C"/>
    <w:rsid w:val="006C0BD4"/>
    <w:rsid w:val="006C3DFD"/>
    <w:rsid w:val="006F0372"/>
    <w:rsid w:val="006F26A8"/>
    <w:rsid w:val="007020D3"/>
    <w:rsid w:val="0071601D"/>
    <w:rsid w:val="00733EAB"/>
    <w:rsid w:val="00764FC8"/>
    <w:rsid w:val="00775816"/>
    <w:rsid w:val="00776953"/>
    <w:rsid w:val="007A62E6"/>
    <w:rsid w:val="007B489B"/>
    <w:rsid w:val="007B7286"/>
    <w:rsid w:val="007D30AB"/>
    <w:rsid w:val="007E4DBA"/>
    <w:rsid w:val="007F16D7"/>
    <w:rsid w:val="0080684C"/>
    <w:rsid w:val="008123E0"/>
    <w:rsid w:val="00834855"/>
    <w:rsid w:val="0085236D"/>
    <w:rsid w:val="00861512"/>
    <w:rsid w:val="00871C75"/>
    <w:rsid w:val="008776DC"/>
    <w:rsid w:val="00885D86"/>
    <w:rsid w:val="008B3DF8"/>
    <w:rsid w:val="008B40CD"/>
    <w:rsid w:val="008F3775"/>
    <w:rsid w:val="00930368"/>
    <w:rsid w:val="00955917"/>
    <w:rsid w:val="0096577C"/>
    <w:rsid w:val="009705C8"/>
    <w:rsid w:val="00971CD4"/>
    <w:rsid w:val="009C1CF4"/>
    <w:rsid w:val="009C65BB"/>
    <w:rsid w:val="009C69C8"/>
    <w:rsid w:val="009C7645"/>
    <w:rsid w:val="009D5724"/>
    <w:rsid w:val="009F0612"/>
    <w:rsid w:val="00A25E1C"/>
    <w:rsid w:val="00A30353"/>
    <w:rsid w:val="00A5171D"/>
    <w:rsid w:val="00A529D2"/>
    <w:rsid w:val="00A76AD7"/>
    <w:rsid w:val="00A81281"/>
    <w:rsid w:val="00A962F1"/>
    <w:rsid w:val="00AB6415"/>
    <w:rsid w:val="00AC3823"/>
    <w:rsid w:val="00AC61A8"/>
    <w:rsid w:val="00AC65A0"/>
    <w:rsid w:val="00AD27B0"/>
    <w:rsid w:val="00AE323C"/>
    <w:rsid w:val="00B00181"/>
    <w:rsid w:val="00B00B0D"/>
    <w:rsid w:val="00B01000"/>
    <w:rsid w:val="00B01156"/>
    <w:rsid w:val="00B0464D"/>
    <w:rsid w:val="00B15D5C"/>
    <w:rsid w:val="00B263DA"/>
    <w:rsid w:val="00B27E5F"/>
    <w:rsid w:val="00B4516B"/>
    <w:rsid w:val="00B73391"/>
    <w:rsid w:val="00B765F7"/>
    <w:rsid w:val="00B97B20"/>
    <w:rsid w:val="00BA0CA9"/>
    <w:rsid w:val="00BA543F"/>
    <w:rsid w:val="00BB5AE1"/>
    <w:rsid w:val="00BD5A78"/>
    <w:rsid w:val="00BE554B"/>
    <w:rsid w:val="00C02845"/>
    <w:rsid w:val="00C02897"/>
    <w:rsid w:val="00C22248"/>
    <w:rsid w:val="00C32F67"/>
    <w:rsid w:val="00C3790F"/>
    <w:rsid w:val="00C5545A"/>
    <w:rsid w:val="00C60FB3"/>
    <w:rsid w:val="00C62F38"/>
    <w:rsid w:val="00C863BC"/>
    <w:rsid w:val="00C917BB"/>
    <w:rsid w:val="00CC0492"/>
    <w:rsid w:val="00CD2039"/>
    <w:rsid w:val="00D155FD"/>
    <w:rsid w:val="00D25E41"/>
    <w:rsid w:val="00D33678"/>
    <w:rsid w:val="00D3439C"/>
    <w:rsid w:val="00D41C4B"/>
    <w:rsid w:val="00D65F51"/>
    <w:rsid w:val="00D734CE"/>
    <w:rsid w:val="00D759FD"/>
    <w:rsid w:val="00DA0AE2"/>
    <w:rsid w:val="00DB1831"/>
    <w:rsid w:val="00DD3BFD"/>
    <w:rsid w:val="00DE5FFC"/>
    <w:rsid w:val="00DE6545"/>
    <w:rsid w:val="00DF6678"/>
    <w:rsid w:val="00E45521"/>
    <w:rsid w:val="00E531B4"/>
    <w:rsid w:val="00E55263"/>
    <w:rsid w:val="00E64B60"/>
    <w:rsid w:val="00E91CEA"/>
    <w:rsid w:val="00EB6A0C"/>
    <w:rsid w:val="00EF2E22"/>
    <w:rsid w:val="00F01738"/>
    <w:rsid w:val="00F11B64"/>
    <w:rsid w:val="00F24A5D"/>
    <w:rsid w:val="00F31A32"/>
    <w:rsid w:val="00F46D71"/>
    <w:rsid w:val="00F57263"/>
    <w:rsid w:val="00F660DF"/>
    <w:rsid w:val="00F730C8"/>
    <w:rsid w:val="00F95C08"/>
    <w:rsid w:val="00F97652"/>
    <w:rsid w:val="00FA1706"/>
    <w:rsid w:val="00FB030D"/>
    <w:rsid w:val="00FB0B06"/>
    <w:rsid w:val="00FB1F96"/>
    <w:rsid w:val="00FC0E0F"/>
    <w:rsid w:val="00FD5275"/>
    <w:rsid w:val="00FF6C29"/>
    <w:rsid w:val="00FF7E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055A"/>
  <w15:docId w15:val="{6BE50494-97B4-4FD8-B36D-BFFE2D8B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A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locked/>
    <w:rsid w:val="006F26A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6F26A8"/>
    <w:rPr>
      <w:rFonts w:ascii="Times New Roman" w:eastAsiaTheme="minorHAnsi" w:hAnsi="Times New Roman" w:cs="Times New Roman"/>
      <w:sz w:val="20"/>
      <w:szCs w:val="20"/>
      <w:lang w:eastAsia="en-US"/>
    </w:rPr>
  </w:style>
  <w:style w:type="character" w:customStyle="1" w:styleId="H1GChar">
    <w:name w:val="_ H_1_G Char"/>
    <w:link w:val="H1G"/>
    <w:qFormat/>
    <w:rsid w:val="006F26A8"/>
    <w:rPr>
      <w:rFonts w:ascii="Times New Roman" w:eastAsiaTheme="minorHAnsi" w:hAnsi="Times New Roman" w:cs="Times New Roman"/>
      <w:b/>
      <w:sz w:val="24"/>
      <w:szCs w:val="20"/>
      <w:lang w:eastAsia="en-US"/>
    </w:rPr>
  </w:style>
  <w:style w:type="character" w:customStyle="1" w:styleId="H23GChar">
    <w:name w:val="_ H_2/3_G Char"/>
    <w:link w:val="H23G"/>
    <w:rsid w:val="006F26A8"/>
    <w:rPr>
      <w:rFonts w:ascii="Times New Roman" w:eastAsiaTheme="minorHAnsi" w:hAnsi="Times New Roman" w:cs="Times New Roman"/>
      <w:b/>
      <w:sz w:val="20"/>
      <w:szCs w:val="20"/>
      <w:lang w:eastAsia="en-US"/>
    </w:rPr>
  </w:style>
  <w:style w:type="character" w:customStyle="1" w:styleId="ui-provider">
    <w:name w:val="ui-provider"/>
    <w:basedOn w:val="DefaultParagraphFont"/>
    <w:rsid w:val="006F26A8"/>
  </w:style>
  <w:style w:type="paragraph" w:styleId="Revision">
    <w:name w:val="Revision"/>
    <w:hidden/>
    <w:uiPriority w:val="99"/>
    <w:semiHidden/>
    <w:rsid w:val="006F26A8"/>
    <w:pPr>
      <w:spacing w:after="0" w:line="240" w:lineRule="auto"/>
    </w:pPr>
    <w:rPr>
      <w:rFonts w:ascii="Times New Roman" w:eastAsia="SimSun" w:hAnsi="Times New Roman" w:cs="Times New Roman"/>
      <w:sz w:val="20"/>
      <w:szCs w:val="20"/>
      <w:lang w:val="en-GB"/>
    </w:rPr>
  </w:style>
  <w:style w:type="paragraph" w:styleId="ListParagraph">
    <w:name w:val="List Paragraph"/>
    <w:basedOn w:val="Normal"/>
    <w:uiPriority w:val="34"/>
    <w:qFormat/>
    <w:rsid w:val="006F26A8"/>
    <w:pPr>
      <w:ind w:left="720"/>
      <w:contextualSpacing/>
    </w:pPr>
    <w:rPr>
      <w:rFonts w:eastAsia="Times New Roman"/>
    </w:rPr>
  </w:style>
  <w:style w:type="character" w:styleId="UnresolvedMention">
    <w:name w:val="Unresolved Mention"/>
    <w:basedOn w:val="DefaultParagraphFont"/>
    <w:uiPriority w:val="99"/>
    <w:semiHidden/>
    <w:unhideWhenUsed/>
    <w:rsid w:val="004B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ST/SG/AC.10/C.3/2023/17" TargetMode="External"/><Relationship Id="rId21" Type="http://schemas.openxmlformats.org/officeDocument/2006/relationships/hyperlink" Target="http://undocs.org/fr/ST/SG/AC.10/C.3/2023/6" TargetMode="External"/><Relationship Id="rId42" Type="http://schemas.openxmlformats.org/officeDocument/2006/relationships/hyperlink" Target="http://undocs.org/fr/ST/SG/AC.10/C.3/2023/15" TargetMode="External"/><Relationship Id="rId47" Type="http://schemas.openxmlformats.org/officeDocument/2006/relationships/hyperlink" Target="http://undocs.org/fr/ST/SG/AC.10/C.3/2023/21" TargetMode="External"/><Relationship Id="rId63" Type="http://schemas.openxmlformats.org/officeDocument/2006/relationships/hyperlink" Target="http://undocs.org/fr/E/2023/56"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ece.org/guiding-principles" TargetMode="External"/><Relationship Id="rId29" Type="http://schemas.openxmlformats.org/officeDocument/2006/relationships/hyperlink" Target="http://undocs.org/fr/ST/SG/AC.10/C.3/2023/25" TargetMode="External"/><Relationship Id="rId11" Type="http://schemas.openxmlformats.org/officeDocument/2006/relationships/hyperlink" Target="http://undocs.org/fr/ST/SG/AC.10/C.3/123" TargetMode="External"/><Relationship Id="rId24" Type="http://schemas.openxmlformats.org/officeDocument/2006/relationships/hyperlink" Target="http://undocs.org/fr/ST/SG/AC.10/C.3/2023/17" TargetMode="External"/><Relationship Id="rId32" Type="http://schemas.openxmlformats.org/officeDocument/2006/relationships/hyperlink" Target="http://undocs.org/fr/ST/SG/AC.10/C.3/2023/7" TargetMode="External"/><Relationship Id="rId37" Type="http://schemas.openxmlformats.org/officeDocument/2006/relationships/hyperlink" Target="http://undocs.org/fr/ST/SG/AC.10/C.3/2023/11" TargetMode="External"/><Relationship Id="rId40" Type="http://schemas.openxmlformats.org/officeDocument/2006/relationships/hyperlink" Target="http://undocs.org/fr/ST/SG/AC.10/C.3/2023/10" TargetMode="External"/><Relationship Id="rId45" Type="http://schemas.openxmlformats.org/officeDocument/2006/relationships/hyperlink" Target="http://undocs.org/fr/ST/SG/AC.10/C.3/2023/1" TargetMode="External"/><Relationship Id="rId53" Type="http://schemas.openxmlformats.org/officeDocument/2006/relationships/hyperlink" Target="http://undocs.org/fr/ST/SG/AC.10/C.3/2023/4" TargetMode="External"/><Relationship Id="rId58" Type="http://schemas.openxmlformats.org/officeDocument/2006/relationships/hyperlink" Target="http://undocs.org/fr/ST/SG/AC.10/C.3/2023/3" TargetMode="External"/><Relationship Id="rId66" Type="http://schemas.openxmlformats.org/officeDocument/2006/relationships/header" Target="header1.xm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undocs.org/fr/ST/SG/AC.10/C.3/2023/14" TargetMode="External"/><Relationship Id="rId19" Type="http://schemas.openxmlformats.org/officeDocument/2006/relationships/hyperlink" Target="http://undocs.org/fr/ST/SG/AC.10/C.3/2023/16" TargetMode="External"/><Relationship Id="rId14" Type="http://schemas.openxmlformats.org/officeDocument/2006/relationships/hyperlink" Target="http://undocs.org/fr/ST/SG/AC.10/C.3/2023/24" TargetMode="External"/><Relationship Id="rId22" Type="http://schemas.openxmlformats.org/officeDocument/2006/relationships/hyperlink" Target="http://undocs.org/fr/ST/SG/AC.10/C.3/2023/12" TargetMode="External"/><Relationship Id="rId27" Type="http://schemas.openxmlformats.org/officeDocument/2006/relationships/hyperlink" Target="http://undocs.org/fr/ST/SG/AC.10/C.3/2023/18" TargetMode="External"/><Relationship Id="rId30" Type="http://schemas.openxmlformats.org/officeDocument/2006/relationships/hyperlink" Target="http://undocs.org/fr/ST/SG/AC.10/C.3/2023/5" TargetMode="External"/><Relationship Id="rId35" Type="http://schemas.openxmlformats.org/officeDocument/2006/relationships/hyperlink" Target="http://undocs.org/fr/ST/SG/AC.10/C.3/2023/28" TargetMode="External"/><Relationship Id="rId43" Type="http://schemas.openxmlformats.org/officeDocument/2006/relationships/hyperlink" Target="http://undocs.org/fr/ST/SG/AC.10/C.3/2023/23" TargetMode="External"/><Relationship Id="rId48" Type="http://schemas.openxmlformats.org/officeDocument/2006/relationships/hyperlink" Target="http://undocs.org/fr/ST/SG/AC.10/C.3/2023/10" TargetMode="External"/><Relationship Id="rId56" Type="http://schemas.openxmlformats.org/officeDocument/2006/relationships/hyperlink" Target="http://undocs.org/fr/ST/SG/AC.10/C.3/2023/2" TargetMode="External"/><Relationship Id="rId64" Type="http://schemas.openxmlformats.org/officeDocument/2006/relationships/hyperlink" Target="http://undocs.org/fr/ST/SG/AC.10/50" TargetMode="Externa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undocs.org/fr/ST/SG/AC.10/C.3/2023/2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ndocs.org/fr/ST/SG/AC.10/C.3/123/Add.1" TargetMode="External"/><Relationship Id="rId17" Type="http://schemas.openxmlformats.org/officeDocument/2006/relationships/hyperlink" Target="http://undocs.org/fr/ST/SG/AC.10/C.3/2023/2" TargetMode="External"/><Relationship Id="rId25" Type="http://schemas.openxmlformats.org/officeDocument/2006/relationships/hyperlink" Target="http://undocs.org/fr/ST/SG/AC.10/C.3/2023/17" TargetMode="External"/><Relationship Id="rId33" Type="http://schemas.openxmlformats.org/officeDocument/2006/relationships/hyperlink" Target="http://undocs.org/fr/ST/SG/AC.10/C.3/2023/13" TargetMode="External"/><Relationship Id="rId38" Type="http://schemas.openxmlformats.org/officeDocument/2006/relationships/hyperlink" Target="http://undocs.org/fr/ST/SG/AC.10/C.3/2023/8" TargetMode="External"/><Relationship Id="rId46" Type="http://schemas.openxmlformats.org/officeDocument/2006/relationships/hyperlink" Target="http://undocs.org/fr/ST/SG/AC.10/C.3/2023/1" TargetMode="External"/><Relationship Id="rId59" Type="http://schemas.openxmlformats.org/officeDocument/2006/relationships/hyperlink" Target="http://undocs.org/fr/ST/SG/AC.10/C.3/2023/3" TargetMode="External"/><Relationship Id="rId67" Type="http://schemas.openxmlformats.org/officeDocument/2006/relationships/header" Target="header2.xml"/><Relationship Id="rId20" Type="http://schemas.openxmlformats.org/officeDocument/2006/relationships/hyperlink" Target="http://undocs.org/fr/ST/SG/AC.10/C.3/2023/6" TargetMode="External"/><Relationship Id="rId41" Type="http://schemas.openxmlformats.org/officeDocument/2006/relationships/hyperlink" Target="http://undocs.org/fr/ST/SG/AC.10/C.3/2023/15" TargetMode="External"/><Relationship Id="rId54" Type="http://schemas.openxmlformats.org/officeDocument/2006/relationships/hyperlink" Target="http://undocs.org/fr/ST/SG/AC.10/C.3/2023/4" TargetMode="External"/><Relationship Id="rId62" Type="http://schemas.openxmlformats.org/officeDocument/2006/relationships/hyperlink" Target="http://undocs.org/fr/E/RES/2023/5"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fr/ST/SG/AC.10/C.3/2023/21" TargetMode="External"/><Relationship Id="rId23" Type="http://schemas.openxmlformats.org/officeDocument/2006/relationships/hyperlink" Target="http://undocs.org/fr/ST/SG/AC.10/C.3/2023/12" TargetMode="External"/><Relationship Id="rId28" Type="http://schemas.openxmlformats.org/officeDocument/2006/relationships/hyperlink" Target="http://undocs.org/fr/ST/SG/AC.10/C.3/2023/19" TargetMode="External"/><Relationship Id="rId36" Type="http://schemas.openxmlformats.org/officeDocument/2006/relationships/hyperlink" Target="http://undocs.org/fr/ST/SG/AC.10/C.3/2023/30" TargetMode="External"/><Relationship Id="rId49" Type="http://schemas.openxmlformats.org/officeDocument/2006/relationships/hyperlink" Target="http://undocs.org/fr/ST/SG/AC.10/C.3/2023/27" TargetMode="External"/><Relationship Id="rId57" Type="http://schemas.openxmlformats.org/officeDocument/2006/relationships/hyperlink" Target="http://undocs.org/fr/ST/SG/AC.10/C.3/2023/2" TargetMode="External"/><Relationship Id="rId10" Type="http://schemas.openxmlformats.org/officeDocument/2006/relationships/hyperlink" Target="http://undocs.org/fr/ST/SG/AC.10/11/Rev.8" TargetMode="External"/><Relationship Id="rId31" Type="http://schemas.openxmlformats.org/officeDocument/2006/relationships/hyperlink" Target="http://undocs.org/fr/ST/SG/AC.10/C.3/2023/7" TargetMode="External"/><Relationship Id="rId44" Type="http://schemas.openxmlformats.org/officeDocument/2006/relationships/hyperlink" Target="http://undocs.org/fr/ST/SG/AC.10/C.3/2023/24" TargetMode="External"/><Relationship Id="rId52" Type="http://schemas.openxmlformats.org/officeDocument/2006/relationships/hyperlink" Target="http://undocs.org/fr/ST/SG/AC.10/C.3/2023/29" TargetMode="External"/><Relationship Id="rId60" Type="http://schemas.openxmlformats.org/officeDocument/2006/relationships/hyperlink" Target="http://undocs.org/fr/ST/SG/AC.10/C.3/2023/14" TargetMode="External"/><Relationship Id="rId65" Type="http://schemas.openxmlformats.org/officeDocument/2006/relationships/hyperlink" Target="http://undocs.org/fr/E/2023/56"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undocs.org/fr/E/RES/2023/5" TargetMode="External"/><Relationship Id="rId13" Type="http://schemas.openxmlformats.org/officeDocument/2006/relationships/hyperlink" Target="http://undocs.org/fr/ST/SG/AC.10/C.3/2023/23" TargetMode="External"/><Relationship Id="rId18" Type="http://schemas.openxmlformats.org/officeDocument/2006/relationships/hyperlink" Target="http://undocs.org/fr/ST/SG/AC.10/C.3/2023/26" TargetMode="External"/><Relationship Id="rId39" Type="http://schemas.openxmlformats.org/officeDocument/2006/relationships/hyperlink" Target="http://undocs.org/fr/ST/SG/AC.10/C.3/2023/8" TargetMode="External"/><Relationship Id="rId34" Type="http://schemas.openxmlformats.org/officeDocument/2006/relationships/hyperlink" Target="http://undocs.org/fr/ST/SG/AC.10/C.3/2023/15" TargetMode="External"/><Relationship Id="rId50" Type="http://schemas.openxmlformats.org/officeDocument/2006/relationships/hyperlink" Target="http://undocs.org/fr/ST/SG/AC.10/C.3/2023/20" TargetMode="External"/><Relationship Id="rId55" Type="http://schemas.openxmlformats.org/officeDocument/2006/relationships/hyperlink" Target="http://undocs.org/fr/ST/SG/AC.10/C.3/2023/9"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23/087/79/PDF/N2308779.pdf?OpenElement" TargetMode="External"/><Relationship Id="rId2" Type="http://schemas.openxmlformats.org/officeDocument/2006/relationships/hyperlink" Target="http://conf.unog.ch/dcmsurvey" TargetMode="External"/><Relationship Id="rId1" Type="http://schemas.openxmlformats.org/officeDocument/2006/relationships/hyperlink" Target="http://undocs.org/fr/ST/SG/AC.10/C.3/124/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F0396-4F8B-4D6C-BE95-F904D69ED506}">
  <ds:schemaRefs>
    <ds:schemaRef ds:uri="http://schemas.openxmlformats.org/officeDocument/2006/bibliography"/>
  </ds:schemaRefs>
</ds:datastoreItem>
</file>

<file path=customXml/itemProps2.xml><?xml version="1.0" encoding="utf-8"?>
<ds:datastoreItem xmlns:ds="http://schemas.openxmlformats.org/officeDocument/2006/customXml" ds:itemID="{3CED160F-788A-4D47-82CC-4B5B32D1681F}"/>
</file>

<file path=customXml/itemProps3.xml><?xml version="1.0" encoding="utf-8"?>
<ds:datastoreItem xmlns:ds="http://schemas.openxmlformats.org/officeDocument/2006/customXml" ds:itemID="{CA8215D3-0E37-480D-9CA7-A529B6B2383B}"/>
</file>

<file path=docProps/app.xml><?xml version="1.0" encoding="utf-8"?>
<Properties xmlns="http://schemas.openxmlformats.org/officeDocument/2006/extended-properties" xmlns:vt="http://schemas.openxmlformats.org/officeDocument/2006/docPropsVTypes">
  <Template>ST.dotm</Template>
  <TotalTime>271</TotalTime>
  <Pages>22</Pages>
  <Words>7228</Words>
  <Characters>55441</Characters>
  <Application>Microsoft Office Word</Application>
  <DocSecurity>0</DocSecurity>
  <Lines>1046</Lines>
  <Paragraphs>580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ST/SG/AC.10/C.3/124</dc:title>
  <dc:subject/>
  <dc:creator>Luisa PENA-MONTERO</dc:creator>
  <cp:keywords/>
  <cp:lastModifiedBy>Luisa PENA-MONTERO</cp:lastModifiedBy>
  <cp:revision>170</cp:revision>
  <cp:lastPrinted>2023-12-04T16:08:00Z</cp:lastPrinted>
  <dcterms:created xsi:type="dcterms:W3CDTF">2023-12-04T10:45:00Z</dcterms:created>
  <dcterms:modified xsi:type="dcterms:W3CDTF">2023-12-04T16:08:00Z</dcterms:modified>
</cp:coreProperties>
</file>