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7AA4BA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CCB4301" w14:textId="77777777" w:rsidR="002D5AAC" w:rsidRDefault="002D5AAC" w:rsidP="00E45EA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CD64B96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41EAB9C" w14:textId="678503D8" w:rsidR="002D5AAC" w:rsidRDefault="00E45EAF" w:rsidP="00E45EAF">
            <w:pPr>
              <w:jc w:val="right"/>
            </w:pPr>
            <w:r w:rsidRPr="00E45EAF">
              <w:rPr>
                <w:sz w:val="40"/>
              </w:rPr>
              <w:t>ECE</w:t>
            </w:r>
            <w:r>
              <w:t>/TRANS/2024/24</w:t>
            </w:r>
          </w:p>
        </w:tc>
      </w:tr>
      <w:tr w:rsidR="002D5AAC" w:rsidRPr="00E45EAF" w14:paraId="1C0F746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B25002F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AB4FB61" wp14:editId="1C1C873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58505F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FADCB3D" w14:textId="77777777" w:rsidR="002D5AAC" w:rsidRDefault="00E45EA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9AD8E4B" w14:textId="3A161249" w:rsidR="00E45EAF" w:rsidRDefault="00E45EAF" w:rsidP="00E45EA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December 2023</w:t>
            </w:r>
          </w:p>
          <w:p w14:paraId="01CF324C" w14:textId="77777777" w:rsidR="00E45EAF" w:rsidRDefault="00E45EAF" w:rsidP="00E45EA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B425DA5" w14:textId="34E75C4B" w:rsidR="00E45EAF" w:rsidRPr="008D53B6" w:rsidRDefault="00E45EAF" w:rsidP="00E45EA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7F0AD98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0EC0817" w14:textId="77777777" w:rsidR="00E45EAF" w:rsidRPr="00500CB5" w:rsidRDefault="00E45EAF" w:rsidP="00E45EAF">
      <w:pPr>
        <w:spacing w:before="120"/>
        <w:rPr>
          <w:sz w:val="28"/>
          <w:szCs w:val="28"/>
        </w:rPr>
      </w:pPr>
      <w:r w:rsidRPr="00500CB5">
        <w:rPr>
          <w:sz w:val="28"/>
          <w:szCs w:val="28"/>
        </w:rPr>
        <w:t>Комитет по внутреннему транспорту</w:t>
      </w:r>
    </w:p>
    <w:p w14:paraId="69FF29ED" w14:textId="77777777" w:rsidR="00E45EAF" w:rsidRPr="00995DDB" w:rsidRDefault="00E45EAF" w:rsidP="00E45EAF">
      <w:pPr>
        <w:spacing w:before="120"/>
        <w:rPr>
          <w:b/>
          <w:bCs/>
        </w:rPr>
      </w:pPr>
      <w:r>
        <w:rPr>
          <w:b/>
          <w:bCs/>
        </w:rPr>
        <w:t>Восемьдесят шестая сессия</w:t>
      </w:r>
    </w:p>
    <w:p w14:paraId="7CF8658D" w14:textId="553B042A" w:rsidR="00E45EAF" w:rsidRPr="00995DDB" w:rsidRDefault="00E45EAF" w:rsidP="00E45EAF">
      <w:pPr>
        <w:rPr>
          <w:b/>
          <w:bCs/>
        </w:rPr>
      </w:pPr>
      <w:r>
        <w:t xml:space="preserve">Женева, 20–23 февраля 2024 года </w:t>
      </w:r>
      <w:r>
        <w:br/>
        <w:t xml:space="preserve">Пункт 10 k) предварительной повестки дня </w:t>
      </w:r>
      <w:r>
        <w:br/>
      </w:r>
      <w:r>
        <w:rPr>
          <w:b/>
          <w:bCs/>
        </w:rPr>
        <w:t xml:space="preserve">Стратегические вопросы горизонтальной и </w:t>
      </w:r>
      <w:proofErr w:type="spellStart"/>
      <w:r>
        <w:rPr>
          <w:b/>
          <w:bCs/>
        </w:rPr>
        <w:t>межсекторальной</w:t>
      </w:r>
      <w:proofErr w:type="spellEnd"/>
      <w:r>
        <w:rPr>
          <w:b/>
          <w:bCs/>
        </w:rPr>
        <w:t xml:space="preserve"> </w:t>
      </w:r>
      <w:r w:rsidR="00D87EDE">
        <w:rPr>
          <w:b/>
          <w:bCs/>
        </w:rPr>
        <w:br/>
      </w:r>
      <w:r>
        <w:rPr>
          <w:b/>
          <w:bCs/>
        </w:rPr>
        <w:t xml:space="preserve">политики или нормативного характера: </w:t>
      </w:r>
      <w:r w:rsidR="00D87EDE">
        <w:rPr>
          <w:b/>
          <w:bCs/>
        </w:rPr>
        <w:br/>
      </w:r>
      <w:r>
        <w:rPr>
          <w:b/>
          <w:bCs/>
        </w:rPr>
        <w:t>Согласование правил в области транспортных средств</w:t>
      </w:r>
    </w:p>
    <w:p w14:paraId="605CC71C" w14:textId="77777777" w:rsidR="00E45EAF" w:rsidRPr="00995DDB" w:rsidRDefault="00E45EAF" w:rsidP="00E45EAF">
      <w:pPr>
        <w:pStyle w:val="HChG"/>
      </w:pPr>
      <w:r>
        <w:tab/>
      </w:r>
      <w:r>
        <w:tab/>
      </w:r>
      <w:r>
        <w:rPr>
          <w:bCs/>
        </w:rPr>
        <w:t>Последние изменения в правилах, касающихся транспортных средств</w:t>
      </w:r>
    </w:p>
    <w:p w14:paraId="624F64CC" w14:textId="648874C5" w:rsidR="00E45EAF" w:rsidRDefault="00E45EAF" w:rsidP="00E45EAF">
      <w:pPr>
        <w:pStyle w:val="H1G"/>
        <w:rPr>
          <w:bCs/>
        </w:rPr>
      </w:pPr>
      <w:r>
        <w:tab/>
      </w:r>
      <w:r>
        <w:tab/>
      </w:r>
      <w:r>
        <w:rPr>
          <w:bCs/>
        </w:rPr>
        <w:t>Записка секретариата</w:t>
      </w: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29"/>
      </w:tblGrid>
      <w:tr w:rsidR="00E45EAF" w:rsidRPr="00610276" w14:paraId="5636311C" w14:textId="77777777" w:rsidTr="00B46AD8">
        <w:trPr>
          <w:trHeight w:val="481"/>
          <w:jc w:val="center"/>
        </w:trPr>
        <w:tc>
          <w:tcPr>
            <w:tcW w:w="9629" w:type="dxa"/>
            <w:shd w:val="clear" w:color="auto" w:fill="auto"/>
          </w:tcPr>
          <w:p w14:paraId="1ADAC7F8" w14:textId="265ABB42" w:rsidR="00E45EAF" w:rsidRPr="006C0288" w:rsidRDefault="001E1C67" w:rsidP="00DD1BBA">
            <w:pPr>
              <w:spacing w:before="240" w:after="120"/>
              <w:ind w:left="255"/>
              <w:rPr>
                <w:rFonts w:eastAsia="Times New Roman Bold"/>
                <w:i/>
                <w:sz w:val="24"/>
              </w:rPr>
            </w:pPr>
            <w:r w:rsidRPr="001E1C67">
              <w:rPr>
                <w:rFonts w:cs="Times New Roman"/>
              </w:rPr>
              <w:tab/>
            </w:r>
            <w:r w:rsidRPr="001E1C67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E45EAF" w:rsidRPr="00500CB5" w14:paraId="3C97590B" w14:textId="77777777" w:rsidTr="00B46AD8">
        <w:trPr>
          <w:jc w:val="center"/>
        </w:trPr>
        <w:tc>
          <w:tcPr>
            <w:tcW w:w="9629" w:type="dxa"/>
            <w:shd w:val="clear" w:color="auto" w:fill="auto"/>
          </w:tcPr>
          <w:p w14:paraId="7806EBF7" w14:textId="1276EFDB" w:rsidR="00E45EAF" w:rsidRPr="00995DDB" w:rsidRDefault="00E45EAF" w:rsidP="00DD1BBA">
            <w:pPr>
              <w:pStyle w:val="SingleTxtG"/>
            </w:pPr>
            <w:r>
              <w:tab/>
              <w:t>Работа Всемирного форума для согласования правил в области транспортных средств (WP.29, или «Всемирный форум») по-прежнему направлена на повышение безопасности транспортных средств и укрепление охраны окружающей среды, в</w:t>
            </w:r>
            <w:r w:rsidR="00676561">
              <w:rPr>
                <w:lang w:val="en-US"/>
              </w:rPr>
              <w:t> </w:t>
            </w:r>
            <w:r>
              <w:t xml:space="preserve">результате чего появилось множество новых правил и были внесены поправки в существующие правила и предписания в области транспортных средств в рамках соглашений 1958, 1997 и 1998 годов. </w:t>
            </w:r>
          </w:p>
        </w:tc>
      </w:tr>
      <w:tr w:rsidR="00E45EAF" w:rsidRPr="00500CB5" w14:paraId="42DC101B" w14:textId="77777777" w:rsidTr="00B46AD8">
        <w:trPr>
          <w:jc w:val="center"/>
        </w:trPr>
        <w:tc>
          <w:tcPr>
            <w:tcW w:w="9629" w:type="dxa"/>
            <w:shd w:val="clear" w:color="auto" w:fill="auto"/>
          </w:tcPr>
          <w:p w14:paraId="153FCDA5" w14:textId="6E4F1BFF" w:rsidR="00E45EAF" w:rsidRPr="00995DDB" w:rsidRDefault="00E45EAF" w:rsidP="00DD1BBA">
            <w:pPr>
              <w:pStyle w:val="SingleTxtG"/>
            </w:pPr>
            <w:r>
              <w:tab/>
              <w:t>В 2023 году большое внимание уделялось таким темам, как вступление в силу ряда правил Организации Объединенных Наций («правила ООН») по улучшению защиты уязвимых участников дорожного движения, в частности разработка новых:</w:t>
            </w:r>
          </w:p>
          <w:p w14:paraId="4BC0F3D4" w14:textId="6BF1FE0C" w:rsidR="00E45EAF" w:rsidRPr="00995DDB" w:rsidRDefault="001E1C67" w:rsidP="00DD1BBA">
            <w:pPr>
              <w:tabs>
                <w:tab w:val="left" w:pos="1700"/>
              </w:tabs>
              <w:spacing w:after="120"/>
              <w:ind w:left="1134" w:right="1134"/>
              <w:jc w:val="both"/>
            </w:pPr>
            <w:r>
              <w:tab/>
            </w:r>
            <w:r w:rsidR="00E45EAF">
              <w:t>a)</w:t>
            </w:r>
            <w:r w:rsidR="00E45EAF">
              <w:tab/>
              <w:t>правил ООН об общих выбросах в реальных условиях вождения,</w:t>
            </w:r>
          </w:p>
          <w:p w14:paraId="4456F165" w14:textId="521F9804" w:rsidR="00E45EAF" w:rsidRPr="00995DDB" w:rsidRDefault="001E1C67" w:rsidP="00DD1BBA">
            <w:pPr>
              <w:spacing w:after="120"/>
              <w:ind w:left="1134" w:right="1134"/>
              <w:jc w:val="lowKashida"/>
            </w:pPr>
            <w:r>
              <w:tab/>
            </w:r>
            <w:r>
              <w:tab/>
            </w:r>
            <w:r w:rsidR="00E45EAF">
              <w:t>b)</w:t>
            </w:r>
            <w:r w:rsidR="00E45EAF">
              <w:tab/>
              <w:t>правил ООН о регистраторах данных о событиях для транспортных средств большой грузоподъемности,</w:t>
            </w:r>
          </w:p>
          <w:p w14:paraId="56778050" w14:textId="2117ADFE" w:rsidR="00E45EAF" w:rsidRPr="00995DDB" w:rsidRDefault="001E1C67" w:rsidP="00DD1BBA">
            <w:pPr>
              <w:spacing w:after="120"/>
              <w:ind w:left="1134" w:right="1134"/>
              <w:jc w:val="both"/>
            </w:pPr>
            <w:r>
              <w:tab/>
            </w:r>
            <w:r>
              <w:tab/>
            </w:r>
            <w:r w:rsidR="00E45EAF">
              <w:t>c)</w:t>
            </w:r>
            <w:r w:rsidR="00E45EAF">
              <w:tab/>
              <w:t>правил ООН о детских удерживающих системах для более безопасной перевозки детей в автобусах,</w:t>
            </w:r>
          </w:p>
          <w:p w14:paraId="418267FC" w14:textId="5966EA33" w:rsidR="00E45EAF" w:rsidRPr="00995DDB" w:rsidRDefault="00E45EAF" w:rsidP="00DD1BBA">
            <w:pPr>
              <w:spacing w:after="120"/>
              <w:ind w:left="1134" w:right="1134"/>
              <w:jc w:val="both"/>
              <w:rPr>
                <w:rFonts w:eastAsia="Times New Roman Bold"/>
                <w:spacing w:val="-2"/>
              </w:rPr>
            </w:pPr>
            <w:r>
              <w:t xml:space="preserve">прилагаемых к Соглашению 1958 года, а также осуществление и дальнейшее развитие Соглашения 1998 года и </w:t>
            </w:r>
            <w:r w:rsidRPr="00CA1233">
              <w:t>Соглашения 1997 года</w:t>
            </w:r>
            <w:r>
              <w:t xml:space="preserve"> </w:t>
            </w:r>
            <w:r w:rsidRPr="00CA1233">
              <w:t>о</w:t>
            </w:r>
            <w:r w:rsidR="006B2023" w:rsidRPr="006B2023">
              <w:t xml:space="preserve"> </w:t>
            </w:r>
            <w:r w:rsidRPr="00CA1233">
              <w:t xml:space="preserve">периодических технических осмотрах </w:t>
            </w:r>
            <w:r>
              <w:t>и составление целостной рамочной программы по обеспечению соответствия транспортных средств на протяжении всего срока эксплуатации.</w:t>
            </w:r>
          </w:p>
        </w:tc>
      </w:tr>
      <w:tr w:rsidR="00E45EAF" w:rsidRPr="00500CB5" w14:paraId="55F9D457" w14:textId="77777777" w:rsidTr="00B46AD8">
        <w:trPr>
          <w:jc w:val="center"/>
        </w:trPr>
        <w:tc>
          <w:tcPr>
            <w:tcW w:w="9629" w:type="dxa"/>
            <w:shd w:val="clear" w:color="auto" w:fill="auto"/>
          </w:tcPr>
          <w:p w14:paraId="0F62A252" w14:textId="77777777" w:rsidR="00E45EAF" w:rsidRPr="00995DDB" w:rsidRDefault="00E45EAF" w:rsidP="00DD1BBA">
            <w:pPr>
              <w:spacing w:after="120"/>
              <w:ind w:left="1134" w:right="1134"/>
              <w:jc w:val="both"/>
              <w:rPr>
                <w:rFonts w:eastAsia="Times New Roman Bold"/>
              </w:rPr>
            </w:pPr>
            <w:r>
              <w:tab/>
            </w:r>
            <w:r>
              <w:tab/>
              <w:t xml:space="preserve">Комитету по внутреннему транспорту (КВТ) </w:t>
            </w:r>
            <w:r>
              <w:rPr>
                <w:b/>
                <w:bCs/>
              </w:rPr>
              <w:t>предлагается</w:t>
            </w:r>
            <w:r>
              <w:t xml:space="preserve">: </w:t>
            </w:r>
          </w:p>
        </w:tc>
      </w:tr>
      <w:tr w:rsidR="00E45EAF" w:rsidRPr="00500CB5" w14:paraId="6DEDA387" w14:textId="77777777" w:rsidTr="003520FC">
        <w:trPr>
          <w:jc w:val="center"/>
        </w:trPr>
        <w:tc>
          <w:tcPr>
            <w:tcW w:w="9629" w:type="dxa"/>
            <w:tcBorders>
              <w:bottom w:val="nil"/>
            </w:tcBorders>
            <w:shd w:val="clear" w:color="auto" w:fill="auto"/>
          </w:tcPr>
          <w:p w14:paraId="6C54026B" w14:textId="77777777" w:rsidR="00E45EAF" w:rsidRPr="00995DDB" w:rsidRDefault="00E45EAF" w:rsidP="00DD1BBA">
            <w:pPr>
              <w:pStyle w:val="Bullet1G"/>
              <w:numPr>
                <w:ilvl w:val="0"/>
                <w:numId w:val="0"/>
              </w:numPr>
              <w:tabs>
                <w:tab w:val="left" w:pos="1843"/>
              </w:tabs>
              <w:ind w:left="1701" w:hanging="567"/>
              <w:rPr>
                <w:rFonts w:eastAsia="Calibri"/>
                <w:b/>
                <w:u w:color="000000"/>
              </w:rPr>
            </w:pPr>
            <w:r w:rsidRPr="00610276">
              <w:rPr>
                <w:rFonts w:eastAsia="Calibri"/>
                <w:u w:color="000000"/>
              </w:rPr>
              <w:t>•</w:t>
            </w:r>
            <w:r>
              <w:tab/>
            </w:r>
            <w:r>
              <w:rPr>
                <w:b/>
                <w:bCs/>
              </w:rPr>
              <w:t xml:space="preserve">одобрить </w:t>
            </w:r>
            <w:r>
              <w:t xml:space="preserve">виды деятельности, перечисленные в настоящем документе; </w:t>
            </w:r>
          </w:p>
        </w:tc>
      </w:tr>
      <w:tr w:rsidR="00E45EAF" w:rsidRPr="00500CB5" w14:paraId="280778ED" w14:textId="77777777" w:rsidTr="003520FC">
        <w:trPr>
          <w:jc w:val="center"/>
        </w:trPr>
        <w:tc>
          <w:tcPr>
            <w:tcW w:w="9629" w:type="dxa"/>
            <w:tcBorders>
              <w:top w:val="nil"/>
              <w:bottom w:val="nil"/>
            </w:tcBorders>
            <w:shd w:val="clear" w:color="auto" w:fill="auto"/>
          </w:tcPr>
          <w:p w14:paraId="4B2A1228" w14:textId="2E0BFFB5" w:rsidR="00E45EAF" w:rsidRPr="00995DDB" w:rsidRDefault="00E45EAF" w:rsidP="003520FC">
            <w:pPr>
              <w:tabs>
                <w:tab w:val="left" w:pos="1700"/>
              </w:tabs>
              <w:spacing w:after="120"/>
              <w:ind w:left="1701" w:right="1134" w:hanging="567"/>
            </w:pPr>
            <w:r w:rsidRPr="00610276">
              <w:rPr>
                <w:rFonts w:eastAsia="Calibri"/>
                <w:u w:color="000000"/>
              </w:rPr>
              <w:t>•</w:t>
            </w:r>
            <w:r>
              <w:tab/>
            </w:r>
            <w:r>
              <w:rPr>
                <w:b/>
                <w:bCs/>
              </w:rPr>
              <w:t>приветствовать</w:t>
            </w:r>
            <w:r>
              <w:t xml:space="preserve"> работу и достижения Всемирного форума для согласования правил в области транспортных средств («WP.29»), в том числе:</w:t>
            </w:r>
          </w:p>
        </w:tc>
      </w:tr>
      <w:tr w:rsidR="003520FC" w:rsidRPr="00500CB5" w14:paraId="14D97121" w14:textId="77777777" w:rsidTr="003520FC">
        <w:trPr>
          <w:jc w:val="center"/>
        </w:trPr>
        <w:tc>
          <w:tcPr>
            <w:tcW w:w="9629" w:type="dxa"/>
            <w:tcBorders>
              <w:top w:val="nil"/>
            </w:tcBorders>
            <w:shd w:val="clear" w:color="auto" w:fill="auto"/>
          </w:tcPr>
          <w:p w14:paraId="26F39CC4" w14:textId="77777777" w:rsidR="003520FC" w:rsidRPr="00995DDB" w:rsidRDefault="003520FC" w:rsidP="003520FC">
            <w:pPr>
              <w:tabs>
                <w:tab w:val="left" w:pos="1700"/>
              </w:tabs>
              <w:spacing w:after="120"/>
              <w:ind w:left="1134" w:right="1134"/>
              <w:jc w:val="both"/>
            </w:pPr>
            <w:r>
              <w:lastRenderedPageBreak/>
              <w:tab/>
              <w:t>a)</w:t>
            </w:r>
            <w:r>
              <w:tab/>
              <w:t xml:space="preserve">новые правила ООН о детских удерживающих системах для более безопасной перевозки детей в автобусах, </w:t>
            </w:r>
          </w:p>
          <w:p w14:paraId="233567F1" w14:textId="77777777" w:rsidR="003520FC" w:rsidRPr="00995DDB" w:rsidRDefault="003520FC" w:rsidP="003520FC">
            <w:pPr>
              <w:tabs>
                <w:tab w:val="left" w:pos="1700"/>
              </w:tabs>
              <w:spacing w:after="120"/>
              <w:ind w:left="1134" w:right="1134"/>
              <w:jc w:val="both"/>
            </w:pPr>
            <w:r>
              <w:tab/>
              <w:t>b)</w:t>
            </w:r>
            <w:r>
              <w:tab/>
              <w:t>разработка Руководства по нормативным требованиям и проверяемым критериям для валидации безопасности автоматизированных систем вождения и нового метода оценки/испытаний для автоматизированного вождения (НАТМ), а</w:t>
            </w:r>
            <w:r>
              <w:rPr>
                <w:lang w:val="en-US"/>
              </w:rPr>
              <w:t> </w:t>
            </w:r>
            <w:r>
              <w:t xml:space="preserve">также Руководства по валидации автоматизированной системы вождения (АСВ), </w:t>
            </w:r>
          </w:p>
          <w:p w14:paraId="72E9F7EF" w14:textId="7E8FFF58" w:rsidR="003520FC" w:rsidRPr="00610276" w:rsidRDefault="003520FC" w:rsidP="003520FC">
            <w:pPr>
              <w:tabs>
                <w:tab w:val="left" w:pos="1700"/>
              </w:tabs>
              <w:spacing w:after="120"/>
              <w:ind w:left="1134" w:right="1134"/>
              <w:jc w:val="both"/>
              <w:rPr>
                <w:rFonts w:eastAsia="Calibri"/>
                <w:u w:color="000000"/>
              </w:rPr>
            </w:pPr>
            <w:r>
              <w:tab/>
              <w:t>c)</w:t>
            </w:r>
            <w:r>
              <w:tab/>
              <w:t>разработка новых Глобальных технических правил ООН (ГТП) (№</w:t>
            </w:r>
            <w:r>
              <w:rPr>
                <w:lang w:val="en-US"/>
              </w:rPr>
              <w:t> </w:t>
            </w:r>
            <w:r>
              <w:t>24,</w:t>
            </w:r>
            <w:r>
              <w:rPr>
                <w:lang w:val="en-US"/>
              </w:rPr>
              <w:t> </w:t>
            </w:r>
            <w:r>
              <w:t>о</w:t>
            </w:r>
            <w:r>
              <w:rPr>
                <w:lang w:val="en-US"/>
              </w:rPr>
              <w:t> </w:t>
            </w:r>
            <w:r>
              <w:t>лабораторном измерении выбросов при торможении транспортных средств малой грузоподъемности) и новых правил ООН об общих выбросах в реальных условиях вождения;</w:t>
            </w:r>
          </w:p>
        </w:tc>
      </w:tr>
      <w:tr w:rsidR="00E45EAF" w:rsidRPr="00500CB5" w14:paraId="1FEC6D8E" w14:textId="77777777" w:rsidTr="00B46AD8">
        <w:trPr>
          <w:jc w:val="center"/>
        </w:trPr>
        <w:tc>
          <w:tcPr>
            <w:tcW w:w="9629" w:type="dxa"/>
            <w:shd w:val="clear" w:color="auto" w:fill="auto"/>
          </w:tcPr>
          <w:p w14:paraId="41B6E142" w14:textId="77777777" w:rsidR="00E45EAF" w:rsidRPr="00995DDB" w:rsidRDefault="00E45EAF" w:rsidP="00E45EAF">
            <w:pPr>
              <w:pStyle w:val="Bullet1G"/>
              <w:numPr>
                <w:ilvl w:val="0"/>
                <w:numId w:val="22"/>
              </w:numPr>
              <w:tabs>
                <w:tab w:val="clear" w:pos="1701"/>
                <w:tab w:val="left" w:pos="1843"/>
              </w:tabs>
              <w:ind w:hanging="425"/>
              <w:rPr>
                <w:rFonts w:eastAsia="Calibri"/>
                <w:u w:color="000000"/>
              </w:rPr>
            </w:pPr>
            <w:r>
              <w:rPr>
                <w:b/>
                <w:bCs/>
              </w:rPr>
              <w:t>принять к сведению</w:t>
            </w:r>
            <w:r>
              <w:t xml:space="preserve"> желание Рабочей группы по автоматизированным/ автономным и подключенным транспортным средствам (GRVA) провести одну из своих ежегодных сессий в 2025 году за пределами Женевы;</w:t>
            </w:r>
          </w:p>
        </w:tc>
      </w:tr>
      <w:tr w:rsidR="00E45EAF" w:rsidRPr="00500CB5" w14:paraId="756D1152" w14:textId="77777777" w:rsidTr="00B46AD8">
        <w:trPr>
          <w:jc w:val="center"/>
        </w:trPr>
        <w:tc>
          <w:tcPr>
            <w:tcW w:w="9629" w:type="dxa"/>
            <w:shd w:val="clear" w:color="auto" w:fill="auto"/>
          </w:tcPr>
          <w:p w14:paraId="4C33AC7D" w14:textId="77777777" w:rsidR="00E45EAF" w:rsidRPr="00995DDB" w:rsidRDefault="00E45EAF" w:rsidP="00DD1BBA">
            <w:pPr>
              <w:pStyle w:val="Bullet1G"/>
              <w:numPr>
                <w:ilvl w:val="0"/>
                <w:numId w:val="0"/>
              </w:numPr>
              <w:tabs>
                <w:tab w:val="left" w:pos="1843"/>
              </w:tabs>
              <w:ind w:left="1701" w:hanging="425"/>
              <w:rPr>
                <w:rFonts w:eastAsia="Calibri"/>
                <w:b/>
                <w:u w:color="000000"/>
              </w:rPr>
            </w:pPr>
            <w:r w:rsidRPr="00610276">
              <w:rPr>
                <w:rFonts w:eastAsia="Calibri"/>
                <w:u w:color="000000"/>
              </w:rPr>
              <w:t>•</w:t>
            </w:r>
            <w:r>
              <w:tab/>
            </w:r>
            <w:r>
              <w:rPr>
                <w:b/>
                <w:bCs/>
              </w:rPr>
              <w:t xml:space="preserve">поблагодарить </w:t>
            </w:r>
            <w:r>
              <w:t xml:space="preserve">Германию за временное предоставление услуг хостинга для базы данных для обмена документацией об официальном утверждении типа (ДETA). </w:t>
            </w:r>
          </w:p>
        </w:tc>
      </w:tr>
      <w:tr w:rsidR="00E45EAF" w:rsidRPr="00500CB5" w14:paraId="1B39C218" w14:textId="77777777" w:rsidTr="00B46AD8">
        <w:trPr>
          <w:jc w:val="center"/>
        </w:trPr>
        <w:tc>
          <w:tcPr>
            <w:tcW w:w="9629" w:type="dxa"/>
            <w:shd w:val="clear" w:color="auto" w:fill="auto"/>
          </w:tcPr>
          <w:p w14:paraId="743E75CA" w14:textId="77777777" w:rsidR="00E45EAF" w:rsidRPr="00995DDB" w:rsidRDefault="00E45EAF" w:rsidP="00DD1BBA">
            <w:pPr>
              <w:rPr>
                <w:rFonts w:eastAsia="Times New Roman Bold"/>
              </w:rPr>
            </w:pPr>
          </w:p>
        </w:tc>
      </w:tr>
    </w:tbl>
    <w:p w14:paraId="11D7C200" w14:textId="77777777" w:rsidR="00E45EAF" w:rsidRPr="00995DDB" w:rsidRDefault="00E45EAF" w:rsidP="00E45EAF">
      <w:pPr>
        <w:pStyle w:val="HChG"/>
        <w:rPr>
          <w:strike/>
        </w:rPr>
      </w:pPr>
      <w:r>
        <w:rPr>
          <w:bCs/>
        </w:rPr>
        <w:tab/>
        <w:t>I.</w:t>
      </w:r>
      <w:r>
        <w:tab/>
      </w:r>
      <w:r>
        <w:rPr>
          <w:bCs/>
        </w:rPr>
        <w:t>Общие соображения</w:t>
      </w:r>
    </w:p>
    <w:p w14:paraId="1D3A4515" w14:textId="731ECDF0" w:rsidR="00E45EAF" w:rsidRPr="00995DDB" w:rsidRDefault="00E45EAF" w:rsidP="00E45EAF">
      <w:pPr>
        <w:pStyle w:val="SingleTxtG"/>
        <w:rPr>
          <w:rFonts w:asciiTheme="majorBidi" w:hAnsiTheme="majorBidi" w:cstheme="majorBidi"/>
        </w:rPr>
      </w:pPr>
      <w:r>
        <w:t>1.</w:t>
      </w:r>
      <w:r>
        <w:tab/>
        <w:t>Информация о деятельности Всемирного форума и его шести вспомогательных рабочих групп представлена в документе ECE/TRANS/WP.29/2023/1/Rev.1, в котором содержится подробный обзор распределения областей работы между различными группами по результатам выделения приоритетных направлений работы, определения сроков и задач и их согласования со стратегией КВТ.</w:t>
      </w:r>
    </w:p>
    <w:p w14:paraId="5F78EA41" w14:textId="14A5AAEA" w:rsidR="00E45EAF" w:rsidRPr="00995DDB" w:rsidRDefault="00E45EAF" w:rsidP="00E45EAF">
      <w:pPr>
        <w:pStyle w:val="SingleTxtG"/>
        <w:rPr>
          <w:rFonts w:asciiTheme="majorBidi" w:hAnsiTheme="majorBidi" w:cstheme="majorBidi"/>
        </w:rPr>
      </w:pPr>
      <w:r>
        <w:t>2.</w:t>
      </w:r>
      <w:r>
        <w:tab/>
        <w:t>В течение 2023 года параллельно со Всемирным форумом и его вспомогательными органами работало более 40 неофициальных рабочих групп, оказывавших им помощь в подготовке новых правил в области транспортных средств и обновлении 165 существующих правил ООН, прилагаемых к Соглашению 1958 года, 24 глобальных технических правил Организации Объединенных Наций (ГТП ООН) в</w:t>
      </w:r>
      <w:r w:rsidR="002B5EC4">
        <w:rPr>
          <w:lang w:val="en-US"/>
        </w:rPr>
        <w:t> </w:t>
      </w:r>
      <w:r>
        <w:t>рамках Соглашения 1998 года и четырех предписаний ООН, прилагаемых к Соглашению 1997 года, в результате чего было принято в общей сложности 115</w:t>
      </w:r>
      <w:r w:rsidR="002B5EC4">
        <w:rPr>
          <w:lang w:val="en-US"/>
        </w:rPr>
        <w:t> </w:t>
      </w:r>
      <w:r>
        <w:t>поправок и введено три новых правила ООН и одно новое ГТП ООН.</w:t>
      </w:r>
    </w:p>
    <w:p w14:paraId="3CBF9F39" w14:textId="77777777" w:rsidR="00E45EAF" w:rsidRPr="00AE508E" w:rsidRDefault="00E45EAF" w:rsidP="00E45EAF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>Автоматизация транспортных средств</w:t>
      </w:r>
    </w:p>
    <w:p w14:paraId="1E4C1EDB" w14:textId="575C2E5A" w:rsidR="00E45EAF" w:rsidRPr="00995DDB" w:rsidRDefault="00E45EAF" w:rsidP="00E45EAF">
      <w:pPr>
        <w:pStyle w:val="SingleTxtG"/>
      </w:pPr>
      <w:r>
        <w:t>3.</w:t>
      </w:r>
      <w:r>
        <w:tab/>
        <w:t>После реструктуризации WP.29 в июне 2018 года, в целях выполнения решения</w:t>
      </w:r>
      <w:r w:rsidR="002B5EC4">
        <w:rPr>
          <w:lang w:val="en-US"/>
        </w:rPr>
        <w:t> </w:t>
      </w:r>
      <w:r>
        <w:t xml:space="preserve">№ 19 КВТ от 2018 года и создания Рабочей группы по автоматизированным/ автономным и подключенным транспортным средствам (GRVA), WP.29 и его вспомогательные органы осуществляли свою деятельность в соответствии с Рамочным документом по автоматизированным/автономным транспортным средствам (ECE/TRANS/WP.29/2019/34/Rev.2), который был одобрен КВТ на его восемьдесят второй сессии и служит ориентиром для выполнения задач, связанных с вопросами, касающимися автоматизированных транспортных средств. Эта работа проводится под руководством сопредседателей от Америки, Азии и Европы в соответствии с концепцией безопасности, ключевыми элементами безопасности, руководящими указаниями, содержащимися в рамочном документе для рабочих групп WP.29, а также в соответствии с прилагаемой к нему программой деятельности для стран, использующих систему официального утверждения типа, и стран, применяющих систему </w:t>
      </w:r>
      <w:proofErr w:type="spellStart"/>
      <w:r>
        <w:t>самосертификации</w:t>
      </w:r>
      <w:proofErr w:type="spellEnd"/>
      <w:r>
        <w:t xml:space="preserve">. Эти мероприятия формируют новаторскую инициативу, направленную на согласование на глобальном уровне правил в области автоматизированных транспортных средств и создание более продуктивной среды для инноваций. В 2023 году в рамках Рамочного документа будет подготовлено обновление Основного документа о новом методе оценки/испытаний для </w:t>
      </w:r>
      <w:r>
        <w:lastRenderedPageBreak/>
        <w:t>автоматизированного вождения (НАТМ), будет проведена работа над общим окончательным документом, представляющим деятельность НРГ по функциональным требованиям для автоматизированных и автономных транспортных средств (ФРАВ) и</w:t>
      </w:r>
      <w:r w:rsidR="000131DA">
        <w:rPr>
          <w:lang w:val="en-US"/>
        </w:rPr>
        <w:t> </w:t>
      </w:r>
      <w:r>
        <w:t>НРГ по методам валидации для автоматизированного вождения (ВМАД), который принимается за основу для разработки новых правил для автоматизированных систем вождения в рамках Соглашений 1958 и 1998 годов, и будет подготовлен проект рекомендаций по кибербезопасности транспортных средств и обновлению программного обеспечения.</w:t>
      </w:r>
    </w:p>
    <w:p w14:paraId="69488688" w14:textId="77777777" w:rsidR="00E45EAF" w:rsidRPr="00995DDB" w:rsidRDefault="00E45EAF" w:rsidP="00E45EAF">
      <w:pPr>
        <w:pStyle w:val="SingleTxtG"/>
      </w:pPr>
      <w:r>
        <w:t>4.</w:t>
      </w:r>
      <w:r>
        <w:tab/>
        <w:t>Кроме того, GRVA приступила к разработке проекта правил ООН о системах помощи водителю в управлении (ДКАС). С появлением этих новых правил будут проведены четкие различия между имеющимися в настоящее время и уже широко распространенными технологиями, которые пока находятся на втором уровне автоматизации, и технологиями, обеспечивающими полностью автоматизированное вождение и позволяющими водителям заниматься другими задачами, не связанными с управлением автомобилем (см. также резолюцию Глобального форума по безопасности дорожного движения (WP.1) о степени безопасности совершения водителями действий, не связанных с управлением автомобилем, в тот момент, когда автоматизированные системы вождения сигнализируют о необходимости перехода на динамический контроль), и по-прежнему установлено требование о сохранении водителем контроля над транспортным средством.</w:t>
      </w:r>
    </w:p>
    <w:p w14:paraId="1E5DFA7B" w14:textId="77777777" w:rsidR="00E45EAF" w:rsidRPr="00995DDB" w:rsidRDefault="00E45EAF" w:rsidP="00E45EAF">
      <w:pPr>
        <w:pStyle w:val="HChG"/>
      </w:pPr>
      <w:r>
        <w:rPr>
          <w:bCs/>
        </w:rPr>
        <w:tab/>
        <w:t>III.</w:t>
      </w:r>
      <w:r>
        <w:tab/>
      </w:r>
      <w:r>
        <w:rPr>
          <w:bCs/>
        </w:rPr>
        <w:t>Соглашение 1958 года</w:t>
      </w:r>
    </w:p>
    <w:p w14:paraId="165F09D1" w14:textId="4E7C8746" w:rsidR="00E45EAF" w:rsidRPr="00995DDB" w:rsidRDefault="00E45EAF" w:rsidP="00E45EAF">
      <w:pPr>
        <w:pStyle w:val="SingleTxtG"/>
      </w:pPr>
      <w:r>
        <w:t>5.</w:t>
      </w:r>
      <w:r>
        <w:tab/>
        <w:t>Работа WP.29 в области защиты уязвимых участников дорожного движения была завершена, когда в июне и октябре 2023 года вступили в силу три новых правила</w:t>
      </w:r>
      <w:r w:rsidR="00576286">
        <w:rPr>
          <w:lang w:val="en-US"/>
        </w:rPr>
        <w:t> </w:t>
      </w:r>
      <w:r>
        <w:t>ООН (Правила № 165 ООН — предупреждение при движении задним ходом, Правила</w:t>
      </w:r>
      <w:r w:rsidR="000131DA">
        <w:rPr>
          <w:lang w:val="en-US"/>
        </w:rPr>
        <w:t> </w:t>
      </w:r>
      <w:r>
        <w:t>№ 166 ООН — уязвимые участники дорожного движения в непосредственной близости спереди и сбоку</w:t>
      </w:r>
      <w:r w:rsidR="008F27D9">
        <w:t xml:space="preserve"> и</w:t>
      </w:r>
      <w:r>
        <w:t xml:space="preserve"> Правила № 167 ООН — прямой обзор уязвимых участников дорожного движения). </w:t>
      </w:r>
    </w:p>
    <w:p w14:paraId="57085531" w14:textId="77777777" w:rsidR="00E45EAF" w:rsidRPr="00995DDB" w:rsidRDefault="00E45EAF" w:rsidP="00E45EAF">
      <w:pPr>
        <w:pStyle w:val="SingleTxtG"/>
      </w:pPr>
      <w:r>
        <w:t>6.</w:t>
      </w:r>
      <w:r>
        <w:tab/>
        <w:t>Новые Правила № [168] ООН, касающиеся общих выбросов в реальных условиях вождения, будут способствовать защите окружающей среды и предоставлению реалистичной информации о выбросах CO</w:t>
      </w:r>
      <w:r w:rsidRPr="00D9609A">
        <w:rPr>
          <w:vertAlign w:val="subscript"/>
        </w:rPr>
        <w:t>2</w:t>
      </w:r>
      <w:r>
        <w:t xml:space="preserve"> новыми транспортными средствами. Благодаря новым Правилам № [169] ООН по регистраторам данных о событиях для транспортных средств большой грузоподъемности, при расследовании дорожно-транспортных происшествий с участием таких транспортных средств будет получен доступ к информации, зафиксированной регистраторами непосредственно перед столкновением и во время столкновения. Новые Правила № [170] ООН по детским удерживающим системам для более безопасной перевозки детей в автобусах будут в значительной степени способствовать повышению безопасности наиболее уязвимой группы — детей — во время столкновений при перевозке в автобусах. </w:t>
      </w:r>
    </w:p>
    <w:p w14:paraId="75B91077" w14:textId="77777777" w:rsidR="00E45EAF" w:rsidRPr="00995DDB" w:rsidRDefault="00E45EAF" w:rsidP="00E45EAF">
      <w:pPr>
        <w:pStyle w:val="SingleTxtG"/>
      </w:pPr>
      <w:r>
        <w:t>7.</w:t>
      </w:r>
      <w:r>
        <w:tab/>
        <w:t xml:space="preserve">В </w:t>
      </w:r>
      <w:proofErr w:type="gramStart"/>
      <w:r>
        <w:t>уже существующие</w:t>
      </w:r>
      <w:proofErr w:type="gramEnd"/>
      <w:r>
        <w:t xml:space="preserve"> правила ООН и соответствующие резолюции было внесено 114 поправок, что позволило привести правила в соответствие с самыми последними техническими достижениями и включить в них более строгие ограничения, нацеленные как на повышение безопасности транспортных средств, так и на улучшение их экологических характеристик. </w:t>
      </w:r>
    </w:p>
    <w:p w14:paraId="57B99300" w14:textId="77777777" w:rsidR="00E45EAF" w:rsidRPr="00995DDB" w:rsidRDefault="00E45EAF" w:rsidP="00E45EAF">
      <w:pPr>
        <w:pStyle w:val="SingleTxtG"/>
      </w:pPr>
      <w:r>
        <w:t>8.</w:t>
      </w:r>
      <w:r>
        <w:tab/>
        <w:t>Поскольку финансирование для размещения ДЕТА не было обеспечено ни из средств регулярного бюджета</w:t>
      </w:r>
      <w:r w:rsidRPr="00F56DA9">
        <w:t xml:space="preserve"> </w:t>
      </w:r>
      <w:r>
        <w:t>Европейской экономической комиссии (ЕЭК), ни из внебюджетных ресурсов, WP.29 поблагодарил Германию, которая сейчас временно предоставляет услуги хостинга для этой базы данных. WP.29 продолжит поиск устойчивых решений для финансирования хостинга ДЕТА.</w:t>
      </w:r>
    </w:p>
    <w:p w14:paraId="054944E4" w14:textId="0EB6C012" w:rsidR="00E45EAF" w:rsidRPr="00995DDB" w:rsidRDefault="00E45EAF" w:rsidP="00E45EAF">
      <w:pPr>
        <w:pStyle w:val="SingleTxtG"/>
      </w:pPr>
      <w:r>
        <w:t>9.</w:t>
      </w:r>
      <w:r>
        <w:tab/>
        <w:t>Что касается разработки дополнительных функций/модулей ДЕТА, то</w:t>
      </w:r>
      <w:r w:rsidR="000B1778">
        <w:rPr>
          <w:lang w:val="en-US"/>
        </w:rPr>
        <w:t> </w:t>
      </w:r>
      <w:r>
        <w:t>Международный комитет по техническому осмотру автотранспортных средств подтвердил готовность финансировать разработку модуля Декларации о соответствии (</w:t>
      </w:r>
      <w:proofErr w:type="spellStart"/>
      <w:r>
        <w:t>ДоС</w:t>
      </w:r>
      <w:proofErr w:type="spellEnd"/>
      <w:r>
        <w:t xml:space="preserve">). Продолжается подготовка модуля Уникального идентификатора (УИ), которая была приостановлена на время проведения оценки его общей применимости ко всем </w:t>
      </w:r>
      <w:r>
        <w:lastRenderedPageBreak/>
        <w:t xml:space="preserve">правилам ООН. Договаривающимся странам предстоит обсудить подход, допускающий факультативное применение УИ. </w:t>
      </w:r>
    </w:p>
    <w:p w14:paraId="66E482CB" w14:textId="77777777" w:rsidR="00E45EAF" w:rsidRPr="00995DDB" w:rsidRDefault="00E45EAF" w:rsidP="00E45EAF">
      <w:pPr>
        <w:pStyle w:val="HChG"/>
        <w:rPr>
          <w:szCs w:val="24"/>
        </w:rPr>
      </w:pPr>
      <w:r>
        <w:rPr>
          <w:bCs/>
        </w:rPr>
        <w:tab/>
        <w:t>IV.</w:t>
      </w:r>
      <w:r>
        <w:tab/>
      </w:r>
      <w:r>
        <w:rPr>
          <w:bCs/>
        </w:rPr>
        <w:t>Соглашение 1997 года</w:t>
      </w:r>
    </w:p>
    <w:p w14:paraId="677A86C7" w14:textId="77777777" w:rsidR="00E45EAF" w:rsidRPr="00995DDB" w:rsidRDefault="00E45EAF" w:rsidP="00E45EAF">
      <w:pPr>
        <w:pStyle w:val="SingleTxtG"/>
      </w:pPr>
      <w:r>
        <w:t>10.</w:t>
      </w:r>
      <w:r>
        <w:tab/>
        <w:t>На своей сто девяносто первой сессии WP.29 принял проект рамочного документа по соблюдению требований в течение всего срока службы транспортных средств на основе целостного подхода, который предусматривает режим соблюдения требований с момента официального утверждения типа, во время периодических технических осмотров и технических осмотров на дорогах, до окончания срока службы и утилизации транспортного средства.</w:t>
      </w:r>
    </w:p>
    <w:p w14:paraId="629162BF" w14:textId="77777777" w:rsidR="00E45EAF" w:rsidRPr="00995DDB" w:rsidRDefault="00E45EAF" w:rsidP="00E45EAF">
      <w:pPr>
        <w:pStyle w:val="SingleTxtG"/>
      </w:pPr>
      <w:r>
        <w:t>11.</w:t>
      </w:r>
      <w:r>
        <w:tab/>
        <w:t xml:space="preserve">WP.29 также принял поправку к резолюции СР.6 (об испытательном оборудовании, навыках и подготовке </w:t>
      </w:r>
      <w:proofErr w:type="gramStart"/>
      <w:r>
        <w:t>инспекторов</w:t>
      </w:r>
      <w:proofErr w:type="gramEnd"/>
      <w:r>
        <w:t xml:space="preserve"> и надзоре за их деятельностью), установив требования к испытательному оборудованию, используемому для определения концентрации взвешенных частиц. WP.29 внес поправку в Предписание № 1 ООН (об охране окружающей среды), добавив испытания с помощью систем определения концентрации взвешенных частиц в качестве альтернативного испытания для дизельных транспортных средств с уровнем выбросов 5/V и 6/VI. Появление нового вида испытаний, проводимых в ходе периодических технических осмотров, будет способствовать усилению охраны окружающей среды.</w:t>
      </w:r>
    </w:p>
    <w:p w14:paraId="7E862D26" w14:textId="77777777" w:rsidR="00E45EAF" w:rsidRPr="00995DDB" w:rsidRDefault="00E45EAF" w:rsidP="00E45EAF">
      <w:pPr>
        <w:pStyle w:val="HChG"/>
        <w:rPr>
          <w:szCs w:val="24"/>
        </w:rPr>
      </w:pPr>
      <w:r>
        <w:rPr>
          <w:bCs/>
        </w:rPr>
        <w:tab/>
        <w:t>V.</w:t>
      </w:r>
      <w:r>
        <w:tab/>
      </w:r>
      <w:r>
        <w:rPr>
          <w:bCs/>
        </w:rPr>
        <w:t>Соглашение 1998 года</w:t>
      </w:r>
    </w:p>
    <w:p w14:paraId="7C7EFCFE" w14:textId="4E54691D" w:rsidR="00E45EAF" w:rsidRPr="00995DDB" w:rsidRDefault="00E45EAF" w:rsidP="00E45EAF">
      <w:pPr>
        <w:pStyle w:val="SingleTxtG"/>
      </w:pPr>
      <w:r>
        <w:t>12.</w:t>
      </w:r>
      <w:r>
        <w:tab/>
        <w:t>В 2023 году WP.29 подвел итоги нескольким годам работы над новыми глобальными техническими правилами Организации Объединенных Наций (ГТП</w:t>
      </w:r>
      <w:r w:rsidR="00CA3CC4">
        <w:rPr>
          <w:lang w:val="en-US"/>
        </w:rPr>
        <w:t> </w:t>
      </w:r>
      <w:r>
        <w:t>ООН) и разработал новые ГТП № 24</w:t>
      </w:r>
      <w:r w:rsidRPr="002D14D8">
        <w:t xml:space="preserve"> </w:t>
      </w:r>
      <w:r>
        <w:t>ООН, касающиеся лабораторного измерения выбросов при торможении транспортных средств малой грузоподъемности.</w:t>
      </w:r>
    </w:p>
    <w:p w14:paraId="2EBC9595" w14:textId="77777777" w:rsidR="00E45EAF" w:rsidRPr="00995DDB" w:rsidRDefault="00E45EAF" w:rsidP="00E45EAF">
      <w:pPr>
        <w:pStyle w:val="SingleTxtG"/>
        <w:rPr>
          <w:rFonts w:asciiTheme="majorBidi" w:hAnsiTheme="majorBidi" w:cstheme="majorBidi"/>
        </w:rPr>
      </w:pPr>
      <w:r>
        <w:t>13.</w:t>
      </w:r>
      <w:r>
        <w:tab/>
        <w:t>WP.29 внес одну поправку к ГТП № 13 ООН (транспортные средства на водородных топливных элементах) и одну поправку к Общей резолюции № 1 (ОР.1), касающейся описания и эксплуатационных качеств испытательных инструментов и устройств, которые необходимы для оценки соответствия колесных транспортных средств, оборудования и частей техническим предписаниям, содержащимся в правилах ООН и ГТП ООН. Это позволит привести ГТП ООН в соответствие с самыми последними техническими достижениями и включить в них более строгие требования, нацеленные как на повышение безопасности транспортных средств, так и на улучшение их экологических характеристик.</w:t>
      </w:r>
    </w:p>
    <w:p w14:paraId="13C351F8" w14:textId="77777777" w:rsidR="00E45EAF" w:rsidRPr="00995DDB" w:rsidRDefault="00E45EAF" w:rsidP="00E45EAF">
      <w:pPr>
        <w:pStyle w:val="HChG"/>
      </w:pPr>
      <w:r>
        <w:rPr>
          <w:bCs/>
        </w:rPr>
        <w:tab/>
        <w:t>VI.</w:t>
      </w:r>
      <w:r>
        <w:tab/>
      </w:r>
      <w:r>
        <w:rPr>
          <w:bCs/>
        </w:rPr>
        <w:t>Связь с Повесткой дня в области устойчивого развития на период до 2030 года</w:t>
      </w:r>
    </w:p>
    <w:p w14:paraId="472C4C98" w14:textId="272748D3" w:rsidR="00E45EAF" w:rsidRPr="00995DDB" w:rsidRDefault="00E45EAF" w:rsidP="00E45EAF">
      <w:pPr>
        <w:pStyle w:val="SingleTxtG"/>
      </w:pPr>
      <w:r>
        <w:t>14.</w:t>
      </w:r>
      <w:r>
        <w:tab/>
        <w:t xml:space="preserve">Присоединение к соглашениям ООН в области транспортных средств и соблюдение прилагаемых к ним правил ООН, предписаний ООН и ГТП ООН могут способствовать прогрессу в решении задач 3.6, 3.9, 7.3, 9.1, 11.2 и 13.2 в рамках </w:t>
      </w:r>
      <w:r w:rsidR="00CA3CC4">
        <w:t>Ц</w:t>
      </w:r>
      <w:r>
        <w:t>елей в области устойчивого развития.</w:t>
      </w:r>
    </w:p>
    <w:p w14:paraId="09833139" w14:textId="77777777" w:rsidR="00E45EAF" w:rsidRPr="00995DDB" w:rsidRDefault="00E45EAF" w:rsidP="00E45EAF">
      <w:pPr>
        <w:spacing w:before="240"/>
        <w:jc w:val="center"/>
        <w:rPr>
          <w:u w:val="single"/>
        </w:rPr>
      </w:pPr>
      <w:r w:rsidRPr="00995DDB">
        <w:rPr>
          <w:u w:val="single"/>
        </w:rPr>
        <w:tab/>
      </w:r>
      <w:r w:rsidRPr="00995DDB">
        <w:rPr>
          <w:u w:val="single"/>
        </w:rPr>
        <w:tab/>
      </w:r>
      <w:r w:rsidRPr="00995DDB">
        <w:rPr>
          <w:u w:val="single"/>
        </w:rPr>
        <w:tab/>
      </w:r>
    </w:p>
    <w:sectPr w:rsidR="00E45EAF" w:rsidRPr="00995DDB" w:rsidSect="00E45E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4DBF5" w14:textId="77777777" w:rsidR="000D2E5F" w:rsidRPr="00A312BC" w:rsidRDefault="000D2E5F" w:rsidP="00A312BC"/>
  </w:endnote>
  <w:endnote w:type="continuationSeparator" w:id="0">
    <w:p w14:paraId="36CD7324" w14:textId="77777777" w:rsidR="000D2E5F" w:rsidRPr="00A312BC" w:rsidRDefault="000D2E5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57486" w14:textId="486CAA2A" w:rsidR="00E45EAF" w:rsidRPr="00E45EAF" w:rsidRDefault="00E45EAF">
    <w:pPr>
      <w:pStyle w:val="a8"/>
    </w:pPr>
    <w:r w:rsidRPr="00E45EAF">
      <w:rPr>
        <w:b/>
        <w:sz w:val="18"/>
      </w:rPr>
      <w:fldChar w:fldCharType="begin"/>
    </w:r>
    <w:r w:rsidRPr="00E45EAF">
      <w:rPr>
        <w:b/>
        <w:sz w:val="18"/>
      </w:rPr>
      <w:instrText xml:space="preserve"> PAGE  \* MERGEFORMAT </w:instrText>
    </w:r>
    <w:r w:rsidRPr="00E45EAF">
      <w:rPr>
        <w:b/>
        <w:sz w:val="18"/>
      </w:rPr>
      <w:fldChar w:fldCharType="separate"/>
    </w:r>
    <w:r w:rsidRPr="00E45EAF">
      <w:rPr>
        <w:b/>
        <w:noProof/>
        <w:sz w:val="18"/>
      </w:rPr>
      <w:t>2</w:t>
    </w:r>
    <w:r w:rsidRPr="00E45EAF">
      <w:rPr>
        <w:b/>
        <w:sz w:val="18"/>
      </w:rPr>
      <w:fldChar w:fldCharType="end"/>
    </w:r>
    <w:r>
      <w:rPr>
        <w:b/>
        <w:sz w:val="18"/>
      </w:rPr>
      <w:tab/>
    </w:r>
    <w:r>
      <w:t>GE.23-24638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3517" w14:textId="4ABD1A69" w:rsidR="00E45EAF" w:rsidRPr="00E45EAF" w:rsidRDefault="00E45EAF" w:rsidP="00E45EAF">
    <w:pPr>
      <w:pStyle w:val="a8"/>
      <w:tabs>
        <w:tab w:val="clear" w:pos="9639"/>
        <w:tab w:val="right" w:pos="9638"/>
      </w:tabs>
      <w:rPr>
        <w:b/>
        <w:sz w:val="18"/>
      </w:rPr>
    </w:pPr>
    <w:r>
      <w:t>GE.23-24638</w:t>
    </w:r>
    <w:r>
      <w:tab/>
    </w:r>
    <w:r w:rsidRPr="00E45EAF">
      <w:rPr>
        <w:b/>
        <w:sz w:val="18"/>
      </w:rPr>
      <w:fldChar w:fldCharType="begin"/>
    </w:r>
    <w:r w:rsidRPr="00E45EAF">
      <w:rPr>
        <w:b/>
        <w:sz w:val="18"/>
      </w:rPr>
      <w:instrText xml:space="preserve"> PAGE  \* MERGEFORMAT </w:instrText>
    </w:r>
    <w:r w:rsidRPr="00E45EAF">
      <w:rPr>
        <w:b/>
        <w:sz w:val="18"/>
      </w:rPr>
      <w:fldChar w:fldCharType="separate"/>
    </w:r>
    <w:r w:rsidRPr="00E45EAF">
      <w:rPr>
        <w:b/>
        <w:noProof/>
        <w:sz w:val="18"/>
      </w:rPr>
      <w:t>3</w:t>
    </w:r>
    <w:r w:rsidRPr="00E45EA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99AD2" w14:textId="371BF9EA" w:rsidR="00042B72" w:rsidRPr="00E45EAF" w:rsidRDefault="00E45EAF" w:rsidP="00E45EAF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EBF1CA4" wp14:editId="26F1C7D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</w:t>
    </w:r>
    <w:proofErr w:type="gramStart"/>
    <w:r>
      <w:t>24638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CECC0C6" wp14:editId="61A99C2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151223  151223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C0DB1" w14:textId="77777777" w:rsidR="000D2E5F" w:rsidRPr="001075E9" w:rsidRDefault="000D2E5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D1E4897" w14:textId="77777777" w:rsidR="000D2E5F" w:rsidRDefault="000D2E5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28A9F" w14:textId="2D021419" w:rsidR="00E45EAF" w:rsidRPr="00E45EAF" w:rsidRDefault="00E45EAF">
    <w:pPr>
      <w:pStyle w:val="a5"/>
    </w:pPr>
    <w:fldSimple w:instr=" TITLE  \* MERGEFORMAT ">
      <w:r w:rsidR="001B2CAF">
        <w:t>ECE/TRANS/2024/24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89CF4" w14:textId="31BA2095" w:rsidR="00E45EAF" w:rsidRPr="00E45EAF" w:rsidRDefault="00E45EAF" w:rsidP="00E45EAF">
    <w:pPr>
      <w:pStyle w:val="a5"/>
      <w:jc w:val="right"/>
    </w:pPr>
    <w:fldSimple w:instr=" TITLE  \* MERGEFORMAT ">
      <w:r w:rsidR="001B2CAF">
        <w:t>ECE/TRANS/2024/24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FF48D" w14:textId="77777777" w:rsidR="00E45EAF" w:rsidRDefault="00E45EAF" w:rsidP="00E45EAF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96643B"/>
    <w:multiLevelType w:val="multilevel"/>
    <w:tmpl w:val="FFAA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925DC1"/>
    <w:multiLevelType w:val="hybridMultilevel"/>
    <w:tmpl w:val="E49E3158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8"/>
  </w:num>
  <w:num w:numId="2" w16cid:durableId="966817556">
    <w:abstractNumId w:val="12"/>
  </w:num>
  <w:num w:numId="3" w16cid:durableId="1816291531">
    <w:abstractNumId w:val="10"/>
  </w:num>
  <w:num w:numId="4" w16cid:durableId="1492480875">
    <w:abstractNumId w:val="19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7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7"/>
  </w:num>
  <w:num w:numId="20" w16cid:durableId="807743971">
    <w:abstractNumId w:val="13"/>
  </w:num>
  <w:num w:numId="21" w16cid:durableId="1591162185">
    <w:abstractNumId w:val="15"/>
  </w:num>
  <w:num w:numId="22" w16cid:durableId="77950296">
    <w:abstractNumId w:val="16"/>
  </w:num>
  <w:num w:numId="23" w16cid:durableId="534005481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E5F"/>
    <w:rsid w:val="000131DA"/>
    <w:rsid w:val="00023010"/>
    <w:rsid w:val="00033EE1"/>
    <w:rsid w:val="00042B72"/>
    <w:rsid w:val="000558BD"/>
    <w:rsid w:val="000B1778"/>
    <w:rsid w:val="000B57E7"/>
    <w:rsid w:val="000B6373"/>
    <w:rsid w:val="000D2E5F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2CAF"/>
    <w:rsid w:val="001B3EF6"/>
    <w:rsid w:val="001C7A89"/>
    <w:rsid w:val="001E1C67"/>
    <w:rsid w:val="001F05CF"/>
    <w:rsid w:val="00213E7F"/>
    <w:rsid w:val="00255343"/>
    <w:rsid w:val="0027151D"/>
    <w:rsid w:val="002A2EFC"/>
    <w:rsid w:val="002B0106"/>
    <w:rsid w:val="002B5EC4"/>
    <w:rsid w:val="002B74B1"/>
    <w:rsid w:val="002C0E18"/>
    <w:rsid w:val="002D24A4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520FC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76286"/>
    <w:rsid w:val="005961C8"/>
    <w:rsid w:val="005966F1"/>
    <w:rsid w:val="005D7914"/>
    <w:rsid w:val="005E2B41"/>
    <w:rsid w:val="005F0B42"/>
    <w:rsid w:val="00617A43"/>
    <w:rsid w:val="006345DB"/>
    <w:rsid w:val="00640F49"/>
    <w:rsid w:val="00676561"/>
    <w:rsid w:val="00680D03"/>
    <w:rsid w:val="00681A10"/>
    <w:rsid w:val="006A1ED8"/>
    <w:rsid w:val="006B2023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15F37"/>
    <w:rsid w:val="00825F8D"/>
    <w:rsid w:val="00834B71"/>
    <w:rsid w:val="0086445C"/>
    <w:rsid w:val="00894693"/>
    <w:rsid w:val="008A08D7"/>
    <w:rsid w:val="008A37C8"/>
    <w:rsid w:val="008B6909"/>
    <w:rsid w:val="008D53B6"/>
    <w:rsid w:val="008F27D9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46AD8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A3CC4"/>
    <w:rsid w:val="00CB151C"/>
    <w:rsid w:val="00CE5A1A"/>
    <w:rsid w:val="00CF55F6"/>
    <w:rsid w:val="00D33D63"/>
    <w:rsid w:val="00D5253A"/>
    <w:rsid w:val="00D873A8"/>
    <w:rsid w:val="00D87EDE"/>
    <w:rsid w:val="00D90028"/>
    <w:rsid w:val="00D90138"/>
    <w:rsid w:val="00D9145B"/>
    <w:rsid w:val="00D9609A"/>
    <w:rsid w:val="00DD78D1"/>
    <w:rsid w:val="00DE32CD"/>
    <w:rsid w:val="00DF5767"/>
    <w:rsid w:val="00DF71B9"/>
    <w:rsid w:val="00E12C5F"/>
    <w:rsid w:val="00E45EAF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8448F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B676D"/>
  <w15:docId w15:val="{7F070A4E-1C20-4DA8-8E55-1CCF4B39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E45EAF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E45EAF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4</Pages>
  <Words>1470</Words>
  <Characters>10018</Characters>
  <Application>Microsoft Office Word</Application>
  <DocSecurity>0</DocSecurity>
  <Lines>186</Lines>
  <Paragraphs>48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ECE/TRANS/2024/24</vt:lpstr>
      <vt:lpstr>A/</vt:lpstr>
      <vt:lpstr>A/</vt:lpstr>
    </vt:vector>
  </TitlesOfParts>
  <Company>DCM</Company>
  <LinksUpToDate>false</LinksUpToDate>
  <CharactersWithSpaces>11489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ECE/TRANS/2024/24</dc:title>
  <dc:subject/>
  <dc:creator>Shuvalova NATALIA</dc:creator>
  <cp:keywords/>
  <cp:lastModifiedBy>Natalia Shuvalova</cp:lastModifiedBy>
  <cp:revision>2</cp:revision>
  <cp:lastPrinted>2008-01-15T07:58:00Z</cp:lastPrinted>
  <dcterms:created xsi:type="dcterms:W3CDTF">2023-12-15T14:08:00Z</dcterms:created>
  <dcterms:modified xsi:type="dcterms:W3CDTF">2023-12-15T14:08:00Z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