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37E3" w14:textId="77777777" w:rsidR="00B003CD" w:rsidRDefault="00B003CD" w:rsidP="00B003CD">
      <w:pPr>
        <w:spacing w:before="120"/>
        <w:rPr>
          <w:b/>
          <w:sz w:val="28"/>
          <w:szCs w:val="28"/>
        </w:rPr>
      </w:pPr>
      <w:r w:rsidRPr="00501F18">
        <w:rPr>
          <w:b/>
          <w:sz w:val="28"/>
          <w:szCs w:val="28"/>
        </w:rPr>
        <w:t>Economic Commission for Europe</w:t>
      </w:r>
    </w:p>
    <w:p w14:paraId="43C8C9F4" w14:textId="77777777" w:rsidR="00EE052D" w:rsidRPr="00D565F0" w:rsidRDefault="00EE052D">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08F85C87" w14:textId="77777777" w:rsidR="00EE052D" w:rsidRPr="00D565F0" w:rsidRDefault="00EE052D">
      <w:pPr>
        <w:spacing w:before="120"/>
        <w:rPr>
          <w:bCs/>
          <w:sz w:val="28"/>
          <w:szCs w:val="28"/>
        </w:rPr>
      </w:pPr>
      <w:r>
        <w:rPr>
          <w:b/>
        </w:rPr>
        <w:t>Ninth</w:t>
      </w:r>
      <w:r w:rsidRPr="00D565F0">
        <w:rPr>
          <w:b/>
        </w:rPr>
        <w:t xml:space="preserve"> session</w:t>
      </w:r>
    </w:p>
    <w:p w14:paraId="3B025413" w14:textId="77777777" w:rsidR="00EE052D" w:rsidRPr="00D565F0" w:rsidRDefault="00EE052D">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63603D1C" w14:textId="77777777" w:rsidR="00EE052D" w:rsidRPr="00D565F0" w:rsidRDefault="00EE052D">
      <w:pPr>
        <w:spacing w:before="120"/>
        <w:rPr>
          <w:b/>
        </w:rPr>
      </w:pPr>
      <w:r w:rsidRPr="00D565F0">
        <w:rPr>
          <w:b/>
        </w:rPr>
        <w:t>F</w:t>
      </w:r>
      <w:r>
        <w:rPr>
          <w:b/>
        </w:rPr>
        <w:t>ifth</w:t>
      </w:r>
      <w:r w:rsidRPr="00D565F0">
        <w:rPr>
          <w:b/>
        </w:rPr>
        <w:t xml:space="preserve"> session</w:t>
      </w:r>
    </w:p>
    <w:p w14:paraId="7E153DB3" w14:textId="77777777" w:rsidR="00EE052D" w:rsidRPr="00D565F0" w:rsidRDefault="00EE052D">
      <w:pPr>
        <w:spacing w:before="100" w:line="240" w:lineRule="auto"/>
      </w:pPr>
      <w:r>
        <w:t>Geneva</w:t>
      </w:r>
      <w:r w:rsidRPr="00D565F0">
        <w:t xml:space="preserve">, </w:t>
      </w:r>
      <w:r>
        <w:t>12–</w:t>
      </w:r>
      <w:r w:rsidRPr="00D565F0">
        <w:t>1</w:t>
      </w:r>
      <w:r>
        <w:t>5</w:t>
      </w:r>
      <w:r w:rsidRPr="00D565F0">
        <w:t xml:space="preserve"> December 202</w:t>
      </w:r>
      <w:r>
        <w:t>3</w:t>
      </w:r>
    </w:p>
    <w:p w14:paraId="0FECF6C3" w14:textId="4AA4CC75" w:rsidR="00EE052D" w:rsidRDefault="00EE052D" w:rsidP="00EE052D">
      <w:pPr>
        <w:spacing w:line="240" w:lineRule="auto"/>
      </w:pPr>
      <w:r w:rsidRPr="00D565F0">
        <w:t xml:space="preserve">Item </w:t>
      </w:r>
      <w:r>
        <w:t>3</w:t>
      </w:r>
      <w:r w:rsidRPr="00D565F0">
        <w:t xml:space="preserve"> (</w:t>
      </w:r>
      <w:r>
        <w:t xml:space="preserve">a) (i) </w:t>
      </w:r>
      <w:r w:rsidRPr="00D565F0">
        <w:t>of the provisional agenda</w:t>
      </w:r>
    </w:p>
    <w:tbl>
      <w:tblPr>
        <w:tblpPr w:leftFromText="142" w:rightFromText="142" w:vertAnchor="page" w:horzAnchor="margin" w:tblpY="1456"/>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8"/>
        <w:gridCol w:w="5547"/>
        <w:gridCol w:w="2851"/>
      </w:tblGrid>
      <w:tr w:rsidR="00B003CD" w:rsidRPr="000633D4" w14:paraId="2213D71E" w14:textId="77777777">
        <w:trPr>
          <w:cantSplit/>
          <w:trHeight w:hRule="exact" w:val="1003"/>
        </w:trPr>
        <w:tc>
          <w:tcPr>
            <w:tcW w:w="1708" w:type="dxa"/>
            <w:shd w:val="clear" w:color="auto" w:fill="auto"/>
            <w:vAlign w:val="bottom"/>
          </w:tcPr>
          <w:p w14:paraId="2FAEABC4" w14:textId="77777777" w:rsidR="00B003CD" w:rsidRPr="00B72B0F" w:rsidRDefault="00B003CD">
            <w:pPr>
              <w:pStyle w:val="Heading5"/>
            </w:pPr>
          </w:p>
        </w:tc>
        <w:tc>
          <w:tcPr>
            <w:tcW w:w="5547" w:type="dxa"/>
            <w:shd w:val="clear" w:color="auto" w:fill="auto"/>
            <w:vAlign w:val="bottom"/>
          </w:tcPr>
          <w:p w14:paraId="5B004A7B" w14:textId="77777777" w:rsidR="00B003CD" w:rsidRPr="00501CD2" w:rsidRDefault="00B003CD">
            <w:pPr>
              <w:spacing w:after="80" w:line="240" w:lineRule="auto"/>
              <w:rPr>
                <w:b/>
                <w:sz w:val="24"/>
                <w:szCs w:val="44"/>
              </w:rPr>
            </w:pPr>
          </w:p>
        </w:tc>
        <w:tc>
          <w:tcPr>
            <w:tcW w:w="2851" w:type="dxa"/>
            <w:shd w:val="clear" w:color="auto" w:fill="auto"/>
          </w:tcPr>
          <w:p w14:paraId="35362714" w14:textId="5ACD1736" w:rsidR="00B003CD" w:rsidRPr="0007592F" w:rsidRDefault="00B003CD">
            <w:pPr>
              <w:spacing w:before="240" w:line="240" w:lineRule="exact"/>
              <w:ind w:left="4"/>
            </w:pPr>
            <w:r>
              <w:t xml:space="preserve"> </w:t>
            </w:r>
            <w:r w:rsidR="00EE052D" w:rsidRPr="00EE052D">
              <w:t>ECE/MP.EIA/2023/INF.</w:t>
            </w:r>
            <w:r w:rsidR="00EE052D">
              <w:t>4</w:t>
            </w:r>
            <w:r w:rsidRPr="00854350">
              <w:rPr>
                <w:lang w:val="en-US"/>
              </w:rPr>
              <w:br/>
            </w:r>
            <w:r>
              <w:t xml:space="preserve"> Original: </w:t>
            </w:r>
            <w:r w:rsidRPr="0007592F">
              <w:t>English</w:t>
            </w:r>
          </w:p>
          <w:p w14:paraId="7985EE4C" w14:textId="79DAEA53" w:rsidR="00B003CD" w:rsidRPr="00352A20" w:rsidRDefault="00B003CD">
            <w:pPr>
              <w:spacing w:line="240" w:lineRule="exact"/>
            </w:pPr>
            <w:r>
              <w:rPr>
                <w:color w:val="FF0000"/>
              </w:rPr>
              <w:t xml:space="preserve"> </w:t>
            </w:r>
            <w:r w:rsidR="009E1503" w:rsidRPr="00C96B44">
              <w:rPr>
                <w:color w:val="FF0000"/>
                <w:shd w:val="clear" w:color="auto" w:fill="FFFF00"/>
              </w:rPr>
              <w:t>10</w:t>
            </w:r>
            <w:r w:rsidR="00200A13" w:rsidRPr="00C96B44">
              <w:rPr>
                <w:color w:val="FF0000"/>
                <w:highlight w:val="yellow"/>
                <w:shd w:val="clear" w:color="auto" w:fill="FFFF00"/>
              </w:rPr>
              <w:t xml:space="preserve"> </w:t>
            </w:r>
            <w:r w:rsidR="00200A13" w:rsidRPr="00200A13">
              <w:rPr>
                <w:color w:val="FF0000"/>
                <w:highlight w:val="yellow"/>
              </w:rPr>
              <w:t>December</w:t>
            </w:r>
            <w:r w:rsidRPr="007425E5">
              <w:rPr>
                <w:color w:val="FF0000"/>
              </w:rPr>
              <w:t xml:space="preserve"> 2023</w:t>
            </w:r>
          </w:p>
        </w:tc>
      </w:tr>
    </w:tbl>
    <w:p w14:paraId="60DE0E87" w14:textId="093D5CA6" w:rsidR="00E6206C" w:rsidRPr="00CA7B90" w:rsidRDefault="00EE052D" w:rsidP="00E6206C">
      <w:r w:rsidRPr="00EE052D">
        <w:rPr>
          <w:b/>
          <w:bCs/>
        </w:rPr>
        <w:t>Outstanding issues</w:t>
      </w:r>
      <w:r>
        <w:rPr>
          <w:b/>
          <w:bCs/>
        </w:rPr>
        <w:t>:</w:t>
      </w:r>
      <w:r w:rsidRPr="00EE052D">
        <w:rPr>
          <w:b/>
          <w:bCs/>
        </w:rPr>
        <w:t xml:space="preserve"> Draft joint decisions </w:t>
      </w:r>
      <w:r>
        <w:rPr>
          <w:b/>
          <w:bCs/>
        </w:rPr>
        <w:br/>
      </w:r>
      <w:r w:rsidRPr="00EE052D">
        <w:rPr>
          <w:b/>
          <w:bCs/>
        </w:rPr>
        <w:t xml:space="preserve">Draft decision on financial arrangements </w:t>
      </w:r>
    </w:p>
    <w:p w14:paraId="41E04B07" w14:textId="210D24B5" w:rsidR="00E6206C" w:rsidRDefault="00E6206C" w:rsidP="00420567">
      <w:pPr>
        <w:pStyle w:val="HChG"/>
        <w:tabs>
          <w:tab w:val="left" w:pos="8550"/>
        </w:tabs>
        <w:spacing w:before="240"/>
        <w:ind w:right="639"/>
        <w:rPr>
          <w:b w:val="0"/>
          <w:bCs/>
          <w:color w:val="FF0000"/>
        </w:rPr>
      </w:pPr>
      <w:r w:rsidRPr="0044648C">
        <w:tab/>
      </w:r>
      <w:r w:rsidRPr="0044648C">
        <w:tab/>
      </w:r>
      <w:r w:rsidR="00EE052D" w:rsidRPr="00EE052D">
        <w:t>Information on pledged contributions for the period 2024–2026</w:t>
      </w:r>
      <w:r w:rsidRPr="00FD1F55">
        <w:rPr>
          <w:b w:val="0"/>
          <w:bCs/>
          <w:color w:val="FF0000"/>
        </w:rPr>
        <w:t xml:space="preserve"> </w:t>
      </w:r>
      <w:r w:rsidRPr="00C96B44">
        <w:rPr>
          <w:b w:val="0"/>
          <w:bCs/>
          <w:color w:val="FF0000"/>
          <w:shd w:val="clear" w:color="auto" w:fill="FFFF00"/>
        </w:rPr>
        <w:t xml:space="preserve">As at </w:t>
      </w:r>
      <w:r w:rsidR="00282AD9" w:rsidRPr="00C96B44">
        <w:rPr>
          <w:b w:val="0"/>
          <w:bCs/>
          <w:color w:val="FF0000"/>
          <w:shd w:val="clear" w:color="auto" w:fill="FFFF00"/>
        </w:rPr>
        <w:t>[</w:t>
      </w:r>
      <w:r w:rsidR="009E1503" w:rsidRPr="00C96B44">
        <w:rPr>
          <w:b w:val="0"/>
          <w:bCs/>
          <w:color w:val="FF0000"/>
          <w:shd w:val="clear" w:color="auto" w:fill="FFFF00"/>
        </w:rPr>
        <w:t>10</w:t>
      </w:r>
      <w:r w:rsidR="00200A13" w:rsidRPr="00C96B44">
        <w:rPr>
          <w:b w:val="0"/>
          <w:bCs/>
          <w:color w:val="FF0000"/>
          <w:highlight w:val="yellow"/>
          <w:shd w:val="clear" w:color="auto" w:fill="FFFF00"/>
        </w:rPr>
        <w:t xml:space="preserve"> December</w:t>
      </w:r>
      <w:r w:rsidR="00282AD9" w:rsidRPr="00C96B44">
        <w:rPr>
          <w:b w:val="0"/>
          <w:bCs/>
          <w:color w:val="FF0000"/>
          <w:highlight w:val="yellow"/>
          <w:shd w:val="clear" w:color="auto" w:fill="FFFF00"/>
        </w:rPr>
        <w:t xml:space="preserve"> 2023</w:t>
      </w:r>
      <w:r w:rsidRPr="00C96B44">
        <w:rPr>
          <w:b w:val="0"/>
          <w:bCs/>
          <w:color w:val="FF0000"/>
          <w:highlight w:val="yellow"/>
          <w:shd w:val="clear" w:color="auto" w:fill="FFFF00"/>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1345"/>
        <w:gridCol w:w="5166"/>
        <w:gridCol w:w="1589"/>
      </w:tblGrid>
      <w:tr w:rsidR="004869A2" w:rsidRPr="00511855" w14:paraId="45736BC1" w14:textId="77777777" w:rsidTr="62188B26">
        <w:trPr>
          <w:trHeight w:val="1195"/>
          <w:jc w:val="center"/>
        </w:trPr>
        <w:tc>
          <w:tcPr>
            <w:tcW w:w="1530" w:type="dxa"/>
            <w:tcBorders>
              <w:top w:val="single" w:sz="4" w:space="0" w:color="auto"/>
            </w:tcBorders>
            <w:shd w:val="clear" w:color="auto" w:fill="F2F2F2" w:themeFill="background1" w:themeFillShade="F2"/>
            <w:hideMark/>
          </w:tcPr>
          <w:p w14:paraId="64A4056F" w14:textId="77777777" w:rsidR="00F145CF" w:rsidRDefault="00F145CF" w:rsidP="009D1C81">
            <w:pPr>
              <w:rPr>
                <w:b/>
                <w:bCs/>
              </w:rPr>
            </w:pPr>
          </w:p>
          <w:p w14:paraId="037161C6" w14:textId="77777777" w:rsidR="00F145CF" w:rsidRPr="003F57EF" w:rsidRDefault="00F145CF" w:rsidP="009D1C81">
            <w:pPr>
              <w:jc w:val="center"/>
              <w:rPr>
                <w:b/>
                <w:bCs/>
              </w:rPr>
            </w:pPr>
            <w:r w:rsidRPr="003F57EF">
              <w:rPr>
                <w:b/>
                <w:bCs/>
              </w:rPr>
              <w:t>Parties</w:t>
            </w:r>
            <w:r>
              <w:rPr>
                <w:b/>
                <w:bCs/>
              </w:rPr>
              <w:t xml:space="preserve"> </w:t>
            </w:r>
            <w:r>
              <w:rPr>
                <w:b/>
                <w:bCs/>
              </w:rPr>
              <w:br/>
              <w:t>to the Convention</w:t>
            </w:r>
          </w:p>
        </w:tc>
        <w:tc>
          <w:tcPr>
            <w:tcW w:w="1345" w:type="dxa"/>
            <w:tcBorders>
              <w:top w:val="single" w:sz="4" w:space="0" w:color="auto"/>
            </w:tcBorders>
            <w:shd w:val="clear" w:color="auto" w:fill="F2F2F2" w:themeFill="background1" w:themeFillShade="F2"/>
          </w:tcPr>
          <w:p w14:paraId="2FC0925E" w14:textId="77777777" w:rsidR="00F145CF" w:rsidRDefault="00F145CF" w:rsidP="007C7A3A">
            <w:pPr>
              <w:jc w:val="center"/>
              <w:rPr>
                <w:b/>
                <w:bCs/>
              </w:rPr>
            </w:pPr>
          </w:p>
          <w:p w14:paraId="09BBE4C9" w14:textId="77777777" w:rsidR="00F145CF" w:rsidRPr="003F57EF" w:rsidRDefault="00F145CF" w:rsidP="007C7A3A">
            <w:pPr>
              <w:jc w:val="center"/>
              <w:rPr>
                <w:b/>
                <w:bCs/>
              </w:rPr>
            </w:pPr>
            <w:r>
              <w:rPr>
                <w:b/>
                <w:bCs/>
              </w:rPr>
              <w:t>P</w:t>
            </w:r>
            <w:r w:rsidRPr="003F57EF">
              <w:rPr>
                <w:b/>
                <w:bCs/>
              </w:rPr>
              <w:t xml:space="preserve">ledged </w:t>
            </w:r>
            <w:proofErr w:type="gramStart"/>
            <w:r w:rsidRPr="003F57EF">
              <w:rPr>
                <w:b/>
                <w:bCs/>
              </w:rPr>
              <w:t>total</w:t>
            </w:r>
            <w:proofErr w:type="gramEnd"/>
          </w:p>
          <w:p w14:paraId="0844B52F" w14:textId="13C6280A" w:rsidR="00F145CF" w:rsidRDefault="00F145CF" w:rsidP="007C7A3A">
            <w:pPr>
              <w:jc w:val="center"/>
              <w:rPr>
                <w:b/>
                <w:bCs/>
              </w:rPr>
            </w:pPr>
            <w:r w:rsidRPr="003F57EF">
              <w:rPr>
                <w:b/>
                <w:bCs/>
              </w:rPr>
              <w:t>amount (in original currency)</w:t>
            </w:r>
          </w:p>
          <w:p w14:paraId="4EE78E76" w14:textId="77777777" w:rsidR="00F145CF" w:rsidRPr="003F57EF" w:rsidRDefault="00F145CF" w:rsidP="007C7A3A">
            <w:pPr>
              <w:jc w:val="center"/>
              <w:rPr>
                <w:b/>
                <w:bCs/>
              </w:rPr>
            </w:pPr>
            <w:r>
              <w:rPr>
                <w:b/>
                <w:bCs/>
              </w:rPr>
              <w:t>2024–2026</w:t>
            </w:r>
          </w:p>
        </w:tc>
        <w:tc>
          <w:tcPr>
            <w:tcW w:w="5166" w:type="dxa"/>
            <w:tcBorders>
              <w:top w:val="single" w:sz="4" w:space="0" w:color="auto"/>
            </w:tcBorders>
            <w:shd w:val="clear" w:color="auto" w:fill="F2F2F2" w:themeFill="background1" w:themeFillShade="F2"/>
            <w:tcMar>
              <w:left w:w="86" w:type="dxa"/>
              <w:right w:w="14" w:type="dxa"/>
            </w:tcMar>
            <w:hideMark/>
          </w:tcPr>
          <w:p w14:paraId="24511C29" w14:textId="77777777" w:rsidR="00F145CF" w:rsidRPr="009C201E" w:rsidRDefault="00F145CF" w:rsidP="007C7A3A">
            <w:pPr>
              <w:jc w:val="center"/>
              <w:rPr>
                <w:b/>
                <w:bCs/>
              </w:rPr>
            </w:pPr>
          </w:p>
          <w:p w14:paraId="56B21BD2" w14:textId="2E439D59" w:rsidR="00F145CF" w:rsidRPr="009C201E" w:rsidRDefault="00F145CF" w:rsidP="007C7A3A">
            <w:pPr>
              <w:jc w:val="center"/>
              <w:rPr>
                <w:b/>
                <w:bCs/>
              </w:rPr>
            </w:pPr>
            <w:r w:rsidRPr="009C201E">
              <w:rPr>
                <w:b/>
                <w:bCs/>
              </w:rPr>
              <w:t>Description of the pledge of funding</w:t>
            </w:r>
            <w:r w:rsidRPr="009C201E">
              <w:rPr>
                <w:b/>
                <w:bCs/>
              </w:rPr>
              <w:br/>
              <w:t xml:space="preserve"> for 2024-2026</w:t>
            </w:r>
            <w:r w:rsidR="00F71B80">
              <w:rPr>
                <w:b/>
                <w:bCs/>
              </w:rPr>
              <w:t xml:space="preserve"> </w:t>
            </w:r>
          </w:p>
          <w:p w14:paraId="09E239B5" w14:textId="77777777" w:rsidR="00F145CF" w:rsidRPr="009C201E" w:rsidRDefault="00F145CF" w:rsidP="007C7A3A">
            <w:pPr>
              <w:jc w:val="center"/>
              <w:rPr>
                <w:b/>
                <w:bCs/>
              </w:rPr>
            </w:pPr>
          </w:p>
        </w:tc>
        <w:tc>
          <w:tcPr>
            <w:tcW w:w="1589" w:type="dxa"/>
            <w:tcBorders>
              <w:top w:val="single" w:sz="4" w:space="0" w:color="auto"/>
            </w:tcBorders>
            <w:shd w:val="clear" w:color="auto" w:fill="F2F2F2" w:themeFill="background1" w:themeFillShade="F2"/>
          </w:tcPr>
          <w:p w14:paraId="46CC963E" w14:textId="77777777" w:rsidR="00F145CF" w:rsidRDefault="00F145CF" w:rsidP="008F641A">
            <w:pPr>
              <w:jc w:val="center"/>
              <w:rPr>
                <w:b/>
                <w:bCs/>
              </w:rPr>
            </w:pPr>
          </w:p>
          <w:p w14:paraId="193F2E1A" w14:textId="015D3FA1" w:rsidR="00FD42F4" w:rsidRDefault="00F145CF" w:rsidP="008F641A">
            <w:pPr>
              <w:jc w:val="center"/>
              <w:rPr>
                <w:b/>
                <w:bCs/>
              </w:rPr>
            </w:pPr>
            <w:r>
              <w:rPr>
                <w:b/>
                <w:bCs/>
              </w:rPr>
              <w:t>Increase compared to the pledges/unpledged funding for</w:t>
            </w:r>
          </w:p>
          <w:p w14:paraId="0EF465B2" w14:textId="77777777" w:rsidR="00F145CF" w:rsidRDefault="00F145CF" w:rsidP="008F641A">
            <w:pPr>
              <w:jc w:val="center"/>
              <w:rPr>
                <w:b/>
                <w:bCs/>
              </w:rPr>
            </w:pPr>
            <w:r>
              <w:rPr>
                <w:b/>
                <w:bCs/>
              </w:rPr>
              <w:t>2021-2023</w:t>
            </w:r>
          </w:p>
          <w:p w14:paraId="31AC98EC" w14:textId="1028F966" w:rsidR="00D176D7" w:rsidRDefault="00D176D7" w:rsidP="008F641A">
            <w:pPr>
              <w:jc w:val="center"/>
              <w:rPr>
                <w:b/>
                <w:bCs/>
              </w:rPr>
            </w:pPr>
          </w:p>
        </w:tc>
      </w:tr>
      <w:tr w:rsidR="00F145CF" w:rsidRPr="00511855" w14:paraId="0841B3A7" w14:textId="77777777" w:rsidTr="00395C15">
        <w:trPr>
          <w:trHeight w:val="255"/>
          <w:jc w:val="center"/>
        </w:trPr>
        <w:tc>
          <w:tcPr>
            <w:tcW w:w="1530" w:type="dxa"/>
            <w:shd w:val="clear" w:color="auto" w:fill="auto"/>
            <w:noWrap/>
            <w:hideMark/>
          </w:tcPr>
          <w:p w14:paraId="77F992AB" w14:textId="163C4495" w:rsidR="00F145CF" w:rsidRPr="00187776" w:rsidRDefault="00F145CF" w:rsidP="009D1C81">
            <w:r w:rsidRPr="00187776">
              <w:t>Albania</w:t>
            </w:r>
          </w:p>
        </w:tc>
        <w:tc>
          <w:tcPr>
            <w:tcW w:w="1345" w:type="dxa"/>
            <w:shd w:val="clear" w:color="auto" w:fill="auto"/>
          </w:tcPr>
          <w:p w14:paraId="3C7C95DE" w14:textId="42B8D954" w:rsidR="00F145CF" w:rsidRPr="00187776" w:rsidRDefault="00200A13" w:rsidP="007C7A3A">
            <w:r w:rsidRPr="00187776">
              <w:t xml:space="preserve"> US$ 3,000</w:t>
            </w:r>
          </w:p>
        </w:tc>
        <w:tc>
          <w:tcPr>
            <w:tcW w:w="5166" w:type="dxa"/>
            <w:shd w:val="clear" w:color="auto" w:fill="auto"/>
            <w:tcMar>
              <w:left w:w="86" w:type="dxa"/>
              <w:right w:w="14" w:type="dxa"/>
            </w:tcMar>
          </w:tcPr>
          <w:p w14:paraId="128E4748" w14:textId="1C7B41A8" w:rsidR="00F145CF" w:rsidRPr="00187776" w:rsidRDefault="00200A13" w:rsidP="007C7A3A">
            <w:r w:rsidRPr="00187776">
              <w:t>USD 3,000 for the coming period 2024-2026.</w:t>
            </w:r>
          </w:p>
        </w:tc>
        <w:tc>
          <w:tcPr>
            <w:tcW w:w="1589" w:type="dxa"/>
          </w:tcPr>
          <w:p w14:paraId="775162A1" w14:textId="008E77D5" w:rsidR="00F145CF" w:rsidRPr="00187776" w:rsidRDefault="00A367FF" w:rsidP="008F641A">
            <w:pPr>
              <w:jc w:val="center"/>
            </w:pPr>
            <w:r w:rsidRPr="00187776">
              <w:t xml:space="preserve">US$ </w:t>
            </w:r>
            <w:r w:rsidR="00377224">
              <w:t>1</w:t>
            </w:r>
            <w:r w:rsidRPr="00187776">
              <w:t>,000</w:t>
            </w:r>
          </w:p>
        </w:tc>
      </w:tr>
      <w:tr w:rsidR="00F145CF" w:rsidRPr="00511855" w14:paraId="0DB20D09" w14:textId="77777777" w:rsidTr="00395C15">
        <w:trPr>
          <w:trHeight w:val="255"/>
          <w:jc w:val="center"/>
        </w:trPr>
        <w:tc>
          <w:tcPr>
            <w:tcW w:w="1530" w:type="dxa"/>
            <w:shd w:val="clear" w:color="auto" w:fill="auto"/>
            <w:noWrap/>
            <w:hideMark/>
          </w:tcPr>
          <w:p w14:paraId="5B95B634" w14:textId="211FB3AA" w:rsidR="00F145CF" w:rsidRPr="00511855" w:rsidRDefault="00F145CF" w:rsidP="009D1C81">
            <w:r w:rsidRPr="00511855">
              <w:t>Armenia</w:t>
            </w:r>
          </w:p>
        </w:tc>
        <w:tc>
          <w:tcPr>
            <w:tcW w:w="1345" w:type="dxa"/>
            <w:shd w:val="clear" w:color="auto" w:fill="auto"/>
          </w:tcPr>
          <w:p w14:paraId="197BCCFF" w14:textId="69C594F0" w:rsidR="00F145CF" w:rsidRPr="00511855" w:rsidRDefault="002425A8" w:rsidP="007C7A3A">
            <w:r>
              <w:t xml:space="preserve"> US$ 1,000</w:t>
            </w:r>
          </w:p>
        </w:tc>
        <w:tc>
          <w:tcPr>
            <w:tcW w:w="5166" w:type="dxa"/>
            <w:shd w:val="clear" w:color="auto" w:fill="auto"/>
            <w:tcMar>
              <w:left w:w="86" w:type="dxa"/>
              <w:right w:w="14" w:type="dxa"/>
            </w:tcMar>
          </w:tcPr>
          <w:p w14:paraId="3D741FE3" w14:textId="032364E8" w:rsidR="00F145CF" w:rsidRPr="009C201E" w:rsidRDefault="002425A8" w:rsidP="007C7A3A">
            <w:r>
              <w:t>USD</w:t>
            </w:r>
            <w:r w:rsidR="000477B2">
              <w:t xml:space="preserve"> 1,000 for the next intersessional period 2024-2026</w:t>
            </w:r>
            <w:r w:rsidR="00920579">
              <w:t>.</w:t>
            </w:r>
            <w:r w:rsidR="004C6D3F">
              <w:t xml:space="preserve"> </w:t>
            </w:r>
            <w:r w:rsidR="0004746F">
              <w:t xml:space="preserve"> </w:t>
            </w:r>
            <w:r w:rsidR="0004746F" w:rsidRPr="00DE1844">
              <w:t xml:space="preserve">(Already paid in </w:t>
            </w:r>
            <w:r w:rsidR="00456C9C" w:rsidRPr="00DE1844">
              <w:t>Nov.</w:t>
            </w:r>
            <w:r w:rsidR="009811BC" w:rsidRPr="00DE1844">
              <w:t xml:space="preserve"> 2023)</w:t>
            </w:r>
          </w:p>
        </w:tc>
        <w:tc>
          <w:tcPr>
            <w:tcW w:w="1589" w:type="dxa"/>
          </w:tcPr>
          <w:p w14:paraId="2AF82BB8" w14:textId="08935CE8" w:rsidR="00F145CF" w:rsidRPr="00511855" w:rsidRDefault="006337E5" w:rsidP="006337E5">
            <w:pPr>
              <w:jc w:val="center"/>
            </w:pPr>
            <w:r>
              <w:t>- US$ 300</w:t>
            </w:r>
          </w:p>
        </w:tc>
      </w:tr>
      <w:tr w:rsidR="00F145CF" w:rsidRPr="00511855" w14:paraId="465D5680" w14:textId="77777777" w:rsidTr="00395C15">
        <w:trPr>
          <w:trHeight w:val="255"/>
          <w:jc w:val="center"/>
        </w:trPr>
        <w:tc>
          <w:tcPr>
            <w:tcW w:w="1530" w:type="dxa"/>
            <w:shd w:val="clear" w:color="auto" w:fill="auto"/>
            <w:noWrap/>
            <w:hideMark/>
          </w:tcPr>
          <w:p w14:paraId="02AAC7EC" w14:textId="583C48B0" w:rsidR="00F145CF" w:rsidRPr="00511855" w:rsidRDefault="00F145CF" w:rsidP="009D1C81">
            <w:r w:rsidRPr="00511855">
              <w:t>Austria</w:t>
            </w:r>
          </w:p>
        </w:tc>
        <w:tc>
          <w:tcPr>
            <w:tcW w:w="1345" w:type="dxa"/>
            <w:shd w:val="clear" w:color="auto" w:fill="auto"/>
          </w:tcPr>
          <w:p w14:paraId="6CC45E4E" w14:textId="4FF57D98" w:rsidR="00F145CF" w:rsidRPr="00511855" w:rsidRDefault="002F6CC9" w:rsidP="007C7A3A">
            <w:r>
              <w:t xml:space="preserve"> EUR </w:t>
            </w:r>
            <w:r w:rsidR="00233A69">
              <w:t>21</w:t>
            </w:r>
            <w:r>
              <w:t>,000</w:t>
            </w:r>
          </w:p>
        </w:tc>
        <w:tc>
          <w:tcPr>
            <w:tcW w:w="5166" w:type="dxa"/>
            <w:shd w:val="clear" w:color="auto" w:fill="auto"/>
            <w:tcMar>
              <w:left w:w="86" w:type="dxa"/>
              <w:right w:w="14" w:type="dxa"/>
            </w:tcMar>
          </w:tcPr>
          <w:p w14:paraId="4462D1AC" w14:textId="59883505" w:rsidR="00F145CF" w:rsidRPr="009C201E" w:rsidRDefault="002F6CC9" w:rsidP="007C7A3A">
            <w:r>
              <w:t xml:space="preserve">EUR 21,000 for the next </w:t>
            </w:r>
            <w:r w:rsidR="00F37A1C">
              <w:t xml:space="preserve">intersessional period to be paid in three instalments of EUR </w:t>
            </w:r>
            <w:r>
              <w:t xml:space="preserve">7,000 </w:t>
            </w:r>
            <w:r w:rsidR="00F37A1C">
              <w:t>each in 2024,2025, 2026</w:t>
            </w:r>
          </w:p>
        </w:tc>
        <w:tc>
          <w:tcPr>
            <w:tcW w:w="1589" w:type="dxa"/>
          </w:tcPr>
          <w:p w14:paraId="1E127D4B" w14:textId="0CF195F2" w:rsidR="00F145CF" w:rsidRPr="00511855" w:rsidRDefault="004E13FA" w:rsidP="008F641A">
            <w:pPr>
              <w:jc w:val="center"/>
            </w:pPr>
            <w:r>
              <w:t>0</w:t>
            </w:r>
          </w:p>
        </w:tc>
      </w:tr>
      <w:tr w:rsidR="00F145CF" w:rsidRPr="00511855" w14:paraId="5B3CA44C" w14:textId="77777777" w:rsidTr="00395C15">
        <w:trPr>
          <w:trHeight w:val="255"/>
          <w:jc w:val="center"/>
        </w:trPr>
        <w:tc>
          <w:tcPr>
            <w:tcW w:w="1530" w:type="dxa"/>
            <w:shd w:val="clear" w:color="auto" w:fill="auto"/>
            <w:noWrap/>
            <w:hideMark/>
          </w:tcPr>
          <w:p w14:paraId="05CC4572" w14:textId="1BBD702A" w:rsidR="00F145CF" w:rsidRPr="00511855" w:rsidRDefault="00F145CF" w:rsidP="009D1C81">
            <w:r w:rsidRPr="00511855">
              <w:t>Azerbaijan</w:t>
            </w:r>
          </w:p>
        </w:tc>
        <w:tc>
          <w:tcPr>
            <w:tcW w:w="1345" w:type="dxa"/>
            <w:shd w:val="clear" w:color="auto" w:fill="auto"/>
          </w:tcPr>
          <w:p w14:paraId="1F2B0112" w14:textId="77777777" w:rsidR="00F145CF" w:rsidRDefault="00B06BF3" w:rsidP="007C7A3A">
            <w:r>
              <w:t xml:space="preserve"> US$ </w:t>
            </w:r>
            <w:r w:rsidR="00EC013A">
              <w:t>4</w:t>
            </w:r>
            <w:r>
              <w:t>,000</w:t>
            </w:r>
          </w:p>
          <w:p w14:paraId="0890CAD5" w14:textId="6ED76C90" w:rsidR="00F145CF" w:rsidRPr="00B95F93" w:rsidRDefault="00F145CF" w:rsidP="007C7A3A">
            <w:pPr>
              <w:rPr>
                <w:color w:val="FF0000"/>
              </w:rPr>
            </w:pPr>
          </w:p>
        </w:tc>
        <w:tc>
          <w:tcPr>
            <w:tcW w:w="5166" w:type="dxa"/>
            <w:shd w:val="clear" w:color="auto" w:fill="auto"/>
            <w:tcMar>
              <w:left w:w="86" w:type="dxa"/>
              <w:right w:w="14" w:type="dxa"/>
            </w:tcMar>
          </w:tcPr>
          <w:p w14:paraId="35C20B7F" w14:textId="76E95766" w:rsidR="00F145CF" w:rsidRPr="002F0BE3" w:rsidRDefault="002425A8" w:rsidP="007C7A3A">
            <w:pPr>
              <w:rPr>
                <w:color w:val="FF0000"/>
              </w:rPr>
            </w:pPr>
            <w:r>
              <w:t xml:space="preserve">USD </w:t>
            </w:r>
            <w:r w:rsidR="00EC013A">
              <w:t>4</w:t>
            </w:r>
            <w:r w:rsidR="00376A8A">
              <w:t>,</w:t>
            </w:r>
            <w:r w:rsidR="00B06BF3">
              <w:t>000 for the next intersessional period</w:t>
            </w:r>
            <w:r w:rsidR="00376A8A">
              <w:t xml:space="preserve"> 2024-2026</w:t>
            </w:r>
            <w:r w:rsidR="00B27EC1">
              <w:t>.</w:t>
            </w:r>
            <w:r w:rsidR="002F0BE3">
              <w:t xml:space="preserve"> </w:t>
            </w:r>
            <w:r w:rsidR="002F0BE3" w:rsidRPr="00347999">
              <w:t>(USD 2350 in 2024;</w:t>
            </w:r>
            <w:r w:rsidR="003F15EE" w:rsidRPr="00347999">
              <w:t xml:space="preserve"> </w:t>
            </w:r>
            <w:r w:rsidR="00BF2DAD" w:rsidRPr="00347999">
              <w:t>USD 2000 in 2025).</w:t>
            </w:r>
          </w:p>
        </w:tc>
        <w:tc>
          <w:tcPr>
            <w:tcW w:w="1589" w:type="dxa"/>
          </w:tcPr>
          <w:p w14:paraId="69E39D3C" w14:textId="77777777" w:rsidR="00F145CF" w:rsidRDefault="00EC013A" w:rsidP="008F641A">
            <w:pPr>
              <w:jc w:val="center"/>
            </w:pPr>
            <w:r>
              <w:t>US$ 2,000</w:t>
            </w:r>
          </w:p>
          <w:p w14:paraId="703FD0DD" w14:textId="407607C1" w:rsidR="00F145CF" w:rsidRPr="00B95F93" w:rsidRDefault="00F145CF" w:rsidP="008F641A">
            <w:pPr>
              <w:jc w:val="center"/>
              <w:rPr>
                <w:color w:val="FF0000"/>
              </w:rPr>
            </w:pPr>
          </w:p>
        </w:tc>
      </w:tr>
      <w:tr w:rsidR="00F145CF" w:rsidRPr="00511855" w14:paraId="4AF096D2" w14:textId="77777777" w:rsidTr="00395C15">
        <w:trPr>
          <w:trHeight w:val="255"/>
          <w:jc w:val="center"/>
        </w:trPr>
        <w:tc>
          <w:tcPr>
            <w:tcW w:w="1530" w:type="dxa"/>
            <w:shd w:val="clear" w:color="auto" w:fill="auto"/>
            <w:noWrap/>
            <w:hideMark/>
          </w:tcPr>
          <w:p w14:paraId="4077D4BF" w14:textId="77777777" w:rsidR="00F145CF" w:rsidRPr="00164FF5" w:rsidRDefault="00F145CF" w:rsidP="009D1C81">
            <w:pPr>
              <w:rPr>
                <w:b/>
                <w:bCs/>
                <w:color w:val="FF0000"/>
              </w:rPr>
            </w:pPr>
            <w:r w:rsidRPr="00164FF5">
              <w:rPr>
                <w:b/>
                <w:bCs/>
                <w:color w:val="FF0000"/>
              </w:rPr>
              <w:t>Belarus</w:t>
            </w:r>
          </w:p>
        </w:tc>
        <w:tc>
          <w:tcPr>
            <w:tcW w:w="1345" w:type="dxa"/>
            <w:shd w:val="clear" w:color="auto" w:fill="auto"/>
          </w:tcPr>
          <w:p w14:paraId="502974C2" w14:textId="77777777" w:rsidR="00F145CF" w:rsidRPr="00511855" w:rsidRDefault="00F145CF" w:rsidP="007C7A3A"/>
        </w:tc>
        <w:tc>
          <w:tcPr>
            <w:tcW w:w="5166" w:type="dxa"/>
            <w:shd w:val="clear" w:color="auto" w:fill="auto"/>
            <w:tcMar>
              <w:left w:w="86" w:type="dxa"/>
              <w:right w:w="14" w:type="dxa"/>
            </w:tcMar>
          </w:tcPr>
          <w:p w14:paraId="61711A5B" w14:textId="77777777" w:rsidR="00F145CF" w:rsidRPr="009C201E" w:rsidRDefault="00F145CF" w:rsidP="007C7A3A"/>
        </w:tc>
        <w:tc>
          <w:tcPr>
            <w:tcW w:w="1589" w:type="dxa"/>
          </w:tcPr>
          <w:p w14:paraId="4B0CF3C5" w14:textId="77777777" w:rsidR="00F145CF" w:rsidRPr="00511855" w:rsidRDefault="00F145CF" w:rsidP="008F641A">
            <w:pPr>
              <w:jc w:val="center"/>
            </w:pPr>
          </w:p>
        </w:tc>
      </w:tr>
      <w:tr w:rsidR="00F145CF" w:rsidRPr="00511855" w14:paraId="27F406BF" w14:textId="77777777" w:rsidTr="00B616EE">
        <w:trPr>
          <w:trHeight w:val="1095"/>
          <w:jc w:val="center"/>
        </w:trPr>
        <w:tc>
          <w:tcPr>
            <w:tcW w:w="1530" w:type="dxa"/>
            <w:shd w:val="clear" w:color="auto" w:fill="auto"/>
            <w:noWrap/>
            <w:hideMark/>
          </w:tcPr>
          <w:p w14:paraId="0AD6D05B" w14:textId="681E80CC" w:rsidR="00F145CF" w:rsidRPr="0020798A" w:rsidRDefault="00F145CF" w:rsidP="009D1C81">
            <w:pPr>
              <w:rPr>
                <w:color w:val="000000" w:themeColor="text1"/>
              </w:rPr>
            </w:pPr>
            <w:r w:rsidRPr="0020798A">
              <w:rPr>
                <w:color w:val="000000" w:themeColor="text1"/>
              </w:rPr>
              <w:t>Belgium</w:t>
            </w:r>
            <w:r w:rsidR="7B382D5A" w:rsidRPr="0020798A">
              <w:rPr>
                <w:color w:val="000000" w:themeColor="text1"/>
              </w:rPr>
              <w:t xml:space="preserve"> </w:t>
            </w:r>
          </w:p>
        </w:tc>
        <w:tc>
          <w:tcPr>
            <w:tcW w:w="1345" w:type="dxa"/>
            <w:shd w:val="clear" w:color="auto" w:fill="auto"/>
          </w:tcPr>
          <w:p w14:paraId="6E03F345" w14:textId="32667E63" w:rsidR="00F145CF" w:rsidRPr="00C75E7C" w:rsidRDefault="54916CB5" w:rsidP="007C7A3A">
            <w:pPr>
              <w:rPr>
                <w:color w:val="000000" w:themeColor="text1"/>
              </w:rPr>
            </w:pPr>
            <w:r w:rsidRPr="00C75E7C">
              <w:rPr>
                <w:color w:val="000000" w:themeColor="text1"/>
              </w:rPr>
              <w:t xml:space="preserve">US$ </w:t>
            </w:r>
            <w:r w:rsidR="00F20AA5" w:rsidRPr="00C75E7C">
              <w:rPr>
                <w:color w:val="000000" w:themeColor="text1"/>
              </w:rPr>
              <w:t>47</w:t>
            </w:r>
            <w:r w:rsidR="001E3410" w:rsidRPr="00C75E7C">
              <w:rPr>
                <w:color w:val="000000" w:themeColor="text1"/>
              </w:rPr>
              <w:t>,946</w:t>
            </w:r>
          </w:p>
        </w:tc>
        <w:tc>
          <w:tcPr>
            <w:tcW w:w="5166" w:type="dxa"/>
            <w:shd w:val="clear" w:color="auto" w:fill="auto"/>
            <w:tcMar>
              <w:left w:w="86" w:type="dxa"/>
              <w:right w:w="14" w:type="dxa"/>
            </w:tcMar>
          </w:tcPr>
          <w:p w14:paraId="28989175" w14:textId="3F10B07D" w:rsidR="00F145CF" w:rsidRPr="00C75E7C" w:rsidRDefault="00E6016F" w:rsidP="00552F0E">
            <w:pPr>
              <w:rPr>
                <w:color w:val="000000" w:themeColor="text1"/>
              </w:rPr>
            </w:pPr>
            <w:r w:rsidRPr="00C75E7C">
              <w:rPr>
                <w:color w:val="000000" w:themeColor="text1"/>
              </w:rPr>
              <w:t>$47,946</w:t>
            </w:r>
            <w:r w:rsidR="00AB4195" w:rsidRPr="00C75E7C">
              <w:rPr>
                <w:color w:val="000000" w:themeColor="text1"/>
              </w:rPr>
              <w:t xml:space="preserve"> </w:t>
            </w:r>
            <w:r w:rsidR="00740D5C">
              <w:rPr>
                <w:color w:val="000000" w:themeColor="text1"/>
              </w:rPr>
              <w:t>in total</w:t>
            </w:r>
            <w:r w:rsidR="00AB4195" w:rsidRPr="00C75E7C">
              <w:rPr>
                <w:color w:val="000000" w:themeColor="text1"/>
              </w:rPr>
              <w:t xml:space="preserve"> for the inter</w:t>
            </w:r>
            <w:r w:rsidR="00ED6605" w:rsidRPr="00C75E7C">
              <w:rPr>
                <w:color w:val="000000" w:themeColor="text1"/>
              </w:rPr>
              <w:t>sessional period 2024-2026</w:t>
            </w:r>
            <w:r w:rsidR="00D03922" w:rsidRPr="00C75E7C">
              <w:rPr>
                <w:color w:val="000000" w:themeColor="text1"/>
              </w:rPr>
              <w:t xml:space="preserve">, as follows: </w:t>
            </w:r>
            <w:r w:rsidR="00197C43" w:rsidRPr="00C75E7C">
              <w:rPr>
                <w:color w:val="000000" w:themeColor="text1"/>
              </w:rPr>
              <w:t>Federal Government</w:t>
            </w:r>
            <w:r w:rsidR="00552F0E" w:rsidRPr="00C75E7C">
              <w:rPr>
                <w:color w:val="000000" w:themeColor="text1"/>
              </w:rPr>
              <w:t>:</w:t>
            </w:r>
            <w:r w:rsidR="00F901E8" w:rsidRPr="00C75E7C">
              <w:rPr>
                <w:color w:val="000000" w:themeColor="text1"/>
              </w:rPr>
              <w:t xml:space="preserve"> $</w:t>
            </w:r>
            <w:r w:rsidR="00400019" w:rsidRPr="00C75E7C">
              <w:rPr>
                <w:color w:val="000000" w:themeColor="text1"/>
              </w:rPr>
              <w:t>14,384</w:t>
            </w:r>
            <w:r w:rsidR="00552F0E" w:rsidRPr="00C75E7C">
              <w:rPr>
                <w:color w:val="000000" w:themeColor="text1"/>
              </w:rPr>
              <w:t xml:space="preserve"> (to be paid in 2024); Brussels Capital Region</w:t>
            </w:r>
            <w:r w:rsidR="009E7D69" w:rsidRPr="00C75E7C">
              <w:rPr>
                <w:color w:val="000000" w:themeColor="text1"/>
              </w:rPr>
              <w:t>: $</w:t>
            </w:r>
            <w:r w:rsidR="0076432A" w:rsidRPr="00C75E7C">
              <w:rPr>
                <w:color w:val="000000" w:themeColor="text1"/>
              </w:rPr>
              <w:t>3,021</w:t>
            </w:r>
            <w:r w:rsidR="00060360" w:rsidRPr="00C75E7C">
              <w:rPr>
                <w:color w:val="000000" w:themeColor="text1"/>
              </w:rPr>
              <w:t xml:space="preserve"> (</w:t>
            </w:r>
            <w:r w:rsidR="0034797C" w:rsidRPr="00C75E7C">
              <w:rPr>
                <w:color w:val="000000" w:themeColor="text1"/>
              </w:rPr>
              <w:t xml:space="preserve">to be paid in </w:t>
            </w:r>
            <w:r w:rsidR="00060360" w:rsidRPr="00C75E7C">
              <w:rPr>
                <w:color w:val="000000" w:themeColor="text1"/>
              </w:rPr>
              <w:t xml:space="preserve">2023); </w:t>
            </w:r>
            <w:r w:rsidR="000A1450" w:rsidRPr="00432296">
              <w:rPr>
                <w:color w:val="000000" w:themeColor="text1"/>
              </w:rPr>
              <w:t>W</w:t>
            </w:r>
            <w:r w:rsidR="006B4527" w:rsidRPr="00432296">
              <w:rPr>
                <w:color w:val="000000" w:themeColor="text1"/>
              </w:rPr>
              <w:t>alloon Region</w:t>
            </w:r>
            <w:r w:rsidR="006E6A4D" w:rsidRPr="00C75E7C">
              <w:rPr>
                <w:color w:val="000000" w:themeColor="text1"/>
              </w:rPr>
              <w:t>: $</w:t>
            </w:r>
            <w:r w:rsidR="00D56440" w:rsidRPr="00C75E7C">
              <w:rPr>
                <w:color w:val="000000" w:themeColor="text1"/>
              </w:rPr>
              <w:t>11,075</w:t>
            </w:r>
            <w:r w:rsidR="00CA0E96">
              <w:rPr>
                <w:color w:val="000000" w:themeColor="text1"/>
              </w:rPr>
              <w:t xml:space="preserve"> and</w:t>
            </w:r>
            <w:r w:rsidR="007A171B" w:rsidRPr="00C75E7C">
              <w:rPr>
                <w:color w:val="000000" w:themeColor="text1"/>
              </w:rPr>
              <w:t xml:space="preserve"> Flemish Region: </w:t>
            </w:r>
            <w:r w:rsidR="006D7EF5" w:rsidRPr="00C75E7C">
              <w:rPr>
                <w:color w:val="000000" w:themeColor="text1"/>
              </w:rPr>
              <w:t>$</w:t>
            </w:r>
            <w:r w:rsidR="00B41E40" w:rsidRPr="00C75E7C">
              <w:rPr>
                <w:color w:val="000000" w:themeColor="text1"/>
              </w:rPr>
              <w:t>19,466 (</w:t>
            </w:r>
            <w:r w:rsidR="004D4B87" w:rsidRPr="00C75E7C">
              <w:rPr>
                <w:color w:val="000000" w:themeColor="text1"/>
              </w:rPr>
              <w:t>to be paid in</w:t>
            </w:r>
            <w:r w:rsidR="00B41E40" w:rsidRPr="00C75E7C">
              <w:rPr>
                <w:color w:val="000000" w:themeColor="text1"/>
              </w:rPr>
              <w:t xml:space="preserve"> </w:t>
            </w:r>
            <w:r w:rsidR="00B41E40" w:rsidRPr="00C75E7C">
              <w:rPr>
                <w:color w:val="000000" w:themeColor="text1"/>
                <w:lang w:val="en-US"/>
              </w:rPr>
              <w:t>2024).</w:t>
            </w:r>
          </w:p>
        </w:tc>
        <w:tc>
          <w:tcPr>
            <w:tcW w:w="1589" w:type="dxa"/>
          </w:tcPr>
          <w:p w14:paraId="5ABA52D1" w14:textId="5891E453" w:rsidR="00B043C5" w:rsidRPr="00432296" w:rsidRDefault="00A726A5" w:rsidP="00A726A5">
            <w:pPr>
              <w:jc w:val="center"/>
              <w:rPr>
                <w:color w:val="000000" w:themeColor="text1"/>
              </w:rPr>
            </w:pPr>
            <w:r w:rsidRPr="00432296">
              <w:rPr>
                <w:color w:val="000000" w:themeColor="text1"/>
              </w:rPr>
              <w:t>U</w:t>
            </w:r>
            <w:r w:rsidR="00DC7BFE" w:rsidRPr="00432296">
              <w:rPr>
                <w:color w:val="000000" w:themeColor="text1"/>
              </w:rPr>
              <w:t>S$ 13,992</w:t>
            </w:r>
          </w:p>
          <w:p w14:paraId="001104DB" w14:textId="1A822053" w:rsidR="00467F67" w:rsidRPr="00511855" w:rsidRDefault="00467F67" w:rsidP="00A726A5">
            <w:pPr>
              <w:jc w:val="center"/>
            </w:pPr>
          </w:p>
        </w:tc>
      </w:tr>
      <w:tr w:rsidR="00F145CF" w:rsidRPr="00511855" w14:paraId="2B94F71F" w14:textId="77777777" w:rsidTr="00395C15">
        <w:trPr>
          <w:trHeight w:val="255"/>
          <w:jc w:val="center"/>
        </w:trPr>
        <w:tc>
          <w:tcPr>
            <w:tcW w:w="1530" w:type="dxa"/>
            <w:shd w:val="clear" w:color="auto" w:fill="auto"/>
            <w:noWrap/>
            <w:hideMark/>
          </w:tcPr>
          <w:p w14:paraId="57B3A846" w14:textId="77777777" w:rsidR="00F145CF" w:rsidRPr="00164FF5" w:rsidRDefault="00F145CF" w:rsidP="009D1C81">
            <w:pPr>
              <w:rPr>
                <w:b/>
                <w:bCs/>
                <w:color w:val="FF0000"/>
              </w:rPr>
            </w:pPr>
            <w:r w:rsidRPr="62188B26">
              <w:rPr>
                <w:b/>
                <w:bCs/>
                <w:color w:val="FF0000"/>
              </w:rPr>
              <w:t>Bosnia and Herzegovina</w:t>
            </w:r>
          </w:p>
        </w:tc>
        <w:tc>
          <w:tcPr>
            <w:tcW w:w="1345" w:type="dxa"/>
            <w:shd w:val="clear" w:color="auto" w:fill="auto"/>
          </w:tcPr>
          <w:p w14:paraId="224B7992" w14:textId="77777777" w:rsidR="00F145CF" w:rsidRPr="00511855" w:rsidRDefault="00F145CF" w:rsidP="007C7A3A"/>
        </w:tc>
        <w:tc>
          <w:tcPr>
            <w:tcW w:w="5166" w:type="dxa"/>
            <w:shd w:val="clear" w:color="auto" w:fill="auto"/>
            <w:tcMar>
              <w:left w:w="86" w:type="dxa"/>
              <w:right w:w="14" w:type="dxa"/>
            </w:tcMar>
          </w:tcPr>
          <w:p w14:paraId="44839E58" w14:textId="77777777" w:rsidR="00F145CF" w:rsidRPr="009C201E" w:rsidRDefault="00F145CF" w:rsidP="007C7A3A"/>
        </w:tc>
        <w:tc>
          <w:tcPr>
            <w:tcW w:w="1589" w:type="dxa"/>
          </w:tcPr>
          <w:p w14:paraId="085E7AAD" w14:textId="77777777" w:rsidR="00F145CF" w:rsidRPr="00511855" w:rsidRDefault="00F145CF" w:rsidP="008F641A">
            <w:pPr>
              <w:jc w:val="center"/>
            </w:pPr>
          </w:p>
        </w:tc>
      </w:tr>
      <w:tr w:rsidR="00F145CF" w:rsidRPr="00511855" w14:paraId="79300578" w14:textId="77777777" w:rsidTr="00395C15">
        <w:trPr>
          <w:trHeight w:val="255"/>
          <w:jc w:val="center"/>
        </w:trPr>
        <w:tc>
          <w:tcPr>
            <w:tcW w:w="1530" w:type="dxa"/>
            <w:shd w:val="clear" w:color="auto" w:fill="auto"/>
            <w:noWrap/>
            <w:hideMark/>
          </w:tcPr>
          <w:p w14:paraId="0CD9238D" w14:textId="79FEA820" w:rsidR="00F145CF" w:rsidRPr="00511855" w:rsidRDefault="00F145CF" w:rsidP="009D1C81">
            <w:r w:rsidRPr="00511855">
              <w:t>Bulgaria</w:t>
            </w:r>
          </w:p>
        </w:tc>
        <w:tc>
          <w:tcPr>
            <w:tcW w:w="1345" w:type="dxa"/>
            <w:shd w:val="clear" w:color="auto" w:fill="auto"/>
          </w:tcPr>
          <w:p w14:paraId="0135900C" w14:textId="05BBB20F" w:rsidR="00F145CF" w:rsidRPr="00511855" w:rsidRDefault="00F9349B" w:rsidP="007C7A3A">
            <w:r>
              <w:t xml:space="preserve">  US$ 8,000</w:t>
            </w:r>
          </w:p>
        </w:tc>
        <w:tc>
          <w:tcPr>
            <w:tcW w:w="5166" w:type="dxa"/>
            <w:shd w:val="clear" w:color="auto" w:fill="auto"/>
            <w:tcMar>
              <w:left w:w="86" w:type="dxa"/>
              <w:right w:w="14" w:type="dxa"/>
            </w:tcMar>
          </w:tcPr>
          <w:p w14:paraId="7EE3DC32" w14:textId="5066EF80" w:rsidR="00F145CF" w:rsidRPr="009C201E" w:rsidRDefault="00034041" w:rsidP="007C7A3A">
            <w:r w:rsidRPr="00034041">
              <w:t xml:space="preserve">USD 5,000 for the Espoo </w:t>
            </w:r>
            <w:r w:rsidR="00842DE2" w:rsidRPr="00034041">
              <w:t>Convention</w:t>
            </w:r>
            <w:r w:rsidRPr="00034041">
              <w:t xml:space="preserve"> and</w:t>
            </w:r>
            <w:r>
              <w:t xml:space="preserve"> </w:t>
            </w:r>
            <w:r w:rsidRPr="00034041">
              <w:t xml:space="preserve">USD 3,000 for the Protocol on SEA for the </w:t>
            </w:r>
            <w:r w:rsidR="00BB6CD5">
              <w:t xml:space="preserve">intersessional </w:t>
            </w:r>
            <w:r w:rsidRPr="00034041">
              <w:t xml:space="preserve">period 2024-2026 </w:t>
            </w:r>
          </w:p>
        </w:tc>
        <w:tc>
          <w:tcPr>
            <w:tcW w:w="1589" w:type="dxa"/>
          </w:tcPr>
          <w:p w14:paraId="06836115" w14:textId="54955609" w:rsidR="00F145CF" w:rsidRPr="00511855" w:rsidRDefault="00BB6CD5" w:rsidP="008F641A">
            <w:pPr>
              <w:jc w:val="center"/>
            </w:pPr>
            <w:r>
              <w:t>0</w:t>
            </w:r>
          </w:p>
        </w:tc>
      </w:tr>
      <w:tr w:rsidR="00F145CF" w:rsidRPr="00511855" w14:paraId="77C83AC5" w14:textId="77777777" w:rsidTr="00395C15">
        <w:trPr>
          <w:trHeight w:val="255"/>
          <w:jc w:val="center"/>
        </w:trPr>
        <w:tc>
          <w:tcPr>
            <w:tcW w:w="1530" w:type="dxa"/>
            <w:shd w:val="clear" w:color="auto" w:fill="auto"/>
            <w:noWrap/>
            <w:hideMark/>
          </w:tcPr>
          <w:p w14:paraId="424EB831" w14:textId="3984C36B" w:rsidR="00F145CF" w:rsidRPr="00511855" w:rsidRDefault="00F145CF" w:rsidP="009D1C81">
            <w:r w:rsidRPr="00511855">
              <w:t>Canada</w:t>
            </w:r>
          </w:p>
        </w:tc>
        <w:tc>
          <w:tcPr>
            <w:tcW w:w="1345" w:type="dxa"/>
            <w:shd w:val="clear" w:color="auto" w:fill="auto"/>
          </w:tcPr>
          <w:p w14:paraId="60FD0358" w14:textId="79B8A2FB" w:rsidR="00F145CF" w:rsidRPr="00511855" w:rsidRDefault="002E29CA" w:rsidP="007C7A3A">
            <w:r>
              <w:t xml:space="preserve"> </w:t>
            </w:r>
            <w:r w:rsidRPr="002E29CA">
              <w:t>CAD</w:t>
            </w:r>
            <w:r>
              <w:t xml:space="preserve"> </w:t>
            </w:r>
            <w:r w:rsidR="00004C4D" w:rsidRPr="00004C4D">
              <w:t>15</w:t>
            </w:r>
            <w:r w:rsidR="00004C4D">
              <w:t>,</w:t>
            </w:r>
            <w:r w:rsidR="00004C4D" w:rsidRPr="00004C4D">
              <w:t>000</w:t>
            </w:r>
          </w:p>
        </w:tc>
        <w:tc>
          <w:tcPr>
            <w:tcW w:w="5166" w:type="dxa"/>
            <w:shd w:val="clear" w:color="auto" w:fill="auto"/>
            <w:tcMar>
              <w:left w:w="86" w:type="dxa"/>
              <w:right w:w="14" w:type="dxa"/>
            </w:tcMar>
          </w:tcPr>
          <w:p w14:paraId="6576351D" w14:textId="1D5748E6" w:rsidR="00F145CF" w:rsidRPr="009C201E" w:rsidRDefault="00004C4D" w:rsidP="007C7A3A">
            <w:r w:rsidRPr="00004C4D">
              <w:t xml:space="preserve">Can$15,000 for the intersessional period 2024–2026 to support the implementation of the work plan for 2024–2026 under the </w:t>
            </w:r>
            <w:r w:rsidRPr="00004C4D">
              <w:lastRenderedPageBreak/>
              <w:t>Convention, to be paid in three instalments of Can$ 5,000 each in 2024, 2025 and 2026.</w:t>
            </w:r>
          </w:p>
        </w:tc>
        <w:tc>
          <w:tcPr>
            <w:tcW w:w="1589" w:type="dxa"/>
          </w:tcPr>
          <w:p w14:paraId="02E073D4" w14:textId="7283051B" w:rsidR="00F145CF" w:rsidRPr="00D738D8" w:rsidRDefault="00D738D8" w:rsidP="008F641A">
            <w:pPr>
              <w:jc w:val="center"/>
            </w:pPr>
            <w:r w:rsidRPr="00D738D8">
              <w:lastRenderedPageBreak/>
              <w:t>0</w:t>
            </w:r>
          </w:p>
        </w:tc>
      </w:tr>
      <w:tr w:rsidR="00F145CF" w:rsidRPr="00511855" w14:paraId="195CFBCD" w14:textId="77777777" w:rsidTr="00395C15">
        <w:trPr>
          <w:trHeight w:val="255"/>
          <w:jc w:val="center"/>
        </w:trPr>
        <w:tc>
          <w:tcPr>
            <w:tcW w:w="1530" w:type="dxa"/>
            <w:shd w:val="clear" w:color="auto" w:fill="auto"/>
            <w:noWrap/>
            <w:hideMark/>
          </w:tcPr>
          <w:p w14:paraId="57837E98" w14:textId="3549BA03" w:rsidR="00F145CF" w:rsidRPr="00511855" w:rsidRDefault="00F145CF" w:rsidP="009D1C81">
            <w:r w:rsidRPr="00511855">
              <w:t>Croatia</w:t>
            </w:r>
          </w:p>
        </w:tc>
        <w:tc>
          <w:tcPr>
            <w:tcW w:w="1345" w:type="dxa"/>
            <w:shd w:val="clear" w:color="auto" w:fill="auto"/>
          </w:tcPr>
          <w:p w14:paraId="6A9C74B1" w14:textId="316980FD" w:rsidR="00F145CF" w:rsidRPr="00511855" w:rsidRDefault="00A4212A" w:rsidP="007C7A3A">
            <w:r>
              <w:t xml:space="preserve"> US$ 9,000</w:t>
            </w:r>
          </w:p>
        </w:tc>
        <w:tc>
          <w:tcPr>
            <w:tcW w:w="5166" w:type="dxa"/>
            <w:shd w:val="clear" w:color="auto" w:fill="auto"/>
            <w:tcMar>
              <w:left w:w="86" w:type="dxa"/>
              <w:right w:w="14" w:type="dxa"/>
            </w:tcMar>
          </w:tcPr>
          <w:p w14:paraId="0F35A496" w14:textId="3E9BC086" w:rsidR="00F145CF" w:rsidRPr="009C201E" w:rsidRDefault="00A4212A" w:rsidP="007C7A3A">
            <w:r w:rsidRPr="00A4212A">
              <w:t>$9,000 for the intersessional period 2024–2026, to be paid in three instalments of $3,000 each in 2024, 2025 and 2026</w:t>
            </w:r>
            <w:r>
              <w:t>.</w:t>
            </w:r>
          </w:p>
        </w:tc>
        <w:tc>
          <w:tcPr>
            <w:tcW w:w="1589" w:type="dxa"/>
          </w:tcPr>
          <w:p w14:paraId="17F7D2C1" w14:textId="7835BD0E" w:rsidR="00F145CF" w:rsidRPr="00511855" w:rsidRDefault="00A4212A" w:rsidP="008F641A">
            <w:pPr>
              <w:jc w:val="center"/>
            </w:pPr>
            <w:r>
              <w:t>0</w:t>
            </w:r>
          </w:p>
        </w:tc>
      </w:tr>
      <w:tr w:rsidR="00F145CF" w:rsidRPr="00511855" w14:paraId="689E9C10" w14:textId="77777777" w:rsidTr="00395C15">
        <w:trPr>
          <w:trHeight w:val="255"/>
          <w:jc w:val="center"/>
        </w:trPr>
        <w:tc>
          <w:tcPr>
            <w:tcW w:w="1530" w:type="dxa"/>
            <w:shd w:val="clear" w:color="auto" w:fill="auto"/>
            <w:noWrap/>
            <w:hideMark/>
          </w:tcPr>
          <w:p w14:paraId="1F34981A" w14:textId="6871CC45" w:rsidR="00F145CF" w:rsidRPr="006D1D20" w:rsidRDefault="00F145CF" w:rsidP="009D1C81">
            <w:pPr>
              <w:rPr>
                <w:color w:val="000000" w:themeColor="text1"/>
              </w:rPr>
            </w:pPr>
            <w:r w:rsidRPr="006D1D20">
              <w:rPr>
                <w:color w:val="000000" w:themeColor="text1"/>
              </w:rPr>
              <w:t>Cyprus</w:t>
            </w:r>
          </w:p>
        </w:tc>
        <w:tc>
          <w:tcPr>
            <w:tcW w:w="1345" w:type="dxa"/>
            <w:shd w:val="clear" w:color="auto" w:fill="auto"/>
          </w:tcPr>
          <w:p w14:paraId="3FBBF2DD" w14:textId="3BA65DF2" w:rsidR="00F145CF" w:rsidRPr="006D1D20" w:rsidRDefault="00BC66A9" w:rsidP="007C7A3A">
            <w:pPr>
              <w:rPr>
                <w:color w:val="000000" w:themeColor="text1"/>
              </w:rPr>
            </w:pPr>
            <w:r w:rsidRPr="006D1D20">
              <w:rPr>
                <w:color w:val="000000" w:themeColor="text1"/>
              </w:rPr>
              <w:t xml:space="preserve">US$ </w:t>
            </w:r>
            <w:r w:rsidR="000A1905" w:rsidRPr="006D1D20">
              <w:rPr>
                <w:color w:val="000000" w:themeColor="text1"/>
              </w:rPr>
              <w:t>5,000</w:t>
            </w:r>
          </w:p>
        </w:tc>
        <w:tc>
          <w:tcPr>
            <w:tcW w:w="5166" w:type="dxa"/>
            <w:shd w:val="clear" w:color="auto" w:fill="auto"/>
            <w:tcMar>
              <w:left w:w="86" w:type="dxa"/>
              <w:right w:w="14" w:type="dxa"/>
            </w:tcMar>
          </w:tcPr>
          <w:p w14:paraId="2860E4D3" w14:textId="05FBE32E" w:rsidR="00F145CF" w:rsidRPr="006D1D20" w:rsidRDefault="00B76B31" w:rsidP="007D0247">
            <w:pPr>
              <w:rPr>
                <w:color w:val="000000" w:themeColor="text1"/>
                <w:lang w:eastAsia="zh-CN"/>
              </w:rPr>
            </w:pPr>
            <w:r w:rsidRPr="006D1D20">
              <w:rPr>
                <w:color w:val="000000" w:themeColor="text1"/>
              </w:rPr>
              <w:t>$5,000 for the period 2024-2026</w:t>
            </w:r>
            <w:r w:rsidR="00BD07EB" w:rsidRPr="006D1D20">
              <w:rPr>
                <w:color w:val="000000" w:themeColor="text1"/>
              </w:rPr>
              <w:t xml:space="preserve">, </w:t>
            </w:r>
            <w:r w:rsidR="00EE13BF" w:rsidRPr="006D1D20">
              <w:rPr>
                <w:color w:val="000000" w:themeColor="text1"/>
              </w:rPr>
              <w:t xml:space="preserve">to be paid in </w:t>
            </w:r>
            <w:r w:rsidR="000E4E69" w:rsidRPr="006D1D20">
              <w:rPr>
                <w:color w:val="000000" w:themeColor="text1"/>
              </w:rPr>
              <w:t>three ins</w:t>
            </w:r>
            <w:r w:rsidR="00B331CF" w:rsidRPr="006D1D20">
              <w:rPr>
                <w:color w:val="000000" w:themeColor="text1"/>
              </w:rPr>
              <w:t>talments of</w:t>
            </w:r>
            <w:r w:rsidR="00584912" w:rsidRPr="006D1D20">
              <w:rPr>
                <w:color w:val="000000" w:themeColor="text1"/>
              </w:rPr>
              <w:t xml:space="preserve"> </w:t>
            </w:r>
            <w:r w:rsidR="002D254E" w:rsidRPr="006D1D20">
              <w:rPr>
                <w:color w:val="000000" w:themeColor="text1"/>
              </w:rPr>
              <w:t>$</w:t>
            </w:r>
            <w:r w:rsidR="00916981" w:rsidRPr="006D1D20">
              <w:rPr>
                <w:color w:val="000000" w:themeColor="text1"/>
              </w:rPr>
              <w:t>1,000 in 2024,</w:t>
            </w:r>
            <w:r w:rsidR="00584912" w:rsidRPr="006D1D20">
              <w:rPr>
                <w:color w:val="000000" w:themeColor="text1"/>
              </w:rPr>
              <w:t xml:space="preserve"> </w:t>
            </w:r>
            <w:r w:rsidR="007134ED" w:rsidRPr="006D1D20">
              <w:rPr>
                <w:color w:val="000000" w:themeColor="text1"/>
              </w:rPr>
              <w:t>$</w:t>
            </w:r>
            <w:r w:rsidR="00584912" w:rsidRPr="006D1D20">
              <w:rPr>
                <w:color w:val="000000" w:themeColor="text1"/>
              </w:rPr>
              <w:t>2</w:t>
            </w:r>
            <w:r w:rsidR="007134ED" w:rsidRPr="006D1D20">
              <w:rPr>
                <w:color w:val="000000" w:themeColor="text1"/>
              </w:rPr>
              <w:t>,</w:t>
            </w:r>
            <w:r w:rsidR="00584912" w:rsidRPr="006D1D20">
              <w:rPr>
                <w:color w:val="000000" w:themeColor="text1"/>
              </w:rPr>
              <w:t xml:space="preserve">000 </w:t>
            </w:r>
            <w:r w:rsidR="007134ED" w:rsidRPr="006D1D20">
              <w:rPr>
                <w:color w:val="000000" w:themeColor="text1"/>
              </w:rPr>
              <w:t xml:space="preserve">in </w:t>
            </w:r>
            <w:r w:rsidR="00584912" w:rsidRPr="006D1D20">
              <w:rPr>
                <w:color w:val="000000" w:themeColor="text1"/>
              </w:rPr>
              <w:t xml:space="preserve">2025 </w:t>
            </w:r>
            <w:r w:rsidR="007134ED" w:rsidRPr="006D1D20">
              <w:rPr>
                <w:color w:val="000000" w:themeColor="text1"/>
              </w:rPr>
              <w:t xml:space="preserve">and </w:t>
            </w:r>
            <w:r w:rsidR="006D1D20" w:rsidRPr="006D1D20">
              <w:rPr>
                <w:color w:val="000000" w:themeColor="text1"/>
              </w:rPr>
              <w:t>$2,000</w:t>
            </w:r>
            <w:r w:rsidR="007D0247" w:rsidRPr="006D1D20">
              <w:rPr>
                <w:color w:val="000000" w:themeColor="text1"/>
              </w:rPr>
              <w:t xml:space="preserve"> in 2026</w:t>
            </w:r>
            <w:r w:rsidR="006D1D20" w:rsidRPr="006D1D20">
              <w:rPr>
                <w:color w:val="000000" w:themeColor="text1"/>
              </w:rPr>
              <w:t xml:space="preserve">. </w:t>
            </w:r>
          </w:p>
        </w:tc>
        <w:tc>
          <w:tcPr>
            <w:tcW w:w="1589" w:type="dxa"/>
          </w:tcPr>
          <w:p w14:paraId="283732A5" w14:textId="2B5EBA00" w:rsidR="00F145CF" w:rsidRPr="006D1D20" w:rsidRDefault="00580AA8" w:rsidP="008F641A">
            <w:pPr>
              <w:jc w:val="center"/>
              <w:rPr>
                <w:color w:val="000000" w:themeColor="text1"/>
              </w:rPr>
            </w:pPr>
            <w:r w:rsidRPr="006D1D20">
              <w:rPr>
                <w:color w:val="000000" w:themeColor="text1"/>
              </w:rPr>
              <w:t>$</w:t>
            </w:r>
            <w:r w:rsidR="009A539C">
              <w:rPr>
                <w:color w:val="000000" w:themeColor="text1"/>
              </w:rPr>
              <w:t>3</w:t>
            </w:r>
            <w:r w:rsidRPr="006D1D20">
              <w:rPr>
                <w:color w:val="000000" w:themeColor="text1"/>
              </w:rPr>
              <w:t>,000</w:t>
            </w:r>
          </w:p>
        </w:tc>
      </w:tr>
      <w:tr w:rsidR="006C5F29" w:rsidRPr="00511855" w14:paraId="4DDEEB43" w14:textId="77777777" w:rsidTr="00395C15">
        <w:trPr>
          <w:trHeight w:val="255"/>
          <w:jc w:val="center"/>
        </w:trPr>
        <w:tc>
          <w:tcPr>
            <w:tcW w:w="1530" w:type="dxa"/>
            <w:shd w:val="clear" w:color="auto" w:fill="auto"/>
            <w:noWrap/>
            <w:hideMark/>
          </w:tcPr>
          <w:p w14:paraId="27D5ED87" w14:textId="77777777" w:rsidR="006C5F29" w:rsidRPr="00F45F90" w:rsidRDefault="006C5F29" w:rsidP="006C5F29">
            <w:r w:rsidRPr="00F45F90">
              <w:t>Czechia</w:t>
            </w:r>
          </w:p>
        </w:tc>
        <w:tc>
          <w:tcPr>
            <w:tcW w:w="1345" w:type="dxa"/>
            <w:shd w:val="clear" w:color="auto" w:fill="auto"/>
          </w:tcPr>
          <w:p w14:paraId="5506141B" w14:textId="6501E8AE" w:rsidR="006C5F29" w:rsidRPr="00F45F90" w:rsidRDefault="006C5F29" w:rsidP="006C5F29">
            <w:r w:rsidRPr="00F45F90">
              <w:t xml:space="preserve">US$ </w:t>
            </w:r>
            <w:r w:rsidR="00E00848" w:rsidRPr="00F45F90">
              <w:t>1</w:t>
            </w:r>
            <w:r w:rsidRPr="00F45F90">
              <w:t>5,000</w:t>
            </w:r>
          </w:p>
        </w:tc>
        <w:tc>
          <w:tcPr>
            <w:tcW w:w="5166" w:type="dxa"/>
            <w:shd w:val="clear" w:color="auto" w:fill="auto"/>
            <w:tcMar>
              <w:left w:w="86" w:type="dxa"/>
              <w:right w:w="14" w:type="dxa"/>
            </w:tcMar>
          </w:tcPr>
          <w:p w14:paraId="653E3542" w14:textId="6E900E84" w:rsidR="006C5F29" w:rsidRPr="00F45F90" w:rsidRDefault="006C5F29" w:rsidP="006C5F29">
            <w:r w:rsidRPr="00F45F90">
              <w:t>US$ 5,000 per year for</w:t>
            </w:r>
            <w:r w:rsidR="00823557" w:rsidRPr="00F45F90">
              <w:t xml:space="preserve"> the period of </w:t>
            </w:r>
            <w:r w:rsidRPr="00F45F90">
              <w:t>2024-2026.</w:t>
            </w:r>
            <w:r w:rsidR="003A597B" w:rsidRPr="00F45F90">
              <w:t xml:space="preserve"> (</w:t>
            </w:r>
            <w:r w:rsidR="00CB43E6" w:rsidRPr="00F45F90">
              <w:t xml:space="preserve">The </w:t>
            </w:r>
            <w:r w:rsidR="00FD7120" w:rsidRPr="00F45F90">
              <w:t xml:space="preserve">instalment </w:t>
            </w:r>
            <w:r w:rsidR="003F62D4" w:rsidRPr="00F45F90">
              <w:t xml:space="preserve">for </w:t>
            </w:r>
            <w:r w:rsidR="00CB43E6" w:rsidRPr="00F45F90">
              <w:t xml:space="preserve">2024 </w:t>
            </w:r>
            <w:r w:rsidR="00FE4B08" w:rsidRPr="00F45F90">
              <w:t>to be paid in December 2023)</w:t>
            </w:r>
          </w:p>
        </w:tc>
        <w:tc>
          <w:tcPr>
            <w:tcW w:w="1589" w:type="dxa"/>
          </w:tcPr>
          <w:p w14:paraId="1E8E22EF" w14:textId="30F8E066" w:rsidR="006C5F29" w:rsidRPr="00F45F90" w:rsidRDefault="009C6FC2" w:rsidP="006C5F29">
            <w:pPr>
              <w:jc w:val="center"/>
            </w:pPr>
            <w:r w:rsidRPr="00F45F90">
              <w:t>0</w:t>
            </w:r>
          </w:p>
        </w:tc>
      </w:tr>
      <w:tr w:rsidR="006C5F29" w:rsidRPr="00511855" w14:paraId="0EEE58E4" w14:textId="77777777" w:rsidTr="004C686D">
        <w:trPr>
          <w:trHeight w:val="579"/>
          <w:jc w:val="center"/>
        </w:trPr>
        <w:tc>
          <w:tcPr>
            <w:tcW w:w="1530" w:type="dxa"/>
            <w:shd w:val="clear" w:color="auto" w:fill="auto"/>
            <w:noWrap/>
            <w:hideMark/>
          </w:tcPr>
          <w:p w14:paraId="7BF44B45" w14:textId="70B66255" w:rsidR="006C5F29" w:rsidRPr="00511855" w:rsidRDefault="006C5F29" w:rsidP="006C5F29">
            <w:r w:rsidRPr="005B1E0A">
              <w:t>Denmark</w:t>
            </w:r>
          </w:p>
        </w:tc>
        <w:tc>
          <w:tcPr>
            <w:tcW w:w="1345" w:type="dxa"/>
            <w:shd w:val="clear" w:color="auto" w:fill="auto"/>
          </w:tcPr>
          <w:p w14:paraId="65F87F6A" w14:textId="4A29638E" w:rsidR="006C5F29" w:rsidRPr="00511855" w:rsidRDefault="006C5F29" w:rsidP="006C5F29">
            <w:r>
              <w:t>DKK 100,000</w:t>
            </w:r>
          </w:p>
        </w:tc>
        <w:tc>
          <w:tcPr>
            <w:tcW w:w="5166" w:type="dxa"/>
            <w:shd w:val="clear" w:color="auto" w:fill="auto"/>
            <w:tcMar>
              <w:left w:w="86" w:type="dxa"/>
              <w:right w:w="14" w:type="dxa"/>
            </w:tcMar>
          </w:tcPr>
          <w:p w14:paraId="093CEE56" w14:textId="43D3CF71" w:rsidR="006C5F29" w:rsidRPr="004C686D" w:rsidRDefault="006C5F29" w:rsidP="006C5F29">
            <w:pPr>
              <w:rPr>
                <w:i/>
                <w:iCs/>
              </w:rPr>
            </w:pPr>
            <w:r w:rsidRPr="0055625E">
              <w:t>DKK 100,000 for the period 2024-2026</w:t>
            </w:r>
          </w:p>
        </w:tc>
        <w:tc>
          <w:tcPr>
            <w:tcW w:w="1589" w:type="dxa"/>
          </w:tcPr>
          <w:p w14:paraId="01901125" w14:textId="1D508BDD" w:rsidR="006C5F29" w:rsidRPr="00511855" w:rsidRDefault="005124B0" w:rsidP="006C5F29">
            <w:pPr>
              <w:jc w:val="center"/>
            </w:pPr>
            <w:r>
              <w:t>0</w:t>
            </w:r>
          </w:p>
        </w:tc>
      </w:tr>
      <w:tr w:rsidR="006C5F29" w:rsidRPr="00511855" w14:paraId="67FF5B65" w14:textId="77777777" w:rsidTr="00395C15">
        <w:trPr>
          <w:trHeight w:val="255"/>
          <w:jc w:val="center"/>
        </w:trPr>
        <w:tc>
          <w:tcPr>
            <w:tcW w:w="1530" w:type="dxa"/>
            <w:shd w:val="clear" w:color="auto" w:fill="auto"/>
            <w:noWrap/>
            <w:hideMark/>
          </w:tcPr>
          <w:p w14:paraId="68D4C8E4" w14:textId="1FE74CF8" w:rsidR="006C5F29" w:rsidRPr="00511855" w:rsidRDefault="006C5F29" w:rsidP="006C5F29">
            <w:r w:rsidRPr="00511855">
              <w:t>Estonia</w:t>
            </w:r>
          </w:p>
        </w:tc>
        <w:tc>
          <w:tcPr>
            <w:tcW w:w="1345" w:type="dxa"/>
            <w:shd w:val="clear" w:color="auto" w:fill="auto"/>
          </w:tcPr>
          <w:p w14:paraId="462BC2A9" w14:textId="7456CFB6" w:rsidR="006C5F29" w:rsidRPr="00511855" w:rsidRDefault="006C5F29" w:rsidP="006C5F29">
            <w:r w:rsidRPr="00A85859">
              <w:t>€</w:t>
            </w:r>
            <w:r>
              <w:t xml:space="preserve"> </w:t>
            </w:r>
            <w:r w:rsidRPr="00A85859">
              <w:t>3,000</w:t>
            </w:r>
          </w:p>
        </w:tc>
        <w:tc>
          <w:tcPr>
            <w:tcW w:w="5166" w:type="dxa"/>
            <w:shd w:val="clear" w:color="auto" w:fill="auto"/>
            <w:tcMar>
              <w:left w:w="86" w:type="dxa"/>
              <w:right w:w="14" w:type="dxa"/>
            </w:tcMar>
          </w:tcPr>
          <w:p w14:paraId="17D797E0" w14:textId="5958E472" w:rsidR="006C5F29" w:rsidRPr="009C201E" w:rsidRDefault="006C5F29" w:rsidP="006C5F29">
            <w:r w:rsidRPr="009C201E">
              <w:t>€</w:t>
            </w:r>
            <w:r>
              <w:t xml:space="preserve"> </w:t>
            </w:r>
            <w:r w:rsidRPr="009C201E">
              <w:t>3,000 for the intersessional period 2024–2026, to be paid in three instalments of €1,000 each in 2024, 2025 and 2026.</w:t>
            </w:r>
          </w:p>
        </w:tc>
        <w:tc>
          <w:tcPr>
            <w:tcW w:w="1589" w:type="dxa"/>
          </w:tcPr>
          <w:p w14:paraId="44EA34FB" w14:textId="715EA6DA" w:rsidR="006C5F29" w:rsidRPr="00A85859" w:rsidRDefault="006C5F29" w:rsidP="006C5F29">
            <w:pPr>
              <w:jc w:val="center"/>
            </w:pPr>
            <w:r>
              <w:t>0</w:t>
            </w:r>
          </w:p>
        </w:tc>
      </w:tr>
      <w:tr w:rsidR="006C5F29" w:rsidRPr="00511855" w14:paraId="79AEF017" w14:textId="77777777" w:rsidTr="00395C15">
        <w:trPr>
          <w:trHeight w:val="255"/>
          <w:jc w:val="center"/>
        </w:trPr>
        <w:tc>
          <w:tcPr>
            <w:tcW w:w="1530" w:type="dxa"/>
            <w:shd w:val="clear" w:color="auto" w:fill="auto"/>
            <w:noWrap/>
            <w:hideMark/>
          </w:tcPr>
          <w:p w14:paraId="4A622634" w14:textId="078083C3" w:rsidR="006C5F29" w:rsidRPr="00A4302F" w:rsidRDefault="006C5F29" w:rsidP="006C5F29">
            <w:pPr>
              <w:rPr>
                <w:color w:val="000000" w:themeColor="text1"/>
              </w:rPr>
            </w:pPr>
            <w:r w:rsidRPr="00A4302F">
              <w:rPr>
                <w:color w:val="000000" w:themeColor="text1"/>
              </w:rPr>
              <w:t>Finland</w:t>
            </w:r>
          </w:p>
        </w:tc>
        <w:tc>
          <w:tcPr>
            <w:tcW w:w="1345" w:type="dxa"/>
            <w:shd w:val="clear" w:color="auto" w:fill="auto"/>
          </w:tcPr>
          <w:p w14:paraId="3260840A" w14:textId="3AEE7E7A" w:rsidR="006C5F29" w:rsidRPr="00A4302F" w:rsidRDefault="006C5F29" w:rsidP="006C5F29">
            <w:pPr>
              <w:rPr>
                <w:color w:val="000000" w:themeColor="text1"/>
              </w:rPr>
            </w:pPr>
            <w:r w:rsidRPr="00A4302F">
              <w:rPr>
                <w:color w:val="000000" w:themeColor="text1"/>
              </w:rPr>
              <w:t>$30,000</w:t>
            </w:r>
          </w:p>
        </w:tc>
        <w:tc>
          <w:tcPr>
            <w:tcW w:w="5166" w:type="dxa"/>
            <w:shd w:val="clear" w:color="auto" w:fill="auto"/>
            <w:tcMar>
              <w:left w:w="86" w:type="dxa"/>
              <w:right w:w="14" w:type="dxa"/>
            </w:tcMar>
          </w:tcPr>
          <w:p w14:paraId="460E31CA" w14:textId="64809C46" w:rsidR="006C5F29" w:rsidRPr="00A4302F" w:rsidRDefault="006C5F29" w:rsidP="006C5F29">
            <w:pPr>
              <w:rPr>
                <w:color w:val="000000" w:themeColor="text1"/>
                <w:lang w:val="en-US"/>
              </w:rPr>
            </w:pPr>
            <w:r w:rsidRPr="00A4302F">
              <w:rPr>
                <w:color w:val="000000" w:themeColor="text1"/>
                <w:lang w:val="en-US"/>
              </w:rPr>
              <w:t>$30,000 for the intersessional period 2024–2026, to be paid in three instalments</w:t>
            </w:r>
            <w:r>
              <w:rPr>
                <w:color w:val="000000" w:themeColor="text1"/>
                <w:lang w:val="en-US"/>
              </w:rPr>
              <w:t xml:space="preserve"> of</w:t>
            </w:r>
            <w:r w:rsidRPr="00A4302F">
              <w:rPr>
                <w:color w:val="000000" w:themeColor="text1"/>
                <w:lang w:val="en-US"/>
              </w:rPr>
              <w:t xml:space="preserve"> $10,000 each in 2024, 2025 and 2026 (subject to the availability of funding in the national budget). </w:t>
            </w:r>
          </w:p>
          <w:p w14:paraId="3BB643BB" w14:textId="77777777" w:rsidR="006C5F29" w:rsidRPr="00A4302F" w:rsidRDefault="006C5F29" w:rsidP="006C5F29">
            <w:pPr>
              <w:rPr>
                <w:color w:val="000000" w:themeColor="text1"/>
              </w:rPr>
            </w:pPr>
          </w:p>
        </w:tc>
        <w:tc>
          <w:tcPr>
            <w:tcW w:w="1589" w:type="dxa"/>
          </w:tcPr>
          <w:p w14:paraId="5A513D71" w14:textId="69F90193" w:rsidR="006C5F29" w:rsidRPr="00164FF5" w:rsidRDefault="006C5F29" w:rsidP="006C5F29">
            <w:pPr>
              <w:jc w:val="center"/>
              <w:rPr>
                <w:color w:val="000000" w:themeColor="text1"/>
              </w:rPr>
            </w:pPr>
            <w:r w:rsidRPr="00A4302F">
              <w:rPr>
                <w:color w:val="000000" w:themeColor="text1"/>
              </w:rPr>
              <w:t>0</w:t>
            </w:r>
          </w:p>
        </w:tc>
      </w:tr>
      <w:tr w:rsidR="006C5F29" w:rsidRPr="00511855" w14:paraId="07EFAFBD" w14:textId="77777777" w:rsidTr="00395C15">
        <w:trPr>
          <w:trHeight w:val="255"/>
          <w:jc w:val="center"/>
        </w:trPr>
        <w:tc>
          <w:tcPr>
            <w:tcW w:w="1530" w:type="dxa"/>
            <w:shd w:val="clear" w:color="auto" w:fill="auto"/>
            <w:noWrap/>
            <w:hideMark/>
          </w:tcPr>
          <w:p w14:paraId="473D8C9B" w14:textId="684B961F" w:rsidR="006C5F29" w:rsidRPr="00511855" w:rsidRDefault="006C5F29" w:rsidP="006C5F29">
            <w:r w:rsidRPr="00511855">
              <w:t>France</w:t>
            </w:r>
          </w:p>
        </w:tc>
        <w:tc>
          <w:tcPr>
            <w:tcW w:w="1345" w:type="dxa"/>
            <w:shd w:val="clear" w:color="auto" w:fill="auto"/>
          </w:tcPr>
          <w:p w14:paraId="1F47DFAA" w14:textId="7C3A1C57" w:rsidR="006C5F29" w:rsidRPr="00511855" w:rsidRDefault="006C5F29" w:rsidP="006C5F29">
            <w:r>
              <w:t xml:space="preserve"> </w:t>
            </w:r>
            <w:r w:rsidRPr="00375971">
              <w:t>€</w:t>
            </w:r>
            <w:r>
              <w:t>180,000</w:t>
            </w:r>
          </w:p>
        </w:tc>
        <w:tc>
          <w:tcPr>
            <w:tcW w:w="5166" w:type="dxa"/>
            <w:shd w:val="clear" w:color="auto" w:fill="auto"/>
            <w:tcMar>
              <w:left w:w="86" w:type="dxa"/>
              <w:right w:w="14" w:type="dxa"/>
            </w:tcMar>
          </w:tcPr>
          <w:p w14:paraId="235C4FEE" w14:textId="05AF68D5" w:rsidR="006C5F29" w:rsidRPr="009C201E" w:rsidRDefault="006C5F29" w:rsidP="006C5F29">
            <w:r>
              <w:t xml:space="preserve">EUR 180,000 </w:t>
            </w:r>
            <w:r w:rsidRPr="009C201E">
              <w:t xml:space="preserve">for the intersessional period 2024–2026, to be paid in three instalments of </w:t>
            </w:r>
            <w:r>
              <w:t>EUR 60,000 in 2024, 2025 and 2026</w:t>
            </w:r>
          </w:p>
        </w:tc>
        <w:tc>
          <w:tcPr>
            <w:tcW w:w="1589" w:type="dxa"/>
          </w:tcPr>
          <w:p w14:paraId="277328C4" w14:textId="055F218C" w:rsidR="006C5F29" w:rsidRPr="00C96B44" w:rsidRDefault="006C5F29" w:rsidP="006C5F29">
            <w:pPr>
              <w:jc w:val="center"/>
            </w:pPr>
            <w:r w:rsidRPr="00C96B44">
              <w:t>€ 90,000</w:t>
            </w:r>
          </w:p>
        </w:tc>
      </w:tr>
      <w:tr w:rsidR="006C5F29" w:rsidRPr="00511855" w14:paraId="744960CC" w14:textId="77777777" w:rsidTr="00395C15">
        <w:trPr>
          <w:trHeight w:val="255"/>
          <w:jc w:val="center"/>
        </w:trPr>
        <w:tc>
          <w:tcPr>
            <w:tcW w:w="1530" w:type="dxa"/>
            <w:shd w:val="clear" w:color="auto" w:fill="auto"/>
            <w:noWrap/>
            <w:hideMark/>
          </w:tcPr>
          <w:p w14:paraId="1135928C" w14:textId="36CB0BA3" w:rsidR="006C5F29" w:rsidRPr="00511855" w:rsidRDefault="006C5F29" w:rsidP="006C5F29">
            <w:r w:rsidRPr="00511855">
              <w:t>Germany</w:t>
            </w:r>
          </w:p>
        </w:tc>
        <w:tc>
          <w:tcPr>
            <w:tcW w:w="1345" w:type="dxa"/>
            <w:shd w:val="clear" w:color="auto" w:fill="auto"/>
          </w:tcPr>
          <w:p w14:paraId="4F43B0C4" w14:textId="0E9B554B" w:rsidR="006C5F29" w:rsidRPr="00511855" w:rsidRDefault="006C5F29" w:rsidP="006C5F29">
            <w:r>
              <w:t xml:space="preserve"> US$ 75</w:t>
            </w:r>
            <w:r w:rsidRPr="00FB4805">
              <w:t>,000</w:t>
            </w:r>
          </w:p>
        </w:tc>
        <w:tc>
          <w:tcPr>
            <w:tcW w:w="5166" w:type="dxa"/>
            <w:shd w:val="clear" w:color="auto" w:fill="auto"/>
            <w:tcMar>
              <w:left w:w="86" w:type="dxa"/>
              <w:right w:w="14" w:type="dxa"/>
            </w:tcMar>
          </w:tcPr>
          <w:p w14:paraId="72E139F9" w14:textId="13C97A02" w:rsidR="006C5F29" w:rsidRPr="009C201E" w:rsidRDefault="006C5F29" w:rsidP="006C5F29">
            <w:r w:rsidRPr="009C201E">
              <w:t xml:space="preserve">US$ </w:t>
            </w:r>
            <w:r>
              <w:t>75</w:t>
            </w:r>
            <w:r w:rsidRPr="009C201E">
              <w:t>,000 for the intersessional period 2024–2026, to be paid in three instalments of $2</w:t>
            </w:r>
            <w:r>
              <w:t>5</w:t>
            </w:r>
            <w:r w:rsidRPr="009C201E">
              <w:t>,000 each in 2024, 2025 and 2026 (subject to approval of related decisions on the budget in the Ministry for above-mentioned years).</w:t>
            </w:r>
          </w:p>
        </w:tc>
        <w:tc>
          <w:tcPr>
            <w:tcW w:w="1589" w:type="dxa"/>
          </w:tcPr>
          <w:p w14:paraId="4579FF71" w14:textId="4F14F86C" w:rsidR="006C5F29" w:rsidRDefault="006C5F29" w:rsidP="006C5F29">
            <w:pPr>
              <w:jc w:val="center"/>
            </w:pPr>
            <w:r>
              <w:t>US$ 15,000</w:t>
            </w:r>
          </w:p>
        </w:tc>
      </w:tr>
      <w:tr w:rsidR="006C5F29" w:rsidRPr="00511855" w14:paraId="55023956" w14:textId="77777777" w:rsidTr="00395C15">
        <w:trPr>
          <w:trHeight w:val="255"/>
          <w:jc w:val="center"/>
        </w:trPr>
        <w:tc>
          <w:tcPr>
            <w:tcW w:w="1530" w:type="dxa"/>
            <w:shd w:val="clear" w:color="auto" w:fill="auto"/>
            <w:noWrap/>
            <w:hideMark/>
          </w:tcPr>
          <w:p w14:paraId="3E136EA4" w14:textId="268A4708" w:rsidR="006C5F29" w:rsidRPr="00511855" w:rsidRDefault="006C5F29" w:rsidP="006C5F29">
            <w:r w:rsidRPr="00511855">
              <w:t>Greece</w:t>
            </w:r>
          </w:p>
        </w:tc>
        <w:tc>
          <w:tcPr>
            <w:tcW w:w="1345" w:type="dxa"/>
            <w:shd w:val="clear" w:color="auto" w:fill="auto"/>
          </w:tcPr>
          <w:p w14:paraId="0A885F3A" w14:textId="1EADE6DB" w:rsidR="006C5F29" w:rsidRPr="00511855" w:rsidRDefault="006C5F29" w:rsidP="006C5F29">
            <w:r>
              <w:t xml:space="preserve"> EUR 6,000 </w:t>
            </w:r>
          </w:p>
        </w:tc>
        <w:tc>
          <w:tcPr>
            <w:tcW w:w="5166" w:type="dxa"/>
            <w:shd w:val="clear" w:color="auto" w:fill="auto"/>
            <w:tcMar>
              <w:left w:w="86" w:type="dxa"/>
              <w:right w:w="14" w:type="dxa"/>
            </w:tcMar>
          </w:tcPr>
          <w:p w14:paraId="2CB9D8C9" w14:textId="2C7AC49D" w:rsidR="006C5F29" w:rsidRPr="009C201E" w:rsidRDefault="006C5F29" w:rsidP="006C5F29">
            <w:r>
              <w:t>6,000 EUR for the 2024-2026, to be paid in three instalments of EUR 2,000 each in 2024, 2025 and 2026</w:t>
            </w:r>
          </w:p>
        </w:tc>
        <w:tc>
          <w:tcPr>
            <w:tcW w:w="1589" w:type="dxa"/>
          </w:tcPr>
          <w:p w14:paraId="70BE7101" w14:textId="7A8A5E64" w:rsidR="006C5F29" w:rsidRPr="00511855" w:rsidRDefault="006C5F29" w:rsidP="006C5F29">
            <w:pPr>
              <w:jc w:val="center"/>
            </w:pPr>
            <w:r w:rsidRPr="00375971">
              <w:t>€</w:t>
            </w:r>
            <w:r>
              <w:t xml:space="preserve"> 3,000</w:t>
            </w:r>
          </w:p>
        </w:tc>
      </w:tr>
      <w:tr w:rsidR="006C5F29" w:rsidRPr="00511855" w14:paraId="52944E0A" w14:textId="77777777" w:rsidTr="00395C15">
        <w:trPr>
          <w:trHeight w:val="255"/>
          <w:jc w:val="center"/>
        </w:trPr>
        <w:tc>
          <w:tcPr>
            <w:tcW w:w="1530" w:type="dxa"/>
            <w:shd w:val="clear" w:color="auto" w:fill="auto"/>
            <w:noWrap/>
            <w:hideMark/>
          </w:tcPr>
          <w:p w14:paraId="515E6964" w14:textId="21D3B714" w:rsidR="006C5F29" w:rsidRPr="00511855" w:rsidRDefault="006C5F29" w:rsidP="006C5F29">
            <w:r w:rsidRPr="00511855">
              <w:t>Hungary</w:t>
            </w:r>
          </w:p>
        </w:tc>
        <w:tc>
          <w:tcPr>
            <w:tcW w:w="1345" w:type="dxa"/>
            <w:shd w:val="clear" w:color="auto" w:fill="auto"/>
          </w:tcPr>
          <w:p w14:paraId="2DFDF04E" w14:textId="77777777" w:rsidR="006C5F29" w:rsidRPr="00511855" w:rsidRDefault="006C5F29" w:rsidP="006C5F29">
            <w:r>
              <w:t xml:space="preserve"> US$ 22,000</w:t>
            </w:r>
          </w:p>
        </w:tc>
        <w:tc>
          <w:tcPr>
            <w:tcW w:w="5166" w:type="dxa"/>
            <w:shd w:val="clear" w:color="auto" w:fill="auto"/>
            <w:tcMar>
              <w:left w:w="86" w:type="dxa"/>
              <w:right w:w="14" w:type="dxa"/>
            </w:tcMar>
          </w:tcPr>
          <w:p w14:paraId="01F8A50D" w14:textId="3E78A0BD" w:rsidR="006C5F29" w:rsidRPr="009C201E" w:rsidRDefault="006C5F29" w:rsidP="006C5F29">
            <w:r w:rsidRPr="009C201E">
              <w:t>US$ 12,000 for the intersessional period 2024–2026, to be paid in three instalments of $4,000 each in 2024, 2025 and 2026. An additional/extra contribution of US$ 10,000 for the budget and workplan of the next intersessional period 2024-2026.</w:t>
            </w:r>
          </w:p>
        </w:tc>
        <w:tc>
          <w:tcPr>
            <w:tcW w:w="1589" w:type="dxa"/>
          </w:tcPr>
          <w:p w14:paraId="3AE0867D" w14:textId="7E6CACED" w:rsidR="006C5F29" w:rsidRPr="00614083" w:rsidRDefault="006C5F29" w:rsidP="006C5F29">
            <w:pPr>
              <w:jc w:val="center"/>
            </w:pPr>
            <w:r>
              <w:t>US$ 10,000</w:t>
            </w:r>
          </w:p>
        </w:tc>
      </w:tr>
      <w:tr w:rsidR="006C5F29" w:rsidRPr="00511855" w14:paraId="53E92010" w14:textId="77777777" w:rsidTr="00395C15">
        <w:trPr>
          <w:trHeight w:val="255"/>
          <w:jc w:val="center"/>
        </w:trPr>
        <w:tc>
          <w:tcPr>
            <w:tcW w:w="1530" w:type="dxa"/>
            <w:shd w:val="clear" w:color="auto" w:fill="auto"/>
            <w:noWrap/>
            <w:hideMark/>
          </w:tcPr>
          <w:p w14:paraId="1E82C44E" w14:textId="52234472" w:rsidR="006C5F29" w:rsidRPr="00511855" w:rsidRDefault="006C5F29" w:rsidP="006C5F29">
            <w:r w:rsidRPr="00511855">
              <w:t>Ireland</w:t>
            </w:r>
          </w:p>
        </w:tc>
        <w:tc>
          <w:tcPr>
            <w:tcW w:w="1345" w:type="dxa"/>
            <w:shd w:val="clear" w:color="auto" w:fill="auto"/>
          </w:tcPr>
          <w:p w14:paraId="19B1A2AE" w14:textId="2F2D7E58" w:rsidR="006C5F29" w:rsidRPr="00511855" w:rsidRDefault="006C5F29" w:rsidP="006C5F29">
            <w:r>
              <w:t>US$ 30,000</w:t>
            </w:r>
          </w:p>
        </w:tc>
        <w:tc>
          <w:tcPr>
            <w:tcW w:w="5166" w:type="dxa"/>
            <w:shd w:val="clear" w:color="auto" w:fill="auto"/>
            <w:tcMar>
              <w:left w:w="86" w:type="dxa"/>
              <w:right w:w="14" w:type="dxa"/>
            </w:tcMar>
          </w:tcPr>
          <w:p w14:paraId="4EBAA57B" w14:textId="27D09808" w:rsidR="006C5F29" w:rsidRPr="009C201E" w:rsidRDefault="006C5F29" w:rsidP="006C5F29">
            <w:r>
              <w:t xml:space="preserve">US$ </w:t>
            </w:r>
            <w:r w:rsidRPr="00922720">
              <w:t>30,000 for the intersessional period 2024–2026, to be paid in three instalments of $10,000 each in 2024, 2025 and 2026.</w:t>
            </w:r>
          </w:p>
        </w:tc>
        <w:tc>
          <w:tcPr>
            <w:tcW w:w="1589" w:type="dxa"/>
          </w:tcPr>
          <w:p w14:paraId="696B4955" w14:textId="6190DE68" w:rsidR="006C5F29" w:rsidRPr="00511855" w:rsidRDefault="006C5F29" w:rsidP="006C5F29">
            <w:pPr>
              <w:jc w:val="center"/>
            </w:pPr>
            <w:r>
              <w:t>US$ 10,500</w:t>
            </w:r>
          </w:p>
        </w:tc>
      </w:tr>
      <w:tr w:rsidR="006C5F29" w:rsidRPr="00511855" w14:paraId="32C0E6EC" w14:textId="77777777" w:rsidTr="62188B26">
        <w:trPr>
          <w:trHeight w:val="390"/>
          <w:jc w:val="center"/>
        </w:trPr>
        <w:tc>
          <w:tcPr>
            <w:tcW w:w="1530" w:type="dxa"/>
            <w:shd w:val="clear" w:color="auto" w:fill="auto"/>
            <w:noWrap/>
            <w:hideMark/>
          </w:tcPr>
          <w:p w14:paraId="317FEC04" w14:textId="2E059C83" w:rsidR="006C5F29" w:rsidRPr="00511855" w:rsidRDefault="006C5F29" w:rsidP="006C5F29">
            <w:r w:rsidRPr="00511855">
              <w:t>Italy</w:t>
            </w:r>
          </w:p>
        </w:tc>
        <w:tc>
          <w:tcPr>
            <w:tcW w:w="1345" w:type="dxa"/>
            <w:shd w:val="clear" w:color="auto" w:fill="auto"/>
          </w:tcPr>
          <w:p w14:paraId="138E2601" w14:textId="2E78EFFD" w:rsidR="006C5F29" w:rsidRPr="00511855" w:rsidRDefault="006C5F29" w:rsidP="006C5F29">
            <w:r>
              <w:t xml:space="preserve"> </w:t>
            </w:r>
            <w:r w:rsidRPr="00375971">
              <w:t>€</w:t>
            </w:r>
            <w:r>
              <w:t xml:space="preserve"> 12</w:t>
            </w:r>
            <w:r w:rsidRPr="00375971">
              <w:t>0,000</w:t>
            </w:r>
          </w:p>
        </w:tc>
        <w:tc>
          <w:tcPr>
            <w:tcW w:w="5166" w:type="dxa"/>
            <w:shd w:val="clear" w:color="auto" w:fill="auto"/>
            <w:tcMar>
              <w:left w:w="86" w:type="dxa"/>
              <w:right w:w="14" w:type="dxa"/>
            </w:tcMar>
          </w:tcPr>
          <w:p w14:paraId="4F54B1F4" w14:textId="2AF94785" w:rsidR="006C5F29" w:rsidRPr="00AE7C76" w:rsidRDefault="006C5F29" w:rsidP="006C5F29">
            <w:pPr>
              <w:rPr>
                <w:i/>
                <w:iCs/>
              </w:rPr>
            </w:pPr>
            <w:r w:rsidRPr="00375971">
              <w:t>€</w:t>
            </w:r>
            <w:r>
              <w:t>12</w:t>
            </w:r>
            <w:r w:rsidRPr="00375971">
              <w:t>0,000 for the intersessional period 2024–2026 (€</w:t>
            </w:r>
            <w:r>
              <w:t>4</w:t>
            </w:r>
            <w:r w:rsidRPr="00375971">
              <w:t>0,000/year to be paid in 2024, 2025 and 2026</w:t>
            </w:r>
            <w:r>
              <w:t>)</w:t>
            </w:r>
          </w:p>
        </w:tc>
        <w:tc>
          <w:tcPr>
            <w:tcW w:w="1589" w:type="dxa"/>
          </w:tcPr>
          <w:p w14:paraId="7F3BC351" w14:textId="51A6416A" w:rsidR="006C5F29" w:rsidRPr="00511855" w:rsidRDefault="006C5F29" w:rsidP="006C5F29">
            <w:r>
              <w:t xml:space="preserve">    </w:t>
            </w:r>
            <w:r w:rsidR="00C96B44">
              <w:t xml:space="preserve"> </w:t>
            </w:r>
            <w:r w:rsidR="00DC2A5C" w:rsidRPr="00375971">
              <w:t>€</w:t>
            </w:r>
            <w:r>
              <w:t xml:space="preserve"> 60,000</w:t>
            </w:r>
          </w:p>
        </w:tc>
      </w:tr>
      <w:tr w:rsidR="006C5F29" w:rsidRPr="00511855" w14:paraId="6B718720" w14:textId="77777777" w:rsidTr="00395C15">
        <w:trPr>
          <w:trHeight w:val="255"/>
          <w:jc w:val="center"/>
        </w:trPr>
        <w:tc>
          <w:tcPr>
            <w:tcW w:w="1530" w:type="dxa"/>
            <w:shd w:val="clear" w:color="auto" w:fill="auto"/>
            <w:noWrap/>
            <w:hideMark/>
          </w:tcPr>
          <w:p w14:paraId="2D67C62D" w14:textId="285211ED" w:rsidR="006C5F29" w:rsidRPr="00A53D08" w:rsidRDefault="006C5F29" w:rsidP="006C5F29">
            <w:pPr>
              <w:rPr>
                <w:b/>
                <w:bCs/>
                <w:color w:val="FF0000"/>
              </w:rPr>
            </w:pPr>
            <w:r w:rsidRPr="00A53D08">
              <w:rPr>
                <w:b/>
                <w:bCs/>
                <w:color w:val="FF0000"/>
              </w:rPr>
              <w:t>Kazakhstan</w:t>
            </w:r>
          </w:p>
        </w:tc>
        <w:tc>
          <w:tcPr>
            <w:tcW w:w="1345" w:type="dxa"/>
            <w:shd w:val="clear" w:color="auto" w:fill="auto"/>
          </w:tcPr>
          <w:p w14:paraId="012A690B" w14:textId="77777777" w:rsidR="006C5F29" w:rsidRPr="00511855" w:rsidRDefault="006C5F29" w:rsidP="006C5F29"/>
        </w:tc>
        <w:tc>
          <w:tcPr>
            <w:tcW w:w="5166" w:type="dxa"/>
            <w:shd w:val="clear" w:color="auto" w:fill="auto"/>
            <w:tcMar>
              <w:left w:w="86" w:type="dxa"/>
              <w:right w:w="14" w:type="dxa"/>
            </w:tcMar>
          </w:tcPr>
          <w:p w14:paraId="530C836B" w14:textId="77777777" w:rsidR="006C5F29" w:rsidRPr="009C201E" w:rsidRDefault="006C5F29" w:rsidP="006C5F29"/>
        </w:tc>
        <w:tc>
          <w:tcPr>
            <w:tcW w:w="1589" w:type="dxa"/>
          </w:tcPr>
          <w:p w14:paraId="221A7119" w14:textId="77777777" w:rsidR="006C5F29" w:rsidRPr="00511855" w:rsidRDefault="006C5F29" w:rsidP="006C5F29">
            <w:pPr>
              <w:jc w:val="center"/>
            </w:pPr>
          </w:p>
        </w:tc>
      </w:tr>
      <w:tr w:rsidR="006C5F29" w:rsidRPr="00511855" w14:paraId="333C0FE8" w14:textId="77777777" w:rsidTr="00395C15">
        <w:trPr>
          <w:trHeight w:val="255"/>
          <w:jc w:val="center"/>
        </w:trPr>
        <w:tc>
          <w:tcPr>
            <w:tcW w:w="1530" w:type="dxa"/>
            <w:shd w:val="clear" w:color="auto" w:fill="auto"/>
            <w:noWrap/>
            <w:hideMark/>
          </w:tcPr>
          <w:p w14:paraId="7D59B58E" w14:textId="6F867DBF" w:rsidR="006C5F29" w:rsidRPr="00A53D08" w:rsidRDefault="006C5F29" w:rsidP="006C5F29">
            <w:pPr>
              <w:rPr>
                <w:b/>
                <w:bCs/>
                <w:color w:val="FF0000"/>
              </w:rPr>
            </w:pPr>
            <w:r w:rsidRPr="62188B26">
              <w:rPr>
                <w:b/>
                <w:bCs/>
                <w:color w:val="FF0000"/>
              </w:rPr>
              <w:t>Kyrgyzstan</w:t>
            </w:r>
          </w:p>
        </w:tc>
        <w:tc>
          <w:tcPr>
            <w:tcW w:w="1345" w:type="dxa"/>
            <w:shd w:val="clear" w:color="auto" w:fill="auto"/>
          </w:tcPr>
          <w:p w14:paraId="75970E2E" w14:textId="77777777" w:rsidR="006C5F29" w:rsidRPr="00511855" w:rsidRDefault="006C5F29" w:rsidP="006C5F29"/>
        </w:tc>
        <w:tc>
          <w:tcPr>
            <w:tcW w:w="5166" w:type="dxa"/>
            <w:shd w:val="clear" w:color="auto" w:fill="auto"/>
            <w:tcMar>
              <w:left w:w="86" w:type="dxa"/>
              <w:right w:w="14" w:type="dxa"/>
            </w:tcMar>
          </w:tcPr>
          <w:p w14:paraId="3F07F5D2" w14:textId="77777777" w:rsidR="006C5F29" w:rsidRPr="009C201E" w:rsidRDefault="006C5F29" w:rsidP="006C5F29"/>
        </w:tc>
        <w:tc>
          <w:tcPr>
            <w:tcW w:w="1589" w:type="dxa"/>
          </w:tcPr>
          <w:p w14:paraId="2F6E3D8D" w14:textId="77777777" w:rsidR="006C5F29" w:rsidRPr="00511855" w:rsidRDefault="006C5F29" w:rsidP="006C5F29">
            <w:pPr>
              <w:jc w:val="center"/>
            </w:pPr>
          </w:p>
        </w:tc>
      </w:tr>
      <w:tr w:rsidR="006C5F29" w:rsidRPr="00511855" w14:paraId="75F0C9FB" w14:textId="77777777" w:rsidTr="00395C15">
        <w:trPr>
          <w:trHeight w:val="255"/>
          <w:jc w:val="center"/>
        </w:trPr>
        <w:tc>
          <w:tcPr>
            <w:tcW w:w="1530" w:type="dxa"/>
            <w:shd w:val="clear" w:color="auto" w:fill="auto"/>
            <w:noWrap/>
            <w:hideMark/>
          </w:tcPr>
          <w:p w14:paraId="223B0E46" w14:textId="159301A0" w:rsidR="006C5F29" w:rsidRPr="00871F9A" w:rsidRDefault="006C5F29" w:rsidP="006C5F29">
            <w:pPr>
              <w:rPr>
                <w:color w:val="000000" w:themeColor="text1"/>
              </w:rPr>
            </w:pPr>
            <w:r w:rsidRPr="00871F9A">
              <w:rPr>
                <w:color w:val="000000" w:themeColor="text1"/>
              </w:rPr>
              <w:t>Latvia</w:t>
            </w:r>
          </w:p>
        </w:tc>
        <w:tc>
          <w:tcPr>
            <w:tcW w:w="1345" w:type="dxa"/>
            <w:shd w:val="clear" w:color="auto" w:fill="auto"/>
          </w:tcPr>
          <w:p w14:paraId="4E9F68D9" w14:textId="10BD6A0D" w:rsidR="006C5F29" w:rsidRPr="00871F9A" w:rsidRDefault="006C5F29" w:rsidP="006C5F29">
            <w:pPr>
              <w:rPr>
                <w:color w:val="000000" w:themeColor="text1"/>
              </w:rPr>
            </w:pPr>
            <w:r w:rsidRPr="00100BC8">
              <w:rPr>
                <w:color w:val="000000" w:themeColor="text1"/>
              </w:rPr>
              <w:t>€ 3,000</w:t>
            </w:r>
          </w:p>
        </w:tc>
        <w:tc>
          <w:tcPr>
            <w:tcW w:w="5166" w:type="dxa"/>
            <w:shd w:val="clear" w:color="auto" w:fill="auto"/>
            <w:tcMar>
              <w:left w:w="86" w:type="dxa"/>
              <w:right w:w="14" w:type="dxa"/>
            </w:tcMar>
          </w:tcPr>
          <w:p w14:paraId="5486295E" w14:textId="5C9EE1E7" w:rsidR="006C5F29" w:rsidRPr="00871F9A" w:rsidRDefault="006C5F29" w:rsidP="006C5F29">
            <w:pPr>
              <w:rPr>
                <w:color w:val="000000" w:themeColor="text1"/>
              </w:rPr>
            </w:pPr>
            <w:r w:rsidRPr="00100BC8">
              <w:rPr>
                <w:color w:val="000000" w:themeColor="text1"/>
              </w:rPr>
              <w:t>€ 1,000 per year for the intersessional period 2024-2026.</w:t>
            </w:r>
          </w:p>
        </w:tc>
        <w:tc>
          <w:tcPr>
            <w:tcW w:w="1589" w:type="dxa"/>
          </w:tcPr>
          <w:p w14:paraId="39EDE180" w14:textId="7A756F45" w:rsidR="006C5F29" w:rsidRPr="00871F9A" w:rsidRDefault="006C5F29" w:rsidP="006C5F29">
            <w:pPr>
              <w:jc w:val="center"/>
              <w:rPr>
                <w:color w:val="000000" w:themeColor="text1"/>
              </w:rPr>
            </w:pPr>
            <w:r w:rsidRPr="00100BC8">
              <w:rPr>
                <w:color w:val="000000" w:themeColor="text1"/>
              </w:rPr>
              <w:t>0</w:t>
            </w:r>
          </w:p>
        </w:tc>
      </w:tr>
      <w:tr w:rsidR="006C5F29" w:rsidRPr="00511855" w14:paraId="1F14BEC0" w14:textId="77777777" w:rsidTr="00395C15">
        <w:trPr>
          <w:trHeight w:val="255"/>
          <w:jc w:val="center"/>
        </w:trPr>
        <w:tc>
          <w:tcPr>
            <w:tcW w:w="1530" w:type="dxa"/>
            <w:shd w:val="clear" w:color="auto" w:fill="auto"/>
            <w:noWrap/>
            <w:hideMark/>
          </w:tcPr>
          <w:p w14:paraId="3181A443" w14:textId="43B206B4" w:rsidR="006C5F29" w:rsidRPr="00F07F5D" w:rsidRDefault="006C5F29" w:rsidP="006C5F29">
            <w:pPr>
              <w:rPr>
                <w:b/>
                <w:bCs/>
              </w:rPr>
            </w:pPr>
            <w:r w:rsidRPr="00A53D08">
              <w:rPr>
                <w:b/>
                <w:bCs/>
                <w:color w:val="FF0000"/>
              </w:rPr>
              <w:t>Liechtenstein</w:t>
            </w:r>
          </w:p>
        </w:tc>
        <w:tc>
          <w:tcPr>
            <w:tcW w:w="1345" w:type="dxa"/>
            <w:shd w:val="clear" w:color="auto" w:fill="auto"/>
          </w:tcPr>
          <w:p w14:paraId="55875E67" w14:textId="77777777" w:rsidR="006C5F29" w:rsidRPr="00511855" w:rsidRDefault="006C5F29" w:rsidP="006C5F29"/>
        </w:tc>
        <w:tc>
          <w:tcPr>
            <w:tcW w:w="5166" w:type="dxa"/>
            <w:shd w:val="clear" w:color="auto" w:fill="auto"/>
            <w:tcMar>
              <w:left w:w="86" w:type="dxa"/>
              <w:right w:w="14" w:type="dxa"/>
            </w:tcMar>
          </w:tcPr>
          <w:p w14:paraId="453D7ADF" w14:textId="77777777" w:rsidR="006C5F29" w:rsidRPr="009C201E" w:rsidRDefault="006C5F29" w:rsidP="006C5F29"/>
        </w:tc>
        <w:tc>
          <w:tcPr>
            <w:tcW w:w="1589" w:type="dxa"/>
          </w:tcPr>
          <w:p w14:paraId="629F949A" w14:textId="77777777" w:rsidR="006C5F29" w:rsidRPr="00511855" w:rsidRDefault="006C5F29" w:rsidP="006C5F29">
            <w:pPr>
              <w:jc w:val="center"/>
            </w:pPr>
          </w:p>
        </w:tc>
      </w:tr>
      <w:tr w:rsidR="006C5F29" w:rsidRPr="00511855" w14:paraId="7F5A32AE" w14:textId="77777777" w:rsidTr="00395C15">
        <w:trPr>
          <w:trHeight w:val="255"/>
          <w:jc w:val="center"/>
        </w:trPr>
        <w:tc>
          <w:tcPr>
            <w:tcW w:w="1530" w:type="dxa"/>
            <w:shd w:val="clear" w:color="auto" w:fill="auto"/>
            <w:noWrap/>
            <w:hideMark/>
          </w:tcPr>
          <w:p w14:paraId="79E68751" w14:textId="1FB80E58" w:rsidR="006C5F29" w:rsidRPr="00511855" w:rsidRDefault="006C5F29" w:rsidP="006C5F29">
            <w:r w:rsidRPr="00511855">
              <w:t>Lithuania</w:t>
            </w:r>
          </w:p>
        </w:tc>
        <w:tc>
          <w:tcPr>
            <w:tcW w:w="1345" w:type="dxa"/>
            <w:shd w:val="clear" w:color="auto" w:fill="auto"/>
          </w:tcPr>
          <w:p w14:paraId="1BE217C7" w14:textId="77777777" w:rsidR="006C5F29" w:rsidRPr="00511855" w:rsidRDefault="006C5F29" w:rsidP="006C5F29">
            <w:pPr>
              <w:jc w:val="both"/>
            </w:pPr>
            <w:r>
              <w:t xml:space="preserve"> </w:t>
            </w:r>
            <w:r w:rsidRPr="009B6EC5">
              <w:t>US$</w:t>
            </w:r>
            <w:r>
              <w:t xml:space="preserve"> </w:t>
            </w:r>
            <w:r w:rsidRPr="009B6EC5">
              <w:t>10,000</w:t>
            </w:r>
          </w:p>
        </w:tc>
        <w:tc>
          <w:tcPr>
            <w:tcW w:w="5166" w:type="dxa"/>
            <w:shd w:val="clear" w:color="auto" w:fill="auto"/>
            <w:tcMar>
              <w:left w:w="86" w:type="dxa"/>
              <w:right w:w="14" w:type="dxa"/>
            </w:tcMar>
          </w:tcPr>
          <w:p w14:paraId="4BB6EFC1" w14:textId="711410D4" w:rsidR="006C5F29" w:rsidRPr="009C201E" w:rsidRDefault="006C5F29" w:rsidP="006C5F29">
            <w:r w:rsidRPr="009C201E">
              <w:t>US$ 10,000 for the intersessional period 2024-2026</w:t>
            </w:r>
            <w:r>
              <w:t>.</w:t>
            </w:r>
          </w:p>
        </w:tc>
        <w:tc>
          <w:tcPr>
            <w:tcW w:w="1589" w:type="dxa"/>
          </w:tcPr>
          <w:p w14:paraId="44189D60" w14:textId="2A32F6C9" w:rsidR="006C5F29" w:rsidRPr="009B6EC5" w:rsidRDefault="006C5F29" w:rsidP="006C5F29">
            <w:pPr>
              <w:jc w:val="center"/>
            </w:pPr>
            <w:r>
              <w:t>0</w:t>
            </w:r>
          </w:p>
        </w:tc>
      </w:tr>
      <w:tr w:rsidR="006C5F29" w:rsidRPr="00511855" w14:paraId="130C8131" w14:textId="77777777" w:rsidTr="00395C15">
        <w:trPr>
          <w:trHeight w:val="255"/>
          <w:jc w:val="center"/>
        </w:trPr>
        <w:tc>
          <w:tcPr>
            <w:tcW w:w="1530" w:type="dxa"/>
            <w:shd w:val="clear" w:color="auto" w:fill="auto"/>
            <w:noWrap/>
            <w:hideMark/>
          </w:tcPr>
          <w:p w14:paraId="42573000" w14:textId="730B0F78" w:rsidR="006C5F29" w:rsidRPr="00511855" w:rsidRDefault="006C5F29" w:rsidP="006C5F29">
            <w:r w:rsidRPr="00511855">
              <w:t>Luxembourg</w:t>
            </w:r>
          </w:p>
        </w:tc>
        <w:tc>
          <w:tcPr>
            <w:tcW w:w="1345" w:type="dxa"/>
            <w:shd w:val="clear" w:color="auto" w:fill="auto"/>
          </w:tcPr>
          <w:p w14:paraId="25D95455" w14:textId="42315FCA" w:rsidR="006C5F29" w:rsidRPr="00511855" w:rsidRDefault="006C5F29" w:rsidP="006C5F29">
            <w:pPr>
              <w:jc w:val="both"/>
            </w:pPr>
            <w:r>
              <w:t xml:space="preserve"> </w:t>
            </w:r>
            <w:r w:rsidRPr="00375971">
              <w:t>€</w:t>
            </w:r>
            <w:r w:rsidRPr="00754B8B">
              <w:t xml:space="preserve"> 60,000</w:t>
            </w:r>
          </w:p>
        </w:tc>
        <w:tc>
          <w:tcPr>
            <w:tcW w:w="5166" w:type="dxa"/>
            <w:shd w:val="clear" w:color="auto" w:fill="auto"/>
            <w:tcMar>
              <w:left w:w="86" w:type="dxa"/>
              <w:right w:w="14" w:type="dxa"/>
            </w:tcMar>
          </w:tcPr>
          <w:p w14:paraId="1D84FCAD" w14:textId="0445B9EB" w:rsidR="006C5F29" w:rsidRPr="009C201E" w:rsidRDefault="006C5F29" w:rsidP="006C5F29">
            <w:r w:rsidRPr="00375971">
              <w:t>€</w:t>
            </w:r>
            <w:r w:rsidRPr="00754B8B">
              <w:t xml:space="preserve"> 60,000 for the intersessional period 2024–2026, to be paid in three instalments of EUR 20,000 each in 2024, 2025 and 2026.</w:t>
            </w:r>
            <w:r>
              <w:t xml:space="preserve"> </w:t>
            </w:r>
          </w:p>
        </w:tc>
        <w:tc>
          <w:tcPr>
            <w:tcW w:w="1589" w:type="dxa"/>
          </w:tcPr>
          <w:p w14:paraId="11DE2A61" w14:textId="4E6BCDF9" w:rsidR="006C5F29" w:rsidRPr="00511855" w:rsidRDefault="006C5F29" w:rsidP="006C5F29">
            <w:pPr>
              <w:jc w:val="center"/>
            </w:pPr>
            <w:r w:rsidRPr="00375971">
              <w:t>€</w:t>
            </w:r>
            <w:r>
              <w:t xml:space="preserve"> 5,000</w:t>
            </w:r>
          </w:p>
        </w:tc>
      </w:tr>
      <w:tr w:rsidR="006C5F29" w:rsidRPr="00511855" w14:paraId="198C4856" w14:textId="77777777" w:rsidTr="00395C15">
        <w:trPr>
          <w:trHeight w:val="255"/>
          <w:jc w:val="center"/>
        </w:trPr>
        <w:tc>
          <w:tcPr>
            <w:tcW w:w="1530" w:type="dxa"/>
            <w:shd w:val="clear" w:color="auto" w:fill="auto"/>
            <w:noWrap/>
            <w:hideMark/>
          </w:tcPr>
          <w:p w14:paraId="61C4DFE2" w14:textId="77777777" w:rsidR="006C5F29" w:rsidRPr="00511855" w:rsidRDefault="006C5F29" w:rsidP="006C5F29">
            <w:r w:rsidRPr="00511855">
              <w:t>Malta</w:t>
            </w:r>
          </w:p>
        </w:tc>
        <w:tc>
          <w:tcPr>
            <w:tcW w:w="1345" w:type="dxa"/>
            <w:shd w:val="clear" w:color="auto" w:fill="auto"/>
          </w:tcPr>
          <w:p w14:paraId="58CDCBF3" w14:textId="3DD513D6" w:rsidR="006C5F29" w:rsidRPr="00511855" w:rsidRDefault="006C5F29" w:rsidP="006C5F29">
            <w:pPr>
              <w:jc w:val="both"/>
            </w:pPr>
            <w:r w:rsidRPr="00375971">
              <w:t>€</w:t>
            </w:r>
            <w:r>
              <w:t xml:space="preserve"> 4,000</w:t>
            </w:r>
          </w:p>
        </w:tc>
        <w:tc>
          <w:tcPr>
            <w:tcW w:w="5166" w:type="dxa"/>
            <w:shd w:val="clear" w:color="auto" w:fill="auto"/>
            <w:tcMar>
              <w:left w:w="86" w:type="dxa"/>
              <w:right w:w="14" w:type="dxa"/>
            </w:tcMar>
          </w:tcPr>
          <w:p w14:paraId="6A1603DD" w14:textId="08A06B8E" w:rsidR="006C5F29" w:rsidRPr="009C201E" w:rsidRDefault="006C5F29" w:rsidP="006C5F29">
            <w:r w:rsidRPr="008D35FF">
              <w:t>EUR 4,000 for the intersessional period 2024–2026</w:t>
            </w:r>
            <w:r>
              <w:t>. (</w:t>
            </w:r>
            <w:r w:rsidRPr="007D298A">
              <w:t>Already paid in Nov. 2023).</w:t>
            </w:r>
          </w:p>
        </w:tc>
        <w:tc>
          <w:tcPr>
            <w:tcW w:w="1589" w:type="dxa"/>
          </w:tcPr>
          <w:p w14:paraId="699F2646" w14:textId="2A5C9FB4" w:rsidR="006C5F29" w:rsidRPr="00511855" w:rsidRDefault="006C5F29" w:rsidP="006C5F29">
            <w:pPr>
              <w:jc w:val="center"/>
            </w:pPr>
            <w:r w:rsidRPr="00375971">
              <w:t>€</w:t>
            </w:r>
            <w:r>
              <w:t xml:space="preserve"> 1,000</w:t>
            </w:r>
          </w:p>
        </w:tc>
      </w:tr>
      <w:tr w:rsidR="006C5F29" w:rsidRPr="00511855" w14:paraId="2451721A" w14:textId="77777777" w:rsidTr="00395C15">
        <w:trPr>
          <w:trHeight w:val="255"/>
          <w:jc w:val="center"/>
        </w:trPr>
        <w:tc>
          <w:tcPr>
            <w:tcW w:w="1530" w:type="dxa"/>
            <w:shd w:val="clear" w:color="auto" w:fill="auto"/>
            <w:noWrap/>
            <w:hideMark/>
          </w:tcPr>
          <w:p w14:paraId="35BFDD37" w14:textId="77777777" w:rsidR="006C5F29" w:rsidRPr="005C642E" w:rsidRDefault="006C5F29" w:rsidP="006C5F29">
            <w:pPr>
              <w:rPr>
                <w:b/>
                <w:bCs/>
              </w:rPr>
            </w:pPr>
            <w:r w:rsidRPr="0040348A">
              <w:rPr>
                <w:b/>
                <w:bCs/>
                <w:color w:val="FF0000"/>
              </w:rPr>
              <w:t>Montenegro</w:t>
            </w:r>
          </w:p>
        </w:tc>
        <w:tc>
          <w:tcPr>
            <w:tcW w:w="1345" w:type="dxa"/>
            <w:shd w:val="clear" w:color="auto" w:fill="auto"/>
          </w:tcPr>
          <w:p w14:paraId="1C9655E2" w14:textId="77777777" w:rsidR="006C5F29" w:rsidRPr="00511855" w:rsidRDefault="006C5F29" w:rsidP="006C5F29">
            <w:pPr>
              <w:jc w:val="both"/>
            </w:pPr>
          </w:p>
        </w:tc>
        <w:tc>
          <w:tcPr>
            <w:tcW w:w="5166" w:type="dxa"/>
            <w:shd w:val="clear" w:color="auto" w:fill="auto"/>
            <w:tcMar>
              <w:left w:w="86" w:type="dxa"/>
              <w:right w:w="14" w:type="dxa"/>
            </w:tcMar>
          </w:tcPr>
          <w:p w14:paraId="4E697CD8" w14:textId="77777777" w:rsidR="006C5F29" w:rsidRPr="009C201E" w:rsidRDefault="006C5F29" w:rsidP="006C5F29"/>
        </w:tc>
        <w:tc>
          <w:tcPr>
            <w:tcW w:w="1589" w:type="dxa"/>
          </w:tcPr>
          <w:p w14:paraId="3FE737B8" w14:textId="77777777" w:rsidR="006C5F29" w:rsidRPr="00511855" w:rsidRDefault="006C5F29" w:rsidP="006C5F29">
            <w:pPr>
              <w:jc w:val="center"/>
            </w:pPr>
          </w:p>
        </w:tc>
      </w:tr>
      <w:tr w:rsidR="006C5F29" w:rsidRPr="00511855" w14:paraId="7C55CA02" w14:textId="77777777" w:rsidTr="00395C15">
        <w:trPr>
          <w:trHeight w:val="255"/>
          <w:jc w:val="center"/>
        </w:trPr>
        <w:tc>
          <w:tcPr>
            <w:tcW w:w="1530" w:type="dxa"/>
            <w:shd w:val="clear" w:color="auto" w:fill="auto"/>
            <w:noWrap/>
            <w:hideMark/>
          </w:tcPr>
          <w:p w14:paraId="63930445" w14:textId="0A5D7611" w:rsidR="006C5F29" w:rsidRPr="00511855" w:rsidRDefault="006C5F29" w:rsidP="006C5F29">
            <w:r w:rsidRPr="00511855">
              <w:t>Netherlands</w:t>
            </w:r>
          </w:p>
        </w:tc>
        <w:tc>
          <w:tcPr>
            <w:tcW w:w="1345" w:type="dxa"/>
            <w:shd w:val="clear" w:color="auto" w:fill="auto"/>
          </w:tcPr>
          <w:p w14:paraId="1A17A715" w14:textId="4DC947D2" w:rsidR="006C5F29" w:rsidRPr="00511855" w:rsidRDefault="006C5F29" w:rsidP="006C5F29">
            <w:pPr>
              <w:jc w:val="both"/>
            </w:pPr>
            <w:r w:rsidRPr="00375971">
              <w:t>€</w:t>
            </w:r>
            <w:r w:rsidRPr="00754B8B">
              <w:t xml:space="preserve"> 60,000</w:t>
            </w:r>
          </w:p>
        </w:tc>
        <w:tc>
          <w:tcPr>
            <w:tcW w:w="5166" w:type="dxa"/>
            <w:shd w:val="clear" w:color="auto" w:fill="auto"/>
            <w:tcMar>
              <w:left w:w="86" w:type="dxa"/>
              <w:right w:w="14" w:type="dxa"/>
            </w:tcMar>
          </w:tcPr>
          <w:p w14:paraId="18718635" w14:textId="464E7CD7" w:rsidR="006C5F29" w:rsidRPr="009C201E" w:rsidRDefault="006C5F29" w:rsidP="006C5F29">
            <w:r>
              <w:t xml:space="preserve">€60,000 for the intersessional period 2024–2026. </w:t>
            </w:r>
            <w:r w:rsidRPr="007D298A">
              <w:t>(Already paid in</w:t>
            </w:r>
            <w:r w:rsidR="00873BD3">
              <w:t xml:space="preserve"> </w:t>
            </w:r>
            <w:r w:rsidRPr="007D298A">
              <w:t>Nov. 2023)</w:t>
            </w:r>
            <w:r>
              <w:t xml:space="preserve"> </w:t>
            </w:r>
            <w:r w:rsidR="00AC08F5">
              <w:t xml:space="preserve"> </w:t>
            </w:r>
          </w:p>
        </w:tc>
        <w:tc>
          <w:tcPr>
            <w:tcW w:w="1589" w:type="dxa"/>
          </w:tcPr>
          <w:p w14:paraId="56364DDC" w14:textId="3857BF77" w:rsidR="006C5F29" w:rsidRPr="00511855" w:rsidRDefault="006C5F29" w:rsidP="006C5F29">
            <w:pPr>
              <w:jc w:val="center"/>
            </w:pPr>
            <w:r>
              <w:t>0</w:t>
            </w:r>
          </w:p>
        </w:tc>
      </w:tr>
      <w:tr w:rsidR="006C5F29" w:rsidRPr="00511855" w14:paraId="7CADBAC3" w14:textId="77777777" w:rsidTr="00395C15">
        <w:trPr>
          <w:trHeight w:val="255"/>
          <w:jc w:val="center"/>
        </w:trPr>
        <w:tc>
          <w:tcPr>
            <w:tcW w:w="1530" w:type="dxa"/>
            <w:shd w:val="clear" w:color="auto" w:fill="auto"/>
            <w:noWrap/>
          </w:tcPr>
          <w:p w14:paraId="0233ADCF" w14:textId="77777777" w:rsidR="006C5F29" w:rsidRPr="00ED349B" w:rsidRDefault="006C5F29" w:rsidP="006C5F29">
            <w:pPr>
              <w:rPr>
                <w:b/>
                <w:bCs/>
              </w:rPr>
            </w:pPr>
            <w:r w:rsidRPr="001C4FAF">
              <w:rPr>
                <w:b/>
                <w:bCs/>
                <w:color w:val="FF0000"/>
              </w:rPr>
              <w:t>North Macedonia</w:t>
            </w:r>
          </w:p>
        </w:tc>
        <w:tc>
          <w:tcPr>
            <w:tcW w:w="1345" w:type="dxa"/>
            <w:shd w:val="clear" w:color="auto" w:fill="auto"/>
          </w:tcPr>
          <w:p w14:paraId="139F9413" w14:textId="77777777" w:rsidR="006C5F29" w:rsidRPr="00511855" w:rsidRDefault="006C5F29" w:rsidP="006C5F29">
            <w:pPr>
              <w:jc w:val="both"/>
            </w:pPr>
          </w:p>
        </w:tc>
        <w:tc>
          <w:tcPr>
            <w:tcW w:w="5166" w:type="dxa"/>
            <w:shd w:val="clear" w:color="auto" w:fill="auto"/>
            <w:tcMar>
              <w:left w:w="86" w:type="dxa"/>
              <w:right w:w="14" w:type="dxa"/>
            </w:tcMar>
          </w:tcPr>
          <w:p w14:paraId="6C006762" w14:textId="77777777" w:rsidR="006C5F29" w:rsidRPr="009C201E" w:rsidRDefault="006C5F29" w:rsidP="006C5F29"/>
        </w:tc>
        <w:tc>
          <w:tcPr>
            <w:tcW w:w="1589" w:type="dxa"/>
          </w:tcPr>
          <w:p w14:paraId="668AFA35" w14:textId="77777777" w:rsidR="006C5F29" w:rsidRPr="00511855" w:rsidRDefault="006C5F29" w:rsidP="006C5F29">
            <w:pPr>
              <w:jc w:val="center"/>
            </w:pPr>
          </w:p>
        </w:tc>
      </w:tr>
      <w:tr w:rsidR="006C5F29" w:rsidRPr="00511855" w14:paraId="2C8C2395" w14:textId="77777777" w:rsidTr="00395C15">
        <w:trPr>
          <w:trHeight w:val="255"/>
          <w:jc w:val="center"/>
        </w:trPr>
        <w:tc>
          <w:tcPr>
            <w:tcW w:w="1530" w:type="dxa"/>
            <w:shd w:val="clear" w:color="auto" w:fill="auto"/>
            <w:noWrap/>
            <w:hideMark/>
          </w:tcPr>
          <w:p w14:paraId="2FE2C02E" w14:textId="3E872D3D" w:rsidR="006C5F29" w:rsidRPr="00511855" w:rsidRDefault="006C5F29" w:rsidP="006C5F29">
            <w:r w:rsidRPr="00511855">
              <w:t>Norway</w:t>
            </w:r>
          </w:p>
        </w:tc>
        <w:tc>
          <w:tcPr>
            <w:tcW w:w="1345" w:type="dxa"/>
            <w:shd w:val="clear" w:color="auto" w:fill="auto"/>
          </w:tcPr>
          <w:p w14:paraId="28F36992" w14:textId="3266DCB3" w:rsidR="006C5F29" w:rsidRPr="00511855" w:rsidRDefault="006C5F29" w:rsidP="006C5F29">
            <w:pPr>
              <w:jc w:val="both"/>
            </w:pPr>
            <w:r>
              <w:t>NOK 377,487</w:t>
            </w:r>
          </w:p>
        </w:tc>
        <w:tc>
          <w:tcPr>
            <w:tcW w:w="5166" w:type="dxa"/>
            <w:shd w:val="clear" w:color="auto" w:fill="auto"/>
            <w:tcMar>
              <w:left w:w="86" w:type="dxa"/>
              <w:right w:w="14" w:type="dxa"/>
            </w:tcMar>
          </w:tcPr>
          <w:p w14:paraId="1D25DD1C" w14:textId="30343A18" w:rsidR="006C5F29" w:rsidRPr="009C201E" w:rsidRDefault="006C5F29" w:rsidP="006C5F29">
            <w:r w:rsidRPr="00CA6971">
              <w:t>NOK 125,829 per year for the intersessional period 2024–2026, to be paid in 2024, 2025 and 2026</w:t>
            </w:r>
            <w:r>
              <w:t xml:space="preserve"> </w:t>
            </w:r>
          </w:p>
        </w:tc>
        <w:tc>
          <w:tcPr>
            <w:tcW w:w="1589" w:type="dxa"/>
          </w:tcPr>
          <w:p w14:paraId="50A03132" w14:textId="7457EEA5" w:rsidR="006C5F29" w:rsidRPr="00511855" w:rsidRDefault="006C5F29" w:rsidP="006C5F29">
            <w:pPr>
              <w:jc w:val="center"/>
            </w:pPr>
            <w:r>
              <w:t>0</w:t>
            </w:r>
          </w:p>
        </w:tc>
      </w:tr>
      <w:tr w:rsidR="006C5F29" w:rsidRPr="00511855" w14:paraId="0E5DFBB6" w14:textId="77777777" w:rsidTr="00395C15">
        <w:trPr>
          <w:trHeight w:val="255"/>
          <w:jc w:val="center"/>
        </w:trPr>
        <w:tc>
          <w:tcPr>
            <w:tcW w:w="1530" w:type="dxa"/>
            <w:shd w:val="clear" w:color="auto" w:fill="auto"/>
            <w:noWrap/>
            <w:hideMark/>
          </w:tcPr>
          <w:p w14:paraId="173DCB7F" w14:textId="62DF4670" w:rsidR="006C5F29" w:rsidRPr="00E63F70" w:rsidRDefault="006C5F29" w:rsidP="006C5F29">
            <w:r w:rsidRPr="00E63F70">
              <w:t>Poland</w:t>
            </w:r>
          </w:p>
        </w:tc>
        <w:tc>
          <w:tcPr>
            <w:tcW w:w="1345" w:type="dxa"/>
            <w:shd w:val="clear" w:color="auto" w:fill="auto"/>
          </w:tcPr>
          <w:p w14:paraId="38B47BBD" w14:textId="2238B80A" w:rsidR="006C5F29" w:rsidRPr="003710A0" w:rsidRDefault="006C5F29" w:rsidP="006C5F29">
            <w:pPr>
              <w:jc w:val="both"/>
              <w:rPr>
                <w:color w:val="000000" w:themeColor="text1"/>
              </w:rPr>
            </w:pPr>
            <w:r w:rsidRPr="003710A0">
              <w:rPr>
                <w:color w:val="000000" w:themeColor="text1"/>
              </w:rPr>
              <w:t>US $21,000</w:t>
            </w:r>
          </w:p>
        </w:tc>
        <w:tc>
          <w:tcPr>
            <w:tcW w:w="5166" w:type="dxa"/>
            <w:shd w:val="clear" w:color="auto" w:fill="auto"/>
            <w:tcMar>
              <w:left w:w="86" w:type="dxa"/>
              <w:right w:w="14" w:type="dxa"/>
            </w:tcMar>
          </w:tcPr>
          <w:p w14:paraId="7EFBC8C3" w14:textId="13B26C8F" w:rsidR="006C5F29" w:rsidRPr="003710A0" w:rsidRDefault="006C5F29" w:rsidP="006C5F29">
            <w:pPr>
              <w:rPr>
                <w:color w:val="000000" w:themeColor="text1"/>
              </w:rPr>
            </w:pPr>
            <w:r w:rsidRPr="003710A0">
              <w:rPr>
                <w:color w:val="000000" w:themeColor="text1"/>
              </w:rPr>
              <w:t xml:space="preserve">US $21,000 for the next intersessional </w:t>
            </w:r>
            <w:r w:rsidRPr="003710A0">
              <w:rPr>
                <w:color w:val="000000" w:themeColor="text1"/>
                <w:lang w:val="en-US"/>
              </w:rPr>
              <w:t>period 2024–2026 (paid in three instalments</w:t>
            </w:r>
            <w:r w:rsidRPr="00A53D08">
              <w:rPr>
                <w:color w:val="000000" w:themeColor="text1"/>
                <w:lang w:val="en-US"/>
              </w:rPr>
              <w:t xml:space="preserve"> of US</w:t>
            </w:r>
            <w:r w:rsidRPr="003710A0">
              <w:rPr>
                <w:color w:val="000000" w:themeColor="text1"/>
                <w:lang w:val="en-US"/>
              </w:rPr>
              <w:t>$</w:t>
            </w:r>
            <w:r>
              <w:rPr>
                <w:color w:val="000000" w:themeColor="text1"/>
                <w:lang w:val="en-US"/>
              </w:rPr>
              <w:t xml:space="preserve"> 7,000</w:t>
            </w:r>
            <w:r w:rsidRPr="003710A0">
              <w:rPr>
                <w:color w:val="000000" w:themeColor="text1"/>
                <w:lang w:val="en-US"/>
              </w:rPr>
              <w:t xml:space="preserve"> </w:t>
            </w:r>
            <w:r w:rsidRPr="00A53D08">
              <w:rPr>
                <w:color w:val="000000" w:themeColor="text1"/>
                <w:lang w:val="en-US"/>
              </w:rPr>
              <w:t>each in 2024, 2025</w:t>
            </w:r>
            <w:r>
              <w:rPr>
                <w:color w:val="000000" w:themeColor="text1"/>
                <w:lang w:val="en-US"/>
              </w:rPr>
              <w:t xml:space="preserve"> and</w:t>
            </w:r>
            <w:r w:rsidRPr="00A53D08">
              <w:rPr>
                <w:color w:val="000000" w:themeColor="text1"/>
                <w:lang w:val="en-US"/>
              </w:rPr>
              <w:t xml:space="preserve"> 2026</w:t>
            </w:r>
            <w:r w:rsidRPr="003710A0">
              <w:rPr>
                <w:color w:val="000000" w:themeColor="text1"/>
                <w:lang w:val="en-US"/>
              </w:rPr>
              <w:t>).</w:t>
            </w:r>
          </w:p>
        </w:tc>
        <w:tc>
          <w:tcPr>
            <w:tcW w:w="1589" w:type="dxa"/>
          </w:tcPr>
          <w:p w14:paraId="1C51EF81" w14:textId="6E2E8673" w:rsidR="006C5F29" w:rsidRPr="00A53D08" w:rsidRDefault="006C5F29" w:rsidP="006C5F29">
            <w:pPr>
              <w:jc w:val="center"/>
              <w:rPr>
                <w:color w:val="000000" w:themeColor="text1"/>
              </w:rPr>
            </w:pPr>
            <w:r>
              <w:rPr>
                <w:color w:val="000000" w:themeColor="text1"/>
              </w:rPr>
              <w:t>0</w:t>
            </w:r>
          </w:p>
        </w:tc>
      </w:tr>
      <w:tr w:rsidR="006C5F29" w:rsidRPr="00511855" w14:paraId="7006D021" w14:textId="77777777" w:rsidTr="00395C15">
        <w:trPr>
          <w:trHeight w:val="255"/>
          <w:jc w:val="center"/>
        </w:trPr>
        <w:tc>
          <w:tcPr>
            <w:tcW w:w="1530" w:type="dxa"/>
            <w:shd w:val="clear" w:color="auto" w:fill="auto"/>
            <w:noWrap/>
            <w:hideMark/>
          </w:tcPr>
          <w:p w14:paraId="468E3269" w14:textId="2A9E2941" w:rsidR="006C5F29" w:rsidRPr="005C642E" w:rsidRDefault="006C5F29" w:rsidP="006C5F29">
            <w:pPr>
              <w:rPr>
                <w:b/>
                <w:bCs/>
              </w:rPr>
            </w:pPr>
            <w:r w:rsidRPr="0040348A">
              <w:rPr>
                <w:b/>
                <w:bCs/>
                <w:color w:val="FF0000"/>
              </w:rPr>
              <w:lastRenderedPageBreak/>
              <w:t>Portugal</w:t>
            </w:r>
          </w:p>
        </w:tc>
        <w:tc>
          <w:tcPr>
            <w:tcW w:w="1345" w:type="dxa"/>
            <w:shd w:val="clear" w:color="auto" w:fill="auto"/>
          </w:tcPr>
          <w:p w14:paraId="5830AFF3" w14:textId="77777777" w:rsidR="006C5F29" w:rsidRPr="00511855" w:rsidRDefault="006C5F29" w:rsidP="006C5F29"/>
        </w:tc>
        <w:tc>
          <w:tcPr>
            <w:tcW w:w="5166" w:type="dxa"/>
            <w:shd w:val="clear" w:color="auto" w:fill="auto"/>
            <w:tcMar>
              <w:left w:w="86" w:type="dxa"/>
              <w:right w:w="14" w:type="dxa"/>
            </w:tcMar>
          </w:tcPr>
          <w:p w14:paraId="5EDAD3E5" w14:textId="77777777" w:rsidR="006C5F29" w:rsidRPr="009C201E" w:rsidRDefault="006C5F29" w:rsidP="006C5F29"/>
        </w:tc>
        <w:tc>
          <w:tcPr>
            <w:tcW w:w="1589" w:type="dxa"/>
          </w:tcPr>
          <w:p w14:paraId="0BFFD123" w14:textId="77777777" w:rsidR="006C5F29" w:rsidRPr="00511855" w:rsidRDefault="006C5F29" w:rsidP="006C5F29">
            <w:pPr>
              <w:jc w:val="center"/>
            </w:pPr>
          </w:p>
        </w:tc>
      </w:tr>
      <w:tr w:rsidR="006C5F29" w:rsidRPr="00511855" w14:paraId="6EF05960" w14:textId="77777777" w:rsidTr="00395C15">
        <w:trPr>
          <w:trHeight w:val="255"/>
          <w:jc w:val="center"/>
        </w:trPr>
        <w:tc>
          <w:tcPr>
            <w:tcW w:w="1530" w:type="dxa"/>
            <w:shd w:val="clear" w:color="auto" w:fill="auto"/>
            <w:noWrap/>
            <w:hideMark/>
          </w:tcPr>
          <w:p w14:paraId="506B6677" w14:textId="77777777" w:rsidR="006C5F29" w:rsidRPr="00511855" w:rsidRDefault="006C5F29" w:rsidP="006C5F29">
            <w:r w:rsidRPr="00511855">
              <w:t>Republic of Moldova</w:t>
            </w:r>
          </w:p>
        </w:tc>
        <w:tc>
          <w:tcPr>
            <w:tcW w:w="1345" w:type="dxa"/>
            <w:shd w:val="clear" w:color="auto" w:fill="auto"/>
          </w:tcPr>
          <w:p w14:paraId="4346D366" w14:textId="4724C1B3" w:rsidR="006C5F29" w:rsidRPr="00511855" w:rsidRDefault="006C5F29" w:rsidP="006C5F29">
            <w:r>
              <w:t xml:space="preserve">  US</w:t>
            </w:r>
            <w:r w:rsidRPr="007D3186">
              <w:t>$</w:t>
            </w:r>
            <w:r w:rsidR="00317BA1">
              <w:t xml:space="preserve"> </w:t>
            </w:r>
            <w:r w:rsidRPr="007D3186">
              <w:t>3,000</w:t>
            </w:r>
          </w:p>
        </w:tc>
        <w:tc>
          <w:tcPr>
            <w:tcW w:w="5166" w:type="dxa"/>
            <w:shd w:val="clear" w:color="auto" w:fill="auto"/>
            <w:tcMar>
              <w:left w:w="86" w:type="dxa"/>
              <w:right w:w="14" w:type="dxa"/>
            </w:tcMar>
          </w:tcPr>
          <w:p w14:paraId="0F28C6AD" w14:textId="027EAC01" w:rsidR="006C5F29" w:rsidRPr="009C201E" w:rsidRDefault="006C5F29" w:rsidP="006C5F29">
            <w:r>
              <w:t xml:space="preserve">US </w:t>
            </w:r>
            <w:r w:rsidRPr="007D3186">
              <w:t>$3,000 for the next intersessional period 2024–2026, to be paid in three instalments of $1,000 each in 2024, 2025 and 2026.</w:t>
            </w:r>
          </w:p>
        </w:tc>
        <w:tc>
          <w:tcPr>
            <w:tcW w:w="1589" w:type="dxa"/>
          </w:tcPr>
          <w:p w14:paraId="2A5A8D6D" w14:textId="005AE619" w:rsidR="006C5F29" w:rsidRPr="00511855" w:rsidRDefault="006C5F29" w:rsidP="006C5F29">
            <w:pPr>
              <w:jc w:val="center"/>
            </w:pPr>
            <w:r>
              <w:t>US$ 1,500</w:t>
            </w:r>
          </w:p>
        </w:tc>
      </w:tr>
      <w:tr w:rsidR="006C5F29" w:rsidRPr="00511855" w14:paraId="35C0ACB4" w14:textId="77777777" w:rsidTr="00395C15">
        <w:trPr>
          <w:trHeight w:val="255"/>
          <w:jc w:val="center"/>
        </w:trPr>
        <w:tc>
          <w:tcPr>
            <w:tcW w:w="1530" w:type="dxa"/>
            <w:shd w:val="clear" w:color="auto" w:fill="auto"/>
            <w:noWrap/>
            <w:hideMark/>
          </w:tcPr>
          <w:p w14:paraId="15A19C5B" w14:textId="10A1720A" w:rsidR="006C5F29" w:rsidRPr="00511855" w:rsidRDefault="006C5F29" w:rsidP="006C5F29">
            <w:r w:rsidRPr="00511855">
              <w:t>Romania</w:t>
            </w:r>
          </w:p>
        </w:tc>
        <w:tc>
          <w:tcPr>
            <w:tcW w:w="1345" w:type="dxa"/>
            <w:shd w:val="clear" w:color="auto" w:fill="auto"/>
          </w:tcPr>
          <w:p w14:paraId="73F818DC" w14:textId="0808F2DE" w:rsidR="006C5F29" w:rsidRPr="00FC4FFD" w:rsidRDefault="006C5F29" w:rsidP="006C5F29">
            <w:r>
              <w:t xml:space="preserve">  US</w:t>
            </w:r>
            <w:r w:rsidRPr="007D3186">
              <w:t>$</w:t>
            </w:r>
            <w:r>
              <w:t xml:space="preserve"> 15,000</w:t>
            </w:r>
          </w:p>
        </w:tc>
        <w:tc>
          <w:tcPr>
            <w:tcW w:w="5166" w:type="dxa"/>
            <w:shd w:val="clear" w:color="auto" w:fill="auto"/>
            <w:tcMar>
              <w:left w:w="86" w:type="dxa"/>
              <w:right w:w="14" w:type="dxa"/>
            </w:tcMar>
          </w:tcPr>
          <w:p w14:paraId="0FDEACE8" w14:textId="407C4F11" w:rsidR="006C5F29" w:rsidRPr="009C201E" w:rsidRDefault="006C5F29" w:rsidP="006C5F29">
            <w:r>
              <w:t xml:space="preserve">US </w:t>
            </w:r>
            <w:r w:rsidRPr="00AF3104">
              <w:t xml:space="preserve">$15,000 for the intersessional period 2024–2026, to be paid in three instalments of </w:t>
            </w:r>
            <w:r>
              <w:t>US</w:t>
            </w:r>
            <w:r w:rsidRPr="00AF3104">
              <w:t xml:space="preserve"> $5,000 each in 2024, 2025 and 2026.</w:t>
            </w:r>
          </w:p>
        </w:tc>
        <w:tc>
          <w:tcPr>
            <w:tcW w:w="1589" w:type="dxa"/>
          </w:tcPr>
          <w:p w14:paraId="6C9BF2DB" w14:textId="7BF21604" w:rsidR="006C5F29" w:rsidRPr="00FC4FFD" w:rsidRDefault="006C5F29" w:rsidP="006C5F29">
            <w:pPr>
              <w:jc w:val="center"/>
            </w:pPr>
            <w:r>
              <w:t>0</w:t>
            </w:r>
          </w:p>
        </w:tc>
      </w:tr>
      <w:tr w:rsidR="006C5F29" w:rsidRPr="00511855" w14:paraId="012E2314" w14:textId="77777777" w:rsidTr="00395C15">
        <w:trPr>
          <w:trHeight w:val="435"/>
          <w:jc w:val="center"/>
        </w:trPr>
        <w:tc>
          <w:tcPr>
            <w:tcW w:w="1530" w:type="dxa"/>
            <w:shd w:val="clear" w:color="auto" w:fill="auto"/>
            <w:noWrap/>
            <w:hideMark/>
          </w:tcPr>
          <w:p w14:paraId="3BAE33A8" w14:textId="77777777" w:rsidR="006C5F29" w:rsidRPr="005C642E" w:rsidRDefault="006C5F29" w:rsidP="006C5F29">
            <w:pPr>
              <w:rPr>
                <w:b/>
                <w:bCs/>
              </w:rPr>
            </w:pPr>
            <w:r w:rsidRPr="0040348A">
              <w:rPr>
                <w:b/>
                <w:bCs/>
                <w:color w:val="FF0000"/>
              </w:rPr>
              <w:t>Serbia</w:t>
            </w:r>
          </w:p>
        </w:tc>
        <w:tc>
          <w:tcPr>
            <w:tcW w:w="1345" w:type="dxa"/>
            <w:shd w:val="clear" w:color="auto" w:fill="auto"/>
          </w:tcPr>
          <w:p w14:paraId="25008BB3" w14:textId="77777777" w:rsidR="006C5F29" w:rsidRPr="00511855" w:rsidRDefault="006C5F29" w:rsidP="006C5F29"/>
        </w:tc>
        <w:tc>
          <w:tcPr>
            <w:tcW w:w="5166" w:type="dxa"/>
            <w:shd w:val="clear" w:color="auto" w:fill="auto"/>
            <w:tcMar>
              <w:left w:w="86" w:type="dxa"/>
              <w:right w:w="14" w:type="dxa"/>
            </w:tcMar>
            <w:hideMark/>
          </w:tcPr>
          <w:p w14:paraId="20FC1970" w14:textId="77777777" w:rsidR="006C5F29" w:rsidRPr="009C201E" w:rsidRDefault="006C5F29" w:rsidP="006C5F29">
            <w:r w:rsidRPr="009C201E">
              <w:t> </w:t>
            </w:r>
          </w:p>
        </w:tc>
        <w:tc>
          <w:tcPr>
            <w:tcW w:w="1589" w:type="dxa"/>
          </w:tcPr>
          <w:p w14:paraId="02689523" w14:textId="77777777" w:rsidR="006C5F29" w:rsidRPr="00511855" w:rsidRDefault="006C5F29" w:rsidP="006C5F29">
            <w:pPr>
              <w:jc w:val="center"/>
            </w:pPr>
          </w:p>
        </w:tc>
      </w:tr>
      <w:tr w:rsidR="006C5F29" w:rsidRPr="00511855" w14:paraId="4BA609A5" w14:textId="77777777" w:rsidTr="00395C15">
        <w:trPr>
          <w:trHeight w:val="255"/>
          <w:jc w:val="center"/>
        </w:trPr>
        <w:tc>
          <w:tcPr>
            <w:tcW w:w="1530" w:type="dxa"/>
            <w:shd w:val="clear" w:color="auto" w:fill="auto"/>
            <w:noWrap/>
            <w:hideMark/>
          </w:tcPr>
          <w:p w14:paraId="6204750E" w14:textId="77777777" w:rsidR="006C5F29" w:rsidRPr="00E63F70" w:rsidRDefault="006C5F29" w:rsidP="006C5F29">
            <w:r w:rsidRPr="00E63F70">
              <w:t>Slovakia</w:t>
            </w:r>
          </w:p>
        </w:tc>
        <w:tc>
          <w:tcPr>
            <w:tcW w:w="1345" w:type="dxa"/>
            <w:shd w:val="clear" w:color="auto" w:fill="auto"/>
          </w:tcPr>
          <w:p w14:paraId="600B932A" w14:textId="0B72D920" w:rsidR="006C5F29" w:rsidRPr="0040348A" w:rsidRDefault="006C5F29" w:rsidP="006C5F29">
            <w:pPr>
              <w:rPr>
                <w:color w:val="000000" w:themeColor="text1"/>
              </w:rPr>
            </w:pPr>
            <w:r w:rsidRPr="0013208D">
              <w:rPr>
                <w:color w:val="000000" w:themeColor="text1"/>
              </w:rPr>
              <w:t xml:space="preserve"> €15,000</w:t>
            </w:r>
          </w:p>
        </w:tc>
        <w:tc>
          <w:tcPr>
            <w:tcW w:w="5166" w:type="dxa"/>
            <w:shd w:val="clear" w:color="auto" w:fill="auto"/>
            <w:tcMar>
              <w:left w:w="86" w:type="dxa"/>
              <w:right w:w="14" w:type="dxa"/>
            </w:tcMar>
          </w:tcPr>
          <w:p w14:paraId="37198D5F" w14:textId="6D1408CF" w:rsidR="006C5F29" w:rsidRPr="0040348A" w:rsidRDefault="006C5F29" w:rsidP="006C5F29">
            <w:pPr>
              <w:rPr>
                <w:color w:val="000000" w:themeColor="text1"/>
              </w:rPr>
            </w:pPr>
            <w:r w:rsidRPr="0013208D">
              <w:rPr>
                <w:color w:val="000000" w:themeColor="text1"/>
              </w:rPr>
              <w:t>EUR 15,000 for the intersessional period 2024-2026 to be paid in three instalments of EUR 5,000 each in 2024, 2025 and 2026.</w:t>
            </w:r>
          </w:p>
        </w:tc>
        <w:tc>
          <w:tcPr>
            <w:tcW w:w="1589" w:type="dxa"/>
          </w:tcPr>
          <w:p w14:paraId="6A514A8E" w14:textId="77777777" w:rsidR="006C5F29" w:rsidRPr="0040348A" w:rsidRDefault="006C5F29" w:rsidP="006C5F29">
            <w:pPr>
              <w:jc w:val="center"/>
              <w:rPr>
                <w:color w:val="000000" w:themeColor="text1"/>
              </w:rPr>
            </w:pPr>
          </w:p>
        </w:tc>
      </w:tr>
      <w:tr w:rsidR="006C5F29" w:rsidRPr="00511855" w14:paraId="4ACEDE26" w14:textId="77777777" w:rsidTr="00395C15">
        <w:trPr>
          <w:trHeight w:val="579"/>
          <w:jc w:val="center"/>
        </w:trPr>
        <w:tc>
          <w:tcPr>
            <w:tcW w:w="1530" w:type="dxa"/>
            <w:shd w:val="clear" w:color="auto" w:fill="auto"/>
            <w:noWrap/>
            <w:hideMark/>
          </w:tcPr>
          <w:p w14:paraId="3BCCD389" w14:textId="1CA0B1CB" w:rsidR="006C5F29" w:rsidRPr="00511855" w:rsidRDefault="006C5F29" w:rsidP="006C5F29">
            <w:r w:rsidRPr="00511855">
              <w:t>Slovenia</w:t>
            </w:r>
          </w:p>
        </w:tc>
        <w:tc>
          <w:tcPr>
            <w:tcW w:w="1345" w:type="dxa"/>
            <w:shd w:val="clear" w:color="auto" w:fill="auto"/>
          </w:tcPr>
          <w:p w14:paraId="3BDC0B62" w14:textId="654769BD" w:rsidR="006C5F29" w:rsidRPr="009B12C3" w:rsidRDefault="006C5F29" w:rsidP="006C5F29">
            <w:pPr>
              <w:rPr>
                <w:color w:val="000000" w:themeColor="text1"/>
              </w:rPr>
            </w:pPr>
            <w:r w:rsidRPr="009B12C3">
              <w:rPr>
                <w:color w:val="000000" w:themeColor="text1"/>
              </w:rPr>
              <w:t xml:space="preserve"> </w:t>
            </w:r>
            <w:r w:rsidRPr="00375971">
              <w:t>€</w:t>
            </w:r>
            <w:r w:rsidRPr="009B12C3">
              <w:rPr>
                <w:color w:val="000000" w:themeColor="text1"/>
              </w:rPr>
              <w:t xml:space="preserve"> 15,000</w:t>
            </w:r>
          </w:p>
        </w:tc>
        <w:tc>
          <w:tcPr>
            <w:tcW w:w="5166" w:type="dxa"/>
            <w:shd w:val="clear" w:color="auto" w:fill="auto"/>
            <w:tcMar>
              <w:left w:w="86" w:type="dxa"/>
              <w:right w:w="14" w:type="dxa"/>
            </w:tcMar>
          </w:tcPr>
          <w:p w14:paraId="03AD7590" w14:textId="0CFBA13B" w:rsidR="006C5F29" w:rsidRPr="009B12C3" w:rsidRDefault="006C5F29" w:rsidP="006C5F29">
            <w:pPr>
              <w:rPr>
                <w:color w:val="000000" w:themeColor="text1"/>
              </w:rPr>
            </w:pPr>
            <w:r w:rsidRPr="009B12C3">
              <w:rPr>
                <w:color w:val="000000" w:themeColor="text1"/>
              </w:rPr>
              <w:t>EUR 15,000 for the intersessional period 2024-2026 to be paid in three instalments of EUR 5,000 each in 2024, 2025 and 2026.</w:t>
            </w:r>
          </w:p>
        </w:tc>
        <w:tc>
          <w:tcPr>
            <w:tcW w:w="1589" w:type="dxa"/>
          </w:tcPr>
          <w:p w14:paraId="3083C950" w14:textId="46816D22" w:rsidR="006C5F29" w:rsidRPr="00F52C8B" w:rsidRDefault="006C5F29" w:rsidP="006C5F29">
            <w:pPr>
              <w:jc w:val="center"/>
            </w:pPr>
            <w:r w:rsidRPr="009B12C3">
              <w:rPr>
                <w:color w:val="000000" w:themeColor="text1"/>
              </w:rPr>
              <w:t>US$ 4,000</w:t>
            </w:r>
          </w:p>
        </w:tc>
      </w:tr>
      <w:tr w:rsidR="006C5F29" w:rsidRPr="00511855" w14:paraId="109F6EF2" w14:textId="77777777" w:rsidTr="00395C15">
        <w:trPr>
          <w:trHeight w:val="255"/>
          <w:jc w:val="center"/>
        </w:trPr>
        <w:tc>
          <w:tcPr>
            <w:tcW w:w="1530" w:type="dxa"/>
            <w:shd w:val="clear" w:color="auto" w:fill="auto"/>
            <w:noWrap/>
            <w:hideMark/>
          </w:tcPr>
          <w:p w14:paraId="7D2D3AB5" w14:textId="5BD16926" w:rsidR="006C5F29" w:rsidRPr="00511855" w:rsidRDefault="006C5F29" w:rsidP="006C5F29">
            <w:r w:rsidRPr="00511855">
              <w:t>Spain</w:t>
            </w:r>
          </w:p>
        </w:tc>
        <w:tc>
          <w:tcPr>
            <w:tcW w:w="1345" w:type="dxa"/>
            <w:shd w:val="clear" w:color="auto" w:fill="auto"/>
          </w:tcPr>
          <w:p w14:paraId="4B3228F7" w14:textId="3A5BFBF3" w:rsidR="006C5F29" w:rsidRPr="00511855" w:rsidRDefault="006C5F29" w:rsidP="006C5F29">
            <w:r>
              <w:t xml:space="preserve"> </w:t>
            </w:r>
            <w:r w:rsidRPr="00375971">
              <w:t>€</w:t>
            </w:r>
            <w:r>
              <w:t xml:space="preserve"> 30,000</w:t>
            </w:r>
          </w:p>
        </w:tc>
        <w:tc>
          <w:tcPr>
            <w:tcW w:w="5166" w:type="dxa"/>
            <w:shd w:val="clear" w:color="auto" w:fill="auto"/>
            <w:tcMar>
              <w:left w:w="86" w:type="dxa"/>
              <w:right w:w="14" w:type="dxa"/>
            </w:tcMar>
          </w:tcPr>
          <w:p w14:paraId="5E5A6545" w14:textId="73ED5930" w:rsidR="006C5F29" w:rsidRPr="009C201E" w:rsidRDefault="006C5F29" w:rsidP="006C5F29">
            <w:r>
              <w:t xml:space="preserve">EUR 30,000 </w:t>
            </w:r>
            <w:r w:rsidRPr="009C201E">
              <w:t xml:space="preserve">for the intersessional period 2024–2026, to be paid in three instalments of </w:t>
            </w:r>
            <w:r>
              <w:t>EUR 10</w:t>
            </w:r>
            <w:r w:rsidRPr="009C201E">
              <w:t>,000 each in 2024, 2025 and 2026</w:t>
            </w:r>
            <w:r>
              <w:t>.</w:t>
            </w:r>
          </w:p>
        </w:tc>
        <w:tc>
          <w:tcPr>
            <w:tcW w:w="1589" w:type="dxa"/>
          </w:tcPr>
          <w:p w14:paraId="4CEBE43A" w14:textId="4080BCDD" w:rsidR="006C5F29" w:rsidRPr="00F52C8B" w:rsidRDefault="006C5F29" w:rsidP="006C5F29">
            <w:pPr>
              <w:jc w:val="center"/>
            </w:pPr>
            <w:r>
              <w:t>0</w:t>
            </w:r>
          </w:p>
        </w:tc>
      </w:tr>
      <w:tr w:rsidR="006C5F29" w:rsidRPr="00511855" w14:paraId="7B73DCB0" w14:textId="77777777" w:rsidTr="00395C15">
        <w:trPr>
          <w:trHeight w:val="255"/>
          <w:jc w:val="center"/>
        </w:trPr>
        <w:tc>
          <w:tcPr>
            <w:tcW w:w="1530" w:type="dxa"/>
            <w:shd w:val="clear" w:color="auto" w:fill="auto"/>
            <w:noWrap/>
            <w:hideMark/>
          </w:tcPr>
          <w:p w14:paraId="4F7006A4" w14:textId="0BBBBDAF" w:rsidR="006C5F29" w:rsidRPr="00511855" w:rsidRDefault="006C5F29" w:rsidP="006C5F29">
            <w:r w:rsidRPr="00511855">
              <w:t>Sweden</w:t>
            </w:r>
          </w:p>
        </w:tc>
        <w:tc>
          <w:tcPr>
            <w:tcW w:w="1345" w:type="dxa"/>
            <w:shd w:val="clear" w:color="auto" w:fill="auto"/>
          </w:tcPr>
          <w:p w14:paraId="17BB9B6C" w14:textId="75DD76EF" w:rsidR="006C5F29" w:rsidRPr="00511855" w:rsidRDefault="006C5F29" w:rsidP="006C5F29">
            <w:r w:rsidRPr="009B6EC5">
              <w:t>US$</w:t>
            </w:r>
            <w:r>
              <w:t xml:space="preserve"> 24,900</w:t>
            </w:r>
          </w:p>
        </w:tc>
        <w:tc>
          <w:tcPr>
            <w:tcW w:w="5166" w:type="dxa"/>
            <w:shd w:val="clear" w:color="auto" w:fill="auto"/>
            <w:tcMar>
              <w:left w:w="86" w:type="dxa"/>
              <w:right w:w="14" w:type="dxa"/>
            </w:tcMar>
          </w:tcPr>
          <w:p w14:paraId="1346298C" w14:textId="14A314AB" w:rsidR="006C5F29" w:rsidRPr="009C201E" w:rsidRDefault="006C5F29" w:rsidP="006C5F29">
            <w:r w:rsidRPr="00AC70D3">
              <w:t>US$</w:t>
            </w:r>
            <w:r>
              <w:t xml:space="preserve"> </w:t>
            </w:r>
            <w:r w:rsidRPr="00AC70D3">
              <w:t>8,300 per year for the intersessional period 2024–2026, to be paid in 2024, 2025 and 2026</w:t>
            </w:r>
            <w:r>
              <w:t>.</w:t>
            </w:r>
          </w:p>
        </w:tc>
        <w:tc>
          <w:tcPr>
            <w:tcW w:w="1589" w:type="dxa"/>
          </w:tcPr>
          <w:p w14:paraId="05B492E4" w14:textId="34B912FE" w:rsidR="006C5F29" w:rsidRPr="00511855" w:rsidRDefault="006C5F29" w:rsidP="006C5F29">
            <w:pPr>
              <w:jc w:val="center"/>
            </w:pPr>
            <w:r>
              <w:t>0</w:t>
            </w:r>
          </w:p>
        </w:tc>
      </w:tr>
      <w:tr w:rsidR="006C5F29" w:rsidRPr="00511855" w14:paraId="26A91AFF" w14:textId="77777777" w:rsidTr="00395C15">
        <w:trPr>
          <w:trHeight w:val="255"/>
          <w:jc w:val="center"/>
        </w:trPr>
        <w:tc>
          <w:tcPr>
            <w:tcW w:w="1530" w:type="dxa"/>
            <w:shd w:val="clear" w:color="auto" w:fill="auto"/>
            <w:noWrap/>
            <w:hideMark/>
          </w:tcPr>
          <w:p w14:paraId="26E63E0E" w14:textId="3C68A51C" w:rsidR="006C5F29" w:rsidRPr="00511855" w:rsidRDefault="006C5F29" w:rsidP="006C5F29">
            <w:r w:rsidRPr="00511855">
              <w:t>Switzerland</w:t>
            </w:r>
          </w:p>
        </w:tc>
        <w:tc>
          <w:tcPr>
            <w:tcW w:w="1345" w:type="dxa"/>
            <w:shd w:val="clear" w:color="auto" w:fill="auto"/>
          </w:tcPr>
          <w:p w14:paraId="69E76B23" w14:textId="6B212E5C" w:rsidR="006C5F29" w:rsidRPr="00511855" w:rsidRDefault="006C5F29" w:rsidP="006C5F29">
            <w:r>
              <w:t>CHF 126,000</w:t>
            </w:r>
          </w:p>
        </w:tc>
        <w:tc>
          <w:tcPr>
            <w:tcW w:w="5166" w:type="dxa"/>
            <w:shd w:val="clear" w:color="auto" w:fill="auto"/>
            <w:tcMar>
              <w:left w:w="86" w:type="dxa"/>
              <w:right w:w="14" w:type="dxa"/>
            </w:tcMar>
          </w:tcPr>
          <w:p w14:paraId="6E060590" w14:textId="5475E31F" w:rsidR="006C5F29" w:rsidRPr="009C201E" w:rsidRDefault="006C5F29" w:rsidP="006C5F29">
            <w:r w:rsidRPr="00DA7BEB">
              <w:t>CHF 42,000 per year for the intersessional period 2024–2026, to be paid in 2024, 2025 and 2026, including an annual ordinary contribution of CHF 20,000 and an additional contribution of CHF 22,000 earmarked for capacity-building activities in Central Asia</w:t>
            </w:r>
          </w:p>
        </w:tc>
        <w:tc>
          <w:tcPr>
            <w:tcW w:w="1589" w:type="dxa"/>
          </w:tcPr>
          <w:p w14:paraId="78105C12" w14:textId="47E47CC5" w:rsidR="006C5F29" w:rsidRPr="00511855" w:rsidRDefault="006C5F29" w:rsidP="006C5F29">
            <w:pPr>
              <w:jc w:val="center"/>
            </w:pPr>
            <w:r>
              <w:t>0</w:t>
            </w:r>
          </w:p>
        </w:tc>
      </w:tr>
      <w:tr w:rsidR="006C5F29" w:rsidRPr="00511855" w14:paraId="604CB8F3" w14:textId="77777777" w:rsidTr="00395C15">
        <w:trPr>
          <w:trHeight w:val="255"/>
          <w:jc w:val="center"/>
        </w:trPr>
        <w:tc>
          <w:tcPr>
            <w:tcW w:w="1530" w:type="dxa"/>
            <w:shd w:val="clear" w:color="auto" w:fill="auto"/>
            <w:noWrap/>
            <w:hideMark/>
          </w:tcPr>
          <w:p w14:paraId="407D773D" w14:textId="15930867" w:rsidR="006C5F29" w:rsidRPr="00A250D6" w:rsidRDefault="006C5F29" w:rsidP="006C5F29">
            <w:pPr>
              <w:rPr>
                <w:b/>
                <w:bCs/>
                <w:color w:val="FF0000"/>
              </w:rPr>
            </w:pPr>
            <w:r w:rsidRPr="00A250D6">
              <w:rPr>
                <w:b/>
                <w:bCs/>
                <w:color w:val="FF0000"/>
              </w:rPr>
              <w:t>Ukraine</w:t>
            </w:r>
          </w:p>
        </w:tc>
        <w:tc>
          <w:tcPr>
            <w:tcW w:w="1345" w:type="dxa"/>
            <w:shd w:val="clear" w:color="auto" w:fill="auto"/>
          </w:tcPr>
          <w:p w14:paraId="28542765" w14:textId="77777777" w:rsidR="006C5F29" w:rsidRPr="00511855" w:rsidRDefault="006C5F29" w:rsidP="006C5F29"/>
        </w:tc>
        <w:tc>
          <w:tcPr>
            <w:tcW w:w="5166" w:type="dxa"/>
            <w:shd w:val="clear" w:color="auto" w:fill="auto"/>
            <w:tcMar>
              <w:left w:w="86" w:type="dxa"/>
              <w:right w:w="14" w:type="dxa"/>
            </w:tcMar>
          </w:tcPr>
          <w:p w14:paraId="3F780510" w14:textId="77777777" w:rsidR="006C5F29" w:rsidRPr="009C201E" w:rsidRDefault="006C5F29" w:rsidP="006C5F29"/>
        </w:tc>
        <w:tc>
          <w:tcPr>
            <w:tcW w:w="1589" w:type="dxa"/>
          </w:tcPr>
          <w:p w14:paraId="7A671991" w14:textId="77777777" w:rsidR="006C5F29" w:rsidRPr="00511855" w:rsidRDefault="006C5F29" w:rsidP="006C5F29">
            <w:pPr>
              <w:jc w:val="center"/>
            </w:pPr>
          </w:p>
        </w:tc>
      </w:tr>
      <w:tr w:rsidR="006C5F29" w:rsidRPr="00511855" w14:paraId="5574824D" w14:textId="77777777" w:rsidTr="00395C15">
        <w:trPr>
          <w:trHeight w:val="255"/>
          <w:jc w:val="center"/>
        </w:trPr>
        <w:tc>
          <w:tcPr>
            <w:tcW w:w="1530" w:type="dxa"/>
            <w:shd w:val="clear" w:color="auto" w:fill="auto"/>
            <w:noWrap/>
            <w:hideMark/>
          </w:tcPr>
          <w:p w14:paraId="7A60240E" w14:textId="77777777" w:rsidR="006C5F29" w:rsidRPr="00A250D6" w:rsidRDefault="006C5F29" w:rsidP="006C5F29">
            <w:pPr>
              <w:rPr>
                <w:b/>
                <w:bCs/>
                <w:color w:val="FF0000"/>
              </w:rPr>
            </w:pPr>
            <w:r w:rsidRPr="00A250D6">
              <w:rPr>
                <w:b/>
                <w:bCs/>
                <w:color w:val="FF0000"/>
              </w:rPr>
              <w:t>United Kingdom of Great Britain and Northern Ireland</w:t>
            </w:r>
          </w:p>
        </w:tc>
        <w:tc>
          <w:tcPr>
            <w:tcW w:w="1345" w:type="dxa"/>
            <w:shd w:val="clear" w:color="auto" w:fill="auto"/>
          </w:tcPr>
          <w:p w14:paraId="55542EDC" w14:textId="77777777" w:rsidR="006C5F29" w:rsidRPr="00511855" w:rsidRDefault="006C5F29" w:rsidP="006C5F29"/>
        </w:tc>
        <w:tc>
          <w:tcPr>
            <w:tcW w:w="5166" w:type="dxa"/>
            <w:shd w:val="clear" w:color="auto" w:fill="auto"/>
            <w:tcMar>
              <w:left w:w="86" w:type="dxa"/>
              <w:right w:w="14" w:type="dxa"/>
            </w:tcMar>
          </w:tcPr>
          <w:p w14:paraId="19969ED7" w14:textId="77777777" w:rsidR="006C5F29" w:rsidRPr="009C201E" w:rsidRDefault="006C5F29" w:rsidP="006C5F29"/>
        </w:tc>
        <w:tc>
          <w:tcPr>
            <w:tcW w:w="1589" w:type="dxa"/>
          </w:tcPr>
          <w:p w14:paraId="42586DAE" w14:textId="77777777" w:rsidR="006C5F29" w:rsidRPr="00511855" w:rsidRDefault="006C5F29" w:rsidP="006C5F29">
            <w:pPr>
              <w:jc w:val="center"/>
            </w:pPr>
          </w:p>
        </w:tc>
      </w:tr>
      <w:tr w:rsidR="006C5F29" w:rsidRPr="00511855" w14:paraId="40D0F3C2" w14:textId="77777777" w:rsidTr="00395C15">
        <w:trPr>
          <w:trHeight w:val="489"/>
          <w:jc w:val="center"/>
        </w:trPr>
        <w:tc>
          <w:tcPr>
            <w:tcW w:w="1530" w:type="dxa"/>
            <w:shd w:val="clear" w:color="auto" w:fill="auto"/>
            <w:noWrap/>
            <w:hideMark/>
          </w:tcPr>
          <w:p w14:paraId="71B7B8DC" w14:textId="77777777" w:rsidR="006C5F29" w:rsidRPr="00331A26" w:rsidRDefault="006C5F29" w:rsidP="006C5F29">
            <w:r w:rsidRPr="00331A26">
              <w:t>European Union</w:t>
            </w:r>
          </w:p>
        </w:tc>
        <w:tc>
          <w:tcPr>
            <w:tcW w:w="1345" w:type="dxa"/>
            <w:shd w:val="clear" w:color="auto" w:fill="auto"/>
          </w:tcPr>
          <w:p w14:paraId="303BB78D" w14:textId="1BBFB69A" w:rsidR="006C5F29" w:rsidRPr="00331A26" w:rsidRDefault="006C5F29" w:rsidP="006C5F29">
            <w:pPr>
              <w:rPr>
                <w:iCs/>
              </w:rPr>
            </w:pPr>
            <w:r w:rsidRPr="00331A26">
              <w:rPr>
                <w:iCs/>
              </w:rPr>
              <w:t xml:space="preserve">     € 210,000</w:t>
            </w:r>
          </w:p>
        </w:tc>
        <w:tc>
          <w:tcPr>
            <w:tcW w:w="5166" w:type="dxa"/>
            <w:shd w:val="clear" w:color="auto" w:fill="auto"/>
            <w:tcMar>
              <w:left w:w="86" w:type="dxa"/>
              <w:right w:w="14" w:type="dxa"/>
            </w:tcMar>
          </w:tcPr>
          <w:p w14:paraId="7DFD57CA" w14:textId="2FBF2FAC" w:rsidR="006C5F29" w:rsidRPr="00331A26" w:rsidRDefault="006C5F29" w:rsidP="006C5F29">
            <w:r w:rsidRPr="00331A26">
              <w:t xml:space="preserve">€ </w:t>
            </w:r>
            <w:r w:rsidRPr="00731516">
              <w:t xml:space="preserve">70,000/year </w:t>
            </w:r>
            <w:r>
              <w:t>for 2024–2026</w:t>
            </w:r>
          </w:p>
        </w:tc>
        <w:tc>
          <w:tcPr>
            <w:tcW w:w="1589" w:type="dxa"/>
          </w:tcPr>
          <w:p w14:paraId="7B1DC9BB" w14:textId="2CB0C861" w:rsidR="006C5F29" w:rsidRPr="00331A26" w:rsidRDefault="006C5F29" w:rsidP="006C5F29">
            <w:pPr>
              <w:jc w:val="center"/>
            </w:pPr>
            <w:r w:rsidRPr="00331A26">
              <w:t>0</w:t>
            </w:r>
          </w:p>
        </w:tc>
      </w:tr>
      <w:tr w:rsidR="006C5F29" w:rsidRPr="00511855" w14:paraId="21DA44F8" w14:textId="77777777" w:rsidTr="00395C15">
        <w:trPr>
          <w:trHeight w:val="417"/>
          <w:jc w:val="center"/>
        </w:trPr>
        <w:tc>
          <w:tcPr>
            <w:tcW w:w="1530" w:type="dxa"/>
            <w:shd w:val="clear" w:color="auto" w:fill="D9D9D9" w:themeFill="background1" w:themeFillShade="D9"/>
            <w:noWrap/>
          </w:tcPr>
          <w:p w14:paraId="2B2437D0" w14:textId="08C1A9C2" w:rsidR="006C5F29" w:rsidRPr="00972257" w:rsidRDefault="006C5F29" w:rsidP="006C5F29">
            <w:pPr>
              <w:ind w:right="174"/>
              <w:rPr>
                <w:b/>
                <w:bCs/>
                <w:color w:val="000000" w:themeColor="text1"/>
              </w:rPr>
            </w:pPr>
            <w:r w:rsidRPr="00972257">
              <w:rPr>
                <w:b/>
                <w:bCs/>
                <w:color w:val="000000" w:themeColor="text1"/>
              </w:rPr>
              <w:t xml:space="preserve">Total amount </w:t>
            </w:r>
            <w:r>
              <w:rPr>
                <w:b/>
                <w:bCs/>
                <w:color w:val="000000" w:themeColor="text1"/>
              </w:rPr>
              <w:t xml:space="preserve">of pledges </w:t>
            </w:r>
            <w:r w:rsidRPr="00972257">
              <w:rPr>
                <w:b/>
                <w:bCs/>
                <w:color w:val="000000" w:themeColor="text1"/>
              </w:rPr>
              <w:t>in US$</w:t>
            </w:r>
            <w:r>
              <w:rPr>
                <w:b/>
                <w:bCs/>
                <w:color w:val="000000" w:themeColor="text1"/>
              </w:rPr>
              <w:t>*)</w:t>
            </w:r>
          </w:p>
        </w:tc>
        <w:tc>
          <w:tcPr>
            <w:tcW w:w="1345" w:type="dxa"/>
            <w:shd w:val="clear" w:color="auto" w:fill="D9D9D9" w:themeFill="background1" w:themeFillShade="D9"/>
          </w:tcPr>
          <w:p w14:paraId="277DF457" w14:textId="7482CEE4" w:rsidR="006C5F29" w:rsidRPr="00F9040F" w:rsidRDefault="006C5F29" w:rsidP="006C5F29">
            <w:pPr>
              <w:ind w:right="59"/>
              <w:jc w:val="center"/>
              <w:rPr>
                <w:b/>
                <w:bCs/>
                <w:iCs/>
              </w:rPr>
            </w:pPr>
            <w:r w:rsidRPr="00F9040F">
              <w:rPr>
                <w:b/>
                <w:bCs/>
              </w:rPr>
              <w:t>US$ 1,2</w:t>
            </w:r>
            <w:r w:rsidR="00C36C3F" w:rsidRPr="00F9040F">
              <w:rPr>
                <w:b/>
                <w:bCs/>
              </w:rPr>
              <w:t>97</w:t>
            </w:r>
            <w:r w:rsidRPr="00F9040F">
              <w:rPr>
                <w:b/>
                <w:bCs/>
              </w:rPr>
              <w:t>,</w:t>
            </w:r>
            <w:r w:rsidR="00C36C3F" w:rsidRPr="00F9040F">
              <w:rPr>
                <w:b/>
                <w:bCs/>
              </w:rPr>
              <w:t>53</w:t>
            </w:r>
            <w:r w:rsidRPr="00F9040F">
              <w:rPr>
                <w:b/>
                <w:bCs/>
              </w:rPr>
              <w:t xml:space="preserve">1 </w:t>
            </w:r>
          </w:p>
        </w:tc>
        <w:tc>
          <w:tcPr>
            <w:tcW w:w="5166" w:type="dxa"/>
            <w:shd w:val="clear" w:color="auto" w:fill="D9D9D9" w:themeFill="background1" w:themeFillShade="D9"/>
            <w:tcMar>
              <w:left w:w="86" w:type="dxa"/>
              <w:right w:w="14" w:type="dxa"/>
            </w:tcMar>
          </w:tcPr>
          <w:p w14:paraId="261375EA" w14:textId="77777777" w:rsidR="006C5F29" w:rsidRPr="00972257" w:rsidRDefault="006C5F29" w:rsidP="006C5F29">
            <w:pPr>
              <w:rPr>
                <w:color w:val="000000" w:themeColor="text1"/>
              </w:rPr>
            </w:pPr>
          </w:p>
        </w:tc>
        <w:tc>
          <w:tcPr>
            <w:tcW w:w="1589" w:type="dxa"/>
            <w:shd w:val="clear" w:color="auto" w:fill="D9D9D9" w:themeFill="background1" w:themeFillShade="D9"/>
          </w:tcPr>
          <w:p w14:paraId="539F5059" w14:textId="77777777" w:rsidR="006C5F29" w:rsidRPr="00511855" w:rsidRDefault="006C5F29" w:rsidP="006C5F29">
            <w:pPr>
              <w:jc w:val="center"/>
            </w:pPr>
          </w:p>
        </w:tc>
      </w:tr>
      <w:tr w:rsidR="006C5F29" w:rsidRPr="00511855" w14:paraId="626F12B9" w14:textId="77777777" w:rsidTr="00395C15">
        <w:trPr>
          <w:trHeight w:val="417"/>
          <w:jc w:val="center"/>
        </w:trPr>
        <w:tc>
          <w:tcPr>
            <w:tcW w:w="1530" w:type="dxa"/>
            <w:shd w:val="clear" w:color="auto" w:fill="D9D9D9" w:themeFill="background1" w:themeFillShade="D9"/>
            <w:noWrap/>
          </w:tcPr>
          <w:p w14:paraId="103B9C0A" w14:textId="7274201B" w:rsidR="006C5F29" w:rsidRPr="00972257" w:rsidRDefault="006C5F29" w:rsidP="006C5F29">
            <w:pPr>
              <w:ind w:right="174"/>
              <w:rPr>
                <w:color w:val="000000" w:themeColor="text1"/>
              </w:rPr>
            </w:pPr>
            <w:r w:rsidRPr="00972257">
              <w:rPr>
                <w:color w:val="000000" w:themeColor="text1"/>
              </w:rPr>
              <w:t>Total draft budget</w:t>
            </w:r>
            <w:r>
              <w:rPr>
                <w:color w:val="000000" w:themeColor="text1"/>
              </w:rPr>
              <w:t xml:space="preserve"> 2024-2026</w:t>
            </w:r>
          </w:p>
        </w:tc>
        <w:tc>
          <w:tcPr>
            <w:tcW w:w="1345" w:type="dxa"/>
            <w:shd w:val="clear" w:color="auto" w:fill="D9D9D9" w:themeFill="background1" w:themeFillShade="D9"/>
          </w:tcPr>
          <w:p w14:paraId="59DDE94C" w14:textId="6C199FAD" w:rsidR="006C5F29" w:rsidRPr="00F9040F" w:rsidRDefault="006C5F29" w:rsidP="006C5F29">
            <w:pPr>
              <w:ind w:right="59"/>
              <w:jc w:val="center"/>
            </w:pPr>
            <w:r w:rsidRPr="00F9040F">
              <w:t>US$ 1,9</w:t>
            </w:r>
            <w:r w:rsidR="00C36C3F" w:rsidRPr="00F9040F">
              <w:t>40</w:t>
            </w:r>
            <w:r w:rsidRPr="00F9040F">
              <w:t>,</w:t>
            </w:r>
            <w:r w:rsidR="00C36C3F" w:rsidRPr="00F9040F">
              <w:t>2</w:t>
            </w:r>
            <w:r w:rsidRPr="00F9040F">
              <w:t>10</w:t>
            </w:r>
          </w:p>
        </w:tc>
        <w:tc>
          <w:tcPr>
            <w:tcW w:w="5166" w:type="dxa"/>
            <w:shd w:val="clear" w:color="auto" w:fill="D9D9D9" w:themeFill="background1" w:themeFillShade="D9"/>
            <w:tcMar>
              <w:left w:w="86" w:type="dxa"/>
              <w:right w:w="14" w:type="dxa"/>
            </w:tcMar>
          </w:tcPr>
          <w:p w14:paraId="314BF542" w14:textId="77777777" w:rsidR="006C5F29" w:rsidRPr="00972257" w:rsidRDefault="006C5F29" w:rsidP="006C5F29">
            <w:pPr>
              <w:rPr>
                <w:color w:val="000000" w:themeColor="text1"/>
              </w:rPr>
            </w:pPr>
          </w:p>
        </w:tc>
        <w:tc>
          <w:tcPr>
            <w:tcW w:w="1589" w:type="dxa"/>
            <w:shd w:val="clear" w:color="auto" w:fill="D9D9D9" w:themeFill="background1" w:themeFillShade="D9"/>
          </w:tcPr>
          <w:p w14:paraId="4A0CA6FD" w14:textId="77777777" w:rsidR="006C5F29" w:rsidRPr="003B5CB9" w:rsidRDefault="006C5F29" w:rsidP="006C5F29">
            <w:pPr>
              <w:jc w:val="center"/>
            </w:pPr>
          </w:p>
        </w:tc>
      </w:tr>
      <w:tr w:rsidR="006C5F29" w:rsidRPr="00511855" w14:paraId="0482E518" w14:textId="77777777" w:rsidTr="00395C15">
        <w:trPr>
          <w:trHeight w:val="417"/>
          <w:jc w:val="center"/>
        </w:trPr>
        <w:tc>
          <w:tcPr>
            <w:tcW w:w="1530" w:type="dxa"/>
            <w:shd w:val="clear" w:color="auto" w:fill="D9D9D9" w:themeFill="background1" w:themeFillShade="D9"/>
            <w:noWrap/>
          </w:tcPr>
          <w:p w14:paraId="62E62A37" w14:textId="6822B381" w:rsidR="006C5F29" w:rsidRPr="00A250D6" w:rsidRDefault="006C5F29" w:rsidP="006C5F29">
            <w:pPr>
              <w:ind w:right="174"/>
              <w:rPr>
                <w:b/>
                <w:bCs/>
                <w:color w:val="000000" w:themeColor="text1"/>
              </w:rPr>
            </w:pPr>
            <w:r w:rsidRPr="00A250D6">
              <w:rPr>
                <w:b/>
                <w:bCs/>
                <w:color w:val="000000" w:themeColor="text1"/>
              </w:rPr>
              <w:t>Total budgetary deficit</w:t>
            </w:r>
          </w:p>
        </w:tc>
        <w:tc>
          <w:tcPr>
            <w:tcW w:w="1345" w:type="dxa"/>
            <w:shd w:val="clear" w:color="auto" w:fill="D9D9D9" w:themeFill="background1" w:themeFillShade="D9"/>
          </w:tcPr>
          <w:p w14:paraId="32EE7492" w14:textId="541382C0" w:rsidR="006C5F29" w:rsidRPr="00F9040F" w:rsidRDefault="001D269E" w:rsidP="006C5F29">
            <w:pPr>
              <w:ind w:right="59"/>
              <w:rPr>
                <w:b/>
                <w:bCs/>
              </w:rPr>
            </w:pPr>
            <w:r w:rsidRPr="00F9040F">
              <w:rPr>
                <w:b/>
                <w:bCs/>
              </w:rPr>
              <w:t xml:space="preserve"> - </w:t>
            </w:r>
            <w:r w:rsidR="006C5F29" w:rsidRPr="00F9040F">
              <w:rPr>
                <w:b/>
                <w:bCs/>
              </w:rPr>
              <w:t>US$ 6</w:t>
            </w:r>
            <w:r w:rsidR="00C36C3F" w:rsidRPr="00F9040F">
              <w:rPr>
                <w:b/>
                <w:bCs/>
              </w:rPr>
              <w:t>2</w:t>
            </w:r>
            <w:r w:rsidR="004C76B9" w:rsidRPr="00F9040F">
              <w:rPr>
                <w:b/>
                <w:bCs/>
              </w:rPr>
              <w:t>0</w:t>
            </w:r>
            <w:r w:rsidR="006C5F29" w:rsidRPr="00F9040F">
              <w:rPr>
                <w:b/>
                <w:bCs/>
              </w:rPr>
              <w:t>,</w:t>
            </w:r>
            <w:r w:rsidR="004C76B9" w:rsidRPr="00F9040F">
              <w:rPr>
                <w:b/>
                <w:bCs/>
              </w:rPr>
              <w:t>3</w:t>
            </w:r>
            <w:r w:rsidR="006C5F29" w:rsidRPr="00F9040F">
              <w:rPr>
                <w:b/>
                <w:bCs/>
              </w:rPr>
              <w:t>9</w:t>
            </w:r>
            <w:r w:rsidR="004C76B9" w:rsidRPr="00F9040F">
              <w:rPr>
                <w:b/>
                <w:bCs/>
              </w:rPr>
              <w:t>0</w:t>
            </w:r>
          </w:p>
        </w:tc>
        <w:tc>
          <w:tcPr>
            <w:tcW w:w="5166" w:type="dxa"/>
            <w:shd w:val="clear" w:color="auto" w:fill="D9D9D9" w:themeFill="background1" w:themeFillShade="D9"/>
            <w:tcMar>
              <w:left w:w="86" w:type="dxa"/>
              <w:right w:w="14" w:type="dxa"/>
            </w:tcMar>
          </w:tcPr>
          <w:p w14:paraId="00FAD0CC" w14:textId="77777777" w:rsidR="006C5F29" w:rsidRPr="00972257" w:rsidRDefault="006C5F29" w:rsidP="006C5F29">
            <w:pPr>
              <w:rPr>
                <w:color w:val="000000" w:themeColor="text1"/>
              </w:rPr>
            </w:pPr>
          </w:p>
        </w:tc>
        <w:tc>
          <w:tcPr>
            <w:tcW w:w="1589" w:type="dxa"/>
            <w:shd w:val="clear" w:color="auto" w:fill="D9D9D9" w:themeFill="background1" w:themeFillShade="D9"/>
          </w:tcPr>
          <w:p w14:paraId="3128C7BA" w14:textId="77777777" w:rsidR="006C5F29" w:rsidRPr="003B5CB9" w:rsidRDefault="006C5F29" w:rsidP="006C5F29">
            <w:pPr>
              <w:jc w:val="center"/>
            </w:pPr>
          </w:p>
        </w:tc>
      </w:tr>
    </w:tbl>
    <w:p w14:paraId="4408C96A" w14:textId="14C72E37" w:rsidR="001476DD" w:rsidRPr="001476DD" w:rsidRDefault="001476DD" w:rsidP="001476DD">
      <w:pPr>
        <w:spacing w:before="240"/>
        <w:ind w:right="1134"/>
      </w:pPr>
      <w:r w:rsidRPr="001476DD">
        <w:t xml:space="preserve">*) </w:t>
      </w:r>
      <w:r w:rsidR="00BD499F">
        <w:t xml:space="preserve">Pledges in original currencies were converted into United States dollars using a </w:t>
      </w:r>
      <w:r w:rsidR="000318FE">
        <w:t>December 2023 e</w:t>
      </w:r>
      <w:r w:rsidR="005B66DC">
        <w:t>xchange rate</w:t>
      </w:r>
      <w:r w:rsidR="00EA540C">
        <w:t xml:space="preserve"> </w:t>
      </w:r>
      <w:r w:rsidR="00EA540C" w:rsidRPr="00EA540C">
        <w:rPr>
          <w:i/>
          <w:iCs/>
        </w:rPr>
        <w:t>(source: Treasury – UN operational Rates of Exchange)</w:t>
      </w:r>
      <w:r w:rsidR="005B66DC" w:rsidRPr="00EA540C">
        <w:rPr>
          <w:i/>
          <w:iCs/>
        </w:rPr>
        <w:t>.</w:t>
      </w:r>
      <w:r w:rsidR="005B66DC">
        <w:t xml:space="preserve"> </w:t>
      </w:r>
    </w:p>
    <w:p w14:paraId="6EC7B35E" w14:textId="6065FF87" w:rsidR="00B52E3A" w:rsidRPr="00E835E2" w:rsidRDefault="006A79B2" w:rsidP="00E835E2">
      <w:pPr>
        <w:spacing w:before="240"/>
        <w:ind w:left="1134" w:right="1134"/>
        <w:jc w:val="center"/>
        <w:rPr>
          <w:u w:val="single"/>
        </w:rPr>
      </w:pPr>
      <w:r w:rsidRPr="00BE358E">
        <w:rPr>
          <w:u w:val="single"/>
        </w:rPr>
        <w:tab/>
      </w:r>
      <w:r w:rsidRPr="00BE358E">
        <w:rPr>
          <w:u w:val="single"/>
        </w:rPr>
        <w:tab/>
      </w:r>
      <w:r w:rsidRPr="00BE358E">
        <w:rPr>
          <w:u w:val="single"/>
        </w:rPr>
        <w:tab/>
      </w:r>
      <w:r w:rsidR="00B52E3A">
        <w:tab/>
      </w:r>
    </w:p>
    <w:sectPr w:rsidR="00B52E3A" w:rsidRPr="00E835E2" w:rsidSect="00E35C0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1FF1" w14:textId="77777777" w:rsidR="00C43CD3" w:rsidRDefault="00C43CD3"/>
  </w:endnote>
  <w:endnote w:type="continuationSeparator" w:id="0">
    <w:p w14:paraId="0EDB2ECE" w14:textId="77777777" w:rsidR="00C43CD3" w:rsidRDefault="00C43CD3"/>
  </w:endnote>
  <w:endnote w:type="continuationNotice" w:id="1">
    <w:p w14:paraId="3CEE2A86" w14:textId="77777777" w:rsidR="00C43CD3" w:rsidRDefault="00C4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735B" w14:textId="19092023" w:rsidR="00E76D3E" w:rsidRDefault="00E76D3E">
    <w:pPr>
      <w:pStyle w:val="Footer"/>
      <w:jc w:val="right"/>
    </w:pPr>
    <w:r>
      <w:fldChar w:fldCharType="begin"/>
    </w:r>
    <w:r>
      <w:instrText xml:space="preserve"> PAGE   \* MERGEFORMAT </w:instrText>
    </w:r>
    <w:r>
      <w:fldChar w:fldCharType="separate"/>
    </w:r>
    <w:r>
      <w:rPr>
        <w:noProof/>
      </w:rPr>
      <w:t>2</w:t>
    </w:r>
    <w:r>
      <w:rPr>
        <w:noProof/>
      </w:rPr>
      <w:fldChar w:fldCharType="end"/>
    </w:r>
  </w:p>
  <w:p w14:paraId="673BF7A3" w14:textId="21D0FB61" w:rsidR="00053E5C" w:rsidRPr="00B93B4B" w:rsidRDefault="00053E5C" w:rsidP="00B93B4B">
    <w:pPr>
      <w:pStyle w:val="Footer"/>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244D" w14:textId="77777777" w:rsidR="00053E5C" w:rsidRPr="00072CC7" w:rsidRDefault="00053E5C"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sidR="00F41636">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B9EB" w14:textId="2AA46DA6" w:rsidR="00053E5C" w:rsidRPr="00B93B4B" w:rsidRDefault="00764487" w:rsidP="00B93B4B">
    <w:pPr>
      <w:pStyle w:val="Footer"/>
      <w:rPr>
        <w:sz w:val="20"/>
      </w:rPr>
    </w:pPr>
    <w:r>
      <w:rPr>
        <w:noProof/>
        <w:sz w:val="20"/>
        <w:lang w:val="en-US"/>
      </w:rPr>
      <w:drawing>
        <wp:anchor distT="0" distB="0" distL="114300" distR="114300" simplePos="0" relativeHeight="251658240" behindDoc="0" locked="1" layoutInCell="1" allowOverlap="1" wp14:anchorId="60BF7E2B" wp14:editId="1E7FDF40">
          <wp:simplePos x="0" y="0"/>
          <wp:positionH relativeFrom="column">
            <wp:posOffset>5148580</wp:posOffset>
          </wp:positionH>
          <wp:positionV relativeFrom="paragraph">
            <wp:posOffset>-79375</wp:posOffset>
          </wp:positionV>
          <wp:extent cx="930275" cy="230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8732" w14:textId="77777777" w:rsidR="00C43CD3" w:rsidRPr="000B175B" w:rsidRDefault="00C43CD3" w:rsidP="000B175B">
      <w:pPr>
        <w:tabs>
          <w:tab w:val="right" w:pos="2155"/>
        </w:tabs>
        <w:spacing w:after="80"/>
        <w:ind w:left="680"/>
        <w:rPr>
          <w:u w:val="single"/>
        </w:rPr>
      </w:pPr>
      <w:r>
        <w:rPr>
          <w:u w:val="single"/>
        </w:rPr>
        <w:tab/>
      </w:r>
    </w:p>
  </w:footnote>
  <w:footnote w:type="continuationSeparator" w:id="0">
    <w:p w14:paraId="3DC30BF3" w14:textId="77777777" w:rsidR="00C43CD3" w:rsidRPr="00FC68B7" w:rsidRDefault="00C43CD3" w:rsidP="00FC68B7">
      <w:pPr>
        <w:tabs>
          <w:tab w:val="left" w:pos="2155"/>
        </w:tabs>
        <w:spacing w:after="80"/>
        <w:ind w:left="680"/>
        <w:rPr>
          <w:u w:val="single"/>
        </w:rPr>
      </w:pPr>
      <w:r>
        <w:rPr>
          <w:u w:val="single"/>
        </w:rPr>
        <w:tab/>
      </w:r>
    </w:p>
  </w:footnote>
  <w:footnote w:type="continuationNotice" w:id="1">
    <w:p w14:paraId="7BED631D" w14:textId="77777777" w:rsidR="00C43CD3" w:rsidRDefault="00C43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C461" w14:textId="5FA4D22A" w:rsidR="00053E5C" w:rsidRPr="00B003CD" w:rsidRDefault="00F9040F" w:rsidP="00E6206C">
    <w:pPr>
      <w:pStyle w:val="Header"/>
      <w:jc w:val="right"/>
    </w:pPr>
    <w:r>
      <w:rPr>
        <w:noProof/>
      </w:rPr>
      <w:pict w14:anchorId="7367E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9907" o:spid="_x0000_s1037" type="#_x0000_t136" style="position:absolute;left:0;text-align:left;margin-left:0;margin-top:0;width:485.35pt;height:194.1pt;rotation:315;z-index:-251658238;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r w:rsidR="00B52E3A" w:rsidRPr="00B003CD">
      <w:t xml:space="preserve"> </w:t>
    </w:r>
    <w:r w:rsidR="00EE052D" w:rsidRPr="00EE052D">
      <w:t>ECE/MP.EIA/2023/INF.4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93AF" w14:textId="6886EF9E" w:rsidR="00053E5C" w:rsidRPr="00B003CD" w:rsidRDefault="00F9040F" w:rsidP="00B003CD">
    <w:pPr>
      <w:pStyle w:val="Header"/>
    </w:pPr>
    <w:r>
      <w:rPr>
        <w:noProof/>
      </w:rPr>
      <w:pict w14:anchorId="737E8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9908" o:spid="_x0000_s1038" type="#_x0000_t136" style="position:absolute;margin-left:0;margin-top:0;width:485.35pt;height:194.1pt;rotation:315;z-index:-251658237;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r w:rsidR="00B52E3A" w:rsidRPr="00B003CD">
      <w:t xml:space="preserve"> </w:t>
    </w:r>
    <w:r w:rsidR="00EE052D" w:rsidRPr="00EE052D">
      <w:t>ECE/MP.EIA/2023/INF.4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EFC6" w14:textId="77777777" w:rsidR="00053E5C" w:rsidRDefault="00F9040F">
    <w:pPr>
      <w:pStyle w:val="Header"/>
    </w:pPr>
    <w:r>
      <w:rPr>
        <w:noProof/>
      </w:rPr>
      <w:pict w14:anchorId="58E83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9906" o:spid="_x0000_s1036" type="#_x0000_t136" style="position:absolute;margin-left:0;margin-top:0;width:485.35pt;height:194.1pt;rotation:315;z-index:-251658239;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2C044D84"/>
    <w:multiLevelType w:val="hybridMultilevel"/>
    <w:tmpl w:val="2084C7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F6F65"/>
    <w:multiLevelType w:val="hybridMultilevel"/>
    <w:tmpl w:val="82B24B3A"/>
    <w:lvl w:ilvl="0" w:tplc="7D98C1E8">
      <w:start w:val="3"/>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1F29E4"/>
    <w:multiLevelType w:val="hybridMultilevel"/>
    <w:tmpl w:val="8632ABAE"/>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F0E3D"/>
    <w:multiLevelType w:val="hybridMultilevel"/>
    <w:tmpl w:val="E67E0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2A5523"/>
    <w:multiLevelType w:val="hybridMultilevel"/>
    <w:tmpl w:val="BEE03CA2"/>
    <w:lvl w:ilvl="0" w:tplc="97C03E1A">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4528508">
    <w:abstractNumId w:val="1"/>
  </w:num>
  <w:num w:numId="2" w16cid:durableId="2090421154">
    <w:abstractNumId w:val="0"/>
  </w:num>
  <w:num w:numId="3" w16cid:durableId="1217887821">
    <w:abstractNumId w:val="2"/>
  </w:num>
  <w:num w:numId="4" w16cid:durableId="492987348">
    <w:abstractNumId w:val="3"/>
  </w:num>
  <w:num w:numId="5" w16cid:durableId="23559916">
    <w:abstractNumId w:val="8"/>
  </w:num>
  <w:num w:numId="6" w16cid:durableId="1758280703">
    <w:abstractNumId w:val="9"/>
  </w:num>
  <w:num w:numId="7" w16cid:durableId="1739281066">
    <w:abstractNumId w:val="7"/>
  </w:num>
  <w:num w:numId="8" w16cid:durableId="105203329">
    <w:abstractNumId w:val="6"/>
  </w:num>
  <w:num w:numId="9" w16cid:durableId="2062099092">
    <w:abstractNumId w:val="5"/>
  </w:num>
  <w:num w:numId="10" w16cid:durableId="1102527791">
    <w:abstractNumId w:val="4"/>
  </w:num>
  <w:num w:numId="11" w16cid:durableId="2055082780">
    <w:abstractNumId w:val="24"/>
  </w:num>
  <w:num w:numId="12" w16cid:durableId="1224025951">
    <w:abstractNumId w:val="12"/>
  </w:num>
  <w:num w:numId="13" w16cid:durableId="358895647">
    <w:abstractNumId w:val="11"/>
  </w:num>
  <w:num w:numId="14" w16cid:durableId="163472576">
    <w:abstractNumId w:val="26"/>
  </w:num>
  <w:num w:numId="15" w16cid:durableId="1853914758">
    <w:abstractNumId w:val="29"/>
  </w:num>
  <w:num w:numId="16" w16cid:durableId="1020010569">
    <w:abstractNumId w:val="21"/>
  </w:num>
  <w:num w:numId="17" w16cid:durableId="936979899">
    <w:abstractNumId w:val="13"/>
  </w:num>
  <w:num w:numId="18" w16cid:durableId="276566100">
    <w:abstractNumId w:val="17"/>
  </w:num>
  <w:num w:numId="19" w16cid:durableId="363869881">
    <w:abstractNumId w:val="10"/>
    <w:lvlOverride w:ilvl="0">
      <w:lvl w:ilvl="0">
        <w:numFmt w:val="bullet"/>
        <w:lvlText w:val="•"/>
        <w:legacy w:legacy="1" w:legacySpace="0" w:legacyIndent="0"/>
        <w:lvlJc w:val="left"/>
        <w:rPr>
          <w:rFonts w:ascii="Verdana" w:hAnsi="Verdana" w:hint="default"/>
          <w:sz w:val="20"/>
        </w:rPr>
      </w:lvl>
    </w:lvlOverride>
  </w:num>
  <w:num w:numId="20" w16cid:durableId="369959042">
    <w:abstractNumId w:val="10"/>
    <w:lvlOverride w:ilvl="0">
      <w:lvl w:ilvl="0">
        <w:numFmt w:val="bullet"/>
        <w:lvlText w:val="–"/>
        <w:legacy w:legacy="1" w:legacySpace="0" w:legacyIndent="0"/>
        <w:lvlJc w:val="left"/>
        <w:rPr>
          <w:rFonts w:ascii="Verdana" w:hAnsi="Verdana" w:hint="default"/>
          <w:sz w:val="18"/>
        </w:rPr>
      </w:lvl>
    </w:lvlOverride>
  </w:num>
  <w:num w:numId="21" w16cid:durableId="1077895738">
    <w:abstractNumId w:val="10"/>
    <w:lvlOverride w:ilvl="0">
      <w:lvl w:ilvl="0">
        <w:numFmt w:val="bullet"/>
        <w:lvlText w:val="•"/>
        <w:legacy w:legacy="1" w:legacySpace="0" w:legacyIndent="0"/>
        <w:lvlJc w:val="left"/>
        <w:rPr>
          <w:rFonts w:ascii="Verdana" w:hAnsi="Verdana" w:hint="default"/>
          <w:sz w:val="16"/>
        </w:rPr>
      </w:lvl>
    </w:lvlOverride>
  </w:num>
  <w:num w:numId="22" w16cid:durableId="527908098">
    <w:abstractNumId w:val="10"/>
    <w:lvlOverride w:ilvl="0">
      <w:lvl w:ilvl="0">
        <w:numFmt w:val="bullet"/>
        <w:lvlText w:val="–"/>
        <w:legacy w:legacy="1" w:legacySpace="0" w:legacyIndent="0"/>
        <w:lvlJc w:val="left"/>
        <w:rPr>
          <w:rFonts w:ascii="Verdana" w:hAnsi="Verdana" w:hint="default"/>
          <w:sz w:val="14"/>
        </w:rPr>
      </w:lvl>
    </w:lvlOverride>
  </w:num>
  <w:num w:numId="23" w16cid:durableId="885721115">
    <w:abstractNumId w:val="10"/>
    <w:lvlOverride w:ilvl="0">
      <w:lvl w:ilvl="0">
        <w:numFmt w:val="bullet"/>
        <w:lvlText w:val="•"/>
        <w:legacy w:legacy="1" w:legacySpace="0" w:legacyIndent="0"/>
        <w:lvlJc w:val="left"/>
        <w:rPr>
          <w:rFonts w:ascii="Verdana" w:hAnsi="Verdana" w:hint="default"/>
          <w:sz w:val="18"/>
        </w:rPr>
      </w:lvl>
    </w:lvlOverride>
  </w:num>
  <w:num w:numId="24" w16cid:durableId="727068191">
    <w:abstractNumId w:val="10"/>
    <w:lvlOverride w:ilvl="0">
      <w:lvl w:ilvl="0">
        <w:numFmt w:val="bullet"/>
        <w:lvlText w:val="–"/>
        <w:legacy w:legacy="1" w:legacySpace="0" w:legacyIndent="0"/>
        <w:lvlJc w:val="left"/>
        <w:rPr>
          <w:rFonts w:ascii="Verdana" w:hAnsi="Verdana" w:hint="default"/>
          <w:sz w:val="16"/>
        </w:rPr>
      </w:lvl>
    </w:lvlOverride>
  </w:num>
  <w:num w:numId="25" w16cid:durableId="625699904">
    <w:abstractNumId w:val="23"/>
  </w:num>
  <w:num w:numId="26" w16cid:durableId="423569805">
    <w:abstractNumId w:val="14"/>
  </w:num>
  <w:num w:numId="27" w16cid:durableId="1206724035">
    <w:abstractNumId w:val="16"/>
  </w:num>
  <w:num w:numId="28" w16cid:durableId="1369524763">
    <w:abstractNumId w:val="20"/>
  </w:num>
  <w:num w:numId="29" w16cid:durableId="1118403826">
    <w:abstractNumId w:val="15"/>
  </w:num>
  <w:num w:numId="30" w16cid:durableId="781463701">
    <w:abstractNumId w:val="19"/>
  </w:num>
  <w:num w:numId="31" w16cid:durableId="1915966177">
    <w:abstractNumId w:val="27"/>
  </w:num>
  <w:num w:numId="32" w16cid:durableId="1131944625">
    <w:abstractNumId w:val="18"/>
  </w:num>
  <w:num w:numId="33" w16cid:durableId="666057570">
    <w:abstractNumId w:val="25"/>
  </w:num>
  <w:num w:numId="34" w16cid:durableId="1520511360">
    <w:abstractNumId w:val="22"/>
  </w:num>
  <w:num w:numId="35" w16cid:durableId="15471388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77A"/>
    <w:rsid w:val="00001A20"/>
    <w:rsid w:val="00002943"/>
    <w:rsid w:val="00004C4D"/>
    <w:rsid w:val="000063FC"/>
    <w:rsid w:val="00010255"/>
    <w:rsid w:val="00010403"/>
    <w:rsid w:val="000109D1"/>
    <w:rsid w:val="000126D1"/>
    <w:rsid w:val="000318FE"/>
    <w:rsid w:val="0003230C"/>
    <w:rsid w:val="00032901"/>
    <w:rsid w:val="00032E02"/>
    <w:rsid w:val="00033B98"/>
    <w:rsid w:val="00034041"/>
    <w:rsid w:val="00035389"/>
    <w:rsid w:val="00035FC6"/>
    <w:rsid w:val="00036FA0"/>
    <w:rsid w:val="000370B7"/>
    <w:rsid w:val="00043C4E"/>
    <w:rsid w:val="000447C1"/>
    <w:rsid w:val="000463DC"/>
    <w:rsid w:val="00046B1F"/>
    <w:rsid w:val="0004746F"/>
    <w:rsid w:val="000477B2"/>
    <w:rsid w:val="00050F6B"/>
    <w:rsid w:val="00051058"/>
    <w:rsid w:val="00051076"/>
    <w:rsid w:val="00053139"/>
    <w:rsid w:val="00053E5C"/>
    <w:rsid w:val="00054926"/>
    <w:rsid w:val="00057E97"/>
    <w:rsid w:val="00060360"/>
    <w:rsid w:val="000618DC"/>
    <w:rsid w:val="0007156B"/>
    <w:rsid w:val="000729ED"/>
    <w:rsid w:val="00072C60"/>
    <w:rsid w:val="00072C8C"/>
    <w:rsid w:val="00072CC7"/>
    <w:rsid w:val="000733B5"/>
    <w:rsid w:val="00075D6A"/>
    <w:rsid w:val="00077BCC"/>
    <w:rsid w:val="00081815"/>
    <w:rsid w:val="00082412"/>
    <w:rsid w:val="00082721"/>
    <w:rsid w:val="00085369"/>
    <w:rsid w:val="0008607B"/>
    <w:rsid w:val="000931C0"/>
    <w:rsid w:val="0009609C"/>
    <w:rsid w:val="0009652E"/>
    <w:rsid w:val="00097DCF"/>
    <w:rsid w:val="00097F5A"/>
    <w:rsid w:val="000A1450"/>
    <w:rsid w:val="000A1905"/>
    <w:rsid w:val="000A468A"/>
    <w:rsid w:val="000A4CB6"/>
    <w:rsid w:val="000A5633"/>
    <w:rsid w:val="000A7E3C"/>
    <w:rsid w:val="000B0595"/>
    <w:rsid w:val="000B175B"/>
    <w:rsid w:val="000B3A0F"/>
    <w:rsid w:val="000B4EF7"/>
    <w:rsid w:val="000C10D1"/>
    <w:rsid w:val="000C2C03"/>
    <w:rsid w:val="000C2D2E"/>
    <w:rsid w:val="000C4CFC"/>
    <w:rsid w:val="000C6BF5"/>
    <w:rsid w:val="000E0415"/>
    <w:rsid w:val="000E3644"/>
    <w:rsid w:val="000E38A2"/>
    <w:rsid w:val="000E4E69"/>
    <w:rsid w:val="000E533E"/>
    <w:rsid w:val="00100BC8"/>
    <w:rsid w:val="0010409C"/>
    <w:rsid w:val="00105161"/>
    <w:rsid w:val="001070E9"/>
    <w:rsid w:val="001103AA"/>
    <w:rsid w:val="00113C72"/>
    <w:rsid w:val="00116091"/>
    <w:rsid w:val="0011666B"/>
    <w:rsid w:val="00117E14"/>
    <w:rsid w:val="001201DD"/>
    <w:rsid w:val="001254EB"/>
    <w:rsid w:val="00130D4D"/>
    <w:rsid w:val="00130FFF"/>
    <w:rsid w:val="001310FC"/>
    <w:rsid w:val="00131317"/>
    <w:rsid w:val="0013208D"/>
    <w:rsid w:val="00133435"/>
    <w:rsid w:val="00137859"/>
    <w:rsid w:val="001418A5"/>
    <w:rsid w:val="00142297"/>
    <w:rsid w:val="00144221"/>
    <w:rsid w:val="00146CEA"/>
    <w:rsid w:val="001476DD"/>
    <w:rsid w:val="00150526"/>
    <w:rsid w:val="001538A8"/>
    <w:rsid w:val="001545C2"/>
    <w:rsid w:val="00154FD9"/>
    <w:rsid w:val="00162D18"/>
    <w:rsid w:val="00164DBF"/>
    <w:rsid w:val="00164FF5"/>
    <w:rsid w:val="00165F3A"/>
    <w:rsid w:val="00166C14"/>
    <w:rsid w:val="001705C4"/>
    <w:rsid w:val="00171224"/>
    <w:rsid w:val="0017188D"/>
    <w:rsid w:val="001736A5"/>
    <w:rsid w:val="00175968"/>
    <w:rsid w:val="00175F12"/>
    <w:rsid w:val="00183687"/>
    <w:rsid w:val="001867A9"/>
    <w:rsid w:val="001872AE"/>
    <w:rsid w:val="00187776"/>
    <w:rsid w:val="001926A4"/>
    <w:rsid w:val="001969F4"/>
    <w:rsid w:val="00197A2F"/>
    <w:rsid w:val="00197C43"/>
    <w:rsid w:val="001A0901"/>
    <w:rsid w:val="001A3336"/>
    <w:rsid w:val="001A5162"/>
    <w:rsid w:val="001A67C4"/>
    <w:rsid w:val="001A71F0"/>
    <w:rsid w:val="001B06DB"/>
    <w:rsid w:val="001B2811"/>
    <w:rsid w:val="001B4B04"/>
    <w:rsid w:val="001B7191"/>
    <w:rsid w:val="001C0EFE"/>
    <w:rsid w:val="001C4FAF"/>
    <w:rsid w:val="001C6370"/>
    <w:rsid w:val="001C6402"/>
    <w:rsid w:val="001C6663"/>
    <w:rsid w:val="001C7895"/>
    <w:rsid w:val="001C79CD"/>
    <w:rsid w:val="001D0C8C"/>
    <w:rsid w:val="001D1419"/>
    <w:rsid w:val="001D14D1"/>
    <w:rsid w:val="001D269E"/>
    <w:rsid w:val="001D26DF"/>
    <w:rsid w:val="001D3A03"/>
    <w:rsid w:val="001D3D64"/>
    <w:rsid w:val="001D65E7"/>
    <w:rsid w:val="001E07B2"/>
    <w:rsid w:val="001E3410"/>
    <w:rsid w:val="001E3535"/>
    <w:rsid w:val="001E40C9"/>
    <w:rsid w:val="001E70DB"/>
    <w:rsid w:val="001E7B67"/>
    <w:rsid w:val="001F1AF8"/>
    <w:rsid w:val="001F38E9"/>
    <w:rsid w:val="001F3F9B"/>
    <w:rsid w:val="001F5954"/>
    <w:rsid w:val="001F6F6B"/>
    <w:rsid w:val="001F7ABF"/>
    <w:rsid w:val="00200A13"/>
    <w:rsid w:val="00200C24"/>
    <w:rsid w:val="00202DA8"/>
    <w:rsid w:val="00204E72"/>
    <w:rsid w:val="002058F6"/>
    <w:rsid w:val="0020798A"/>
    <w:rsid w:val="00211E0B"/>
    <w:rsid w:val="00216949"/>
    <w:rsid w:val="00217380"/>
    <w:rsid w:val="002218F5"/>
    <w:rsid w:val="00230C33"/>
    <w:rsid w:val="0023189C"/>
    <w:rsid w:val="00233359"/>
    <w:rsid w:val="00233A69"/>
    <w:rsid w:val="00235D82"/>
    <w:rsid w:val="0024254E"/>
    <w:rsid w:val="002425A8"/>
    <w:rsid w:val="002431C9"/>
    <w:rsid w:val="00244DCE"/>
    <w:rsid w:val="0024772E"/>
    <w:rsid w:val="00251CA2"/>
    <w:rsid w:val="00253C85"/>
    <w:rsid w:val="002566DE"/>
    <w:rsid w:val="002639A8"/>
    <w:rsid w:val="002668C9"/>
    <w:rsid w:val="00267F5F"/>
    <w:rsid w:val="00271003"/>
    <w:rsid w:val="00272568"/>
    <w:rsid w:val="002725C3"/>
    <w:rsid w:val="00274AD8"/>
    <w:rsid w:val="00275313"/>
    <w:rsid w:val="002824B1"/>
    <w:rsid w:val="00282AD9"/>
    <w:rsid w:val="00284B0D"/>
    <w:rsid w:val="00286B4D"/>
    <w:rsid w:val="002928F9"/>
    <w:rsid w:val="002946C1"/>
    <w:rsid w:val="00295B60"/>
    <w:rsid w:val="00296362"/>
    <w:rsid w:val="00296634"/>
    <w:rsid w:val="002A17DB"/>
    <w:rsid w:val="002A234B"/>
    <w:rsid w:val="002A47FC"/>
    <w:rsid w:val="002B16B6"/>
    <w:rsid w:val="002B20E9"/>
    <w:rsid w:val="002B2DBD"/>
    <w:rsid w:val="002B6ADD"/>
    <w:rsid w:val="002C06B4"/>
    <w:rsid w:val="002C1963"/>
    <w:rsid w:val="002C690A"/>
    <w:rsid w:val="002C75BD"/>
    <w:rsid w:val="002C7D36"/>
    <w:rsid w:val="002D0EA2"/>
    <w:rsid w:val="002D254E"/>
    <w:rsid w:val="002D4643"/>
    <w:rsid w:val="002D4BE3"/>
    <w:rsid w:val="002E29CA"/>
    <w:rsid w:val="002E667C"/>
    <w:rsid w:val="002F0BE3"/>
    <w:rsid w:val="002F175C"/>
    <w:rsid w:val="002F2B7D"/>
    <w:rsid w:val="002F624C"/>
    <w:rsid w:val="002F6CC9"/>
    <w:rsid w:val="00300DE9"/>
    <w:rsid w:val="00300F36"/>
    <w:rsid w:val="00301A24"/>
    <w:rsid w:val="00302E18"/>
    <w:rsid w:val="00307C63"/>
    <w:rsid w:val="0031265F"/>
    <w:rsid w:val="00317134"/>
    <w:rsid w:val="00317BA1"/>
    <w:rsid w:val="003229D8"/>
    <w:rsid w:val="003268D3"/>
    <w:rsid w:val="0033013F"/>
    <w:rsid w:val="00330AA6"/>
    <w:rsid w:val="00331A26"/>
    <w:rsid w:val="003327E1"/>
    <w:rsid w:val="00333AAC"/>
    <w:rsid w:val="00335DD0"/>
    <w:rsid w:val="00335E22"/>
    <w:rsid w:val="003448B4"/>
    <w:rsid w:val="0034797C"/>
    <w:rsid w:val="00347999"/>
    <w:rsid w:val="00351753"/>
    <w:rsid w:val="00352709"/>
    <w:rsid w:val="003557B1"/>
    <w:rsid w:val="003574AD"/>
    <w:rsid w:val="003619B5"/>
    <w:rsid w:val="00365763"/>
    <w:rsid w:val="00366AF4"/>
    <w:rsid w:val="003710A0"/>
    <w:rsid w:val="00371178"/>
    <w:rsid w:val="00371D92"/>
    <w:rsid w:val="00372054"/>
    <w:rsid w:val="00372B4F"/>
    <w:rsid w:val="0037377C"/>
    <w:rsid w:val="00374EC9"/>
    <w:rsid w:val="00375971"/>
    <w:rsid w:val="00376A8A"/>
    <w:rsid w:val="00377224"/>
    <w:rsid w:val="00377434"/>
    <w:rsid w:val="00377EF4"/>
    <w:rsid w:val="00381433"/>
    <w:rsid w:val="003845A3"/>
    <w:rsid w:val="0038474F"/>
    <w:rsid w:val="003871B9"/>
    <w:rsid w:val="00391599"/>
    <w:rsid w:val="00392E47"/>
    <w:rsid w:val="00395C15"/>
    <w:rsid w:val="003A597B"/>
    <w:rsid w:val="003A6810"/>
    <w:rsid w:val="003B4680"/>
    <w:rsid w:val="003B5CB9"/>
    <w:rsid w:val="003C2CC4"/>
    <w:rsid w:val="003C33DA"/>
    <w:rsid w:val="003C76E0"/>
    <w:rsid w:val="003D4B23"/>
    <w:rsid w:val="003D6CB5"/>
    <w:rsid w:val="003D6F7C"/>
    <w:rsid w:val="003E1099"/>
    <w:rsid w:val="003F15EE"/>
    <w:rsid w:val="003F3800"/>
    <w:rsid w:val="003F4A16"/>
    <w:rsid w:val="003F57EF"/>
    <w:rsid w:val="003F62D4"/>
    <w:rsid w:val="003F7007"/>
    <w:rsid w:val="00400019"/>
    <w:rsid w:val="0040230B"/>
    <w:rsid w:val="00402B07"/>
    <w:rsid w:val="0040348A"/>
    <w:rsid w:val="00410C89"/>
    <w:rsid w:val="00411074"/>
    <w:rsid w:val="00411E85"/>
    <w:rsid w:val="004156DA"/>
    <w:rsid w:val="00415E5D"/>
    <w:rsid w:val="00420567"/>
    <w:rsid w:val="00422E03"/>
    <w:rsid w:val="00422E58"/>
    <w:rsid w:val="0042434C"/>
    <w:rsid w:val="004258EE"/>
    <w:rsid w:val="00426B9B"/>
    <w:rsid w:val="004305BF"/>
    <w:rsid w:val="00431451"/>
    <w:rsid w:val="004314B7"/>
    <w:rsid w:val="00432296"/>
    <w:rsid w:val="004325CB"/>
    <w:rsid w:val="00436788"/>
    <w:rsid w:val="0044147A"/>
    <w:rsid w:val="00442A83"/>
    <w:rsid w:val="0044360E"/>
    <w:rsid w:val="00445E97"/>
    <w:rsid w:val="0044648C"/>
    <w:rsid w:val="004506E2"/>
    <w:rsid w:val="0045495B"/>
    <w:rsid w:val="004563E6"/>
    <w:rsid w:val="004569FB"/>
    <w:rsid w:val="00456C9C"/>
    <w:rsid w:val="00466275"/>
    <w:rsid w:val="0046658C"/>
    <w:rsid w:val="004666EE"/>
    <w:rsid w:val="00467F67"/>
    <w:rsid w:val="00477309"/>
    <w:rsid w:val="00480207"/>
    <w:rsid w:val="0048095A"/>
    <w:rsid w:val="004832BF"/>
    <w:rsid w:val="0048397A"/>
    <w:rsid w:val="00485B1B"/>
    <w:rsid w:val="00485CBB"/>
    <w:rsid w:val="00485FED"/>
    <w:rsid w:val="004866B7"/>
    <w:rsid w:val="004869A2"/>
    <w:rsid w:val="00486E30"/>
    <w:rsid w:val="00490B20"/>
    <w:rsid w:val="00491C75"/>
    <w:rsid w:val="0049396D"/>
    <w:rsid w:val="00495113"/>
    <w:rsid w:val="0049781F"/>
    <w:rsid w:val="004A5153"/>
    <w:rsid w:val="004B1F97"/>
    <w:rsid w:val="004B3F35"/>
    <w:rsid w:val="004B7185"/>
    <w:rsid w:val="004C20CD"/>
    <w:rsid w:val="004C2461"/>
    <w:rsid w:val="004C5ACE"/>
    <w:rsid w:val="004C686D"/>
    <w:rsid w:val="004C6D3F"/>
    <w:rsid w:val="004C7462"/>
    <w:rsid w:val="004C76B9"/>
    <w:rsid w:val="004D0000"/>
    <w:rsid w:val="004D0352"/>
    <w:rsid w:val="004D4B87"/>
    <w:rsid w:val="004D5792"/>
    <w:rsid w:val="004E13FA"/>
    <w:rsid w:val="004E2F97"/>
    <w:rsid w:val="004E77B2"/>
    <w:rsid w:val="00502C92"/>
    <w:rsid w:val="00504B2D"/>
    <w:rsid w:val="005062C5"/>
    <w:rsid w:val="00511855"/>
    <w:rsid w:val="005124B0"/>
    <w:rsid w:val="00515AF6"/>
    <w:rsid w:val="0051606A"/>
    <w:rsid w:val="0052136D"/>
    <w:rsid w:val="00521880"/>
    <w:rsid w:val="00521B4E"/>
    <w:rsid w:val="00525C31"/>
    <w:rsid w:val="005269C9"/>
    <w:rsid w:val="0052775E"/>
    <w:rsid w:val="005313F3"/>
    <w:rsid w:val="005323E0"/>
    <w:rsid w:val="00533F78"/>
    <w:rsid w:val="005371A6"/>
    <w:rsid w:val="005414D1"/>
    <w:rsid w:val="005420F2"/>
    <w:rsid w:val="00543ECA"/>
    <w:rsid w:val="005443C4"/>
    <w:rsid w:val="00545CF0"/>
    <w:rsid w:val="00551D58"/>
    <w:rsid w:val="00552F0E"/>
    <w:rsid w:val="00554DB5"/>
    <w:rsid w:val="0055625E"/>
    <w:rsid w:val="005573AB"/>
    <w:rsid w:val="005623B9"/>
    <w:rsid w:val="00562450"/>
    <w:rsid w:val="005628B6"/>
    <w:rsid w:val="0057156E"/>
    <w:rsid w:val="00571667"/>
    <w:rsid w:val="005807D9"/>
    <w:rsid w:val="00580AA8"/>
    <w:rsid w:val="0058257D"/>
    <w:rsid w:val="00584912"/>
    <w:rsid w:val="0058516F"/>
    <w:rsid w:val="0059724D"/>
    <w:rsid w:val="005A1FFD"/>
    <w:rsid w:val="005B164E"/>
    <w:rsid w:val="005B1E0A"/>
    <w:rsid w:val="005B3DB3"/>
    <w:rsid w:val="005B4E13"/>
    <w:rsid w:val="005B66DC"/>
    <w:rsid w:val="005B7485"/>
    <w:rsid w:val="005C1B8D"/>
    <w:rsid w:val="005C342F"/>
    <w:rsid w:val="005C5F9D"/>
    <w:rsid w:val="005C642E"/>
    <w:rsid w:val="005C6691"/>
    <w:rsid w:val="005D2609"/>
    <w:rsid w:val="005D66F6"/>
    <w:rsid w:val="005D7C4C"/>
    <w:rsid w:val="005E34FF"/>
    <w:rsid w:val="005E3C40"/>
    <w:rsid w:val="005E51AA"/>
    <w:rsid w:val="005E7803"/>
    <w:rsid w:val="005F1D0E"/>
    <w:rsid w:val="005F2838"/>
    <w:rsid w:val="005F3179"/>
    <w:rsid w:val="005F44E4"/>
    <w:rsid w:val="005F7B75"/>
    <w:rsid w:val="006001EE"/>
    <w:rsid w:val="00604614"/>
    <w:rsid w:val="00605042"/>
    <w:rsid w:val="006075C5"/>
    <w:rsid w:val="00607E93"/>
    <w:rsid w:val="00610AD4"/>
    <w:rsid w:val="00611FC4"/>
    <w:rsid w:val="00613553"/>
    <w:rsid w:val="00614083"/>
    <w:rsid w:val="006171E1"/>
    <w:rsid w:val="006176FB"/>
    <w:rsid w:val="0062217A"/>
    <w:rsid w:val="00623E22"/>
    <w:rsid w:val="00624DAF"/>
    <w:rsid w:val="00627B54"/>
    <w:rsid w:val="00630045"/>
    <w:rsid w:val="00630265"/>
    <w:rsid w:val="00632322"/>
    <w:rsid w:val="006337E5"/>
    <w:rsid w:val="00640707"/>
    <w:rsid w:val="00640B26"/>
    <w:rsid w:val="00641737"/>
    <w:rsid w:val="00643307"/>
    <w:rsid w:val="00645633"/>
    <w:rsid w:val="00646114"/>
    <w:rsid w:val="006466F0"/>
    <w:rsid w:val="00652653"/>
    <w:rsid w:val="00652D0A"/>
    <w:rsid w:val="00654DB3"/>
    <w:rsid w:val="00661C62"/>
    <w:rsid w:val="00662BB6"/>
    <w:rsid w:val="00663370"/>
    <w:rsid w:val="00664CE6"/>
    <w:rsid w:val="006661F3"/>
    <w:rsid w:val="0066724A"/>
    <w:rsid w:val="006710D4"/>
    <w:rsid w:val="00672450"/>
    <w:rsid w:val="00672808"/>
    <w:rsid w:val="00674F64"/>
    <w:rsid w:val="00676606"/>
    <w:rsid w:val="00676C93"/>
    <w:rsid w:val="0068138A"/>
    <w:rsid w:val="00684C21"/>
    <w:rsid w:val="006869FE"/>
    <w:rsid w:val="0069109C"/>
    <w:rsid w:val="00692C6D"/>
    <w:rsid w:val="00697786"/>
    <w:rsid w:val="00697C0C"/>
    <w:rsid w:val="006A1A13"/>
    <w:rsid w:val="006A1E8D"/>
    <w:rsid w:val="006A2530"/>
    <w:rsid w:val="006A5159"/>
    <w:rsid w:val="006A79B2"/>
    <w:rsid w:val="006B3B3F"/>
    <w:rsid w:val="006B4527"/>
    <w:rsid w:val="006B4EA8"/>
    <w:rsid w:val="006B59DB"/>
    <w:rsid w:val="006C17BF"/>
    <w:rsid w:val="006C3589"/>
    <w:rsid w:val="006C5F29"/>
    <w:rsid w:val="006C7C68"/>
    <w:rsid w:val="006D1D20"/>
    <w:rsid w:val="006D2485"/>
    <w:rsid w:val="006D2C08"/>
    <w:rsid w:val="006D37AF"/>
    <w:rsid w:val="006D4BD4"/>
    <w:rsid w:val="006D51D0"/>
    <w:rsid w:val="006D5FB9"/>
    <w:rsid w:val="006D6F2B"/>
    <w:rsid w:val="006D7DC0"/>
    <w:rsid w:val="006D7EF5"/>
    <w:rsid w:val="006E12C3"/>
    <w:rsid w:val="006E226B"/>
    <w:rsid w:val="006E564B"/>
    <w:rsid w:val="006E6A4D"/>
    <w:rsid w:val="006E7191"/>
    <w:rsid w:val="006F1524"/>
    <w:rsid w:val="006F4610"/>
    <w:rsid w:val="006F5A13"/>
    <w:rsid w:val="007009DE"/>
    <w:rsid w:val="00703577"/>
    <w:rsid w:val="00705894"/>
    <w:rsid w:val="007125E5"/>
    <w:rsid w:val="007134ED"/>
    <w:rsid w:val="00722A85"/>
    <w:rsid w:val="0072632A"/>
    <w:rsid w:val="00726A4F"/>
    <w:rsid w:val="007271C1"/>
    <w:rsid w:val="00731516"/>
    <w:rsid w:val="007327D5"/>
    <w:rsid w:val="00732AF8"/>
    <w:rsid w:val="00732D7D"/>
    <w:rsid w:val="00733C31"/>
    <w:rsid w:val="0073662F"/>
    <w:rsid w:val="00736C95"/>
    <w:rsid w:val="00740D5C"/>
    <w:rsid w:val="00754B8B"/>
    <w:rsid w:val="007629C8"/>
    <w:rsid w:val="0076432A"/>
    <w:rsid w:val="00764487"/>
    <w:rsid w:val="0077047D"/>
    <w:rsid w:val="00774196"/>
    <w:rsid w:val="00775ECF"/>
    <w:rsid w:val="00783974"/>
    <w:rsid w:val="00785360"/>
    <w:rsid w:val="007869D3"/>
    <w:rsid w:val="00787085"/>
    <w:rsid w:val="00790098"/>
    <w:rsid w:val="00791400"/>
    <w:rsid w:val="00793E1B"/>
    <w:rsid w:val="00796291"/>
    <w:rsid w:val="007A084B"/>
    <w:rsid w:val="007A171B"/>
    <w:rsid w:val="007A1E0D"/>
    <w:rsid w:val="007A38B0"/>
    <w:rsid w:val="007A4698"/>
    <w:rsid w:val="007A629D"/>
    <w:rsid w:val="007B3F59"/>
    <w:rsid w:val="007B4EE7"/>
    <w:rsid w:val="007B500A"/>
    <w:rsid w:val="007B6BA5"/>
    <w:rsid w:val="007B6FFA"/>
    <w:rsid w:val="007B768D"/>
    <w:rsid w:val="007B7B52"/>
    <w:rsid w:val="007C2F5F"/>
    <w:rsid w:val="007C3390"/>
    <w:rsid w:val="007C3C55"/>
    <w:rsid w:val="007C4F4B"/>
    <w:rsid w:val="007C523E"/>
    <w:rsid w:val="007C556F"/>
    <w:rsid w:val="007C788E"/>
    <w:rsid w:val="007C7A3A"/>
    <w:rsid w:val="007C7E7F"/>
    <w:rsid w:val="007D0247"/>
    <w:rsid w:val="007D14F0"/>
    <w:rsid w:val="007D298A"/>
    <w:rsid w:val="007D305F"/>
    <w:rsid w:val="007D3186"/>
    <w:rsid w:val="007E01E9"/>
    <w:rsid w:val="007E36F8"/>
    <w:rsid w:val="007E63F3"/>
    <w:rsid w:val="007E7D1F"/>
    <w:rsid w:val="007F4F84"/>
    <w:rsid w:val="007F6611"/>
    <w:rsid w:val="00803B5C"/>
    <w:rsid w:val="00807C75"/>
    <w:rsid w:val="00810EDB"/>
    <w:rsid w:val="00810F2B"/>
    <w:rsid w:val="00810F2F"/>
    <w:rsid w:val="00811599"/>
    <w:rsid w:val="00811920"/>
    <w:rsid w:val="00815AD0"/>
    <w:rsid w:val="00816E54"/>
    <w:rsid w:val="008174C9"/>
    <w:rsid w:val="00823557"/>
    <w:rsid w:val="00823BD4"/>
    <w:rsid w:val="008242D7"/>
    <w:rsid w:val="008257B1"/>
    <w:rsid w:val="00830379"/>
    <w:rsid w:val="00832334"/>
    <w:rsid w:val="00835DBD"/>
    <w:rsid w:val="0084073F"/>
    <w:rsid w:val="00842DE2"/>
    <w:rsid w:val="00843767"/>
    <w:rsid w:val="00846CE3"/>
    <w:rsid w:val="00853CEA"/>
    <w:rsid w:val="00854DDF"/>
    <w:rsid w:val="00862459"/>
    <w:rsid w:val="00863951"/>
    <w:rsid w:val="00865E4A"/>
    <w:rsid w:val="008679D9"/>
    <w:rsid w:val="00871F9A"/>
    <w:rsid w:val="00873BD3"/>
    <w:rsid w:val="00874535"/>
    <w:rsid w:val="0087715F"/>
    <w:rsid w:val="00877C10"/>
    <w:rsid w:val="008817F7"/>
    <w:rsid w:val="008878DE"/>
    <w:rsid w:val="008979B1"/>
    <w:rsid w:val="008A175D"/>
    <w:rsid w:val="008A3258"/>
    <w:rsid w:val="008A5EE6"/>
    <w:rsid w:val="008A6364"/>
    <w:rsid w:val="008A6B25"/>
    <w:rsid w:val="008A6B7E"/>
    <w:rsid w:val="008A6C4F"/>
    <w:rsid w:val="008A781E"/>
    <w:rsid w:val="008B0899"/>
    <w:rsid w:val="008B2335"/>
    <w:rsid w:val="008B30C9"/>
    <w:rsid w:val="008B3B4C"/>
    <w:rsid w:val="008D06C8"/>
    <w:rsid w:val="008D1B38"/>
    <w:rsid w:val="008D35FF"/>
    <w:rsid w:val="008D76F0"/>
    <w:rsid w:val="008E0678"/>
    <w:rsid w:val="008E071D"/>
    <w:rsid w:val="008F1E30"/>
    <w:rsid w:val="008F641A"/>
    <w:rsid w:val="008F7BEE"/>
    <w:rsid w:val="00915A4B"/>
    <w:rsid w:val="00916981"/>
    <w:rsid w:val="00916AA9"/>
    <w:rsid w:val="00920579"/>
    <w:rsid w:val="009205E4"/>
    <w:rsid w:val="009223CA"/>
    <w:rsid w:val="00922720"/>
    <w:rsid w:val="00924057"/>
    <w:rsid w:val="0092422D"/>
    <w:rsid w:val="0092544C"/>
    <w:rsid w:val="00934241"/>
    <w:rsid w:val="00934854"/>
    <w:rsid w:val="00936223"/>
    <w:rsid w:val="00936FDA"/>
    <w:rsid w:val="009404A3"/>
    <w:rsid w:val="009405E8"/>
    <w:rsid w:val="00940B38"/>
    <w:rsid w:val="00940F93"/>
    <w:rsid w:val="009456A5"/>
    <w:rsid w:val="00946131"/>
    <w:rsid w:val="00947994"/>
    <w:rsid w:val="0095160B"/>
    <w:rsid w:val="009538F4"/>
    <w:rsid w:val="00962777"/>
    <w:rsid w:val="00963831"/>
    <w:rsid w:val="00965291"/>
    <w:rsid w:val="00965782"/>
    <w:rsid w:val="00967322"/>
    <w:rsid w:val="009714E4"/>
    <w:rsid w:val="00972257"/>
    <w:rsid w:val="00973C4A"/>
    <w:rsid w:val="009740D1"/>
    <w:rsid w:val="009760F3"/>
    <w:rsid w:val="00976CFB"/>
    <w:rsid w:val="00980E6E"/>
    <w:rsid w:val="009810FB"/>
    <w:rsid w:val="009811BC"/>
    <w:rsid w:val="00984117"/>
    <w:rsid w:val="009901C4"/>
    <w:rsid w:val="00992C30"/>
    <w:rsid w:val="009931ED"/>
    <w:rsid w:val="009A0830"/>
    <w:rsid w:val="009A0E8D"/>
    <w:rsid w:val="009A463D"/>
    <w:rsid w:val="009A539C"/>
    <w:rsid w:val="009A622F"/>
    <w:rsid w:val="009A64AC"/>
    <w:rsid w:val="009A67DA"/>
    <w:rsid w:val="009B12C3"/>
    <w:rsid w:val="009B26E7"/>
    <w:rsid w:val="009B33B8"/>
    <w:rsid w:val="009B4F9F"/>
    <w:rsid w:val="009B60F3"/>
    <w:rsid w:val="009B6EC5"/>
    <w:rsid w:val="009B70E4"/>
    <w:rsid w:val="009C0367"/>
    <w:rsid w:val="009C1592"/>
    <w:rsid w:val="009C201E"/>
    <w:rsid w:val="009C22BF"/>
    <w:rsid w:val="009C347D"/>
    <w:rsid w:val="009C6FC2"/>
    <w:rsid w:val="009D1C81"/>
    <w:rsid w:val="009D34A2"/>
    <w:rsid w:val="009D5317"/>
    <w:rsid w:val="009D6B2B"/>
    <w:rsid w:val="009D6D3B"/>
    <w:rsid w:val="009E1503"/>
    <w:rsid w:val="009E7D69"/>
    <w:rsid w:val="009F0C5B"/>
    <w:rsid w:val="009F77CC"/>
    <w:rsid w:val="00A00006"/>
    <w:rsid w:val="00A00162"/>
    <w:rsid w:val="00A00697"/>
    <w:rsid w:val="00A00A3F"/>
    <w:rsid w:val="00A01489"/>
    <w:rsid w:val="00A02C15"/>
    <w:rsid w:val="00A04C74"/>
    <w:rsid w:val="00A05EE6"/>
    <w:rsid w:val="00A158FD"/>
    <w:rsid w:val="00A1687E"/>
    <w:rsid w:val="00A17D3D"/>
    <w:rsid w:val="00A2112D"/>
    <w:rsid w:val="00A250D6"/>
    <w:rsid w:val="00A3026E"/>
    <w:rsid w:val="00A338F1"/>
    <w:rsid w:val="00A349CF"/>
    <w:rsid w:val="00A355D4"/>
    <w:rsid w:val="00A35BE0"/>
    <w:rsid w:val="00A36189"/>
    <w:rsid w:val="00A367FF"/>
    <w:rsid w:val="00A36D89"/>
    <w:rsid w:val="00A4212A"/>
    <w:rsid w:val="00A4302F"/>
    <w:rsid w:val="00A45841"/>
    <w:rsid w:val="00A5085E"/>
    <w:rsid w:val="00A5189C"/>
    <w:rsid w:val="00A53D08"/>
    <w:rsid w:val="00A559EC"/>
    <w:rsid w:val="00A70045"/>
    <w:rsid w:val="00A700B8"/>
    <w:rsid w:val="00A7081C"/>
    <w:rsid w:val="00A726A5"/>
    <w:rsid w:val="00A72F22"/>
    <w:rsid w:val="00A73086"/>
    <w:rsid w:val="00A7360F"/>
    <w:rsid w:val="00A748A6"/>
    <w:rsid w:val="00A769F4"/>
    <w:rsid w:val="00A776B4"/>
    <w:rsid w:val="00A83BE1"/>
    <w:rsid w:val="00A85859"/>
    <w:rsid w:val="00A85AC6"/>
    <w:rsid w:val="00A94361"/>
    <w:rsid w:val="00A9597E"/>
    <w:rsid w:val="00A966E3"/>
    <w:rsid w:val="00AA1977"/>
    <w:rsid w:val="00AA293C"/>
    <w:rsid w:val="00AA464E"/>
    <w:rsid w:val="00AA5956"/>
    <w:rsid w:val="00AA59A4"/>
    <w:rsid w:val="00AA624A"/>
    <w:rsid w:val="00AB28F5"/>
    <w:rsid w:val="00AB4140"/>
    <w:rsid w:val="00AB4195"/>
    <w:rsid w:val="00AB43FB"/>
    <w:rsid w:val="00AB570C"/>
    <w:rsid w:val="00AC068A"/>
    <w:rsid w:val="00AC08F5"/>
    <w:rsid w:val="00AC67AF"/>
    <w:rsid w:val="00AC70D3"/>
    <w:rsid w:val="00AD1BEF"/>
    <w:rsid w:val="00AE7C76"/>
    <w:rsid w:val="00AE7E58"/>
    <w:rsid w:val="00AF3104"/>
    <w:rsid w:val="00AF4830"/>
    <w:rsid w:val="00AF5703"/>
    <w:rsid w:val="00AF6FC7"/>
    <w:rsid w:val="00AF706D"/>
    <w:rsid w:val="00B003CD"/>
    <w:rsid w:val="00B02DB5"/>
    <w:rsid w:val="00B04293"/>
    <w:rsid w:val="00B0438A"/>
    <w:rsid w:val="00B043C5"/>
    <w:rsid w:val="00B06BF3"/>
    <w:rsid w:val="00B11901"/>
    <w:rsid w:val="00B13DD1"/>
    <w:rsid w:val="00B15C81"/>
    <w:rsid w:val="00B2663E"/>
    <w:rsid w:val="00B27EC1"/>
    <w:rsid w:val="00B30179"/>
    <w:rsid w:val="00B331CF"/>
    <w:rsid w:val="00B41E40"/>
    <w:rsid w:val="00B421C1"/>
    <w:rsid w:val="00B42718"/>
    <w:rsid w:val="00B473C1"/>
    <w:rsid w:val="00B5042D"/>
    <w:rsid w:val="00B518CE"/>
    <w:rsid w:val="00B52E3A"/>
    <w:rsid w:val="00B53221"/>
    <w:rsid w:val="00B55C71"/>
    <w:rsid w:val="00B56E4A"/>
    <w:rsid w:val="00B56E9C"/>
    <w:rsid w:val="00B616EE"/>
    <w:rsid w:val="00B64B1F"/>
    <w:rsid w:val="00B64BB4"/>
    <w:rsid w:val="00B6553F"/>
    <w:rsid w:val="00B74182"/>
    <w:rsid w:val="00B74DD1"/>
    <w:rsid w:val="00B76B31"/>
    <w:rsid w:val="00B76FB8"/>
    <w:rsid w:val="00B77D05"/>
    <w:rsid w:val="00B81206"/>
    <w:rsid w:val="00B81E12"/>
    <w:rsid w:val="00B832C9"/>
    <w:rsid w:val="00B83482"/>
    <w:rsid w:val="00B844F4"/>
    <w:rsid w:val="00B84A9E"/>
    <w:rsid w:val="00B850A5"/>
    <w:rsid w:val="00B86459"/>
    <w:rsid w:val="00B86741"/>
    <w:rsid w:val="00B904F8"/>
    <w:rsid w:val="00B912C7"/>
    <w:rsid w:val="00B93B4B"/>
    <w:rsid w:val="00B95F93"/>
    <w:rsid w:val="00B964E9"/>
    <w:rsid w:val="00B9744D"/>
    <w:rsid w:val="00BA003F"/>
    <w:rsid w:val="00BA46F6"/>
    <w:rsid w:val="00BA6671"/>
    <w:rsid w:val="00BA72D4"/>
    <w:rsid w:val="00BA7AA7"/>
    <w:rsid w:val="00BB2D96"/>
    <w:rsid w:val="00BB4204"/>
    <w:rsid w:val="00BB6CD5"/>
    <w:rsid w:val="00BB6E9B"/>
    <w:rsid w:val="00BC2589"/>
    <w:rsid w:val="00BC3FA0"/>
    <w:rsid w:val="00BC66A9"/>
    <w:rsid w:val="00BC74E9"/>
    <w:rsid w:val="00BD07EB"/>
    <w:rsid w:val="00BD1AD0"/>
    <w:rsid w:val="00BD1FD5"/>
    <w:rsid w:val="00BD28D1"/>
    <w:rsid w:val="00BD499F"/>
    <w:rsid w:val="00BD7A29"/>
    <w:rsid w:val="00BE358E"/>
    <w:rsid w:val="00BE3810"/>
    <w:rsid w:val="00BE56A2"/>
    <w:rsid w:val="00BF2DAD"/>
    <w:rsid w:val="00BF313A"/>
    <w:rsid w:val="00BF3999"/>
    <w:rsid w:val="00BF538B"/>
    <w:rsid w:val="00BF580E"/>
    <w:rsid w:val="00BF68A8"/>
    <w:rsid w:val="00C0066B"/>
    <w:rsid w:val="00C04261"/>
    <w:rsid w:val="00C11A03"/>
    <w:rsid w:val="00C12180"/>
    <w:rsid w:val="00C17D9C"/>
    <w:rsid w:val="00C22404"/>
    <w:rsid w:val="00C22C0C"/>
    <w:rsid w:val="00C24920"/>
    <w:rsid w:val="00C258AE"/>
    <w:rsid w:val="00C26E71"/>
    <w:rsid w:val="00C274E8"/>
    <w:rsid w:val="00C27FDD"/>
    <w:rsid w:val="00C31D8D"/>
    <w:rsid w:val="00C3238A"/>
    <w:rsid w:val="00C35F1F"/>
    <w:rsid w:val="00C36C3F"/>
    <w:rsid w:val="00C408A8"/>
    <w:rsid w:val="00C43CD3"/>
    <w:rsid w:val="00C4527F"/>
    <w:rsid w:val="00C463DD"/>
    <w:rsid w:val="00C4724C"/>
    <w:rsid w:val="00C47692"/>
    <w:rsid w:val="00C47E82"/>
    <w:rsid w:val="00C513D6"/>
    <w:rsid w:val="00C52DB1"/>
    <w:rsid w:val="00C55E46"/>
    <w:rsid w:val="00C5758E"/>
    <w:rsid w:val="00C629A0"/>
    <w:rsid w:val="00C62D58"/>
    <w:rsid w:val="00C64629"/>
    <w:rsid w:val="00C745C3"/>
    <w:rsid w:val="00C74E58"/>
    <w:rsid w:val="00C75E7C"/>
    <w:rsid w:val="00C775C6"/>
    <w:rsid w:val="00C84AFC"/>
    <w:rsid w:val="00C8534C"/>
    <w:rsid w:val="00C85FB3"/>
    <w:rsid w:val="00C878A2"/>
    <w:rsid w:val="00C87D1C"/>
    <w:rsid w:val="00C958FC"/>
    <w:rsid w:val="00C96B44"/>
    <w:rsid w:val="00C96DF2"/>
    <w:rsid w:val="00C97CB0"/>
    <w:rsid w:val="00CA0E96"/>
    <w:rsid w:val="00CA35DF"/>
    <w:rsid w:val="00CA4A64"/>
    <w:rsid w:val="00CA5A4F"/>
    <w:rsid w:val="00CA6085"/>
    <w:rsid w:val="00CA6971"/>
    <w:rsid w:val="00CA7941"/>
    <w:rsid w:val="00CA7B90"/>
    <w:rsid w:val="00CA7F4E"/>
    <w:rsid w:val="00CB0FA6"/>
    <w:rsid w:val="00CB3E03"/>
    <w:rsid w:val="00CB43E6"/>
    <w:rsid w:val="00CB5D81"/>
    <w:rsid w:val="00CB6101"/>
    <w:rsid w:val="00CB6B81"/>
    <w:rsid w:val="00CC0396"/>
    <w:rsid w:val="00CC0841"/>
    <w:rsid w:val="00CC0E7B"/>
    <w:rsid w:val="00CC5A26"/>
    <w:rsid w:val="00CD2822"/>
    <w:rsid w:val="00CD4E6C"/>
    <w:rsid w:val="00CE2EB6"/>
    <w:rsid w:val="00CE4A8F"/>
    <w:rsid w:val="00CE5B4D"/>
    <w:rsid w:val="00CF3C5B"/>
    <w:rsid w:val="00CF5307"/>
    <w:rsid w:val="00D02901"/>
    <w:rsid w:val="00D03922"/>
    <w:rsid w:val="00D06670"/>
    <w:rsid w:val="00D154AC"/>
    <w:rsid w:val="00D1693D"/>
    <w:rsid w:val="00D176D7"/>
    <w:rsid w:val="00D2031B"/>
    <w:rsid w:val="00D235D1"/>
    <w:rsid w:val="00D25FE2"/>
    <w:rsid w:val="00D2626B"/>
    <w:rsid w:val="00D26745"/>
    <w:rsid w:val="00D36321"/>
    <w:rsid w:val="00D43252"/>
    <w:rsid w:val="00D43C4F"/>
    <w:rsid w:val="00D44F86"/>
    <w:rsid w:val="00D47EEA"/>
    <w:rsid w:val="00D563D1"/>
    <w:rsid w:val="00D56440"/>
    <w:rsid w:val="00D738D8"/>
    <w:rsid w:val="00D74314"/>
    <w:rsid w:val="00D7495F"/>
    <w:rsid w:val="00D75176"/>
    <w:rsid w:val="00D773DF"/>
    <w:rsid w:val="00D821E3"/>
    <w:rsid w:val="00D87085"/>
    <w:rsid w:val="00D91253"/>
    <w:rsid w:val="00D92A54"/>
    <w:rsid w:val="00D93731"/>
    <w:rsid w:val="00D95303"/>
    <w:rsid w:val="00D95726"/>
    <w:rsid w:val="00D96D03"/>
    <w:rsid w:val="00D978C6"/>
    <w:rsid w:val="00DA0724"/>
    <w:rsid w:val="00DA3826"/>
    <w:rsid w:val="00DA3C1C"/>
    <w:rsid w:val="00DA510B"/>
    <w:rsid w:val="00DA7BEB"/>
    <w:rsid w:val="00DB0312"/>
    <w:rsid w:val="00DB79C9"/>
    <w:rsid w:val="00DC02E9"/>
    <w:rsid w:val="00DC2A5C"/>
    <w:rsid w:val="00DC5061"/>
    <w:rsid w:val="00DC60B8"/>
    <w:rsid w:val="00DC6675"/>
    <w:rsid w:val="00DC7BFE"/>
    <w:rsid w:val="00DD2D4B"/>
    <w:rsid w:val="00DE1844"/>
    <w:rsid w:val="00DE4C2B"/>
    <w:rsid w:val="00DE7F69"/>
    <w:rsid w:val="00DF3F5F"/>
    <w:rsid w:val="00DF473E"/>
    <w:rsid w:val="00DF6094"/>
    <w:rsid w:val="00E00848"/>
    <w:rsid w:val="00E027C3"/>
    <w:rsid w:val="00E03261"/>
    <w:rsid w:val="00E046DF"/>
    <w:rsid w:val="00E06F8B"/>
    <w:rsid w:val="00E13BB7"/>
    <w:rsid w:val="00E213CC"/>
    <w:rsid w:val="00E267CE"/>
    <w:rsid w:val="00E26BC2"/>
    <w:rsid w:val="00E270CC"/>
    <w:rsid w:val="00E27346"/>
    <w:rsid w:val="00E32563"/>
    <w:rsid w:val="00E33ECF"/>
    <w:rsid w:val="00E35C0B"/>
    <w:rsid w:val="00E45541"/>
    <w:rsid w:val="00E4730B"/>
    <w:rsid w:val="00E47636"/>
    <w:rsid w:val="00E5001F"/>
    <w:rsid w:val="00E5054E"/>
    <w:rsid w:val="00E5160B"/>
    <w:rsid w:val="00E53481"/>
    <w:rsid w:val="00E54BEB"/>
    <w:rsid w:val="00E54D87"/>
    <w:rsid w:val="00E57814"/>
    <w:rsid w:val="00E6016F"/>
    <w:rsid w:val="00E61B55"/>
    <w:rsid w:val="00E6206C"/>
    <w:rsid w:val="00E62178"/>
    <w:rsid w:val="00E63F70"/>
    <w:rsid w:val="00E64D94"/>
    <w:rsid w:val="00E71BC8"/>
    <w:rsid w:val="00E7260F"/>
    <w:rsid w:val="00E73F5D"/>
    <w:rsid w:val="00E759CB"/>
    <w:rsid w:val="00E76D3E"/>
    <w:rsid w:val="00E77E4E"/>
    <w:rsid w:val="00E835E2"/>
    <w:rsid w:val="00E8390F"/>
    <w:rsid w:val="00E842FA"/>
    <w:rsid w:val="00E86B30"/>
    <w:rsid w:val="00E8728D"/>
    <w:rsid w:val="00E87EFD"/>
    <w:rsid w:val="00E92F16"/>
    <w:rsid w:val="00E95B86"/>
    <w:rsid w:val="00E96630"/>
    <w:rsid w:val="00E968C8"/>
    <w:rsid w:val="00EA015D"/>
    <w:rsid w:val="00EA2BAA"/>
    <w:rsid w:val="00EA540C"/>
    <w:rsid w:val="00EA6E80"/>
    <w:rsid w:val="00EB4788"/>
    <w:rsid w:val="00EB4B02"/>
    <w:rsid w:val="00EC013A"/>
    <w:rsid w:val="00EC0451"/>
    <w:rsid w:val="00EC1F88"/>
    <w:rsid w:val="00EC2337"/>
    <w:rsid w:val="00EC376B"/>
    <w:rsid w:val="00EC5604"/>
    <w:rsid w:val="00EC66DD"/>
    <w:rsid w:val="00ED0590"/>
    <w:rsid w:val="00ED066A"/>
    <w:rsid w:val="00ED0FE5"/>
    <w:rsid w:val="00ED1D02"/>
    <w:rsid w:val="00ED23A8"/>
    <w:rsid w:val="00ED349B"/>
    <w:rsid w:val="00ED6605"/>
    <w:rsid w:val="00ED7A2A"/>
    <w:rsid w:val="00EE052D"/>
    <w:rsid w:val="00EE13BF"/>
    <w:rsid w:val="00EE3366"/>
    <w:rsid w:val="00EF08BA"/>
    <w:rsid w:val="00EF1D7F"/>
    <w:rsid w:val="00EF4C7F"/>
    <w:rsid w:val="00EF63B5"/>
    <w:rsid w:val="00F06905"/>
    <w:rsid w:val="00F07F5D"/>
    <w:rsid w:val="00F13E3C"/>
    <w:rsid w:val="00F145CF"/>
    <w:rsid w:val="00F147A4"/>
    <w:rsid w:val="00F20AA5"/>
    <w:rsid w:val="00F23621"/>
    <w:rsid w:val="00F25CFC"/>
    <w:rsid w:val="00F25DD1"/>
    <w:rsid w:val="00F30600"/>
    <w:rsid w:val="00F30A8B"/>
    <w:rsid w:val="00F31B93"/>
    <w:rsid w:val="00F31E5F"/>
    <w:rsid w:val="00F32689"/>
    <w:rsid w:val="00F36143"/>
    <w:rsid w:val="00F37A1C"/>
    <w:rsid w:val="00F41636"/>
    <w:rsid w:val="00F44639"/>
    <w:rsid w:val="00F45F90"/>
    <w:rsid w:val="00F52C8B"/>
    <w:rsid w:val="00F60058"/>
    <w:rsid w:val="00F60F43"/>
    <w:rsid w:val="00F6100A"/>
    <w:rsid w:val="00F71134"/>
    <w:rsid w:val="00F71B80"/>
    <w:rsid w:val="00F71DCF"/>
    <w:rsid w:val="00F77FC7"/>
    <w:rsid w:val="00F813DB"/>
    <w:rsid w:val="00F81B4B"/>
    <w:rsid w:val="00F84AD7"/>
    <w:rsid w:val="00F901E8"/>
    <w:rsid w:val="00F9040F"/>
    <w:rsid w:val="00F920C4"/>
    <w:rsid w:val="00F92265"/>
    <w:rsid w:val="00F92681"/>
    <w:rsid w:val="00F9349B"/>
    <w:rsid w:val="00F93781"/>
    <w:rsid w:val="00FA0A21"/>
    <w:rsid w:val="00FA1499"/>
    <w:rsid w:val="00FA1537"/>
    <w:rsid w:val="00FA31AB"/>
    <w:rsid w:val="00FA3C20"/>
    <w:rsid w:val="00FA6914"/>
    <w:rsid w:val="00FB4805"/>
    <w:rsid w:val="00FB613B"/>
    <w:rsid w:val="00FB7EDF"/>
    <w:rsid w:val="00FC3482"/>
    <w:rsid w:val="00FC4A2A"/>
    <w:rsid w:val="00FC4FFD"/>
    <w:rsid w:val="00FC657D"/>
    <w:rsid w:val="00FC68B7"/>
    <w:rsid w:val="00FD1F55"/>
    <w:rsid w:val="00FD3F98"/>
    <w:rsid w:val="00FD42F4"/>
    <w:rsid w:val="00FD5B12"/>
    <w:rsid w:val="00FD7120"/>
    <w:rsid w:val="00FE01A5"/>
    <w:rsid w:val="00FE106A"/>
    <w:rsid w:val="00FE2A1B"/>
    <w:rsid w:val="00FE4746"/>
    <w:rsid w:val="00FE4B08"/>
    <w:rsid w:val="00FF145D"/>
    <w:rsid w:val="00FF1C94"/>
    <w:rsid w:val="00FF2F86"/>
    <w:rsid w:val="00FF332E"/>
    <w:rsid w:val="00FF48AC"/>
    <w:rsid w:val="00FF546F"/>
    <w:rsid w:val="00FF7D02"/>
    <w:rsid w:val="097B07D9"/>
    <w:rsid w:val="14FBC103"/>
    <w:rsid w:val="1D45AD51"/>
    <w:rsid w:val="1FDF6684"/>
    <w:rsid w:val="21F7CEAE"/>
    <w:rsid w:val="22C850AB"/>
    <w:rsid w:val="26C4A41B"/>
    <w:rsid w:val="29E3B3F8"/>
    <w:rsid w:val="2E61A773"/>
    <w:rsid w:val="3352B9C0"/>
    <w:rsid w:val="3B27021E"/>
    <w:rsid w:val="3DB8F257"/>
    <w:rsid w:val="3E24A3FF"/>
    <w:rsid w:val="3FA7E37B"/>
    <w:rsid w:val="3FC8AB92"/>
    <w:rsid w:val="4143B3DC"/>
    <w:rsid w:val="414855C4"/>
    <w:rsid w:val="4A2614B9"/>
    <w:rsid w:val="4E6AA0CB"/>
    <w:rsid w:val="4FBED8B8"/>
    <w:rsid w:val="4FE15187"/>
    <w:rsid w:val="503625BB"/>
    <w:rsid w:val="54916CB5"/>
    <w:rsid w:val="54C0B9F2"/>
    <w:rsid w:val="55BEA2C4"/>
    <w:rsid w:val="575A7325"/>
    <w:rsid w:val="62188B26"/>
    <w:rsid w:val="67525DA0"/>
    <w:rsid w:val="677212ED"/>
    <w:rsid w:val="686459E2"/>
    <w:rsid w:val="69E91EB0"/>
    <w:rsid w:val="71ED02D9"/>
    <w:rsid w:val="78572F70"/>
    <w:rsid w:val="796DB157"/>
    <w:rsid w:val="7B382D5A"/>
    <w:rsid w:val="7E422C94"/>
    <w:rsid w:val="7EF1AC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397F"/>
  <w15:chartTrackingRefBased/>
  <w15:docId w15:val="{A9E20A78-AC6E-4807-9A4E-D54135F0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character" w:customStyle="1" w:styleId="Heading5Char">
    <w:name w:val="Heading 5 Char"/>
    <w:link w:val="Heading5"/>
    <w:rsid w:val="0084073F"/>
    <w:rPr>
      <w:lang w:eastAsia="en-US"/>
    </w:rPr>
  </w:style>
  <w:style w:type="character" w:customStyle="1" w:styleId="FooterChar">
    <w:name w:val="Footer Char"/>
    <w:aliases w:val="3_G Char"/>
    <w:basedOn w:val="DefaultParagraphFont"/>
    <w:link w:val="Footer"/>
    <w:uiPriority w:val="99"/>
    <w:rsid w:val="00E76D3E"/>
    <w:rPr>
      <w:sz w:val="16"/>
      <w:lang w:eastAsia="en-US"/>
    </w:rPr>
  </w:style>
  <w:style w:type="paragraph" w:styleId="Revision">
    <w:name w:val="Revision"/>
    <w:hidden/>
    <w:uiPriority w:val="99"/>
    <w:semiHidden/>
    <w:rsid w:val="007271C1"/>
    <w:rPr>
      <w:lang w:eastAsia="en-US"/>
    </w:rPr>
  </w:style>
  <w:style w:type="paragraph" w:styleId="CommentSubject">
    <w:name w:val="annotation subject"/>
    <w:basedOn w:val="CommentText"/>
    <w:next w:val="CommentText"/>
    <w:link w:val="CommentSubjectChar"/>
    <w:rsid w:val="00B02DB5"/>
    <w:pPr>
      <w:spacing w:line="240" w:lineRule="auto"/>
    </w:pPr>
    <w:rPr>
      <w:b/>
      <w:bCs/>
    </w:rPr>
  </w:style>
  <w:style w:type="character" w:customStyle="1" w:styleId="CommentTextChar">
    <w:name w:val="Comment Text Char"/>
    <w:basedOn w:val="DefaultParagraphFont"/>
    <w:link w:val="CommentText"/>
    <w:semiHidden/>
    <w:rsid w:val="00B02DB5"/>
    <w:rPr>
      <w:lang w:eastAsia="en-US"/>
    </w:rPr>
  </w:style>
  <w:style w:type="character" w:customStyle="1" w:styleId="CommentSubjectChar">
    <w:name w:val="Comment Subject Char"/>
    <w:basedOn w:val="CommentTextChar"/>
    <w:link w:val="CommentSubject"/>
    <w:rsid w:val="00B02D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4713">
      <w:bodyDiv w:val="1"/>
      <w:marLeft w:val="0"/>
      <w:marRight w:val="0"/>
      <w:marTop w:val="0"/>
      <w:marBottom w:val="0"/>
      <w:divBdr>
        <w:top w:val="none" w:sz="0" w:space="0" w:color="auto"/>
        <w:left w:val="none" w:sz="0" w:space="0" w:color="auto"/>
        <w:bottom w:val="none" w:sz="0" w:space="0" w:color="auto"/>
        <w:right w:val="none" w:sz="0" w:space="0" w:color="auto"/>
      </w:divBdr>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96083455">
      <w:bodyDiv w:val="1"/>
      <w:marLeft w:val="0"/>
      <w:marRight w:val="0"/>
      <w:marTop w:val="0"/>
      <w:marBottom w:val="0"/>
      <w:divBdr>
        <w:top w:val="none" w:sz="0" w:space="0" w:color="auto"/>
        <w:left w:val="none" w:sz="0" w:space="0" w:color="auto"/>
        <w:bottom w:val="none" w:sz="0" w:space="0" w:color="auto"/>
        <w:right w:val="none" w:sz="0" w:space="0" w:color="auto"/>
      </w:divBdr>
    </w:div>
    <w:div w:id="1085297037">
      <w:bodyDiv w:val="1"/>
      <w:marLeft w:val="0"/>
      <w:marRight w:val="0"/>
      <w:marTop w:val="0"/>
      <w:marBottom w:val="0"/>
      <w:divBdr>
        <w:top w:val="none" w:sz="0" w:space="0" w:color="auto"/>
        <w:left w:val="none" w:sz="0" w:space="0" w:color="auto"/>
        <w:bottom w:val="none" w:sz="0" w:space="0" w:color="auto"/>
        <w:right w:val="none" w:sz="0" w:space="0" w:color="auto"/>
      </w:divBdr>
    </w:div>
    <w:div w:id="1391267040">
      <w:bodyDiv w:val="1"/>
      <w:marLeft w:val="0"/>
      <w:marRight w:val="0"/>
      <w:marTop w:val="0"/>
      <w:marBottom w:val="0"/>
      <w:divBdr>
        <w:top w:val="none" w:sz="0" w:space="0" w:color="auto"/>
        <w:left w:val="none" w:sz="0" w:space="0" w:color="auto"/>
        <w:bottom w:val="none" w:sz="0" w:space="0" w:color="auto"/>
        <w:right w:val="none" w:sz="0" w:space="0" w:color="auto"/>
      </w:divBdr>
    </w:div>
    <w:div w:id="1616984476">
      <w:bodyDiv w:val="1"/>
      <w:marLeft w:val="0"/>
      <w:marRight w:val="0"/>
      <w:marTop w:val="0"/>
      <w:marBottom w:val="0"/>
      <w:divBdr>
        <w:top w:val="none" w:sz="0" w:space="0" w:color="auto"/>
        <w:left w:val="none" w:sz="0" w:space="0" w:color="auto"/>
        <w:bottom w:val="none" w:sz="0" w:space="0" w:color="auto"/>
        <w:right w:val="none" w:sz="0" w:space="0" w:color="auto"/>
      </w:divBdr>
    </w:div>
    <w:div w:id="2073044419">
      <w:bodyDiv w:val="1"/>
      <w:marLeft w:val="0"/>
      <w:marRight w:val="0"/>
      <w:marTop w:val="0"/>
      <w:marBottom w:val="0"/>
      <w:divBdr>
        <w:top w:val="none" w:sz="0" w:space="0" w:color="auto"/>
        <w:left w:val="none" w:sz="0" w:space="0" w:color="auto"/>
        <w:bottom w:val="none" w:sz="0" w:space="0" w:color="auto"/>
        <w:right w:val="none" w:sz="0" w:space="0" w:color="auto"/>
      </w:divBdr>
      <w:divsChild>
        <w:div w:id="578754258">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8BEB2-5791-4DC5-A83F-9EFD1E490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65D7A-57F1-47E8-A5B5-ED9C6BE95076}">
  <ds:schemaRefs>
    <ds:schemaRef ds:uri="http://schemas.openxmlformats.org/officeDocument/2006/bibliography"/>
  </ds:schemaRefs>
</ds:datastoreItem>
</file>

<file path=customXml/itemProps3.xml><?xml version="1.0" encoding="utf-8"?>
<ds:datastoreItem xmlns:ds="http://schemas.openxmlformats.org/officeDocument/2006/customXml" ds:itemID="{70CCC586-3AB3-4A94-ADD7-E48BEDEE678B}">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2A81719A-8D60-4F1D-B187-6EF69C444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aulavuo</dc:creator>
  <cp:keywords/>
  <cp:lastModifiedBy>Tea Aulavuo</cp:lastModifiedBy>
  <cp:revision>22</cp:revision>
  <cp:lastPrinted>2010-07-13T17:30:00Z</cp:lastPrinted>
  <dcterms:created xsi:type="dcterms:W3CDTF">2023-12-09T09:52:00Z</dcterms:created>
  <dcterms:modified xsi:type="dcterms:W3CDTF">2023-12-10T18:07:00Z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