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6800C3" w14:paraId="768CDA9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7AF1250" w14:textId="77777777" w:rsidR="00F35BAF" w:rsidRPr="006800C3" w:rsidRDefault="00F35BAF" w:rsidP="00416768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25E66D2" w14:textId="77777777" w:rsidR="00F35BAF" w:rsidRPr="006800C3" w:rsidRDefault="00F35BAF" w:rsidP="00C97039">
            <w:pPr>
              <w:spacing w:after="80" w:line="300" w:lineRule="exact"/>
              <w:rPr>
                <w:sz w:val="28"/>
                <w:lang w:val="fr-FR"/>
              </w:rPr>
            </w:pPr>
            <w:r w:rsidRPr="006800C3">
              <w:rPr>
                <w:sz w:val="28"/>
                <w:lang w:val="fr-FR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A9B6560" w14:textId="598071D7" w:rsidR="00F35BAF" w:rsidRPr="006800C3" w:rsidRDefault="00416768" w:rsidP="00416768">
            <w:pPr>
              <w:jc w:val="right"/>
              <w:rPr>
                <w:lang w:val="fr-FR"/>
              </w:rPr>
            </w:pPr>
            <w:r w:rsidRPr="006800C3">
              <w:rPr>
                <w:sz w:val="40"/>
                <w:lang w:val="fr-FR"/>
              </w:rPr>
              <w:t>ECE</w:t>
            </w:r>
            <w:r w:rsidRPr="006800C3">
              <w:rPr>
                <w:lang w:val="fr-FR"/>
              </w:rPr>
              <w:t>/TRANS/WP</w:t>
            </w:r>
            <w:r w:rsidR="00F61FCE" w:rsidRPr="006800C3">
              <w:rPr>
                <w:lang w:val="fr-FR"/>
              </w:rPr>
              <w:t>.</w:t>
            </w:r>
            <w:r w:rsidRPr="006800C3">
              <w:rPr>
                <w:lang w:val="fr-FR"/>
              </w:rPr>
              <w:t>29/GRBP/2024/4</w:t>
            </w:r>
          </w:p>
        </w:tc>
      </w:tr>
      <w:tr w:rsidR="00F35BAF" w:rsidRPr="006800C3" w14:paraId="2B76E4E6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4AB5822" w14:textId="77777777" w:rsidR="00F35BAF" w:rsidRPr="006800C3" w:rsidRDefault="00F35BAF" w:rsidP="00C97039">
            <w:pPr>
              <w:spacing w:before="120"/>
              <w:jc w:val="center"/>
              <w:rPr>
                <w:lang w:val="fr-FR"/>
              </w:rPr>
            </w:pPr>
            <w:r w:rsidRPr="006800C3">
              <w:rPr>
                <w:noProof/>
                <w:lang w:val="fr-FR" w:eastAsia="fr-CH"/>
              </w:rPr>
              <w:drawing>
                <wp:inline distT="0" distB="0" distL="0" distR="0" wp14:anchorId="6CB5D66D" wp14:editId="16EFFD1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C60D284" w14:textId="77777777" w:rsidR="00F35BAF" w:rsidRPr="006800C3" w:rsidRDefault="00F35BAF" w:rsidP="00C97039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6800C3">
              <w:rPr>
                <w:b/>
                <w:sz w:val="40"/>
                <w:szCs w:val="40"/>
                <w:lang w:val="fr-FR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69B237B" w14:textId="13507C1B" w:rsidR="00F35BAF" w:rsidRPr="006800C3" w:rsidRDefault="00416768" w:rsidP="00C97039">
            <w:pPr>
              <w:spacing w:before="240"/>
              <w:rPr>
                <w:lang w:val="fr-FR"/>
              </w:rPr>
            </w:pPr>
            <w:r w:rsidRPr="006800C3">
              <w:rPr>
                <w:lang w:val="fr-FR"/>
              </w:rPr>
              <w:t>Distr</w:t>
            </w:r>
            <w:r w:rsidR="00F61FCE" w:rsidRPr="006800C3">
              <w:rPr>
                <w:lang w:val="fr-FR"/>
              </w:rPr>
              <w:t>.</w:t>
            </w:r>
            <w:r w:rsidRPr="006800C3">
              <w:rPr>
                <w:lang w:val="fr-FR"/>
              </w:rPr>
              <w:t xml:space="preserve"> générale</w:t>
            </w:r>
          </w:p>
          <w:p w14:paraId="7BE3955D" w14:textId="77777777" w:rsidR="00416768" w:rsidRPr="006800C3" w:rsidRDefault="00416768" w:rsidP="00416768">
            <w:pPr>
              <w:spacing w:line="240" w:lineRule="exact"/>
              <w:rPr>
                <w:lang w:val="fr-FR"/>
              </w:rPr>
            </w:pPr>
            <w:r w:rsidRPr="006800C3">
              <w:rPr>
                <w:lang w:val="fr-FR"/>
              </w:rPr>
              <w:t>20 novembre 2023</w:t>
            </w:r>
          </w:p>
          <w:p w14:paraId="2A79F2D3" w14:textId="77777777" w:rsidR="00416768" w:rsidRPr="006800C3" w:rsidRDefault="00416768" w:rsidP="00416768">
            <w:pPr>
              <w:spacing w:line="240" w:lineRule="exact"/>
              <w:rPr>
                <w:lang w:val="fr-FR"/>
              </w:rPr>
            </w:pPr>
            <w:r w:rsidRPr="006800C3">
              <w:rPr>
                <w:lang w:val="fr-FR"/>
              </w:rPr>
              <w:t>Français</w:t>
            </w:r>
          </w:p>
          <w:p w14:paraId="7978D456" w14:textId="57AB6AC8" w:rsidR="00416768" w:rsidRPr="006800C3" w:rsidRDefault="00416768" w:rsidP="00416768">
            <w:pPr>
              <w:spacing w:line="240" w:lineRule="exact"/>
              <w:rPr>
                <w:lang w:val="fr-FR"/>
              </w:rPr>
            </w:pPr>
            <w:r w:rsidRPr="006800C3">
              <w:rPr>
                <w:lang w:val="fr-FR"/>
              </w:rPr>
              <w:t>Original</w:t>
            </w:r>
            <w:r w:rsidR="00047310" w:rsidRPr="006800C3">
              <w:rPr>
                <w:lang w:val="fr-FR"/>
              </w:rPr>
              <w:t> :</w:t>
            </w:r>
            <w:r w:rsidRPr="006800C3">
              <w:rPr>
                <w:lang w:val="fr-FR"/>
              </w:rPr>
              <w:t xml:space="preserve"> anglais</w:t>
            </w:r>
          </w:p>
        </w:tc>
      </w:tr>
    </w:tbl>
    <w:p w14:paraId="0B381690" w14:textId="4A9175D2" w:rsidR="007F20FA" w:rsidRPr="006800C3" w:rsidRDefault="007F20FA" w:rsidP="007F20FA">
      <w:pPr>
        <w:spacing w:before="120"/>
        <w:rPr>
          <w:b/>
          <w:sz w:val="28"/>
          <w:szCs w:val="28"/>
          <w:lang w:val="fr-FR"/>
        </w:rPr>
      </w:pPr>
      <w:r w:rsidRPr="006800C3">
        <w:rPr>
          <w:b/>
          <w:sz w:val="28"/>
          <w:szCs w:val="28"/>
          <w:lang w:val="fr-FR"/>
        </w:rPr>
        <w:t>Commission économique pour l</w:t>
      </w:r>
      <w:r w:rsidR="00047310" w:rsidRPr="006800C3">
        <w:rPr>
          <w:b/>
          <w:sz w:val="28"/>
          <w:szCs w:val="28"/>
          <w:lang w:val="fr-FR"/>
        </w:rPr>
        <w:t>’</w:t>
      </w:r>
      <w:r w:rsidRPr="006800C3">
        <w:rPr>
          <w:b/>
          <w:sz w:val="28"/>
          <w:szCs w:val="28"/>
          <w:lang w:val="fr-FR"/>
        </w:rPr>
        <w:t>Europe</w:t>
      </w:r>
    </w:p>
    <w:p w14:paraId="01C63EF9" w14:textId="77777777" w:rsidR="007F20FA" w:rsidRPr="006800C3" w:rsidRDefault="007F20FA" w:rsidP="007F20FA">
      <w:pPr>
        <w:spacing w:before="120"/>
        <w:rPr>
          <w:sz w:val="28"/>
          <w:szCs w:val="28"/>
          <w:lang w:val="fr-FR"/>
        </w:rPr>
      </w:pPr>
      <w:r w:rsidRPr="006800C3">
        <w:rPr>
          <w:sz w:val="28"/>
          <w:szCs w:val="28"/>
          <w:lang w:val="fr-FR"/>
        </w:rPr>
        <w:t>Comité des transports intérieurs</w:t>
      </w:r>
    </w:p>
    <w:p w14:paraId="70BD690A" w14:textId="4BECE821" w:rsidR="00416768" w:rsidRPr="006800C3" w:rsidRDefault="00416768" w:rsidP="00BE0C93">
      <w:pPr>
        <w:spacing w:before="120"/>
        <w:ind w:right="3826"/>
        <w:rPr>
          <w:b/>
          <w:bCs/>
          <w:sz w:val="24"/>
          <w:szCs w:val="24"/>
          <w:lang w:val="fr-FR"/>
        </w:rPr>
      </w:pPr>
      <w:r w:rsidRPr="006800C3">
        <w:rPr>
          <w:b/>
          <w:bCs/>
          <w:sz w:val="24"/>
          <w:szCs w:val="24"/>
          <w:lang w:val="fr-FR"/>
        </w:rPr>
        <w:t>Forum mondial de l</w:t>
      </w:r>
      <w:r w:rsidR="00047310" w:rsidRPr="006800C3">
        <w:rPr>
          <w:b/>
          <w:bCs/>
          <w:sz w:val="24"/>
          <w:szCs w:val="24"/>
          <w:lang w:val="fr-FR"/>
        </w:rPr>
        <w:t>’</w:t>
      </w:r>
      <w:r w:rsidRPr="006800C3">
        <w:rPr>
          <w:b/>
          <w:bCs/>
          <w:sz w:val="24"/>
          <w:szCs w:val="24"/>
          <w:lang w:val="fr-FR"/>
        </w:rPr>
        <w:t>harmonisation des Règlements concernant les véhicules</w:t>
      </w:r>
    </w:p>
    <w:p w14:paraId="2D739793" w14:textId="77777777" w:rsidR="00416768" w:rsidRPr="006800C3" w:rsidRDefault="00416768" w:rsidP="00416768">
      <w:pPr>
        <w:spacing w:before="120" w:after="120"/>
        <w:rPr>
          <w:b/>
          <w:bCs/>
          <w:lang w:val="fr-FR"/>
        </w:rPr>
      </w:pPr>
      <w:r w:rsidRPr="006800C3">
        <w:rPr>
          <w:b/>
          <w:bCs/>
          <w:lang w:val="fr-FR"/>
        </w:rPr>
        <w:t>Groupe de travail du bruit et des pneumatiques</w:t>
      </w:r>
    </w:p>
    <w:p w14:paraId="494CE31A" w14:textId="77777777" w:rsidR="00047310" w:rsidRPr="006800C3" w:rsidRDefault="00416768" w:rsidP="00416768">
      <w:pPr>
        <w:rPr>
          <w:lang w:val="fr-FR"/>
        </w:rPr>
      </w:pPr>
      <w:r w:rsidRPr="006800C3">
        <w:rPr>
          <w:b/>
          <w:bCs/>
          <w:lang w:val="fr-FR"/>
        </w:rPr>
        <w:t>Soixante-dix-neuvième session</w:t>
      </w:r>
    </w:p>
    <w:p w14:paraId="51537FFE" w14:textId="33EA946D" w:rsidR="00416768" w:rsidRPr="006800C3" w:rsidRDefault="00416768" w:rsidP="00416768">
      <w:pPr>
        <w:rPr>
          <w:bCs/>
          <w:lang w:val="fr-FR"/>
        </w:rPr>
      </w:pPr>
      <w:r w:rsidRPr="006800C3">
        <w:rPr>
          <w:lang w:val="fr-FR"/>
        </w:rPr>
        <w:t>Genève, 6-9 février 2024</w:t>
      </w:r>
    </w:p>
    <w:p w14:paraId="0B6203AD" w14:textId="32D2C962" w:rsidR="00416768" w:rsidRPr="006800C3" w:rsidRDefault="00416768" w:rsidP="00416768">
      <w:pPr>
        <w:rPr>
          <w:bCs/>
          <w:lang w:val="fr-FR"/>
        </w:rPr>
      </w:pPr>
      <w:r w:rsidRPr="006800C3">
        <w:rPr>
          <w:lang w:val="fr-FR"/>
        </w:rPr>
        <w:t>Point 7 d) de l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ordre du jour provisoire</w:t>
      </w:r>
    </w:p>
    <w:p w14:paraId="4A33B380" w14:textId="270FDE6B" w:rsidR="00416768" w:rsidRPr="006800C3" w:rsidRDefault="00416768" w:rsidP="00BE0C93">
      <w:pPr>
        <w:ind w:right="3117"/>
        <w:rPr>
          <w:b/>
          <w:bCs/>
          <w:lang w:val="fr-FR"/>
        </w:rPr>
      </w:pPr>
      <w:r w:rsidRPr="006800C3">
        <w:rPr>
          <w:b/>
          <w:bCs/>
          <w:lang w:val="fr-FR"/>
        </w:rPr>
        <w:t>Pneumatiques</w:t>
      </w:r>
      <w:r w:rsidR="00047310" w:rsidRPr="006800C3">
        <w:rPr>
          <w:b/>
          <w:bCs/>
          <w:lang w:val="fr-FR"/>
        </w:rPr>
        <w:t> :</w:t>
      </w:r>
      <w:r w:rsidRPr="006800C3">
        <w:rPr>
          <w:b/>
          <w:bCs/>
          <w:lang w:val="fr-FR"/>
        </w:rPr>
        <w:t xml:space="preserve"> Règlement ONU </w:t>
      </w:r>
      <w:r w:rsidR="00047310" w:rsidRPr="006800C3">
        <w:rPr>
          <w:b/>
          <w:bCs/>
          <w:lang w:val="fr-FR"/>
        </w:rPr>
        <w:t>n</w:t>
      </w:r>
      <w:r w:rsidR="00047310" w:rsidRPr="006800C3">
        <w:rPr>
          <w:b/>
          <w:bCs/>
          <w:vertAlign w:val="superscript"/>
          <w:lang w:val="fr-FR"/>
        </w:rPr>
        <w:t>o</w:t>
      </w:r>
      <w:r w:rsidR="0069140C" w:rsidRPr="006800C3">
        <w:rPr>
          <w:b/>
          <w:bCs/>
          <w:lang w:val="fr-FR"/>
        </w:rPr>
        <w:t> </w:t>
      </w:r>
      <w:r w:rsidRPr="006800C3">
        <w:rPr>
          <w:b/>
          <w:bCs/>
          <w:lang w:val="fr-FR"/>
        </w:rPr>
        <w:t>117 (Pneumatiques − Résistance au</w:t>
      </w:r>
      <w:r w:rsidR="00BE0C93" w:rsidRPr="006800C3">
        <w:rPr>
          <w:b/>
          <w:bCs/>
          <w:lang w:val="fr-FR"/>
        </w:rPr>
        <w:t> </w:t>
      </w:r>
      <w:r w:rsidRPr="006800C3">
        <w:rPr>
          <w:b/>
          <w:bCs/>
          <w:lang w:val="fr-FR"/>
        </w:rPr>
        <w:t>roulement, bruit de roulement et adhérence sur sol mouillé)</w:t>
      </w:r>
    </w:p>
    <w:p w14:paraId="3C7A236C" w14:textId="29752F42" w:rsidR="00416768" w:rsidRPr="006800C3" w:rsidRDefault="00416768" w:rsidP="00BE0C93">
      <w:pPr>
        <w:pStyle w:val="HChG"/>
        <w:rPr>
          <w:sz w:val="24"/>
          <w:szCs w:val="24"/>
          <w:lang w:val="fr-FR"/>
        </w:rPr>
      </w:pPr>
      <w:r w:rsidRPr="006800C3">
        <w:rPr>
          <w:lang w:val="fr-FR"/>
        </w:rPr>
        <w:tab/>
      </w:r>
      <w:r w:rsidRPr="006800C3">
        <w:rPr>
          <w:lang w:val="fr-FR"/>
        </w:rPr>
        <w:tab/>
        <w:t>Proposition de complément 2 à la série 04 d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amendements au</w:t>
      </w:r>
      <w:r w:rsidR="00BE0C93" w:rsidRPr="006800C3">
        <w:rPr>
          <w:lang w:val="fr-FR"/>
        </w:rPr>
        <w:t> </w:t>
      </w:r>
      <w:r w:rsidRPr="006800C3">
        <w:rPr>
          <w:lang w:val="fr-FR"/>
        </w:rPr>
        <w:t xml:space="preserve">Règlement ONU </w:t>
      </w:r>
      <w:r w:rsidR="00047310" w:rsidRPr="006800C3">
        <w:rPr>
          <w:lang w:val="fr-FR"/>
        </w:rPr>
        <w:t>n</w:t>
      </w:r>
      <w:r w:rsidR="00047310" w:rsidRPr="006800C3">
        <w:rPr>
          <w:vertAlign w:val="superscript"/>
          <w:lang w:val="fr-FR"/>
        </w:rPr>
        <w:t>o</w:t>
      </w:r>
      <w:r w:rsidR="00F95EA1" w:rsidRPr="006800C3">
        <w:rPr>
          <w:lang w:val="fr-FR"/>
        </w:rPr>
        <w:t> </w:t>
      </w:r>
      <w:r w:rsidRPr="006800C3">
        <w:rPr>
          <w:lang w:val="fr-FR"/>
        </w:rPr>
        <w:t>117</w:t>
      </w:r>
    </w:p>
    <w:p w14:paraId="34ADAB9E" w14:textId="31F70895" w:rsidR="00416768" w:rsidRPr="006800C3" w:rsidRDefault="00416768" w:rsidP="00BE0C93">
      <w:pPr>
        <w:pStyle w:val="H1G"/>
        <w:rPr>
          <w:lang w:val="fr-FR"/>
        </w:rPr>
      </w:pPr>
      <w:r w:rsidRPr="006800C3">
        <w:rPr>
          <w:lang w:val="fr-FR"/>
        </w:rPr>
        <w:tab/>
      </w:r>
      <w:r w:rsidRPr="006800C3">
        <w:rPr>
          <w:lang w:val="fr-FR"/>
        </w:rPr>
        <w:tab/>
        <w:t>Communication des experts de l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Organisation technique européenne du</w:t>
      </w:r>
      <w:r w:rsidR="00BE0C93" w:rsidRPr="006800C3">
        <w:rPr>
          <w:lang w:val="fr-FR"/>
        </w:rPr>
        <w:t> </w:t>
      </w:r>
      <w:r w:rsidRPr="006800C3">
        <w:rPr>
          <w:lang w:val="fr-FR"/>
        </w:rPr>
        <w:t>pneumatique et de la jante</w:t>
      </w:r>
      <w:r w:rsidRPr="006800C3">
        <w:rPr>
          <w:b w:val="0"/>
          <w:bCs/>
          <w:position w:val="2"/>
          <w:sz w:val="20"/>
          <w:lang w:val="fr-FR"/>
        </w:rPr>
        <w:footnoteReference w:customMarkFollows="1" w:id="2"/>
        <w:t>*</w:t>
      </w:r>
    </w:p>
    <w:p w14:paraId="6183BCE9" w14:textId="3167FE78" w:rsidR="00F9573C" w:rsidRPr="006800C3" w:rsidRDefault="00416768" w:rsidP="00BE0C93">
      <w:pPr>
        <w:pStyle w:val="SingleTxtG"/>
        <w:ind w:firstLine="567"/>
        <w:rPr>
          <w:spacing w:val="-2"/>
          <w:lang w:val="fr-FR"/>
        </w:rPr>
      </w:pPr>
      <w:r w:rsidRPr="006800C3">
        <w:rPr>
          <w:spacing w:val="-2"/>
          <w:lang w:val="fr-FR"/>
        </w:rPr>
        <w:t>Le texte ci-après, établi par les experts de l</w:t>
      </w:r>
      <w:r w:rsidR="00047310" w:rsidRPr="006800C3">
        <w:rPr>
          <w:spacing w:val="-2"/>
          <w:lang w:val="fr-FR"/>
        </w:rPr>
        <w:t>’</w:t>
      </w:r>
      <w:r w:rsidRPr="006800C3">
        <w:rPr>
          <w:spacing w:val="-2"/>
          <w:lang w:val="fr-FR"/>
        </w:rPr>
        <w:t>Organisation technique européenne du pneumatique et de la jante (ETRTO), vise à compléter la proposition d</w:t>
      </w:r>
      <w:r w:rsidR="00047310" w:rsidRPr="006800C3">
        <w:rPr>
          <w:spacing w:val="-2"/>
          <w:lang w:val="fr-FR"/>
        </w:rPr>
        <w:t>’</w:t>
      </w:r>
      <w:r w:rsidRPr="006800C3">
        <w:rPr>
          <w:spacing w:val="-2"/>
          <w:lang w:val="fr-FR"/>
        </w:rPr>
        <w:t xml:space="preserve">amendements adoptée à la soixante-dix-huitième session du Groupe de travail du bruit et des pneumatiques (GRBP) </w:t>
      </w:r>
      <w:r w:rsidRPr="006800C3">
        <w:rPr>
          <w:spacing w:val="-5"/>
          <w:lang w:val="fr-FR"/>
        </w:rPr>
        <w:t xml:space="preserve">(document informel GRBP-78-05 remplaçant le document </w:t>
      </w:r>
      <w:hyperlink r:id="rId8" w:history="1">
        <w:r w:rsidRPr="0020240D">
          <w:rPr>
            <w:rStyle w:val="Hyperlink"/>
            <w:spacing w:val="-5"/>
            <w:lang w:val="fr-FR"/>
          </w:rPr>
          <w:t>ECE/TRANS/WP</w:t>
        </w:r>
        <w:r w:rsidR="00F61FCE" w:rsidRPr="0020240D">
          <w:rPr>
            <w:rStyle w:val="Hyperlink"/>
            <w:spacing w:val="-5"/>
            <w:lang w:val="fr-FR"/>
          </w:rPr>
          <w:t>.</w:t>
        </w:r>
        <w:r w:rsidRPr="0020240D">
          <w:rPr>
            <w:rStyle w:val="Hyperlink"/>
            <w:spacing w:val="-5"/>
            <w:lang w:val="fr-FR"/>
          </w:rPr>
          <w:t>29/GRBP/2023/19</w:t>
        </w:r>
      </w:hyperlink>
      <w:r w:rsidRPr="006800C3">
        <w:rPr>
          <w:spacing w:val="-5"/>
          <w:lang w:val="fr-FR"/>
        </w:rPr>
        <w:t>)</w:t>
      </w:r>
      <w:r w:rsidR="00F61FCE" w:rsidRPr="006800C3">
        <w:rPr>
          <w:spacing w:val="-5"/>
          <w:lang w:val="fr-FR"/>
        </w:rPr>
        <w:t>.</w:t>
      </w:r>
      <w:r w:rsidRPr="006800C3">
        <w:rPr>
          <w:spacing w:val="-3"/>
          <w:lang w:val="fr-FR"/>
        </w:rPr>
        <w:t xml:space="preserve"> </w:t>
      </w:r>
      <w:r w:rsidRPr="006800C3">
        <w:rPr>
          <w:spacing w:val="-2"/>
          <w:lang w:val="fr-FR"/>
        </w:rPr>
        <w:t>Les modifications qu</w:t>
      </w:r>
      <w:r w:rsidR="00047310" w:rsidRPr="006800C3">
        <w:rPr>
          <w:spacing w:val="-2"/>
          <w:lang w:val="fr-FR"/>
        </w:rPr>
        <w:t>’</w:t>
      </w:r>
      <w:r w:rsidRPr="006800C3">
        <w:rPr>
          <w:spacing w:val="-2"/>
          <w:lang w:val="fr-FR"/>
        </w:rPr>
        <w:t>il est proposé d</w:t>
      </w:r>
      <w:r w:rsidR="00047310" w:rsidRPr="006800C3">
        <w:rPr>
          <w:spacing w:val="-2"/>
          <w:lang w:val="fr-FR"/>
        </w:rPr>
        <w:t>’</w:t>
      </w:r>
      <w:r w:rsidRPr="006800C3">
        <w:rPr>
          <w:spacing w:val="-2"/>
          <w:lang w:val="fr-FR"/>
        </w:rPr>
        <w:t>apporter au texte actuel du Règlement ONU figurent en caractères gras pour les ajouts et biffés pour les suppressions</w:t>
      </w:r>
      <w:r w:rsidR="00F61FCE" w:rsidRPr="006800C3">
        <w:rPr>
          <w:spacing w:val="-2"/>
          <w:lang w:val="fr-FR"/>
        </w:rPr>
        <w:t>.</w:t>
      </w:r>
    </w:p>
    <w:p w14:paraId="6611DC96" w14:textId="77777777" w:rsidR="00BE0C93" w:rsidRPr="006800C3" w:rsidRDefault="00BE0C93" w:rsidP="00BE0C93">
      <w:pPr>
        <w:pStyle w:val="SingleTxtG"/>
        <w:rPr>
          <w:lang w:val="fr-FR"/>
        </w:rPr>
      </w:pPr>
    </w:p>
    <w:p w14:paraId="2F5CB195" w14:textId="77777777" w:rsidR="00BE0C93" w:rsidRPr="006800C3" w:rsidRDefault="00BE0C93" w:rsidP="00BE0C93">
      <w:pPr>
        <w:pStyle w:val="SingleTxtG"/>
        <w:rPr>
          <w:lang w:val="fr-FR"/>
        </w:rPr>
      </w:pPr>
    </w:p>
    <w:p w14:paraId="110C337C" w14:textId="77777777" w:rsidR="00BE0C93" w:rsidRPr="006800C3" w:rsidRDefault="00BE0C93" w:rsidP="00416768">
      <w:pPr>
        <w:rPr>
          <w:lang w:val="fr-FR"/>
        </w:rPr>
        <w:sectPr w:rsidR="00BE0C93" w:rsidRPr="006800C3" w:rsidSect="00416768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titlePg/>
          <w:docGrid w:linePitch="360"/>
        </w:sectPr>
      </w:pPr>
    </w:p>
    <w:p w14:paraId="78AB41C3" w14:textId="6A7658D4" w:rsidR="00BE0C93" w:rsidRPr="006800C3" w:rsidRDefault="00BE0C93" w:rsidP="00E82E93">
      <w:pPr>
        <w:pStyle w:val="HChG"/>
        <w:rPr>
          <w:sz w:val="40"/>
          <w:szCs w:val="28"/>
          <w:lang w:val="fr-FR"/>
        </w:rPr>
      </w:pPr>
      <w:r w:rsidRPr="006800C3">
        <w:rPr>
          <w:lang w:val="fr-FR"/>
        </w:rPr>
        <w:lastRenderedPageBreak/>
        <w:tab/>
        <w:t>I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ab/>
        <w:t>Proposition</w:t>
      </w:r>
    </w:p>
    <w:p w14:paraId="40EEEEF2" w14:textId="56AADB9E" w:rsidR="00047310" w:rsidRPr="006800C3" w:rsidRDefault="00BE0C93" w:rsidP="004749B3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lang w:val="fr-FR"/>
        </w:rPr>
      </w:pPr>
      <w:r w:rsidRPr="006800C3">
        <w:rPr>
          <w:i/>
          <w:iCs/>
          <w:lang w:val="fr-FR"/>
        </w:rPr>
        <w:t>Table des matières</w:t>
      </w:r>
      <w:r w:rsidRPr="006800C3">
        <w:rPr>
          <w:lang w:val="fr-FR"/>
        </w:rPr>
        <w:t>, lire</w:t>
      </w:r>
      <w:r w:rsidR="00047310" w:rsidRPr="006800C3">
        <w:rPr>
          <w:lang w:val="fr-FR"/>
        </w:rPr>
        <w:t> :</w:t>
      </w:r>
    </w:p>
    <w:p w14:paraId="68C18796" w14:textId="22C8517E" w:rsidR="00BE0C93" w:rsidRPr="006800C3" w:rsidRDefault="00BE0C93" w:rsidP="007272F1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lang w:val="fr-FR"/>
        </w:rPr>
      </w:pPr>
      <w:r w:rsidRPr="006800C3">
        <w:rPr>
          <w:lang w:val="fr-FR"/>
        </w:rPr>
        <w:t>«</w:t>
      </w:r>
      <w:r w:rsidR="00F61FCE" w:rsidRPr="006800C3">
        <w:rPr>
          <w:lang w:val="fr-FR"/>
        </w:rPr>
        <w:t>...</w:t>
      </w:r>
    </w:p>
    <w:p w14:paraId="637B8578" w14:textId="47DEE1A1" w:rsidR="00BE0C93" w:rsidRPr="006800C3" w:rsidRDefault="00BE0C93" w:rsidP="00BE0C93">
      <w:pPr>
        <w:pStyle w:val="TOC1"/>
        <w:tabs>
          <w:tab w:val="clear" w:pos="9071"/>
          <w:tab w:val="right" w:leader="dot" w:pos="8789"/>
          <w:tab w:val="right" w:pos="9498"/>
        </w:tabs>
        <w:ind w:left="1701" w:hanging="566"/>
        <w:rPr>
          <w:sz w:val="20"/>
          <w:szCs w:val="20"/>
          <w:lang w:val="fr-FR"/>
        </w:rPr>
      </w:pPr>
      <w:r w:rsidRPr="006800C3">
        <w:rPr>
          <w:sz w:val="20"/>
          <w:szCs w:val="20"/>
          <w:lang w:val="fr-FR"/>
        </w:rPr>
        <w:t>6</w:t>
      </w:r>
      <w:r w:rsidR="00F61FCE" w:rsidRPr="006800C3">
        <w:rPr>
          <w:sz w:val="20"/>
          <w:szCs w:val="20"/>
          <w:lang w:val="fr-FR"/>
        </w:rPr>
        <w:t>.</w:t>
      </w:r>
      <w:r w:rsidRPr="006800C3">
        <w:rPr>
          <w:sz w:val="20"/>
          <w:szCs w:val="20"/>
          <w:lang w:val="fr-FR"/>
        </w:rPr>
        <w:tab/>
      </w:r>
      <w:r w:rsidRPr="006800C3">
        <w:rPr>
          <w:strike/>
          <w:sz w:val="20"/>
          <w:szCs w:val="20"/>
          <w:lang w:val="fr-FR"/>
        </w:rPr>
        <w:t>Spécifications</w:t>
      </w:r>
      <w:r w:rsidRPr="006800C3">
        <w:rPr>
          <w:b/>
          <w:bCs/>
          <w:sz w:val="20"/>
          <w:szCs w:val="20"/>
          <w:lang w:val="fr-FR"/>
        </w:rPr>
        <w:t>Prescriptions</w:t>
      </w:r>
      <w:r w:rsidRPr="006800C3">
        <w:rPr>
          <w:webHidden/>
          <w:sz w:val="20"/>
          <w:szCs w:val="20"/>
          <w:lang w:val="fr-FR"/>
        </w:rPr>
        <w:tab/>
      </w:r>
      <w:r w:rsidRPr="006800C3">
        <w:rPr>
          <w:webHidden/>
          <w:sz w:val="20"/>
          <w:szCs w:val="20"/>
          <w:lang w:val="fr-FR"/>
        </w:rPr>
        <w:tab/>
      </w:r>
    </w:p>
    <w:p w14:paraId="14BC2FBA" w14:textId="4D4168E1" w:rsidR="00BE0C93" w:rsidRPr="006800C3" w:rsidRDefault="00BE0C93" w:rsidP="00BE0C93">
      <w:pPr>
        <w:pStyle w:val="TOC1"/>
        <w:tabs>
          <w:tab w:val="clear" w:pos="9071"/>
          <w:tab w:val="right" w:leader="dot" w:pos="8789"/>
          <w:tab w:val="right" w:pos="9498"/>
        </w:tabs>
        <w:ind w:left="1701" w:hanging="566"/>
        <w:rPr>
          <w:sz w:val="20"/>
          <w:szCs w:val="20"/>
          <w:lang w:val="fr-FR"/>
        </w:rPr>
      </w:pPr>
      <w:r w:rsidRPr="006800C3">
        <w:rPr>
          <w:sz w:val="20"/>
          <w:szCs w:val="20"/>
          <w:lang w:val="fr-FR"/>
        </w:rPr>
        <w:t>7</w:t>
      </w:r>
      <w:r w:rsidR="00F61FCE" w:rsidRPr="006800C3">
        <w:rPr>
          <w:sz w:val="20"/>
          <w:szCs w:val="20"/>
          <w:lang w:val="fr-FR"/>
        </w:rPr>
        <w:t>.</w:t>
      </w:r>
      <w:r w:rsidRPr="006800C3">
        <w:rPr>
          <w:sz w:val="20"/>
          <w:szCs w:val="20"/>
          <w:lang w:val="fr-FR"/>
        </w:rPr>
        <w:tab/>
        <w:t>Modifications du type de pneumatique</w:t>
      </w:r>
      <w:r w:rsidR="00152E7E" w:rsidRPr="006800C3">
        <w:rPr>
          <w:sz w:val="20"/>
          <w:szCs w:val="20"/>
          <w:lang w:val="fr-FR"/>
        </w:rPr>
        <w:t xml:space="preserve"> </w:t>
      </w:r>
      <w:r w:rsidRPr="006800C3">
        <w:rPr>
          <w:sz w:val="20"/>
          <w:szCs w:val="20"/>
          <w:lang w:val="fr-FR"/>
        </w:rPr>
        <w:t>et extension d</w:t>
      </w:r>
      <w:r w:rsidR="00047310" w:rsidRPr="006800C3">
        <w:rPr>
          <w:sz w:val="20"/>
          <w:szCs w:val="20"/>
          <w:lang w:val="fr-FR"/>
        </w:rPr>
        <w:t>’</w:t>
      </w:r>
      <w:r w:rsidRPr="006800C3">
        <w:rPr>
          <w:sz w:val="20"/>
          <w:szCs w:val="20"/>
          <w:lang w:val="fr-FR"/>
        </w:rPr>
        <w:t>homologation</w:t>
      </w:r>
      <w:r w:rsidRPr="006800C3">
        <w:rPr>
          <w:webHidden/>
          <w:sz w:val="20"/>
          <w:szCs w:val="20"/>
          <w:lang w:val="fr-FR"/>
        </w:rPr>
        <w:tab/>
      </w:r>
      <w:r w:rsidRPr="006800C3">
        <w:rPr>
          <w:webHidden/>
          <w:sz w:val="20"/>
          <w:szCs w:val="20"/>
          <w:lang w:val="fr-FR"/>
        </w:rPr>
        <w:tab/>
      </w:r>
    </w:p>
    <w:p w14:paraId="127FB1F6" w14:textId="1A8DBB59" w:rsidR="00BE0C93" w:rsidRPr="006800C3" w:rsidRDefault="00F61FCE" w:rsidP="00BE0C93">
      <w:pPr>
        <w:spacing w:after="120"/>
        <w:ind w:left="1134" w:right="1134"/>
        <w:jc w:val="both"/>
        <w:rPr>
          <w:iCs/>
          <w:lang w:val="fr-FR"/>
        </w:rPr>
      </w:pPr>
      <w:r w:rsidRPr="006800C3">
        <w:rPr>
          <w:lang w:val="fr-FR"/>
        </w:rPr>
        <w:t>...</w:t>
      </w:r>
      <w:bookmarkStart w:id="0" w:name="_Hlk116986355"/>
      <w:bookmarkEnd w:id="0"/>
      <w:r w:rsidR="00BE0C93" w:rsidRPr="006800C3">
        <w:rPr>
          <w:lang w:val="fr-FR"/>
        </w:rPr>
        <w:t> »</w:t>
      </w:r>
      <w:r w:rsidRPr="006800C3">
        <w:rPr>
          <w:lang w:val="fr-FR"/>
        </w:rPr>
        <w:t>.</w:t>
      </w:r>
    </w:p>
    <w:p w14:paraId="47DAF778" w14:textId="78DDCC75" w:rsidR="00BE0C93" w:rsidRPr="006800C3" w:rsidRDefault="00BE0C93" w:rsidP="00BE0C93">
      <w:pPr>
        <w:spacing w:after="120"/>
        <w:ind w:left="1134" w:right="1134"/>
        <w:jc w:val="both"/>
        <w:rPr>
          <w:lang w:val="fr-FR"/>
        </w:rPr>
      </w:pPr>
      <w:r w:rsidRPr="006800C3">
        <w:rPr>
          <w:i/>
          <w:iCs/>
          <w:lang w:val="fr-FR"/>
        </w:rPr>
        <w:t>Paragraphe 1, note de bas de page 1</w:t>
      </w:r>
      <w:r w:rsidRPr="006800C3">
        <w:rPr>
          <w:lang w:val="fr-FR"/>
        </w:rPr>
        <w:t>, lire</w:t>
      </w:r>
      <w:r w:rsidR="00047310" w:rsidRPr="006800C3">
        <w:rPr>
          <w:lang w:val="fr-FR"/>
        </w:rPr>
        <w:t> :</w:t>
      </w:r>
    </w:p>
    <w:p w14:paraId="36548CE9" w14:textId="54536318" w:rsidR="00BE0C93" w:rsidRPr="006800C3" w:rsidRDefault="00BE0C93" w:rsidP="00BE0C93">
      <w:pPr>
        <w:spacing w:after="120"/>
        <w:ind w:left="1134" w:right="1134"/>
        <w:jc w:val="both"/>
        <w:rPr>
          <w:bCs/>
          <w:sz w:val="18"/>
          <w:szCs w:val="18"/>
          <w:lang w:val="fr-FR"/>
        </w:rPr>
      </w:pPr>
      <w:r w:rsidRPr="006800C3">
        <w:rPr>
          <w:lang w:val="fr-FR"/>
        </w:rPr>
        <w:t>«</w:t>
      </w:r>
      <w:r w:rsidR="00047310" w:rsidRPr="006800C3">
        <w:rPr>
          <w:lang w:val="fr-FR"/>
        </w:rPr>
        <w:t> </w:t>
      </w:r>
      <w:r w:rsidRPr="006800C3">
        <w:rPr>
          <w:vertAlign w:val="superscript"/>
          <w:lang w:val="fr-FR"/>
        </w:rPr>
        <w:t>1</w:t>
      </w:r>
      <w:r w:rsidRPr="006800C3">
        <w:rPr>
          <w:lang w:val="fr-FR"/>
        </w:rPr>
        <w:tab/>
      </w:r>
      <w:r w:rsidRPr="006800C3">
        <w:rPr>
          <w:sz w:val="18"/>
          <w:lang w:val="fr-FR"/>
        </w:rPr>
        <w:t>Selon les définitions de la Résolution d</w:t>
      </w:r>
      <w:r w:rsidR="00047310" w:rsidRPr="006800C3">
        <w:rPr>
          <w:sz w:val="18"/>
          <w:lang w:val="fr-FR"/>
        </w:rPr>
        <w:t>’</w:t>
      </w:r>
      <w:r w:rsidRPr="006800C3">
        <w:rPr>
          <w:sz w:val="18"/>
          <w:lang w:val="fr-FR"/>
        </w:rPr>
        <w:t>ensemble sur la construction des véhicules (R</w:t>
      </w:r>
      <w:r w:rsidR="000E1454" w:rsidRPr="006800C3">
        <w:rPr>
          <w:sz w:val="18"/>
          <w:lang w:val="fr-FR"/>
        </w:rPr>
        <w:t>.</w:t>
      </w:r>
      <w:r w:rsidRPr="006800C3">
        <w:rPr>
          <w:sz w:val="18"/>
          <w:lang w:val="fr-FR"/>
        </w:rPr>
        <w:t>E</w:t>
      </w:r>
      <w:r w:rsidR="000E1454" w:rsidRPr="006800C3">
        <w:rPr>
          <w:sz w:val="18"/>
          <w:lang w:val="fr-FR"/>
        </w:rPr>
        <w:t>.</w:t>
      </w:r>
      <w:r w:rsidRPr="006800C3">
        <w:rPr>
          <w:sz w:val="18"/>
          <w:lang w:val="fr-FR"/>
        </w:rPr>
        <w:t>3)</w:t>
      </w:r>
      <w:r w:rsidRPr="006800C3">
        <w:rPr>
          <w:strike/>
          <w:sz w:val="18"/>
          <w:lang w:val="fr-FR"/>
        </w:rPr>
        <w:t xml:space="preserve"> (document ECE/TRANS/WP</w:t>
      </w:r>
      <w:r w:rsidR="000E1454" w:rsidRPr="006800C3">
        <w:rPr>
          <w:strike/>
          <w:sz w:val="18"/>
          <w:lang w:val="fr-FR"/>
        </w:rPr>
        <w:t>.</w:t>
      </w:r>
      <w:r w:rsidRPr="006800C3">
        <w:rPr>
          <w:strike/>
          <w:sz w:val="18"/>
          <w:lang w:val="fr-FR"/>
        </w:rPr>
        <w:t>29/78/Rev</w:t>
      </w:r>
      <w:r w:rsidR="000E1454" w:rsidRPr="006800C3">
        <w:rPr>
          <w:strike/>
          <w:sz w:val="18"/>
          <w:lang w:val="fr-FR"/>
        </w:rPr>
        <w:t>.</w:t>
      </w:r>
      <w:r w:rsidRPr="006800C3">
        <w:rPr>
          <w:strike/>
          <w:sz w:val="18"/>
          <w:lang w:val="fr-FR"/>
        </w:rPr>
        <w:t>4, par</w:t>
      </w:r>
      <w:r w:rsidR="000E1454" w:rsidRPr="006800C3">
        <w:rPr>
          <w:strike/>
          <w:sz w:val="18"/>
          <w:lang w:val="fr-FR"/>
        </w:rPr>
        <w:t>.</w:t>
      </w:r>
      <w:r w:rsidRPr="006800C3">
        <w:rPr>
          <w:strike/>
          <w:sz w:val="18"/>
          <w:lang w:val="fr-FR"/>
        </w:rPr>
        <w:t xml:space="preserve"> 2), - www</w:t>
      </w:r>
      <w:r w:rsidR="000E1454" w:rsidRPr="006800C3">
        <w:rPr>
          <w:strike/>
          <w:sz w:val="18"/>
          <w:lang w:val="fr-FR"/>
        </w:rPr>
        <w:t>.</w:t>
      </w:r>
      <w:r w:rsidRPr="006800C3">
        <w:rPr>
          <w:strike/>
          <w:sz w:val="18"/>
          <w:lang w:val="fr-FR"/>
        </w:rPr>
        <w:t>unece</w:t>
      </w:r>
      <w:r w:rsidR="000E1454" w:rsidRPr="006800C3">
        <w:rPr>
          <w:strike/>
          <w:sz w:val="18"/>
          <w:lang w:val="fr-FR"/>
        </w:rPr>
        <w:t>.</w:t>
      </w:r>
      <w:r w:rsidRPr="006800C3">
        <w:rPr>
          <w:strike/>
          <w:sz w:val="18"/>
          <w:lang w:val="fr-FR"/>
        </w:rPr>
        <w:t>org/trans/main/wp29/wp29wgs/wp29gen/wp29resolutions</w:t>
      </w:r>
      <w:r w:rsidR="000E1454" w:rsidRPr="006800C3">
        <w:rPr>
          <w:strike/>
          <w:sz w:val="18"/>
          <w:lang w:val="fr-FR"/>
        </w:rPr>
        <w:t>.</w:t>
      </w:r>
      <w:r w:rsidRPr="006800C3">
        <w:rPr>
          <w:strike/>
          <w:sz w:val="18"/>
          <w:lang w:val="fr-FR"/>
        </w:rPr>
        <w:t>html</w:t>
      </w:r>
      <w:r w:rsidR="000E1454" w:rsidRPr="006800C3">
        <w:rPr>
          <w:sz w:val="18"/>
          <w:lang w:val="fr-FR"/>
        </w:rPr>
        <w:t>.</w:t>
      </w:r>
      <w:r w:rsidRPr="006800C3">
        <w:rPr>
          <w:sz w:val="18"/>
          <w:lang w:val="fr-FR"/>
        </w:rPr>
        <w:t> </w:t>
      </w:r>
      <w:r w:rsidRPr="006800C3">
        <w:rPr>
          <w:lang w:val="fr-FR"/>
        </w:rPr>
        <w:t>»</w:t>
      </w:r>
      <w:r w:rsidR="00F61FCE" w:rsidRPr="006800C3">
        <w:rPr>
          <w:lang w:val="fr-FR"/>
        </w:rPr>
        <w:t>.</w:t>
      </w:r>
    </w:p>
    <w:p w14:paraId="64AEAA13" w14:textId="566D0E4B" w:rsidR="00BE0C93" w:rsidRPr="006800C3" w:rsidRDefault="00BE0C93" w:rsidP="00BE0C93">
      <w:pPr>
        <w:spacing w:after="120"/>
        <w:ind w:left="1134" w:right="1134"/>
        <w:jc w:val="both"/>
        <w:rPr>
          <w:i/>
          <w:lang w:val="fr-FR"/>
        </w:rPr>
      </w:pPr>
      <w:r w:rsidRPr="006800C3">
        <w:rPr>
          <w:i/>
          <w:iCs/>
          <w:lang w:val="fr-FR"/>
        </w:rPr>
        <w:t>Paragraphe 2, notes de bas de page 2 à 4</w:t>
      </w:r>
      <w:r w:rsidRPr="006800C3">
        <w:rPr>
          <w:lang w:val="fr-FR"/>
        </w:rPr>
        <w:t>, lire</w:t>
      </w:r>
      <w:r w:rsidR="00047310" w:rsidRPr="006800C3">
        <w:rPr>
          <w:lang w:val="fr-FR"/>
        </w:rPr>
        <w:t> :</w:t>
      </w:r>
    </w:p>
    <w:p w14:paraId="1BBF762B" w14:textId="03C8426D" w:rsidR="00BE0C93" w:rsidRPr="006800C3" w:rsidRDefault="00BE0C93" w:rsidP="000B1083">
      <w:pPr>
        <w:pStyle w:val="FootnoteText"/>
        <w:widowControl w:val="0"/>
        <w:tabs>
          <w:tab w:val="clear" w:pos="1021"/>
          <w:tab w:val="right" w:pos="0"/>
        </w:tabs>
        <w:spacing w:after="120" w:line="240" w:lineRule="atLeast"/>
        <w:ind w:left="1418" w:hanging="284"/>
        <w:rPr>
          <w:bCs/>
          <w:szCs w:val="18"/>
          <w:lang w:val="fr-FR"/>
        </w:rPr>
      </w:pPr>
      <w:r w:rsidRPr="006800C3">
        <w:rPr>
          <w:sz w:val="20"/>
          <w:lang w:val="fr-FR"/>
        </w:rPr>
        <w:t>« </w:t>
      </w:r>
      <w:r w:rsidRPr="006800C3">
        <w:rPr>
          <w:vertAlign w:val="superscript"/>
          <w:lang w:val="fr-FR"/>
        </w:rPr>
        <w:t>2</w:t>
      </w:r>
      <w:r w:rsidRPr="006800C3">
        <w:rPr>
          <w:lang w:val="fr-FR"/>
        </w:rPr>
        <w:tab/>
        <w:t>Les pneumatiques de la classe C1 correspondent aux «</w:t>
      </w:r>
      <w:r w:rsidR="00A01F24" w:rsidRPr="006800C3">
        <w:rPr>
          <w:lang w:val="fr-FR"/>
        </w:rPr>
        <w:t> </w:t>
      </w:r>
      <w:r w:rsidRPr="006800C3">
        <w:rPr>
          <w:lang w:val="fr-FR"/>
        </w:rPr>
        <w:t>pneumatiques pour voitures particulières</w:t>
      </w:r>
      <w:r w:rsidR="00A01F24" w:rsidRPr="006800C3">
        <w:rPr>
          <w:lang w:val="fr-FR"/>
        </w:rPr>
        <w:t> </w:t>
      </w:r>
      <w:r w:rsidRPr="006800C3">
        <w:rPr>
          <w:lang w:val="fr-FR"/>
        </w:rPr>
        <w:t>» selon la norme ISO 4000-1</w:t>
      </w:r>
      <w:r w:rsidR="00047310" w:rsidRPr="006800C3">
        <w:rPr>
          <w:lang w:val="fr-FR"/>
        </w:rPr>
        <w:t>:</w:t>
      </w:r>
      <w:r w:rsidRPr="006800C3">
        <w:rPr>
          <w:strike/>
          <w:lang w:val="fr-FR"/>
        </w:rPr>
        <w:t>2010</w:t>
      </w:r>
      <w:r w:rsidRPr="006800C3">
        <w:rPr>
          <w:b/>
          <w:bCs/>
          <w:lang w:val="fr-FR"/>
        </w:rPr>
        <w:t>2021</w:t>
      </w:r>
      <w:r w:rsidR="00F61FCE" w:rsidRPr="006800C3">
        <w:rPr>
          <w:lang w:val="fr-FR"/>
        </w:rPr>
        <w:t>.</w:t>
      </w:r>
      <w:bookmarkStart w:id="1" w:name="_Hlk148358019"/>
      <w:bookmarkStart w:id="2" w:name="_Hlk148358002"/>
      <w:bookmarkEnd w:id="1"/>
      <w:bookmarkEnd w:id="2"/>
    </w:p>
    <w:p w14:paraId="1B250C3E" w14:textId="53D656D7" w:rsidR="00BE0C93" w:rsidRPr="006800C3" w:rsidRDefault="00BE0C93" w:rsidP="000B1083">
      <w:pPr>
        <w:pStyle w:val="FootnoteText"/>
        <w:widowControl w:val="0"/>
        <w:tabs>
          <w:tab w:val="clear" w:pos="1021"/>
          <w:tab w:val="right" w:pos="0"/>
        </w:tabs>
        <w:spacing w:after="120" w:line="240" w:lineRule="atLeast"/>
        <w:ind w:left="1418" w:hanging="284"/>
        <w:rPr>
          <w:szCs w:val="18"/>
          <w:lang w:val="fr-FR"/>
        </w:rPr>
      </w:pPr>
      <w:r w:rsidRPr="006800C3">
        <w:rPr>
          <w:vertAlign w:val="superscript"/>
          <w:lang w:val="fr-FR"/>
        </w:rPr>
        <w:t>3</w:t>
      </w:r>
      <w:r w:rsidRPr="006800C3">
        <w:rPr>
          <w:lang w:val="fr-FR"/>
        </w:rPr>
        <w:tab/>
        <w:t>L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unité du Système international d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unités (SI) utilisée par convention pour la résistance au roulement est le newton-mètre par mètre, qui correspond à une force de freinage en newtons</w:t>
      </w:r>
      <w:r w:rsidR="00F61FCE" w:rsidRPr="006800C3">
        <w:rPr>
          <w:lang w:val="fr-FR"/>
        </w:rPr>
        <w:t>.</w:t>
      </w:r>
    </w:p>
    <w:p w14:paraId="775357F9" w14:textId="1F2772D5" w:rsidR="00BE0C93" w:rsidRPr="006800C3" w:rsidRDefault="00BE0C93" w:rsidP="00BE0C93">
      <w:pPr>
        <w:pStyle w:val="FootnoteText"/>
        <w:widowControl w:val="0"/>
        <w:tabs>
          <w:tab w:val="clear" w:pos="1021"/>
          <w:tab w:val="right" w:pos="0"/>
        </w:tabs>
        <w:spacing w:after="120" w:line="240" w:lineRule="atLeast"/>
        <w:ind w:left="1418" w:hanging="284"/>
        <w:rPr>
          <w:szCs w:val="18"/>
          <w:lang w:val="fr-FR"/>
        </w:rPr>
      </w:pPr>
      <w:r w:rsidRPr="006800C3">
        <w:rPr>
          <w:vertAlign w:val="superscript"/>
          <w:lang w:val="fr-FR"/>
        </w:rPr>
        <w:t>4</w:t>
      </w:r>
      <w:r w:rsidRPr="006800C3">
        <w:rPr>
          <w:lang w:val="fr-FR"/>
        </w:rPr>
        <w:tab/>
        <w:t xml:space="preserve">La résistance au roulement est exprimée en </w:t>
      </w:r>
      <w:r w:rsidRPr="006800C3">
        <w:rPr>
          <w:strike/>
          <w:lang w:val="fr-FR"/>
        </w:rPr>
        <w:t>newton</w:t>
      </w:r>
      <w:r w:rsidRPr="006800C3">
        <w:rPr>
          <w:b/>
          <w:bCs/>
          <w:lang w:val="fr-FR"/>
        </w:rPr>
        <w:t xml:space="preserve">newtons </w:t>
      </w:r>
      <w:r w:rsidRPr="006800C3">
        <w:rPr>
          <w:lang w:val="fr-FR"/>
        </w:rPr>
        <w:t>et la charge en kilo-newton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 xml:space="preserve"> Le</w:t>
      </w:r>
      <w:r w:rsidR="00372AC0" w:rsidRPr="006800C3">
        <w:rPr>
          <w:lang w:val="fr-FR"/>
        </w:rPr>
        <w:t> </w:t>
      </w:r>
      <w:r w:rsidRPr="006800C3">
        <w:rPr>
          <w:lang w:val="fr-FR"/>
        </w:rPr>
        <w:t>coefficient de résistance au roulement est sans dimension</w:t>
      </w:r>
      <w:r w:rsidR="00F61FCE" w:rsidRPr="006800C3">
        <w:rPr>
          <w:lang w:val="fr-FR"/>
        </w:rPr>
        <w:t>.</w:t>
      </w:r>
      <w:r w:rsidRPr="006800C3">
        <w:rPr>
          <w:sz w:val="20"/>
          <w:lang w:val="fr-FR"/>
        </w:rPr>
        <w:t> »</w:t>
      </w:r>
      <w:r w:rsidR="000E1454" w:rsidRPr="006800C3">
        <w:rPr>
          <w:sz w:val="20"/>
          <w:lang w:val="fr-FR"/>
        </w:rPr>
        <w:t>.</w:t>
      </w:r>
    </w:p>
    <w:p w14:paraId="5362E72A" w14:textId="3E583B74" w:rsidR="00BE0C93" w:rsidRPr="006800C3" w:rsidRDefault="00BE0C93" w:rsidP="00BE0C93">
      <w:pPr>
        <w:spacing w:after="120"/>
        <w:ind w:left="1134" w:right="1134"/>
        <w:jc w:val="both"/>
        <w:rPr>
          <w:iCs/>
          <w:lang w:val="fr-FR"/>
        </w:rPr>
      </w:pPr>
      <w:r w:rsidRPr="006800C3">
        <w:rPr>
          <w:i/>
          <w:iCs/>
          <w:lang w:val="fr-FR"/>
        </w:rPr>
        <w:t>Paragraphe 2</w:t>
      </w:r>
      <w:r w:rsidR="00F61FCE" w:rsidRPr="006800C3">
        <w:rPr>
          <w:i/>
          <w:iCs/>
          <w:lang w:val="fr-FR"/>
        </w:rPr>
        <w:t>.</w:t>
      </w:r>
      <w:r w:rsidRPr="006800C3">
        <w:rPr>
          <w:i/>
          <w:iCs/>
          <w:lang w:val="fr-FR"/>
        </w:rPr>
        <w:t>11</w:t>
      </w:r>
      <w:r w:rsidRPr="006800C3">
        <w:rPr>
          <w:lang w:val="fr-FR"/>
        </w:rPr>
        <w:t>, lire</w:t>
      </w:r>
      <w:r w:rsidR="00047310" w:rsidRPr="006800C3">
        <w:rPr>
          <w:lang w:val="fr-FR"/>
        </w:rPr>
        <w:t> :</w:t>
      </w:r>
    </w:p>
    <w:p w14:paraId="144B0BE7" w14:textId="2195E4FE" w:rsidR="00BE0C93" w:rsidRPr="006800C3" w:rsidRDefault="00BE0C93" w:rsidP="00BE0C93">
      <w:pPr>
        <w:pStyle w:val="SingleTxtG"/>
        <w:ind w:left="2268" w:hanging="1134"/>
        <w:rPr>
          <w:iCs/>
          <w:lang w:val="fr-FR"/>
        </w:rPr>
      </w:pPr>
      <w:r w:rsidRPr="006800C3">
        <w:rPr>
          <w:lang w:val="fr-FR"/>
        </w:rPr>
        <w:t>« 2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>11</w:t>
      </w:r>
      <w:r w:rsidRPr="006800C3">
        <w:rPr>
          <w:lang w:val="fr-FR"/>
        </w:rPr>
        <w:tab/>
      </w:r>
      <w:r w:rsidR="00372AC0" w:rsidRPr="006800C3">
        <w:rPr>
          <w:spacing w:val="-2"/>
          <w:lang w:val="fr-FR"/>
        </w:rPr>
        <w:t>« </w:t>
      </w:r>
      <w:r w:rsidRPr="006800C3">
        <w:rPr>
          <w:spacing w:val="-2"/>
          <w:lang w:val="fr-FR"/>
        </w:rPr>
        <w:t>Pneumatique renforcé</w:t>
      </w:r>
      <w:r w:rsidR="00372AC0" w:rsidRPr="006800C3">
        <w:rPr>
          <w:spacing w:val="-2"/>
          <w:lang w:val="fr-FR"/>
        </w:rPr>
        <w:t> »</w:t>
      </w:r>
      <w:r w:rsidRPr="006800C3">
        <w:rPr>
          <w:spacing w:val="-2"/>
          <w:lang w:val="fr-FR"/>
        </w:rPr>
        <w:t xml:space="preserve"> ou </w:t>
      </w:r>
      <w:r w:rsidR="00372AC0" w:rsidRPr="006800C3">
        <w:rPr>
          <w:spacing w:val="-2"/>
          <w:lang w:val="fr-FR"/>
        </w:rPr>
        <w:t>« </w:t>
      </w:r>
      <w:r w:rsidRPr="006800C3">
        <w:rPr>
          <w:spacing w:val="-2"/>
          <w:lang w:val="fr-FR"/>
        </w:rPr>
        <w:t>pneumatique pour fortes charges</w:t>
      </w:r>
      <w:r w:rsidR="00372AC0" w:rsidRPr="006800C3">
        <w:rPr>
          <w:spacing w:val="-2"/>
          <w:lang w:val="fr-FR"/>
        </w:rPr>
        <w:t> »</w:t>
      </w:r>
      <w:r w:rsidRPr="006800C3">
        <w:rPr>
          <w:spacing w:val="-2"/>
          <w:lang w:val="fr-FR"/>
        </w:rPr>
        <w:t>, un pneumatique de la classe C1 ayant une structure conçue pour supporter une charge plus lourde à une pression de gonflage plus élevée que la charge supportée par le pneumatique correspondant pour utilisation normale à la pression de gonflage normale prescrite dans la norme ISO 4000-1</w:t>
      </w:r>
      <w:r w:rsidR="00047310" w:rsidRPr="006800C3">
        <w:rPr>
          <w:spacing w:val="-2"/>
          <w:lang w:val="fr-FR"/>
        </w:rPr>
        <w:t>:</w:t>
      </w:r>
      <w:r w:rsidRPr="006800C3">
        <w:rPr>
          <w:strike/>
          <w:spacing w:val="-2"/>
          <w:lang w:val="fr-FR"/>
        </w:rPr>
        <w:t>2010</w:t>
      </w:r>
      <w:r w:rsidRPr="006800C3">
        <w:rPr>
          <w:b/>
          <w:bCs/>
          <w:spacing w:val="-2"/>
          <w:lang w:val="fr-FR"/>
        </w:rPr>
        <w:t>2021</w:t>
      </w:r>
      <w:r w:rsidRPr="006800C3">
        <w:rPr>
          <w:spacing w:val="-2"/>
          <w:vertAlign w:val="superscript"/>
          <w:lang w:val="fr-FR"/>
        </w:rPr>
        <w:t>2</w:t>
      </w:r>
      <w:r w:rsidR="00F61FCE" w:rsidRPr="006800C3">
        <w:rPr>
          <w:spacing w:val="-2"/>
          <w:lang w:val="fr-FR"/>
        </w:rPr>
        <w:t>.</w:t>
      </w:r>
      <w:bookmarkStart w:id="3" w:name="_Hlk148357946"/>
      <w:bookmarkEnd w:id="3"/>
      <w:r w:rsidRPr="006800C3">
        <w:rPr>
          <w:spacing w:val="-2"/>
          <w:lang w:val="fr-FR"/>
        </w:rPr>
        <w:t> »</w:t>
      </w:r>
      <w:r w:rsidR="00F61FCE" w:rsidRPr="006800C3">
        <w:rPr>
          <w:spacing w:val="-2"/>
          <w:lang w:val="fr-FR"/>
        </w:rPr>
        <w:t>.</w:t>
      </w:r>
    </w:p>
    <w:p w14:paraId="1E146800" w14:textId="2B06389D" w:rsidR="00BE0C93" w:rsidRPr="006800C3" w:rsidRDefault="00BE0C93" w:rsidP="00BE0C93">
      <w:pPr>
        <w:spacing w:after="120"/>
        <w:ind w:left="1134" w:right="1134"/>
        <w:jc w:val="both"/>
        <w:rPr>
          <w:iCs/>
          <w:lang w:val="fr-FR"/>
        </w:rPr>
      </w:pPr>
      <w:r w:rsidRPr="006800C3">
        <w:rPr>
          <w:i/>
          <w:iCs/>
          <w:lang w:val="fr-FR"/>
        </w:rPr>
        <w:t>Paragraphe 2</w:t>
      </w:r>
      <w:r w:rsidR="00F61FCE" w:rsidRPr="006800C3">
        <w:rPr>
          <w:i/>
          <w:iCs/>
          <w:lang w:val="fr-FR"/>
        </w:rPr>
        <w:t>.</w:t>
      </w:r>
      <w:r w:rsidRPr="006800C3">
        <w:rPr>
          <w:i/>
          <w:iCs/>
          <w:lang w:val="fr-FR"/>
        </w:rPr>
        <w:t>13</w:t>
      </w:r>
      <w:r w:rsidRPr="006800C3">
        <w:rPr>
          <w:lang w:val="fr-FR"/>
        </w:rPr>
        <w:t>, lire</w:t>
      </w:r>
      <w:r w:rsidR="00047310" w:rsidRPr="006800C3">
        <w:rPr>
          <w:lang w:val="fr-FR"/>
        </w:rPr>
        <w:t> :</w:t>
      </w:r>
    </w:p>
    <w:p w14:paraId="0FE67BA1" w14:textId="72FF1F93" w:rsidR="00BE0C93" w:rsidRPr="006800C3" w:rsidRDefault="00BE0C93" w:rsidP="00BE0C93">
      <w:pPr>
        <w:pStyle w:val="SingleTxtG"/>
        <w:ind w:left="2268" w:hanging="1134"/>
        <w:rPr>
          <w:bCs/>
          <w:lang w:val="fr-FR"/>
        </w:rPr>
      </w:pPr>
      <w:r w:rsidRPr="006800C3">
        <w:rPr>
          <w:lang w:val="fr-FR"/>
        </w:rPr>
        <w:t>« 2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>13</w:t>
      </w:r>
      <w:r w:rsidRPr="006800C3">
        <w:rPr>
          <w:lang w:val="fr-FR"/>
        </w:rPr>
        <w:tab/>
      </w:r>
      <w:r w:rsidR="00955966" w:rsidRPr="006800C3">
        <w:rPr>
          <w:lang w:val="fr-FR"/>
        </w:rPr>
        <w:t>« </w:t>
      </w:r>
      <w:r w:rsidRPr="006800C3">
        <w:rPr>
          <w:lang w:val="fr-FR"/>
        </w:rPr>
        <w:t xml:space="preserve">Pneumatique neige », un pneumatique dont les sculptures, la composition de la bande de roulement ou la </w:t>
      </w:r>
      <w:r w:rsidRPr="006800C3">
        <w:rPr>
          <w:strike/>
          <w:lang w:val="fr-FR"/>
        </w:rPr>
        <w:t xml:space="preserve">structure </w:t>
      </w:r>
      <w:r w:rsidRPr="006800C3">
        <w:rPr>
          <w:b/>
          <w:bCs/>
          <w:lang w:val="fr-FR"/>
        </w:rPr>
        <w:t xml:space="preserve">construction </w:t>
      </w:r>
      <w:r w:rsidRPr="006800C3">
        <w:rPr>
          <w:lang w:val="fr-FR"/>
        </w:rPr>
        <w:t xml:space="preserve">sont essentiellement conçues pour obtenir </w:t>
      </w:r>
      <w:r w:rsidRPr="006800C3">
        <w:rPr>
          <w:b/>
          <w:bCs/>
          <w:lang w:val="fr-FR"/>
        </w:rPr>
        <w:t xml:space="preserve">dans la boue ou </w:t>
      </w:r>
      <w:r w:rsidRPr="006800C3">
        <w:rPr>
          <w:lang w:val="fr-FR"/>
        </w:rPr>
        <w:t>sur la neige un comportement supérieur à celui d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 xml:space="preserve">un pneumatique normal en ce qui concerne la capacité de démarrage </w:t>
      </w:r>
      <w:r w:rsidRPr="006800C3">
        <w:rPr>
          <w:strike/>
          <w:lang w:val="fr-FR"/>
        </w:rPr>
        <w:t xml:space="preserve">ou de déplacement </w:t>
      </w:r>
      <w:r w:rsidRPr="006800C3">
        <w:rPr>
          <w:b/>
          <w:bCs/>
          <w:lang w:val="fr-FR"/>
        </w:rPr>
        <w:t xml:space="preserve">et de contrôle </w:t>
      </w:r>
      <w:r w:rsidRPr="006800C3">
        <w:rPr>
          <w:lang w:val="fr-FR"/>
        </w:rPr>
        <w:t>du véhicule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> »</w:t>
      </w:r>
      <w:r w:rsidR="00F61FCE" w:rsidRPr="006800C3">
        <w:rPr>
          <w:lang w:val="fr-FR"/>
        </w:rPr>
        <w:t>.</w:t>
      </w:r>
    </w:p>
    <w:p w14:paraId="182188BC" w14:textId="6E4DD729" w:rsidR="00BE0C93" w:rsidRPr="006800C3" w:rsidRDefault="00BE0C93" w:rsidP="00BE0C93">
      <w:pPr>
        <w:spacing w:after="120"/>
        <w:ind w:left="1134" w:right="1134"/>
        <w:jc w:val="both"/>
        <w:rPr>
          <w:iCs/>
          <w:lang w:val="fr-FR"/>
        </w:rPr>
      </w:pPr>
      <w:r w:rsidRPr="006800C3">
        <w:rPr>
          <w:i/>
          <w:iCs/>
          <w:lang w:val="fr-FR"/>
        </w:rPr>
        <w:t>Paragraphe 2</w:t>
      </w:r>
      <w:r w:rsidR="00F61FCE" w:rsidRPr="006800C3">
        <w:rPr>
          <w:i/>
          <w:iCs/>
          <w:lang w:val="fr-FR"/>
        </w:rPr>
        <w:t>.</w:t>
      </w:r>
      <w:r w:rsidRPr="006800C3">
        <w:rPr>
          <w:i/>
          <w:iCs/>
          <w:lang w:val="fr-FR"/>
        </w:rPr>
        <w:t>18</w:t>
      </w:r>
      <w:r w:rsidRPr="006800C3">
        <w:rPr>
          <w:lang w:val="fr-FR"/>
        </w:rPr>
        <w:t>, lire</w:t>
      </w:r>
      <w:r w:rsidR="00047310" w:rsidRPr="006800C3">
        <w:rPr>
          <w:lang w:val="fr-FR"/>
        </w:rPr>
        <w:t> :</w:t>
      </w:r>
    </w:p>
    <w:p w14:paraId="59876571" w14:textId="42258A62" w:rsidR="00BE0C93" w:rsidRPr="006800C3" w:rsidRDefault="00BE0C93" w:rsidP="00BE0C93">
      <w:pPr>
        <w:spacing w:after="120"/>
        <w:ind w:left="2268" w:right="1134" w:hanging="1134"/>
        <w:jc w:val="both"/>
        <w:rPr>
          <w:lang w:val="fr-FR"/>
        </w:rPr>
      </w:pPr>
      <w:r w:rsidRPr="006800C3">
        <w:rPr>
          <w:lang w:val="fr-FR"/>
        </w:rPr>
        <w:t>« 2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>18</w:t>
      </w:r>
      <w:r w:rsidRPr="006800C3">
        <w:rPr>
          <w:lang w:val="fr-FR"/>
        </w:rPr>
        <w:tab/>
      </w:r>
      <w:r w:rsidR="00DF12DC" w:rsidRPr="006800C3">
        <w:rPr>
          <w:lang w:val="fr-FR"/>
        </w:rPr>
        <w:t>« </w:t>
      </w:r>
      <w:r w:rsidRPr="006800C3">
        <w:rPr>
          <w:lang w:val="fr-FR"/>
        </w:rPr>
        <w:t>Pneumatique d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essai de référence normalisé</w:t>
      </w:r>
      <w:r w:rsidR="00DF12DC" w:rsidRPr="006800C3">
        <w:rPr>
          <w:lang w:val="fr-FR"/>
        </w:rPr>
        <w:t> »</w:t>
      </w:r>
      <w:r w:rsidRPr="006800C3">
        <w:rPr>
          <w:lang w:val="fr-FR"/>
        </w:rPr>
        <w:t xml:space="preserve"> ou </w:t>
      </w:r>
      <w:r w:rsidR="00DF12DC" w:rsidRPr="006800C3">
        <w:rPr>
          <w:lang w:val="fr-FR"/>
        </w:rPr>
        <w:t>« (</w:t>
      </w:r>
      <w:r w:rsidRPr="006800C3">
        <w:rPr>
          <w:lang w:val="fr-FR"/>
        </w:rPr>
        <w:t>SRTT)</w:t>
      </w:r>
      <w:r w:rsidR="00DF12DC" w:rsidRPr="006800C3">
        <w:rPr>
          <w:lang w:val="fr-FR"/>
        </w:rPr>
        <w:t> »</w:t>
      </w:r>
      <w:r w:rsidRPr="006800C3">
        <w:rPr>
          <w:lang w:val="fr-FR"/>
        </w:rPr>
        <w:t>, un pneumatique qui est fabriqué, vérifié et stocké conformément aux normes suivantes de l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American Society for Testing and Materials (ASTM)</w:t>
      </w:r>
      <w:r w:rsidR="00047310" w:rsidRPr="006800C3">
        <w:rPr>
          <w:lang w:val="fr-FR"/>
        </w:rPr>
        <w:t> :</w:t>
      </w:r>
    </w:p>
    <w:p w14:paraId="3A4B9564" w14:textId="556A77E1" w:rsidR="00BE0C93" w:rsidRPr="006800C3" w:rsidRDefault="00BE0C93" w:rsidP="00BE0C93">
      <w:pPr>
        <w:spacing w:after="120"/>
        <w:ind w:left="2268" w:right="1134"/>
        <w:jc w:val="both"/>
        <w:rPr>
          <w:lang w:val="fr-FR"/>
        </w:rPr>
      </w:pPr>
      <w:r w:rsidRPr="006800C3">
        <w:rPr>
          <w:lang w:val="fr-FR"/>
        </w:rPr>
        <w:t>a)</w:t>
      </w:r>
      <w:r w:rsidRPr="006800C3">
        <w:rPr>
          <w:lang w:val="fr-FR"/>
        </w:rPr>
        <w:tab/>
        <w:t xml:space="preserve">E1136 − </w:t>
      </w:r>
      <w:r w:rsidRPr="006800C3">
        <w:rPr>
          <w:strike/>
          <w:lang w:val="fr-FR"/>
        </w:rPr>
        <w:t>17</w:t>
      </w:r>
      <w:r w:rsidRPr="006800C3">
        <w:rPr>
          <w:b/>
          <w:bCs/>
          <w:lang w:val="fr-FR"/>
        </w:rPr>
        <w:t xml:space="preserve">19 </w:t>
      </w:r>
      <w:r w:rsidRPr="006800C3">
        <w:rPr>
          <w:lang w:val="fr-FR"/>
        </w:rPr>
        <w:t xml:space="preserve">pour la dimension P195/75R14, ou </w:t>
      </w:r>
      <w:r w:rsidR="00C57447" w:rsidRPr="006800C3">
        <w:rPr>
          <w:lang w:val="fr-FR"/>
        </w:rPr>
        <w:t>« </w:t>
      </w:r>
      <w:r w:rsidRPr="006800C3">
        <w:rPr>
          <w:lang w:val="fr-FR"/>
        </w:rPr>
        <w:t>SRTT14</w:t>
      </w:r>
      <w:bookmarkStart w:id="4" w:name="_Hlk148358654"/>
      <w:r w:rsidR="00C57447" w:rsidRPr="006800C3">
        <w:rPr>
          <w:lang w:val="fr-FR"/>
        </w:rPr>
        <w:t> »</w:t>
      </w:r>
      <w:r w:rsidR="00047310" w:rsidRPr="006800C3">
        <w:rPr>
          <w:lang w:val="fr-FR"/>
        </w:rPr>
        <w:t> ;</w:t>
      </w:r>
    </w:p>
    <w:p w14:paraId="00AEE20B" w14:textId="20EF8176" w:rsidR="00BE0C93" w:rsidRPr="006800C3" w:rsidRDefault="00BE0C93" w:rsidP="00BE0C93">
      <w:pPr>
        <w:pStyle w:val="SingleTxtG"/>
        <w:ind w:left="2835" w:hanging="567"/>
        <w:rPr>
          <w:lang w:val="fr-FR"/>
        </w:rPr>
      </w:pPr>
      <w:r w:rsidRPr="006800C3">
        <w:rPr>
          <w:lang w:val="fr-FR"/>
        </w:rPr>
        <w:t>b)</w:t>
      </w:r>
      <w:r w:rsidRPr="006800C3">
        <w:rPr>
          <w:lang w:val="fr-FR"/>
        </w:rPr>
        <w:tab/>
        <w:t xml:space="preserve">F2493 − </w:t>
      </w:r>
      <w:r w:rsidRPr="006800C3">
        <w:rPr>
          <w:strike/>
          <w:lang w:val="fr-FR"/>
        </w:rPr>
        <w:t>20</w:t>
      </w:r>
      <w:r w:rsidRPr="006800C3">
        <w:rPr>
          <w:b/>
          <w:bCs/>
          <w:lang w:val="fr-FR"/>
        </w:rPr>
        <w:t xml:space="preserve">23 </w:t>
      </w:r>
      <w:r w:rsidRPr="006800C3">
        <w:rPr>
          <w:lang w:val="fr-FR"/>
        </w:rPr>
        <w:t xml:space="preserve">pour la dimension P225/60R16, ou </w:t>
      </w:r>
      <w:r w:rsidR="00C57447" w:rsidRPr="006800C3">
        <w:rPr>
          <w:lang w:val="fr-FR"/>
        </w:rPr>
        <w:t>« </w:t>
      </w:r>
      <w:r w:rsidRPr="006800C3">
        <w:rPr>
          <w:lang w:val="fr-FR"/>
        </w:rPr>
        <w:t>SRTT16</w:t>
      </w:r>
      <w:r w:rsidR="00C57447" w:rsidRPr="006800C3">
        <w:rPr>
          <w:lang w:val="fr-FR"/>
        </w:rPr>
        <w:t> »</w:t>
      </w:r>
      <w:r w:rsidR="00047310" w:rsidRPr="006800C3">
        <w:rPr>
          <w:lang w:val="fr-FR"/>
        </w:rPr>
        <w:t> ;</w:t>
      </w:r>
      <w:bookmarkStart w:id="5" w:name="_Hlk147405774"/>
      <w:bookmarkEnd w:id="5"/>
    </w:p>
    <w:p w14:paraId="502262C3" w14:textId="7C7A0CA1" w:rsidR="00BE0C93" w:rsidRPr="006800C3" w:rsidRDefault="00BE0C93" w:rsidP="00BE0C93">
      <w:pPr>
        <w:pStyle w:val="SingleTxtG"/>
        <w:ind w:left="2835" w:hanging="567"/>
        <w:rPr>
          <w:lang w:val="fr-FR"/>
        </w:rPr>
      </w:pPr>
      <w:r w:rsidRPr="006800C3">
        <w:rPr>
          <w:lang w:val="fr-FR"/>
        </w:rPr>
        <w:t>c)</w:t>
      </w:r>
      <w:r w:rsidRPr="006800C3">
        <w:rPr>
          <w:lang w:val="fr-FR"/>
        </w:rPr>
        <w:tab/>
        <w:t>F3611</w:t>
      </w:r>
      <w:r w:rsidR="00DF12DC" w:rsidRPr="006800C3">
        <w:rPr>
          <w:lang w:val="fr-FR"/>
        </w:rPr>
        <w:t xml:space="preserve"> − </w:t>
      </w:r>
      <w:r w:rsidRPr="006800C3">
        <w:rPr>
          <w:lang w:val="fr-FR"/>
        </w:rPr>
        <w:t>22</w:t>
      </w:r>
      <w:r w:rsidRPr="006800C3">
        <w:rPr>
          <w:b/>
          <w:bCs/>
          <w:lang w:val="fr-FR"/>
        </w:rPr>
        <w:t xml:space="preserve">e1 </w:t>
      </w:r>
      <w:r w:rsidRPr="006800C3">
        <w:rPr>
          <w:lang w:val="fr-FR"/>
        </w:rPr>
        <w:t>pour la dimension P225/60R16 à l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 xml:space="preserve">état usé ou </w:t>
      </w:r>
      <w:r w:rsidR="00C57447" w:rsidRPr="006800C3">
        <w:rPr>
          <w:lang w:val="fr-FR"/>
        </w:rPr>
        <w:t>« </w:t>
      </w:r>
      <w:r w:rsidRPr="006800C3">
        <w:rPr>
          <w:lang w:val="fr-FR"/>
        </w:rPr>
        <w:t>SRTT16 usé moulé</w:t>
      </w:r>
      <w:r w:rsidR="00C57447" w:rsidRPr="006800C3">
        <w:rPr>
          <w:lang w:val="fr-FR"/>
        </w:rPr>
        <w:t> »</w:t>
      </w:r>
      <w:r w:rsidR="00047310" w:rsidRPr="006800C3">
        <w:rPr>
          <w:lang w:val="fr-FR"/>
        </w:rPr>
        <w:t> ;</w:t>
      </w:r>
    </w:p>
    <w:p w14:paraId="5233B778" w14:textId="22F88DC4" w:rsidR="00BE0C93" w:rsidRPr="006800C3" w:rsidRDefault="00BE0C93" w:rsidP="00BE0C93">
      <w:pPr>
        <w:spacing w:after="120"/>
        <w:ind w:left="2268" w:right="1134"/>
        <w:jc w:val="both"/>
        <w:rPr>
          <w:lang w:val="fr-FR"/>
        </w:rPr>
      </w:pPr>
      <w:r w:rsidRPr="006800C3">
        <w:rPr>
          <w:lang w:val="fr-FR"/>
        </w:rPr>
        <w:t>d)</w:t>
      </w:r>
      <w:r w:rsidRPr="006800C3">
        <w:rPr>
          <w:lang w:val="fr-FR"/>
        </w:rPr>
        <w:tab/>
        <w:t xml:space="preserve">F2872 − </w:t>
      </w:r>
      <w:r w:rsidRPr="006800C3">
        <w:rPr>
          <w:strike/>
          <w:lang w:val="fr-FR"/>
        </w:rPr>
        <w:t>16</w:t>
      </w:r>
      <w:r w:rsidRPr="006800C3">
        <w:rPr>
          <w:b/>
          <w:bCs/>
          <w:lang w:val="fr-FR"/>
        </w:rPr>
        <w:t xml:space="preserve">19 </w:t>
      </w:r>
      <w:r w:rsidRPr="006800C3">
        <w:rPr>
          <w:lang w:val="fr-FR"/>
        </w:rPr>
        <w:t xml:space="preserve">pour la dimension 225/75R16C, ou </w:t>
      </w:r>
      <w:r w:rsidR="00955966" w:rsidRPr="006800C3">
        <w:rPr>
          <w:lang w:val="fr-FR"/>
        </w:rPr>
        <w:t>« </w:t>
      </w:r>
      <w:r w:rsidRPr="006800C3">
        <w:rPr>
          <w:lang w:val="fr-FR"/>
        </w:rPr>
        <w:t>SRTT16C</w:t>
      </w:r>
      <w:r w:rsidR="00955966" w:rsidRPr="006800C3">
        <w:rPr>
          <w:lang w:val="fr-FR"/>
        </w:rPr>
        <w:t> »</w:t>
      </w:r>
      <w:r w:rsidR="00047310" w:rsidRPr="006800C3">
        <w:rPr>
          <w:lang w:val="fr-FR"/>
        </w:rPr>
        <w:t> ;</w:t>
      </w:r>
    </w:p>
    <w:p w14:paraId="251259BA" w14:textId="1B2BDA52" w:rsidR="00BE0C93" w:rsidRPr="006800C3" w:rsidRDefault="00BE0C93" w:rsidP="00BE0C93">
      <w:pPr>
        <w:spacing w:after="120"/>
        <w:ind w:left="2268" w:right="1134"/>
        <w:jc w:val="both"/>
        <w:rPr>
          <w:lang w:val="fr-FR"/>
        </w:rPr>
      </w:pPr>
      <w:r w:rsidRPr="006800C3">
        <w:rPr>
          <w:lang w:val="fr-FR"/>
        </w:rPr>
        <w:t>e)</w:t>
      </w:r>
      <w:r w:rsidRPr="006800C3">
        <w:rPr>
          <w:lang w:val="fr-FR"/>
        </w:rPr>
        <w:tab/>
        <w:t xml:space="preserve">F2871 − </w:t>
      </w:r>
      <w:r w:rsidRPr="006800C3">
        <w:rPr>
          <w:strike/>
          <w:lang w:val="fr-FR"/>
        </w:rPr>
        <w:t>16</w:t>
      </w:r>
      <w:r w:rsidRPr="006800C3">
        <w:rPr>
          <w:b/>
          <w:bCs/>
          <w:lang w:val="fr-FR"/>
        </w:rPr>
        <w:t xml:space="preserve">23 </w:t>
      </w:r>
      <w:r w:rsidRPr="006800C3">
        <w:rPr>
          <w:lang w:val="fr-FR"/>
        </w:rPr>
        <w:t>pour la dimension 245/70R19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 xml:space="preserve">5, ou </w:t>
      </w:r>
      <w:r w:rsidR="00955966" w:rsidRPr="006800C3">
        <w:rPr>
          <w:lang w:val="fr-FR"/>
        </w:rPr>
        <w:t>« </w:t>
      </w:r>
      <w:r w:rsidRPr="006800C3">
        <w:rPr>
          <w:lang w:val="fr-FR"/>
        </w:rPr>
        <w:t>SRTT19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>5</w:t>
      </w:r>
      <w:r w:rsidR="00955966" w:rsidRPr="006800C3">
        <w:rPr>
          <w:lang w:val="fr-FR"/>
        </w:rPr>
        <w:t> »</w:t>
      </w:r>
      <w:r w:rsidR="00047310" w:rsidRPr="006800C3">
        <w:rPr>
          <w:lang w:val="fr-FR"/>
        </w:rPr>
        <w:t> ;</w:t>
      </w:r>
    </w:p>
    <w:p w14:paraId="4C08F3F6" w14:textId="10739855" w:rsidR="00BE0C93" w:rsidRPr="006800C3" w:rsidRDefault="00BE0C93" w:rsidP="00BE0C93">
      <w:pPr>
        <w:pStyle w:val="SingleTxtG"/>
        <w:ind w:left="2268"/>
        <w:rPr>
          <w:lang w:val="fr-FR"/>
        </w:rPr>
      </w:pPr>
      <w:r w:rsidRPr="006800C3">
        <w:rPr>
          <w:lang w:val="fr-FR"/>
        </w:rPr>
        <w:t>f)</w:t>
      </w:r>
      <w:r w:rsidRPr="006800C3">
        <w:rPr>
          <w:lang w:val="fr-FR"/>
        </w:rPr>
        <w:tab/>
        <w:t xml:space="preserve">F2870 − </w:t>
      </w:r>
      <w:r w:rsidRPr="006800C3">
        <w:rPr>
          <w:strike/>
          <w:lang w:val="fr-FR"/>
        </w:rPr>
        <w:t>16</w:t>
      </w:r>
      <w:r w:rsidRPr="006800C3">
        <w:rPr>
          <w:b/>
          <w:bCs/>
          <w:lang w:val="fr-FR"/>
        </w:rPr>
        <w:t xml:space="preserve">23 </w:t>
      </w:r>
      <w:r w:rsidRPr="006800C3">
        <w:rPr>
          <w:lang w:val="fr-FR"/>
        </w:rPr>
        <w:t>pour la dimension 315/70R22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 xml:space="preserve">5, ou </w:t>
      </w:r>
      <w:r w:rsidR="00955966" w:rsidRPr="006800C3">
        <w:rPr>
          <w:lang w:val="fr-FR"/>
        </w:rPr>
        <w:t>« </w:t>
      </w:r>
      <w:r w:rsidRPr="006800C3">
        <w:rPr>
          <w:lang w:val="fr-FR"/>
        </w:rPr>
        <w:t>SRTT22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>5</w:t>
      </w:r>
      <w:r w:rsidR="00955966" w:rsidRPr="006800C3">
        <w:rPr>
          <w:lang w:val="fr-FR"/>
        </w:rPr>
        <w:t> »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> »</w:t>
      </w:r>
      <w:r w:rsidR="00F61FCE" w:rsidRPr="006800C3">
        <w:rPr>
          <w:lang w:val="fr-FR"/>
        </w:rPr>
        <w:t>.</w:t>
      </w:r>
    </w:p>
    <w:bookmarkEnd w:id="4"/>
    <w:p w14:paraId="0E83F179" w14:textId="0F7AF001" w:rsidR="00BE0C93" w:rsidRPr="006800C3" w:rsidRDefault="00BE0C93" w:rsidP="00341FF1">
      <w:pPr>
        <w:keepNext/>
        <w:spacing w:after="120"/>
        <w:ind w:left="1134" w:right="1134"/>
        <w:jc w:val="both"/>
        <w:rPr>
          <w:iCs/>
          <w:lang w:val="fr-FR"/>
        </w:rPr>
      </w:pPr>
      <w:r w:rsidRPr="006800C3">
        <w:rPr>
          <w:i/>
          <w:iCs/>
          <w:lang w:val="fr-FR"/>
        </w:rPr>
        <w:t>Paragraphe 5</w:t>
      </w:r>
      <w:r w:rsidR="00F61FCE" w:rsidRPr="006800C3">
        <w:rPr>
          <w:i/>
          <w:iCs/>
          <w:lang w:val="fr-FR"/>
        </w:rPr>
        <w:t>.</w:t>
      </w:r>
      <w:r w:rsidRPr="006800C3">
        <w:rPr>
          <w:i/>
          <w:iCs/>
          <w:lang w:val="fr-FR"/>
        </w:rPr>
        <w:t>2</w:t>
      </w:r>
      <w:r w:rsidR="00F61FCE" w:rsidRPr="006800C3">
        <w:rPr>
          <w:i/>
          <w:iCs/>
          <w:lang w:val="fr-FR"/>
        </w:rPr>
        <w:t>.</w:t>
      </w:r>
      <w:r w:rsidRPr="006800C3">
        <w:rPr>
          <w:i/>
          <w:iCs/>
          <w:lang w:val="fr-FR"/>
        </w:rPr>
        <w:t>2</w:t>
      </w:r>
      <w:r w:rsidRPr="006800C3">
        <w:rPr>
          <w:lang w:val="fr-FR"/>
        </w:rPr>
        <w:t>, modification sans objet en français</w:t>
      </w:r>
      <w:r w:rsidR="00F61FCE" w:rsidRPr="006800C3">
        <w:rPr>
          <w:lang w:val="fr-FR"/>
        </w:rPr>
        <w:t>.</w:t>
      </w:r>
    </w:p>
    <w:p w14:paraId="0645BC33" w14:textId="0F8AC99E" w:rsidR="00047310" w:rsidRPr="006800C3" w:rsidRDefault="00BE0C93" w:rsidP="00341FF1">
      <w:pPr>
        <w:pStyle w:val="SingleTxtG"/>
        <w:keepNext/>
        <w:ind w:left="2268" w:hanging="1134"/>
        <w:rPr>
          <w:lang w:val="fr-FR"/>
        </w:rPr>
      </w:pPr>
      <w:r w:rsidRPr="006800C3">
        <w:rPr>
          <w:i/>
          <w:iCs/>
          <w:lang w:val="fr-FR"/>
        </w:rPr>
        <w:t>Paragraphe 6, titre</w:t>
      </w:r>
      <w:r w:rsidRPr="006800C3">
        <w:rPr>
          <w:lang w:val="fr-FR"/>
        </w:rPr>
        <w:t>, lire</w:t>
      </w:r>
      <w:r w:rsidR="00047310" w:rsidRPr="006800C3">
        <w:rPr>
          <w:lang w:val="fr-FR"/>
        </w:rPr>
        <w:t> :</w:t>
      </w:r>
    </w:p>
    <w:p w14:paraId="25ECF414" w14:textId="5498AE30" w:rsidR="00BE0C93" w:rsidRPr="006800C3" w:rsidRDefault="00BE0C93" w:rsidP="00BE0C93">
      <w:pPr>
        <w:pStyle w:val="SingleTxtG"/>
        <w:ind w:left="2268" w:hanging="1134"/>
        <w:rPr>
          <w:shd w:val="clear" w:color="auto" w:fill="E5B8B7" w:themeFill="accent2" w:themeFillTint="66"/>
          <w:lang w:val="fr-FR"/>
        </w:rPr>
      </w:pPr>
      <w:r w:rsidRPr="006800C3">
        <w:rPr>
          <w:lang w:val="fr-FR"/>
        </w:rPr>
        <w:t>« 6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ab/>
      </w:r>
      <w:r w:rsidRPr="006800C3">
        <w:rPr>
          <w:lang w:val="fr-FR"/>
        </w:rPr>
        <w:tab/>
      </w:r>
      <w:r w:rsidRPr="006800C3">
        <w:rPr>
          <w:strike/>
          <w:lang w:val="fr-FR"/>
        </w:rPr>
        <w:t>Caractéristiques</w:t>
      </w:r>
      <w:r w:rsidRPr="006800C3">
        <w:rPr>
          <w:b/>
          <w:bCs/>
          <w:lang w:val="fr-FR"/>
        </w:rPr>
        <w:t>Prescriptions</w:t>
      </w:r>
      <w:r w:rsidRPr="006800C3">
        <w:rPr>
          <w:lang w:val="fr-FR"/>
        </w:rPr>
        <w:t> »</w:t>
      </w:r>
    </w:p>
    <w:p w14:paraId="0E5C583E" w14:textId="60A18043" w:rsidR="00BE0C93" w:rsidRPr="006800C3" w:rsidRDefault="00BE0C93" w:rsidP="00BE0C93">
      <w:pPr>
        <w:spacing w:after="120"/>
        <w:ind w:left="2410" w:right="1134" w:hanging="1276"/>
        <w:jc w:val="both"/>
        <w:rPr>
          <w:iCs/>
          <w:lang w:val="fr-FR"/>
        </w:rPr>
      </w:pPr>
      <w:r w:rsidRPr="006800C3">
        <w:rPr>
          <w:i/>
          <w:iCs/>
          <w:lang w:val="fr-FR"/>
        </w:rPr>
        <w:lastRenderedPageBreak/>
        <w:t>Paragraphe 8</w:t>
      </w:r>
      <w:r w:rsidR="00F61FCE" w:rsidRPr="006800C3">
        <w:rPr>
          <w:i/>
          <w:iCs/>
          <w:lang w:val="fr-FR"/>
        </w:rPr>
        <w:t>.</w:t>
      </w:r>
      <w:r w:rsidRPr="006800C3">
        <w:rPr>
          <w:i/>
          <w:iCs/>
          <w:lang w:val="fr-FR"/>
        </w:rPr>
        <w:t>3</w:t>
      </w:r>
      <w:r w:rsidR="00F61FCE" w:rsidRPr="006800C3">
        <w:rPr>
          <w:i/>
          <w:iCs/>
          <w:lang w:val="fr-FR"/>
        </w:rPr>
        <w:t>.</w:t>
      </w:r>
      <w:r w:rsidRPr="006800C3">
        <w:rPr>
          <w:i/>
          <w:iCs/>
          <w:lang w:val="fr-FR"/>
        </w:rPr>
        <w:t>2</w:t>
      </w:r>
      <w:r w:rsidRPr="006800C3">
        <w:rPr>
          <w:lang w:val="fr-FR"/>
        </w:rPr>
        <w:t>, lire</w:t>
      </w:r>
      <w:r w:rsidR="00047310" w:rsidRPr="006800C3">
        <w:rPr>
          <w:lang w:val="fr-FR"/>
        </w:rPr>
        <w:t> :</w:t>
      </w:r>
    </w:p>
    <w:p w14:paraId="07B2061D" w14:textId="7B10CB07" w:rsidR="00BE0C93" w:rsidRPr="006800C3" w:rsidRDefault="00BE0C93" w:rsidP="00BE0C93">
      <w:pPr>
        <w:pStyle w:val="SingleTxtG"/>
        <w:ind w:left="2410" w:hanging="1276"/>
        <w:rPr>
          <w:bCs/>
          <w:lang w:val="fr-FR"/>
        </w:rPr>
      </w:pPr>
      <w:r w:rsidRPr="006800C3">
        <w:rPr>
          <w:lang w:val="fr-FR"/>
        </w:rPr>
        <w:t>« 8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>3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>2</w:t>
      </w:r>
      <w:r w:rsidRPr="006800C3">
        <w:rPr>
          <w:lang w:val="fr-FR"/>
        </w:rPr>
        <w:tab/>
        <w:t xml:space="preserve">Les essais de vérification portant sur des pneumatiques homologués conformément au paragraphe </w:t>
      </w:r>
      <w:r w:rsidRPr="006800C3">
        <w:rPr>
          <w:strike/>
          <w:lang w:val="fr-FR"/>
        </w:rPr>
        <w:t>6</w:t>
      </w:r>
      <w:r w:rsidR="00F61FCE" w:rsidRPr="006800C3">
        <w:rPr>
          <w:strike/>
          <w:lang w:val="fr-FR"/>
        </w:rPr>
        <w:t>.</w:t>
      </w:r>
      <w:r w:rsidRPr="006800C3">
        <w:rPr>
          <w:strike/>
          <w:lang w:val="fr-FR"/>
        </w:rPr>
        <w:t>4</w:t>
      </w:r>
      <w:r w:rsidRPr="006800C3">
        <w:rPr>
          <w:b/>
          <w:bCs/>
          <w:lang w:val="fr-FR"/>
        </w:rPr>
        <w:t>6</w:t>
      </w:r>
      <w:r w:rsidR="00F61FCE" w:rsidRPr="006800C3">
        <w:rPr>
          <w:b/>
          <w:bCs/>
          <w:lang w:val="fr-FR"/>
        </w:rPr>
        <w:t>.</w:t>
      </w:r>
      <w:r w:rsidRPr="006800C3">
        <w:rPr>
          <w:b/>
          <w:bCs/>
          <w:lang w:val="fr-FR"/>
        </w:rPr>
        <w:t>5</w:t>
      </w:r>
      <w:r w:rsidRPr="006800C3">
        <w:rPr>
          <w:lang w:val="fr-FR"/>
        </w:rPr>
        <w:t xml:space="preserve"> du présent Règlement doivent s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effectuer selon la même méthode d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essai (voir l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 xml:space="preserve">annexe </w:t>
      </w:r>
      <w:r w:rsidRPr="006800C3">
        <w:rPr>
          <w:strike/>
          <w:lang w:val="fr-FR"/>
        </w:rPr>
        <w:t>9</w:t>
      </w:r>
      <w:r w:rsidRPr="006800C3">
        <w:rPr>
          <w:b/>
          <w:bCs/>
          <w:lang w:val="fr-FR"/>
        </w:rPr>
        <w:t xml:space="preserve">7 </w:t>
      </w:r>
      <w:r w:rsidRPr="006800C3">
        <w:rPr>
          <w:lang w:val="fr-FR"/>
        </w:rPr>
        <w:t>du présent Règlement) que celle appliquée pour l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homologation d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origine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> »</w:t>
      </w:r>
    </w:p>
    <w:p w14:paraId="53A133DE" w14:textId="7CB8F722" w:rsidR="00BE0C93" w:rsidRPr="006800C3" w:rsidRDefault="00BE0C93" w:rsidP="00BE0C93">
      <w:pPr>
        <w:pStyle w:val="SingleTxtG"/>
        <w:ind w:left="2410" w:hanging="1276"/>
        <w:rPr>
          <w:bCs/>
          <w:lang w:val="fr-FR"/>
        </w:rPr>
      </w:pPr>
      <w:r w:rsidRPr="006800C3">
        <w:rPr>
          <w:i/>
          <w:iCs/>
          <w:lang w:val="fr-FR"/>
        </w:rPr>
        <w:t>Annexe 1, point 8</w:t>
      </w:r>
      <w:r w:rsidR="00F61FCE" w:rsidRPr="006800C3">
        <w:rPr>
          <w:i/>
          <w:iCs/>
          <w:lang w:val="fr-FR"/>
        </w:rPr>
        <w:t>.</w:t>
      </w:r>
      <w:r w:rsidRPr="006800C3">
        <w:rPr>
          <w:i/>
          <w:iCs/>
          <w:lang w:val="fr-FR"/>
        </w:rPr>
        <w:t>1</w:t>
      </w:r>
      <w:r w:rsidRPr="006800C3">
        <w:rPr>
          <w:lang w:val="fr-FR"/>
        </w:rPr>
        <w:t>, lire</w:t>
      </w:r>
      <w:r w:rsidR="00047310" w:rsidRPr="006800C3">
        <w:rPr>
          <w:lang w:val="fr-FR"/>
        </w:rPr>
        <w:t> :</w:t>
      </w:r>
    </w:p>
    <w:p w14:paraId="6A4FA15D" w14:textId="3FE627F4" w:rsidR="00BE0C93" w:rsidRPr="006800C3" w:rsidRDefault="00BE0C93" w:rsidP="00BE0C93">
      <w:pPr>
        <w:pStyle w:val="SingleTxtG"/>
        <w:tabs>
          <w:tab w:val="left" w:pos="1700"/>
        </w:tabs>
        <w:ind w:left="1700" w:hanging="566"/>
        <w:rPr>
          <w:lang w:val="fr-FR"/>
        </w:rPr>
      </w:pPr>
      <w:r w:rsidRPr="006800C3">
        <w:rPr>
          <w:lang w:val="fr-FR"/>
        </w:rPr>
        <w:t>« 8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>1</w:t>
      </w:r>
      <w:r w:rsidRPr="006800C3">
        <w:rPr>
          <w:lang w:val="fr-FR"/>
        </w:rPr>
        <w:tab/>
        <w:t>Niveau sonore d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un pneumatique de dimension représentative (voir par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 xml:space="preserve"> 2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>7 du présent Règlement), comme indiqué au point 7 du procès verbal d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essai de l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appendice 1 de l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annexe 3</w:t>
      </w:r>
      <w:r w:rsidR="00047310" w:rsidRPr="006800C3">
        <w:rPr>
          <w:lang w:val="fr-FR"/>
        </w:rPr>
        <w:t> :</w:t>
      </w:r>
      <w:r w:rsidR="00F61FCE" w:rsidRPr="006800C3">
        <w:rPr>
          <w:lang w:val="fr-FR"/>
        </w:rPr>
        <w:t>................</w:t>
      </w:r>
      <w:r w:rsidRPr="006800C3">
        <w:rPr>
          <w:lang w:val="fr-FR"/>
        </w:rPr>
        <w:t xml:space="preserve"> dB(A) à une vitesse de référence de </w:t>
      </w:r>
      <w:r w:rsidRPr="006800C3">
        <w:rPr>
          <w:strike/>
          <w:lang w:val="fr-FR"/>
        </w:rPr>
        <w:t>70/80</w:t>
      </w:r>
      <w:r w:rsidRPr="006800C3">
        <w:rPr>
          <w:b/>
          <w:bCs/>
          <w:lang w:val="fr-FR"/>
        </w:rPr>
        <w:t xml:space="preserve">70 ou 80 </w:t>
      </w:r>
      <w:r w:rsidRPr="006800C3">
        <w:rPr>
          <w:lang w:val="fr-FR"/>
        </w:rPr>
        <w:t>km/h</w:t>
      </w:r>
      <w:r w:rsidRPr="006800C3">
        <w:rPr>
          <w:vertAlign w:val="superscript"/>
          <w:lang w:val="fr-FR"/>
        </w:rPr>
        <w:t>2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> »</w:t>
      </w:r>
    </w:p>
    <w:p w14:paraId="36FD5B3C" w14:textId="77777777" w:rsidR="00047310" w:rsidRPr="006800C3" w:rsidRDefault="00BE0C93" w:rsidP="00BE0C93">
      <w:pPr>
        <w:pStyle w:val="SingleTxtG"/>
        <w:ind w:left="2410" w:hanging="1276"/>
        <w:rPr>
          <w:lang w:val="fr-FR"/>
        </w:rPr>
      </w:pPr>
      <w:r w:rsidRPr="006800C3">
        <w:rPr>
          <w:i/>
          <w:iCs/>
          <w:lang w:val="fr-FR"/>
        </w:rPr>
        <w:t>Annexe 6,</w:t>
      </w:r>
    </w:p>
    <w:p w14:paraId="53AD0508" w14:textId="00264EAE" w:rsidR="00BE0C93" w:rsidRPr="006800C3" w:rsidRDefault="00BE0C93" w:rsidP="00BE0C93">
      <w:pPr>
        <w:pStyle w:val="SingleTxtG"/>
        <w:ind w:left="2410" w:hanging="1276"/>
        <w:rPr>
          <w:bCs/>
          <w:lang w:val="fr-FR"/>
        </w:rPr>
      </w:pPr>
      <w:r w:rsidRPr="006800C3">
        <w:rPr>
          <w:i/>
          <w:iCs/>
          <w:lang w:val="fr-FR"/>
        </w:rPr>
        <w:t>paragraphe 2</w:t>
      </w:r>
      <w:r w:rsidR="00F61FCE" w:rsidRPr="006800C3">
        <w:rPr>
          <w:i/>
          <w:iCs/>
          <w:lang w:val="fr-FR"/>
        </w:rPr>
        <w:t>.</w:t>
      </w:r>
      <w:r w:rsidRPr="006800C3">
        <w:rPr>
          <w:i/>
          <w:iCs/>
          <w:lang w:val="fr-FR"/>
        </w:rPr>
        <w:t>2</w:t>
      </w:r>
      <w:r w:rsidRPr="006800C3">
        <w:rPr>
          <w:lang w:val="fr-FR"/>
        </w:rPr>
        <w:t>, lire</w:t>
      </w:r>
      <w:r w:rsidR="00047310" w:rsidRPr="006800C3">
        <w:rPr>
          <w:lang w:val="fr-FR"/>
        </w:rPr>
        <w:t> :</w:t>
      </w:r>
    </w:p>
    <w:p w14:paraId="2FA6E3E4" w14:textId="519AD9FD" w:rsidR="00BE0C93" w:rsidRPr="006800C3" w:rsidRDefault="00BE0C93" w:rsidP="00BE0C93">
      <w:pPr>
        <w:keepNext/>
        <w:keepLines/>
        <w:spacing w:after="120"/>
        <w:ind w:left="2268" w:right="1139" w:hanging="1134"/>
        <w:jc w:val="both"/>
        <w:rPr>
          <w:lang w:val="fr-FR"/>
        </w:rPr>
      </w:pPr>
      <w:r w:rsidRPr="006800C3">
        <w:rPr>
          <w:lang w:val="fr-FR"/>
        </w:rPr>
        <w:t>« 2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>2</w:t>
      </w:r>
      <w:r w:rsidRPr="006800C3">
        <w:rPr>
          <w:lang w:val="fr-FR"/>
        </w:rPr>
        <w:tab/>
        <w:t>Jante de mesure</w:t>
      </w:r>
    </w:p>
    <w:p w14:paraId="30816F75" w14:textId="5985F063" w:rsidR="00BE0C93" w:rsidRPr="006800C3" w:rsidRDefault="00BE0C93" w:rsidP="00BE0C93">
      <w:pPr>
        <w:spacing w:after="120"/>
        <w:ind w:left="2268" w:right="1139"/>
        <w:jc w:val="both"/>
        <w:rPr>
          <w:bCs/>
          <w:lang w:val="fr-FR"/>
        </w:rPr>
      </w:pPr>
      <w:r w:rsidRPr="006800C3">
        <w:rPr>
          <w:lang w:val="fr-FR"/>
        </w:rPr>
        <w:t>Le pneumatique doit être monté sur une jante de mesure en acier ou en alliage léger, comme suit</w:t>
      </w:r>
      <w:r w:rsidR="00047310" w:rsidRPr="006800C3">
        <w:rPr>
          <w:lang w:val="fr-FR"/>
        </w:rPr>
        <w:t> :</w:t>
      </w:r>
    </w:p>
    <w:p w14:paraId="709D95DF" w14:textId="6EEAD088" w:rsidR="00BE0C93" w:rsidRPr="006800C3" w:rsidRDefault="00BE0C93" w:rsidP="00BE0C93">
      <w:pPr>
        <w:spacing w:after="120"/>
        <w:ind w:left="2835" w:right="1139" w:hanging="567"/>
        <w:jc w:val="both"/>
        <w:rPr>
          <w:bCs/>
          <w:lang w:val="fr-FR"/>
        </w:rPr>
      </w:pPr>
      <w:r w:rsidRPr="006800C3">
        <w:rPr>
          <w:lang w:val="fr-FR"/>
        </w:rPr>
        <w:t>a)</w:t>
      </w:r>
      <w:r w:rsidRPr="006800C3">
        <w:rPr>
          <w:lang w:val="fr-FR"/>
        </w:rPr>
        <w:tab/>
        <w:t>Pour les pneumatiques de la classe C1, la largeur de jante doit être celle définie dans la norme ISO 4000-1</w:t>
      </w:r>
      <w:r w:rsidR="00047310" w:rsidRPr="006800C3">
        <w:rPr>
          <w:lang w:val="fr-FR"/>
        </w:rPr>
        <w:t>:</w:t>
      </w:r>
      <w:r w:rsidRPr="006800C3">
        <w:rPr>
          <w:strike/>
          <w:lang w:val="fr-FR"/>
        </w:rPr>
        <w:t>2010</w:t>
      </w:r>
      <w:r w:rsidRPr="006800C3">
        <w:rPr>
          <w:b/>
          <w:bCs/>
          <w:lang w:val="fr-FR"/>
        </w:rPr>
        <w:t>2021</w:t>
      </w:r>
      <w:r w:rsidRPr="006800C3">
        <w:rPr>
          <w:lang w:val="fr-FR"/>
        </w:rPr>
        <w:t>,</w:t>
      </w:r>
    </w:p>
    <w:p w14:paraId="688B78F5" w14:textId="5360F7E2" w:rsidR="00BE0C93" w:rsidRPr="006800C3" w:rsidRDefault="00BE0C93" w:rsidP="00BE0C93">
      <w:pPr>
        <w:spacing w:after="120"/>
        <w:ind w:left="2835" w:right="1139" w:hanging="567"/>
        <w:jc w:val="both"/>
        <w:rPr>
          <w:bCs/>
          <w:dstrike/>
          <w:lang w:val="fr-FR"/>
        </w:rPr>
      </w:pPr>
      <w:r w:rsidRPr="006800C3">
        <w:rPr>
          <w:lang w:val="fr-FR"/>
        </w:rPr>
        <w:t>b)</w:t>
      </w:r>
      <w:r w:rsidRPr="006800C3">
        <w:rPr>
          <w:lang w:val="fr-FR"/>
        </w:rPr>
        <w:tab/>
      </w:r>
      <w:r w:rsidRPr="006800C3">
        <w:rPr>
          <w:lang w:val="fr-FR"/>
        </w:rPr>
        <w:tab/>
        <w:t>Pour les pneumatiques des classes C2 et C3, la largeur de jante doit être celle définie dans la norme ISO 4209</w:t>
      </w:r>
      <w:r w:rsidRPr="006800C3">
        <w:rPr>
          <w:b/>
          <w:bCs/>
          <w:lang w:val="fr-FR"/>
        </w:rPr>
        <w:t>-</w:t>
      </w:r>
      <w:r w:rsidRPr="006800C3">
        <w:rPr>
          <w:lang w:val="fr-FR"/>
        </w:rPr>
        <w:t>1</w:t>
      </w:r>
      <w:r w:rsidR="00047310" w:rsidRPr="006800C3">
        <w:rPr>
          <w:lang w:val="fr-FR"/>
        </w:rPr>
        <w:t>:</w:t>
      </w:r>
      <w:r w:rsidRPr="006800C3">
        <w:rPr>
          <w:lang w:val="fr-FR"/>
        </w:rPr>
        <w:t>2001</w:t>
      </w:r>
      <w:r w:rsidR="00F61FCE" w:rsidRPr="006800C3">
        <w:rPr>
          <w:lang w:val="fr-FR"/>
        </w:rPr>
        <w:t>.</w:t>
      </w:r>
    </w:p>
    <w:p w14:paraId="49AC2D0A" w14:textId="43543C41" w:rsidR="00BE0C93" w:rsidRPr="006800C3" w:rsidRDefault="00BE0C93" w:rsidP="00BE0C93">
      <w:pPr>
        <w:pStyle w:val="SingleTxtG"/>
        <w:keepNext/>
        <w:keepLines/>
        <w:ind w:left="2268"/>
        <w:rPr>
          <w:lang w:val="fr-FR"/>
        </w:rPr>
      </w:pPr>
      <w:r w:rsidRPr="006800C3">
        <w:rPr>
          <w:lang w:val="fr-FR"/>
        </w:rPr>
        <w:t>Lorsque la largeur n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est pas définie dans les normes ISO susmentionnées, on peut utiliser la largeur de jante définie par l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une des organisations de normalisation, comme il est spécifié à l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appendice 4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> »</w:t>
      </w:r>
    </w:p>
    <w:p w14:paraId="6D48B0E5" w14:textId="1DBEEFBB" w:rsidR="00BE0C93" w:rsidRPr="006800C3" w:rsidRDefault="00BE0C93" w:rsidP="00BE0C93">
      <w:pPr>
        <w:pStyle w:val="SingleTxtG"/>
        <w:ind w:left="2410" w:hanging="1276"/>
        <w:rPr>
          <w:bCs/>
          <w:lang w:val="fr-FR"/>
        </w:rPr>
      </w:pPr>
      <w:r w:rsidRPr="006800C3">
        <w:rPr>
          <w:i/>
          <w:iCs/>
          <w:lang w:val="fr-FR"/>
        </w:rPr>
        <w:t>Paragraphe 4</w:t>
      </w:r>
      <w:r w:rsidR="00F61FCE" w:rsidRPr="006800C3">
        <w:rPr>
          <w:i/>
          <w:iCs/>
          <w:lang w:val="fr-FR"/>
        </w:rPr>
        <w:t>.</w:t>
      </w:r>
      <w:r w:rsidRPr="006800C3">
        <w:rPr>
          <w:i/>
          <w:iCs/>
          <w:lang w:val="fr-FR"/>
        </w:rPr>
        <w:t>5</w:t>
      </w:r>
      <w:r w:rsidRPr="006800C3">
        <w:rPr>
          <w:lang w:val="fr-FR"/>
        </w:rPr>
        <w:t>, lire</w:t>
      </w:r>
      <w:r w:rsidR="00047310" w:rsidRPr="006800C3">
        <w:rPr>
          <w:lang w:val="fr-FR"/>
        </w:rPr>
        <w:t> :</w:t>
      </w:r>
    </w:p>
    <w:p w14:paraId="18B74059" w14:textId="2721E52A" w:rsidR="00BE0C93" w:rsidRPr="006800C3" w:rsidRDefault="00BE0C93" w:rsidP="00BE0C93">
      <w:pPr>
        <w:pStyle w:val="SingleTxtG"/>
        <w:spacing w:before="120"/>
        <w:ind w:left="2268" w:hanging="1134"/>
        <w:rPr>
          <w:lang w:val="fr-FR"/>
        </w:rPr>
      </w:pPr>
      <w:r w:rsidRPr="006800C3">
        <w:rPr>
          <w:lang w:val="fr-FR"/>
        </w:rPr>
        <w:t>« 4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>5</w:t>
      </w:r>
      <w:r w:rsidRPr="006800C3">
        <w:rPr>
          <w:lang w:val="fr-FR"/>
        </w:rPr>
        <w:tab/>
        <w:t>Mesurages et enregistrements</w:t>
      </w:r>
    </w:p>
    <w:p w14:paraId="492C5340" w14:textId="7DE08E83" w:rsidR="00BE0C93" w:rsidRPr="006800C3" w:rsidRDefault="00BE0C93" w:rsidP="00BE0C93">
      <w:pPr>
        <w:pStyle w:val="SingleTxtG"/>
        <w:spacing w:before="120"/>
        <w:ind w:left="2268" w:hanging="1134"/>
        <w:rPr>
          <w:lang w:val="fr-FR"/>
        </w:rPr>
      </w:pPr>
      <w:r w:rsidRPr="006800C3">
        <w:rPr>
          <w:lang w:val="fr-FR"/>
        </w:rPr>
        <w:tab/>
        <w:t>Ce qui suit doit être mesuré et enregistré (voir la figure 1)</w:t>
      </w:r>
      <w:r w:rsidR="00047310" w:rsidRPr="006800C3">
        <w:rPr>
          <w:lang w:val="fr-FR"/>
        </w:rPr>
        <w:t> :</w:t>
      </w:r>
    </w:p>
    <w:p w14:paraId="44828B93" w14:textId="4C5E9E17" w:rsidR="00BE0C93" w:rsidRPr="006800C3" w:rsidRDefault="00BE0C93" w:rsidP="00BE0C93">
      <w:pPr>
        <w:pStyle w:val="SingleTxtG"/>
        <w:spacing w:before="120"/>
        <w:ind w:left="2268"/>
        <w:rPr>
          <w:lang w:val="fr-FR"/>
        </w:rPr>
      </w:pPr>
      <w:r w:rsidRPr="006800C3">
        <w:rPr>
          <w:lang w:val="fr-FR"/>
        </w:rPr>
        <w:t>a)</w:t>
      </w:r>
      <w:r w:rsidRPr="006800C3">
        <w:rPr>
          <w:lang w:val="fr-FR"/>
        </w:rPr>
        <w:tab/>
        <w:t>La vitesse d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essai, U</w:t>
      </w:r>
      <w:r w:rsidRPr="006800C3">
        <w:rPr>
          <w:vertAlign w:val="subscript"/>
          <w:lang w:val="fr-FR"/>
        </w:rPr>
        <w:t>n</w:t>
      </w:r>
      <w:r w:rsidR="00047310" w:rsidRPr="006800C3">
        <w:rPr>
          <w:lang w:val="fr-FR"/>
        </w:rPr>
        <w:t> ;</w:t>
      </w:r>
    </w:p>
    <w:p w14:paraId="5F3171A0" w14:textId="100C84C2" w:rsidR="00BE0C93" w:rsidRPr="006800C3" w:rsidRDefault="00BE0C93" w:rsidP="00BE0C93">
      <w:pPr>
        <w:pStyle w:val="SingleTxtG"/>
        <w:spacing w:before="120"/>
        <w:ind w:left="2268"/>
        <w:rPr>
          <w:lang w:val="fr-FR"/>
        </w:rPr>
      </w:pPr>
      <w:r w:rsidRPr="006800C3">
        <w:rPr>
          <w:lang w:val="fr-FR"/>
        </w:rPr>
        <w:t>b)</w:t>
      </w:r>
      <w:r w:rsidRPr="006800C3">
        <w:rPr>
          <w:lang w:val="fr-FR"/>
        </w:rPr>
        <w:tab/>
        <w:t>La charge supportée par le pneumatique, normale à la surface du tambour, L</w:t>
      </w:r>
      <w:r w:rsidRPr="006800C3">
        <w:rPr>
          <w:vertAlign w:val="subscript"/>
          <w:lang w:val="fr-FR"/>
        </w:rPr>
        <w:t>m</w:t>
      </w:r>
      <w:r w:rsidR="00047310" w:rsidRPr="006800C3">
        <w:rPr>
          <w:lang w:val="fr-FR"/>
        </w:rPr>
        <w:t> ;</w:t>
      </w:r>
    </w:p>
    <w:p w14:paraId="06E0DE32" w14:textId="5E2348F3" w:rsidR="00BE0C93" w:rsidRPr="006800C3" w:rsidRDefault="00BE0C93" w:rsidP="00BE0C93">
      <w:pPr>
        <w:pStyle w:val="SingleTxtG"/>
        <w:spacing w:before="120"/>
        <w:ind w:left="2268"/>
        <w:rPr>
          <w:lang w:val="fr-FR"/>
        </w:rPr>
      </w:pPr>
      <w:r w:rsidRPr="006800C3">
        <w:rPr>
          <w:lang w:val="fr-FR"/>
        </w:rPr>
        <w:t>c)</w:t>
      </w:r>
      <w:r w:rsidRPr="006800C3">
        <w:rPr>
          <w:lang w:val="fr-FR"/>
        </w:rPr>
        <w:tab/>
        <w:t>La pression de gonflage d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essai initiale, définie au paragraphe</w:t>
      </w:r>
      <w:r w:rsidR="00D7654E" w:rsidRPr="006800C3">
        <w:rPr>
          <w:lang w:val="fr-FR"/>
        </w:rPr>
        <w:t> </w:t>
      </w:r>
      <w:r w:rsidRPr="006800C3">
        <w:rPr>
          <w:lang w:val="fr-FR"/>
        </w:rPr>
        <w:t>3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>3 ci</w:t>
      </w:r>
      <w:r w:rsidR="00D7654E" w:rsidRPr="006800C3">
        <w:rPr>
          <w:lang w:val="fr-FR"/>
        </w:rPr>
        <w:noBreakHyphen/>
      </w:r>
      <w:r w:rsidRPr="006800C3">
        <w:rPr>
          <w:lang w:val="fr-FR"/>
        </w:rPr>
        <w:t>dessus</w:t>
      </w:r>
      <w:r w:rsidR="00047310" w:rsidRPr="006800C3">
        <w:rPr>
          <w:lang w:val="fr-FR"/>
        </w:rPr>
        <w:t> ;</w:t>
      </w:r>
    </w:p>
    <w:p w14:paraId="7BB8DA2F" w14:textId="777CF6EC" w:rsidR="00BE0C93" w:rsidRPr="006800C3" w:rsidRDefault="00BE0C93" w:rsidP="00BE0C93">
      <w:pPr>
        <w:pStyle w:val="SingleTxtG"/>
        <w:spacing w:before="120"/>
        <w:ind w:left="2829" w:hanging="561"/>
        <w:rPr>
          <w:lang w:val="fr-FR"/>
        </w:rPr>
      </w:pPr>
      <w:r w:rsidRPr="006800C3">
        <w:rPr>
          <w:lang w:val="fr-FR"/>
        </w:rPr>
        <w:t>d)</w:t>
      </w:r>
      <w:r w:rsidRPr="006800C3">
        <w:rPr>
          <w:lang w:val="fr-FR"/>
        </w:rPr>
        <w:tab/>
        <w:t>Le coefficient de résistance au roulement, C</w:t>
      </w:r>
      <w:r w:rsidRPr="006800C3">
        <w:rPr>
          <w:vertAlign w:val="subscript"/>
          <w:lang w:val="fr-FR"/>
        </w:rPr>
        <w:t>r</w:t>
      </w:r>
      <w:r w:rsidRPr="006800C3">
        <w:rPr>
          <w:lang w:val="fr-FR"/>
        </w:rPr>
        <w:t>, et sa valeur corrigée, C</w:t>
      </w:r>
      <w:r w:rsidRPr="006800C3">
        <w:rPr>
          <w:vertAlign w:val="subscript"/>
          <w:lang w:val="fr-FR"/>
        </w:rPr>
        <w:t>rcorrigé</w:t>
      </w:r>
      <w:r w:rsidRPr="006800C3">
        <w:rPr>
          <w:lang w:val="fr-FR"/>
        </w:rPr>
        <w:t>, à 25</w:t>
      </w:r>
      <w:r w:rsidR="00D7654E" w:rsidRPr="006800C3">
        <w:rPr>
          <w:lang w:val="fr-FR"/>
        </w:rPr>
        <w:t> </w:t>
      </w:r>
      <w:r w:rsidRPr="006800C3">
        <w:rPr>
          <w:lang w:val="fr-FR"/>
        </w:rPr>
        <w:t>°C et pour un diamètre de tambour de 2 m</w:t>
      </w:r>
      <w:r w:rsidR="00047310" w:rsidRPr="006800C3">
        <w:rPr>
          <w:lang w:val="fr-FR"/>
        </w:rPr>
        <w:t> ;</w:t>
      </w:r>
    </w:p>
    <w:p w14:paraId="7D973BD9" w14:textId="4E08CC45" w:rsidR="00BE0C93" w:rsidRPr="006800C3" w:rsidRDefault="00BE0C93" w:rsidP="00BE0C93">
      <w:pPr>
        <w:pStyle w:val="SingleTxtG"/>
        <w:spacing w:before="120"/>
        <w:ind w:left="2829" w:hanging="561"/>
        <w:rPr>
          <w:lang w:val="fr-FR"/>
        </w:rPr>
      </w:pPr>
      <w:r w:rsidRPr="006800C3">
        <w:rPr>
          <w:lang w:val="fr-FR"/>
        </w:rPr>
        <w:t>e)</w:t>
      </w:r>
      <w:r w:rsidRPr="006800C3">
        <w:rPr>
          <w:lang w:val="fr-FR"/>
        </w:rPr>
        <w:tab/>
        <w:t>La distance de l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axe du pneumatique à la surface externe du tambour dans des conditions stabilisées, r</w:t>
      </w:r>
      <w:r w:rsidRPr="006800C3">
        <w:rPr>
          <w:vertAlign w:val="subscript"/>
          <w:lang w:val="fr-FR"/>
        </w:rPr>
        <w:t>L</w:t>
      </w:r>
      <w:r w:rsidRPr="006800C3">
        <w:rPr>
          <w:lang w:val="fr-FR"/>
        </w:rPr>
        <w:t>, en mètres</w:t>
      </w:r>
      <w:r w:rsidR="00047310" w:rsidRPr="006800C3">
        <w:rPr>
          <w:lang w:val="fr-FR"/>
        </w:rPr>
        <w:t> ;</w:t>
      </w:r>
    </w:p>
    <w:p w14:paraId="2DE000EC" w14:textId="5C3766D4" w:rsidR="00BE0C93" w:rsidRPr="006800C3" w:rsidRDefault="00BE0C93" w:rsidP="00BE0C93">
      <w:pPr>
        <w:pStyle w:val="SingleTxtG"/>
        <w:spacing w:before="120"/>
        <w:ind w:left="2268"/>
        <w:rPr>
          <w:vertAlign w:val="subscript"/>
          <w:lang w:val="fr-FR"/>
        </w:rPr>
      </w:pPr>
      <w:r w:rsidRPr="006800C3">
        <w:rPr>
          <w:lang w:val="fr-FR"/>
        </w:rPr>
        <w:t>f)</w:t>
      </w:r>
      <w:r w:rsidRPr="006800C3">
        <w:rPr>
          <w:lang w:val="fr-FR"/>
        </w:rPr>
        <w:tab/>
        <w:t>La température ambiante, t</w:t>
      </w:r>
      <w:r w:rsidRPr="006800C3">
        <w:rPr>
          <w:vertAlign w:val="subscript"/>
          <w:lang w:val="fr-FR"/>
        </w:rPr>
        <w:t>amb</w:t>
      </w:r>
      <w:r w:rsidR="00047310" w:rsidRPr="006800C3">
        <w:rPr>
          <w:lang w:val="fr-FR"/>
        </w:rPr>
        <w:t> ;</w:t>
      </w:r>
    </w:p>
    <w:p w14:paraId="059038C7" w14:textId="05F3ED93" w:rsidR="00BE0C93" w:rsidRPr="006800C3" w:rsidRDefault="00BE0C93" w:rsidP="00BE0C93">
      <w:pPr>
        <w:pStyle w:val="SingleTxtG"/>
        <w:spacing w:before="120"/>
        <w:ind w:left="2268"/>
        <w:rPr>
          <w:lang w:val="fr-FR"/>
        </w:rPr>
      </w:pPr>
      <w:r w:rsidRPr="006800C3">
        <w:rPr>
          <w:lang w:val="fr-FR"/>
        </w:rPr>
        <w:t>g)</w:t>
      </w:r>
      <w:r w:rsidRPr="006800C3">
        <w:rPr>
          <w:lang w:val="fr-FR"/>
        </w:rPr>
        <w:tab/>
        <w:t>Le rayon du tambour d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essai, R</w:t>
      </w:r>
      <w:r w:rsidR="00047310" w:rsidRPr="006800C3">
        <w:rPr>
          <w:lang w:val="fr-FR"/>
        </w:rPr>
        <w:t> ;</w:t>
      </w:r>
    </w:p>
    <w:p w14:paraId="08DED202" w14:textId="326501BE" w:rsidR="00BE0C93" w:rsidRPr="006800C3" w:rsidRDefault="00BE0C93" w:rsidP="00BE0C93">
      <w:pPr>
        <w:pStyle w:val="SingleTxtG"/>
        <w:spacing w:before="120"/>
        <w:ind w:left="2268"/>
        <w:rPr>
          <w:lang w:val="fr-FR"/>
        </w:rPr>
      </w:pPr>
      <w:r w:rsidRPr="006800C3">
        <w:rPr>
          <w:lang w:val="fr-FR"/>
        </w:rPr>
        <w:t>h)</w:t>
      </w:r>
      <w:r w:rsidRPr="006800C3">
        <w:rPr>
          <w:lang w:val="fr-FR"/>
        </w:rPr>
        <w:tab/>
        <w:t>La méthode d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essai choisie</w:t>
      </w:r>
      <w:r w:rsidR="00047310" w:rsidRPr="006800C3">
        <w:rPr>
          <w:lang w:val="fr-FR"/>
        </w:rPr>
        <w:t> ;</w:t>
      </w:r>
    </w:p>
    <w:p w14:paraId="672B548A" w14:textId="79DB2BD2" w:rsidR="00BE0C93" w:rsidRPr="006800C3" w:rsidRDefault="00BE0C93" w:rsidP="00BE0C93">
      <w:pPr>
        <w:pStyle w:val="SingleTxtG"/>
        <w:spacing w:before="120"/>
        <w:ind w:left="2268"/>
        <w:rPr>
          <w:lang w:val="fr-FR"/>
        </w:rPr>
      </w:pPr>
      <w:r w:rsidRPr="006800C3">
        <w:rPr>
          <w:lang w:val="fr-FR"/>
        </w:rPr>
        <w:t>i)</w:t>
      </w:r>
      <w:r w:rsidRPr="006800C3">
        <w:rPr>
          <w:lang w:val="fr-FR"/>
        </w:rPr>
        <w:tab/>
        <w:t>La jante d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essai (désignation et matériau)</w:t>
      </w:r>
      <w:r w:rsidR="00047310" w:rsidRPr="006800C3">
        <w:rPr>
          <w:lang w:val="fr-FR"/>
        </w:rPr>
        <w:t> ;</w:t>
      </w:r>
    </w:p>
    <w:p w14:paraId="04572CB8" w14:textId="7BCD76D7" w:rsidR="00BE0C93" w:rsidRPr="006800C3" w:rsidRDefault="00BE0C93" w:rsidP="00BE0C93">
      <w:pPr>
        <w:pStyle w:val="SingleTxtG"/>
        <w:spacing w:before="120"/>
        <w:ind w:left="2835" w:hanging="567"/>
        <w:rPr>
          <w:lang w:val="fr-FR"/>
        </w:rPr>
      </w:pPr>
      <w:r w:rsidRPr="006800C3">
        <w:rPr>
          <w:lang w:val="fr-FR"/>
        </w:rPr>
        <w:t>j)</w:t>
      </w:r>
      <w:r w:rsidRPr="006800C3">
        <w:rPr>
          <w:lang w:val="fr-FR"/>
        </w:rPr>
        <w:tab/>
        <w:t>La dimension, le fabricant, le type et l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identifiant (s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il existe) du pneumatique</w:t>
      </w:r>
      <w:r w:rsidR="00047310" w:rsidRPr="006800C3">
        <w:rPr>
          <w:lang w:val="fr-FR"/>
        </w:rPr>
        <w:t> ;</w:t>
      </w:r>
      <w:r w:rsidRPr="006800C3">
        <w:rPr>
          <w:lang w:val="fr-FR"/>
        </w:rPr>
        <w:t xml:space="preserve"> le cas échéant, l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indice de vitesse, l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indice de charge, le numéro DOT (Department of Transportation)</w:t>
      </w:r>
      <w:r w:rsidR="00F61FCE" w:rsidRPr="006800C3">
        <w:rPr>
          <w:lang w:val="fr-FR"/>
        </w:rPr>
        <w:t>.</w:t>
      </w:r>
    </w:p>
    <w:p w14:paraId="1F5B489E" w14:textId="1C9BF96A" w:rsidR="00BE0C93" w:rsidRPr="006800C3" w:rsidRDefault="00BE0C93" w:rsidP="00BE0C93">
      <w:pPr>
        <w:pStyle w:val="SingleTxtG"/>
        <w:keepNext/>
        <w:keepLines/>
        <w:spacing w:before="120"/>
        <w:ind w:left="2835" w:hanging="567"/>
        <w:rPr>
          <w:lang w:val="fr-FR"/>
        </w:rPr>
      </w:pPr>
      <w:r w:rsidRPr="006800C3">
        <w:rPr>
          <w:lang w:val="fr-FR"/>
        </w:rPr>
        <w:lastRenderedPageBreak/>
        <w:t>Figure 1</w:t>
      </w:r>
    </w:p>
    <w:p w14:paraId="35647666" w14:textId="38509696" w:rsidR="00D00020" w:rsidRPr="006800C3" w:rsidRDefault="00D00020" w:rsidP="00D00020">
      <w:pPr>
        <w:pStyle w:val="SingleTxtG"/>
        <w:ind w:left="2977"/>
        <w:rPr>
          <w:lang w:val="fr-FR"/>
        </w:rPr>
      </w:pPr>
      <w:r w:rsidRPr="006800C3">
        <w:rPr>
          <w:noProof/>
          <w:lang w:val="fr-FR"/>
        </w:rPr>
        <w:drawing>
          <wp:inline distT="0" distB="0" distL="0" distR="0" wp14:anchorId="06ADD628" wp14:editId="4427B99A">
            <wp:extent cx="2571973" cy="2000423"/>
            <wp:effectExtent l="0" t="0" r="0" b="0"/>
            <wp:docPr id="2123569971" name="Picture 1" descr="A diagram of a circle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569971" name="Picture 1" descr="A diagram of a circle with 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71973" cy="200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68710" w14:textId="1EEF6A54" w:rsidR="00BE0C93" w:rsidRPr="006800C3" w:rsidRDefault="00BE0C93" w:rsidP="00BE0C93">
      <w:pPr>
        <w:pStyle w:val="SingleTxtG"/>
        <w:spacing w:before="120"/>
        <w:ind w:left="2268"/>
        <w:rPr>
          <w:lang w:val="fr-FR"/>
        </w:rPr>
      </w:pPr>
      <w:r w:rsidRPr="006800C3">
        <w:rPr>
          <w:lang w:val="fr-FR"/>
        </w:rPr>
        <w:t>Toutes les grandeurs mécaniques (forces, couples) doivent être orientées conformément aux systèmes d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axes spécifiés dans la norme ISO</w:t>
      </w:r>
      <w:r w:rsidR="00884B41" w:rsidRPr="006800C3">
        <w:rPr>
          <w:lang w:val="fr-FR"/>
        </w:rPr>
        <w:t> </w:t>
      </w:r>
      <w:r w:rsidRPr="006800C3">
        <w:rPr>
          <w:lang w:val="fr-FR"/>
        </w:rPr>
        <w:t>8855</w:t>
      </w:r>
      <w:r w:rsidR="00047310" w:rsidRPr="006800C3">
        <w:rPr>
          <w:lang w:val="fr-FR"/>
        </w:rPr>
        <w:t>:</w:t>
      </w:r>
      <w:r w:rsidRPr="006800C3">
        <w:rPr>
          <w:strike/>
          <w:lang w:val="fr-FR"/>
        </w:rPr>
        <w:t>1991</w:t>
      </w:r>
      <w:r w:rsidRPr="006800C3">
        <w:rPr>
          <w:b/>
          <w:bCs/>
          <w:lang w:val="fr-FR"/>
        </w:rPr>
        <w:t>2011</w:t>
      </w:r>
      <w:r w:rsidR="00F61FCE" w:rsidRPr="006800C3">
        <w:rPr>
          <w:lang w:val="fr-FR"/>
        </w:rPr>
        <w:t>.</w:t>
      </w:r>
      <w:bookmarkStart w:id="6" w:name="_Hlk148357841"/>
      <w:bookmarkEnd w:id="6"/>
    </w:p>
    <w:p w14:paraId="11082F3B" w14:textId="57B666F3" w:rsidR="00BE0C93" w:rsidRPr="006800C3" w:rsidRDefault="00BE0C93" w:rsidP="00BE0C93">
      <w:pPr>
        <w:pStyle w:val="SingleTxtG"/>
        <w:spacing w:before="120"/>
        <w:ind w:left="2268" w:hanging="1134"/>
        <w:rPr>
          <w:lang w:val="fr-FR"/>
        </w:rPr>
      </w:pPr>
      <w:r w:rsidRPr="006800C3">
        <w:rPr>
          <w:lang w:val="fr-FR"/>
        </w:rPr>
        <w:tab/>
        <w:t>Les pneumatiques directionnels doivent être utilisés dans leur sens de rotation indiqué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> »</w:t>
      </w:r>
    </w:p>
    <w:p w14:paraId="0208A9AD" w14:textId="035561D6" w:rsidR="00BE0C93" w:rsidRPr="006800C3" w:rsidRDefault="00BE0C93" w:rsidP="00BE0C93">
      <w:pPr>
        <w:pStyle w:val="SingleTxtG"/>
        <w:ind w:left="2410" w:hanging="1276"/>
        <w:rPr>
          <w:bCs/>
          <w:lang w:val="fr-FR"/>
        </w:rPr>
      </w:pPr>
      <w:r w:rsidRPr="006800C3">
        <w:rPr>
          <w:i/>
          <w:iCs/>
          <w:lang w:val="fr-FR"/>
        </w:rPr>
        <w:t>Paragraphes 5</w:t>
      </w:r>
      <w:r w:rsidR="00F61FCE" w:rsidRPr="006800C3">
        <w:rPr>
          <w:i/>
          <w:iCs/>
          <w:lang w:val="fr-FR"/>
        </w:rPr>
        <w:t>.</w:t>
      </w:r>
      <w:r w:rsidRPr="006800C3">
        <w:rPr>
          <w:i/>
          <w:iCs/>
          <w:lang w:val="fr-FR"/>
        </w:rPr>
        <w:t>1</w:t>
      </w:r>
      <w:r w:rsidR="00F61FCE" w:rsidRPr="006800C3">
        <w:rPr>
          <w:i/>
          <w:iCs/>
          <w:lang w:val="fr-FR"/>
        </w:rPr>
        <w:t>.</w:t>
      </w:r>
      <w:r w:rsidRPr="006800C3">
        <w:rPr>
          <w:i/>
          <w:iCs/>
          <w:lang w:val="fr-FR"/>
        </w:rPr>
        <w:t>1 et 5</w:t>
      </w:r>
      <w:r w:rsidR="00F61FCE" w:rsidRPr="006800C3">
        <w:rPr>
          <w:i/>
          <w:iCs/>
          <w:lang w:val="fr-FR"/>
        </w:rPr>
        <w:t>.</w:t>
      </w:r>
      <w:r w:rsidRPr="006800C3">
        <w:rPr>
          <w:i/>
          <w:iCs/>
          <w:lang w:val="fr-FR"/>
        </w:rPr>
        <w:t>1</w:t>
      </w:r>
      <w:r w:rsidR="00F61FCE" w:rsidRPr="006800C3">
        <w:rPr>
          <w:i/>
          <w:iCs/>
          <w:lang w:val="fr-FR"/>
        </w:rPr>
        <w:t>.</w:t>
      </w:r>
      <w:r w:rsidRPr="006800C3">
        <w:rPr>
          <w:i/>
          <w:iCs/>
          <w:lang w:val="fr-FR"/>
        </w:rPr>
        <w:t>2</w:t>
      </w:r>
      <w:r w:rsidRPr="006800C3">
        <w:rPr>
          <w:lang w:val="fr-FR"/>
        </w:rPr>
        <w:t>, modification sans objet en français</w:t>
      </w:r>
      <w:r w:rsidR="00F61FCE" w:rsidRPr="006800C3">
        <w:rPr>
          <w:lang w:val="fr-FR"/>
        </w:rPr>
        <w:t>.</w:t>
      </w:r>
    </w:p>
    <w:p w14:paraId="21621104" w14:textId="39EE59A5" w:rsidR="00BE0C93" w:rsidRPr="006800C3" w:rsidRDefault="00BE0C93" w:rsidP="00BE0C93">
      <w:pPr>
        <w:pStyle w:val="SingleTxtG"/>
        <w:ind w:left="2410" w:hanging="1276"/>
        <w:rPr>
          <w:bCs/>
          <w:lang w:val="fr-FR"/>
        </w:rPr>
      </w:pPr>
      <w:r w:rsidRPr="006800C3">
        <w:rPr>
          <w:i/>
          <w:iCs/>
          <w:lang w:val="fr-FR"/>
        </w:rPr>
        <w:t>Paragraphe 5</w:t>
      </w:r>
      <w:r w:rsidR="00F61FCE" w:rsidRPr="006800C3">
        <w:rPr>
          <w:i/>
          <w:iCs/>
          <w:lang w:val="fr-FR"/>
        </w:rPr>
        <w:t>.</w:t>
      </w:r>
      <w:r w:rsidRPr="006800C3">
        <w:rPr>
          <w:i/>
          <w:iCs/>
          <w:lang w:val="fr-FR"/>
        </w:rPr>
        <w:t>2</w:t>
      </w:r>
      <w:r w:rsidR="00F61FCE" w:rsidRPr="006800C3">
        <w:rPr>
          <w:i/>
          <w:iCs/>
          <w:lang w:val="fr-FR"/>
        </w:rPr>
        <w:t>.</w:t>
      </w:r>
      <w:r w:rsidRPr="006800C3">
        <w:rPr>
          <w:i/>
          <w:iCs/>
          <w:lang w:val="fr-FR"/>
        </w:rPr>
        <w:t>1</w:t>
      </w:r>
      <w:r w:rsidRPr="006800C3">
        <w:rPr>
          <w:lang w:val="fr-FR"/>
        </w:rPr>
        <w:t>, modification sans objet en français</w:t>
      </w:r>
      <w:r w:rsidR="00F61FCE" w:rsidRPr="006800C3">
        <w:rPr>
          <w:lang w:val="fr-FR"/>
        </w:rPr>
        <w:t>.</w:t>
      </w:r>
    </w:p>
    <w:p w14:paraId="4A337EA7" w14:textId="129E2638" w:rsidR="00BE0C93" w:rsidRPr="006800C3" w:rsidRDefault="00BE0C93" w:rsidP="00BE0C93">
      <w:pPr>
        <w:pStyle w:val="SingleTxtG"/>
        <w:ind w:left="2410" w:hanging="1276"/>
        <w:rPr>
          <w:bCs/>
          <w:lang w:val="fr-FR"/>
        </w:rPr>
      </w:pPr>
      <w:r w:rsidRPr="006800C3">
        <w:rPr>
          <w:i/>
          <w:iCs/>
          <w:lang w:val="fr-FR"/>
        </w:rPr>
        <w:t>Paragraphe 6</w:t>
      </w:r>
      <w:r w:rsidR="00F61FCE" w:rsidRPr="006800C3">
        <w:rPr>
          <w:i/>
          <w:iCs/>
          <w:lang w:val="fr-FR"/>
        </w:rPr>
        <w:t>.</w:t>
      </w:r>
      <w:r w:rsidRPr="006800C3">
        <w:rPr>
          <w:i/>
          <w:iCs/>
          <w:lang w:val="fr-FR"/>
        </w:rPr>
        <w:t>1</w:t>
      </w:r>
      <w:r w:rsidRPr="006800C3">
        <w:rPr>
          <w:lang w:val="fr-FR"/>
        </w:rPr>
        <w:t>, modification sans objet en français</w:t>
      </w:r>
      <w:r w:rsidR="00F61FCE" w:rsidRPr="006800C3">
        <w:rPr>
          <w:lang w:val="fr-FR"/>
        </w:rPr>
        <w:t>.</w:t>
      </w:r>
    </w:p>
    <w:p w14:paraId="348E9FFD" w14:textId="4E932E49" w:rsidR="00BE0C93" w:rsidRPr="006800C3" w:rsidRDefault="00BE0C93" w:rsidP="00BE0C93">
      <w:pPr>
        <w:pStyle w:val="SingleTxtG"/>
        <w:spacing w:before="120"/>
        <w:ind w:left="2268" w:hanging="1134"/>
        <w:rPr>
          <w:lang w:val="fr-FR"/>
        </w:rPr>
      </w:pPr>
      <w:r w:rsidRPr="006800C3">
        <w:rPr>
          <w:i/>
          <w:iCs/>
          <w:lang w:val="fr-FR"/>
        </w:rPr>
        <w:t>Annexe 6, appendice 1, paragraphe 2</w:t>
      </w:r>
      <w:r w:rsidR="00F61FCE" w:rsidRPr="006800C3">
        <w:rPr>
          <w:i/>
          <w:iCs/>
          <w:lang w:val="fr-FR"/>
        </w:rPr>
        <w:t>.</w:t>
      </w:r>
      <w:r w:rsidRPr="006800C3">
        <w:rPr>
          <w:i/>
          <w:iCs/>
          <w:lang w:val="fr-FR"/>
        </w:rPr>
        <w:t>1</w:t>
      </w:r>
      <w:r w:rsidRPr="006800C3">
        <w:rPr>
          <w:lang w:val="fr-FR"/>
        </w:rPr>
        <w:t>, lire</w:t>
      </w:r>
      <w:r w:rsidR="00047310" w:rsidRPr="006800C3">
        <w:rPr>
          <w:lang w:val="fr-FR"/>
        </w:rPr>
        <w:t> :</w:t>
      </w:r>
    </w:p>
    <w:p w14:paraId="5E9C8626" w14:textId="29E67C93" w:rsidR="00BE0C93" w:rsidRPr="006800C3" w:rsidRDefault="00BE0C93" w:rsidP="00BE0C93">
      <w:pPr>
        <w:tabs>
          <w:tab w:val="left" w:pos="2268"/>
        </w:tabs>
        <w:suppressAutoHyphens w:val="0"/>
        <w:spacing w:line="240" w:lineRule="auto"/>
        <w:ind w:left="1134" w:right="1139"/>
        <w:jc w:val="both"/>
        <w:rPr>
          <w:lang w:val="fr-FR"/>
        </w:rPr>
      </w:pPr>
      <w:r w:rsidRPr="006800C3">
        <w:rPr>
          <w:lang w:val="fr-FR"/>
        </w:rPr>
        <w:t>« 2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>1</w:t>
      </w:r>
      <w:r w:rsidRPr="006800C3">
        <w:rPr>
          <w:lang w:val="fr-FR"/>
        </w:rPr>
        <w:tab/>
        <w:t>Largeur</w:t>
      </w:r>
    </w:p>
    <w:p w14:paraId="35D34675" w14:textId="2EF6089F" w:rsidR="00BE0C93" w:rsidRPr="006800C3" w:rsidRDefault="00BE0C93" w:rsidP="00BE0C93">
      <w:pPr>
        <w:spacing w:before="120" w:after="120"/>
        <w:ind w:left="2268" w:right="1134"/>
        <w:jc w:val="both"/>
        <w:rPr>
          <w:lang w:val="fr-FR"/>
        </w:rPr>
      </w:pPr>
      <w:bookmarkStart w:id="7" w:name="_Hlk148358155"/>
      <w:r w:rsidRPr="006800C3">
        <w:rPr>
          <w:lang w:val="fr-FR"/>
        </w:rPr>
        <w:t>Pour les pneumatiques de la classe C1, la largeur de jante d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essai doit être celle définie dans la norme ISO 4000-1</w:t>
      </w:r>
      <w:r w:rsidR="00047310" w:rsidRPr="006800C3">
        <w:rPr>
          <w:lang w:val="fr-FR"/>
        </w:rPr>
        <w:t>:</w:t>
      </w:r>
      <w:r w:rsidRPr="006800C3">
        <w:rPr>
          <w:strike/>
          <w:lang w:val="fr-FR"/>
        </w:rPr>
        <w:t>2010</w:t>
      </w:r>
      <w:r w:rsidRPr="006800C3">
        <w:rPr>
          <w:b/>
          <w:bCs/>
          <w:lang w:val="fr-FR"/>
        </w:rPr>
        <w:t>2021</w:t>
      </w:r>
      <w:r w:rsidRPr="006800C3">
        <w:rPr>
          <w:lang w:val="fr-FR"/>
        </w:rPr>
        <w:t>, paragraphe 6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>2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>2</w:t>
      </w:r>
      <w:r w:rsidR="00F61FCE" w:rsidRPr="006800C3">
        <w:rPr>
          <w:lang w:val="fr-FR"/>
        </w:rPr>
        <w:t>.</w:t>
      </w:r>
    </w:p>
    <w:bookmarkEnd w:id="7"/>
    <w:p w14:paraId="0542CA81" w14:textId="4805EABF" w:rsidR="00BE0C93" w:rsidRPr="006800C3" w:rsidRDefault="00BE0C93" w:rsidP="00BE0C93">
      <w:pPr>
        <w:spacing w:before="120" w:after="120"/>
        <w:ind w:left="2268" w:right="1134"/>
        <w:jc w:val="both"/>
        <w:rPr>
          <w:lang w:val="fr-FR"/>
        </w:rPr>
      </w:pPr>
      <w:r w:rsidRPr="006800C3">
        <w:rPr>
          <w:lang w:val="fr-FR"/>
        </w:rPr>
        <w:t>Pour les pneumatiques pour camions et autobus, la largeur de jante d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essai doit être celle définie dans la norme ISO 4209-1</w:t>
      </w:r>
      <w:r w:rsidR="00047310" w:rsidRPr="006800C3">
        <w:rPr>
          <w:lang w:val="fr-FR"/>
        </w:rPr>
        <w:t>:</w:t>
      </w:r>
      <w:r w:rsidRPr="006800C3">
        <w:rPr>
          <w:lang w:val="fr-FR"/>
        </w:rPr>
        <w:t>2001, paragraphe 5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>1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>3</w:t>
      </w:r>
      <w:r w:rsidR="00F61FCE" w:rsidRPr="006800C3">
        <w:rPr>
          <w:lang w:val="fr-FR"/>
        </w:rPr>
        <w:t>.</w:t>
      </w:r>
    </w:p>
    <w:p w14:paraId="6E5F5BBA" w14:textId="2304776B" w:rsidR="00BE0C93" w:rsidRPr="006800C3" w:rsidRDefault="00BE0C93" w:rsidP="00BE0C93">
      <w:pPr>
        <w:pStyle w:val="SingleTxtG"/>
        <w:spacing w:before="120"/>
        <w:ind w:left="2268"/>
        <w:rPr>
          <w:lang w:val="fr-FR"/>
        </w:rPr>
      </w:pPr>
      <w:r w:rsidRPr="006800C3">
        <w:rPr>
          <w:lang w:val="fr-FR"/>
        </w:rPr>
        <w:t>Lorsque la largeur n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est pas définie dans les normes ISO susmentionnées, la largeur de la jante de mesure définie dans les normes industrielles peut être utilisée, comme il est spécifié à l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appendice 4 de l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annexe 6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> »</w:t>
      </w:r>
    </w:p>
    <w:p w14:paraId="5B4ED67F" w14:textId="5853CD50" w:rsidR="00BE0C93" w:rsidRPr="006800C3" w:rsidRDefault="00BE0C93" w:rsidP="00BE0C93">
      <w:pPr>
        <w:pStyle w:val="SingleTxtG"/>
        <w:spacing w:before="120"/>
        <w:ind w:left="2268" w:hanging="1134"/>
        <w:rPr>
          <w:lang w:val="fr-FR"/>
        </w:rPr>
      </w:pPr>
      <w:r w:rsidRPr="006800C3">
        <w:rPr>
          <w:i/>
          <w:iCs/>
          <w:lang w:val="fr-FR"/>
        </w:rPr>
        <w:t>Annexe 7, paragraphe 4</w:t>
      </w:r>
      <w:r w:rsidR="00F61FCE" w:rsidRPr="006800C3">
        <w:rPr>
          <w:i/>
          <w:iCs/>
          <w:lang w:val="fr-FR"/>
        </w:rPr>
        <w:t>.</w:t>
      </w:r>
      <w:r w:rsidRPr="006800C3">
        <w:rPr>
          <w:i/>
          <w:iCs/>
          <w:lang w:val="fr-FR"/>
        </w:rPr>
        <w:t>5</w:t>
      </w:r>
      <w:r w:rsidR="00F61FCE" w:rsidRPr="006800C3">
        <w:rPr>
          <w:i/>
          <w:iCs/>
          <w:lang w:val="fr-FR"/>
        </w:rPr>
        <w:t>.</w:t>
      </w:r>
      <w:r w:rsidRPr="006800C3">
        <w:rPr>
          <w:i/>
          <w:iCs/>
          <w:lang w:val="fr-FR"/>
        </w:rPr>
        <w:t>1</w:t>
      </w:r>
      <w:r w:rsidRPr="006800C3">
        <w:rPr>
          <w:lang w:val="fr-FR"/>
        </w:rPr>
        <w:t>, lire</w:t>
      </w:r>
      <w:r w:rsidR="00047310" w:rsidRPr="006800C3">
        <w:rPr>
          <w:lang w:val="fr-FR"/>
        </w:rPr>
        <w:t> :</w:t>
      </w:r>
    </w:p>
    <w:p w14:paraId="7A879D93" w14:textId="244DC8E5" w:rsidR="00BE0C93" w:rsidRPr="006800C3" w:rsidRDefault="00BE0C93" w:rsidP="00BE0C93">
      <w:pPr>
        <w:pStyle w:val="SingleTxtG"/>
        <w:spacing w:before="120"/>
        <w:ind w:left="2268" w:hanging="1134"/>
        <w:rPr>
          <w:lang w:val="fr-FR"/>
        </w:rPr>
      </w:pPr>
      <w:r w:rsidRPr="006800C3">
        <w:rPr>
          <w:lang w:val="fr-FR"/>
        </w:rPr>
        <w:t>« 4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>5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>1</w:t>
      </w:r>
      <w:r w:rsidRPr="006800C3">
        <w:rPr>
          <w:lang w:val="fr-FR"/>
        </w:rPr>
        <w:tab/>
        <w:t>Monter les pneumatiques soumis à l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essai sur des jantes conformément à la norme ISO 4209-1</w:t>
      </w:r>
      <w:r w:rsidR="00047310" w:rsidRPr="006800C3">
        <w:rPr>
          <w:b/>
          <w:bCs/>
          <w:lang w:val="fr-FR"/>
        </w:rPr>
        <w:t>:</w:t>
      </w:r>
      <w:r w:rsidRPr="006800C3">
        <w:rPr>
          <w:b/>
          <w:bCs/>
          <w:lang w:val="fr-FR"/>
        </w:rPr>
        <w:t>2001</w:t>
      </w:r>
      <w:r w:rsidRPr="006800C3">
        <w:rPr>
          <w:lang w:val="fr-FR"/>
        </w:rPr>
        <w:t>, en appliquant une méthode conventionnelle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 xml:space="preserve"> L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utilisation d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un lubrifiant adéquat permettra de s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assurer que la portée du talon est correcte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 xml:space="preserve"> On évitera un apport excessif de lubrifiant de sorte que le pneumatique ne glisse pas sur la jante</w:t>
      </w:r>
      <w:r w:rsidR="00F61FCE" w:rsidRPr="006800C3">
        <w:rPr>
          <w:lang w:val="fr-FR"/>
        </w:rPr>
        <w:t>.</w:t>
      </w:r>
      <w:bookmarkStart w:id="8" w:name="_Hlk148357888"/>
      <w:bookmarkEnd w:id="8"/>
      <w:r w:rsidRPr="006800C3">
        <w:rPr>
          <w:lang w:val="fr-FR"/>
        </w:rPr>
        <w:t> »</w:t>
      </w:r>
    </w:p>
    <w:p w14:paraId="776D3626" w14:textId="77777777" w:rsidR="00047310" w:rsidRPr="006800C3" w:rsidRDefault="00BE0C93" w:rsidP="00BE0C93">
      <w:pPr>
        <w:pStyle w:val="SingleTxtG"/>
        <w:spacing w:before="120"/>
        <w:ind w:left="2268" w:hanging="1134"/>
        <w:rPr>
          <w:lang w:val="fr-FR"/>
        </w:rPr>
      </w:pPr>
      <w:r w:rsidRPr="006800C3">
        <w:rPr>
          <w:i/>
          <w:iCs/>
          <w:lang w:val="fr-FR"/>
        </w:rPr>
        <w:t>Annexe 8,</w:t>
      </w:r>
    </w:p>
    <w:p w14:paraId="20257DD0" w14:textId="74743F80" w:rsidR="00BE0C93" w:rsidRPr="006800C3" w:rsidRDefault="00BE0C93" w:rsidP="00BE0C93">
      <w:pPr>
        <w:pStyle w:val="SingleTxtG"/>
        <w:spacing w:before="120"/>
        <w:ind w:left="2268" w:hanging="1134"/>
        <w:rPr>
          <w:lang w:val="fr-FR"/>
        </w:rPr>
      </w:pPr>
      <w:r w:rsidRPr="006800C3">
        <w:rPr>
          <w:i/>
          <w:iCs/>
          <w:lang w:val="fr-FR"/>
        </w:rPr>
        <w:t>paragraphe 2</w:t>
      </w:r>
      <w:r w:rsidR="00F61FCE" w:rsidRPr="006800C3">
        <w:rPr>
          <w:i/>
          <w:iCs/>
          <w:lang w:val="fr-FR"/>
        </w:rPr>
        <w:t>.</w:t>
      </w:r>
      <w:r w:rsidRPr="006800C3">
        <w:rPr>
          <w:i/>
          <w:iCs/>
          <w:lang w:val="fr-FR"/>
        </w:rPr>
        <w:t>1</w:t>
      </w:r>
      <w:r w:rsidR="00F61FCE" w:rsidRPr="006800C3">
        <w:rPr>
          <w:i/>
          <w:iCs/>
          <w:lang w:val="fr-FR"/>
        </w:rPr>
        <w:t>.</w:t>
      </w:r>
      <w:r w:rsidRPr="006800C3">
        <w:rPr>
          <w:i/>
          <w:iCs/>
          <w:lang w:val="fr-FR"/>
        </w:rPr>
        <w:t>3</w:t>
      </w:r>
      <w:r w:rsidR="00F61FCE" w:rsidRPr="006800C3">
        <w:rPr>
          <w:i/>
          <w:iCs/>
          <w:lang w:val="fr-FR"/>
        </w:rPr>
        <w:t>.</w:t>
      </w:r>
      <w:r w:rsidRPr="006800C3">
        <w:rPr>
          <w:i/>
          <w:iCs/>
          <w:lang w:val="fr-FR"/>
        </w:rPr>
        <w:t>1</w:t>
      </w:r>
      <w:r w:rsidRPr="006800C3">
        <w:rPr>
          <w:lang w:val="fr-FR"/>
        </w:rPr>
        <w:t>, lire</w:t>
      </w:r>
      <w:r w:rsidR="00047310" w:rsidRPr="006800C3">
        <w:rPr>
          <w:lang w:val="fr-FR"/>
        </w:rPr>
        <w:t> :</w:t>
      </w:r>
    </w:p>
    <w:p w14:paraId="595864BC" w14:textId="0705A04F" w:rsidR="00BE0C93" w:rsidRPr="006800C3" w:rsidRDefault="00BE0C93" w:rsidP="00BE0C93">
      <w:pPr>
        <w:pStyle w:val="SingleTxtG"/>
        <w:ind w:left="2268" w:hanging="1134"/>
        <w:rPr>
          <w:lang w:val="fr-FR"/>
        </w:rPr>
      </w:pPr>
      <w:r w:rsidRPr="006800C3">
        <w:rPr>
          <w:lang w:val="fr-FR"/>
        </w:rPr>
        <w:t>« 2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>1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>3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>1</w:t>
      </w:r>
      <w:r w:rsidR="00FD53A1" w:rsidRPr="006800C3">
        <w:rPr>
          <w:lang w:val="fr-FR"/>
        </w:rPr>
        <w:tab/>
      </w:r>
      <w:r w:rsidRPr="006800C3">
        <w:rPr>
          <w:lang w:val="fr-FR"/>
        </w:rPr>
        <w:t>Pneumatique d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essai de référence normalisé</w:t>
      </w:r>
    </w:p>
    <w:p w14:paraId="2F1D67C6" w14:textId="5BFE3345" w:rsidR="00BE0C93" w:rsidRPr="006800C3" w:rsidRDefault="00FD53A1" w:rsidP="00FD53A1">
      <w:pPr>
        <w:spacing w:before="120" w:after="120"/>
        <w:ind w:left="2268" w:right="1134"/>
        <w:jc w:val="both"/>
        <w:rPr>
          <w:lang w:val="fr-FR"/>
        </w:rPr>
      </w:pPr>
      <w:r w:rsidRPr="006800C3">
        <w:rPr>
          <w:lang w:val="fr-FR"/>
        </w:rPr>
        <w:t>P</w:t>
      </w:r>
      <w:r w:rsidR="00BE0C93" w:rsidRPr="006800C3">
        <w:rPr>
          <w:lang w:val="fr-FR"/>
        </w:rPr>
        <w:t>our l</w:t>
      </w:r>
      <w:r w:rsidR="00047310" w:rsidRPr="006800C3">
        <w:rPr>
          <w:lang w:val="fr-FR"/>
        </w:rPr>
        <w:t>’</w:t>
      </w:r>
      <w:r w:rsidR="00BE0C93" w:rsidRPr="006800C3">
        <w:rPr>
          <w:lang w:val="fr-FR"/>
        </w:rPr>
        <w:t>évaluation de la performance sur glace des pneumatiques de la classe</w:t>
      </w:r>
      <w:r w:rsidR="007F536C" w:rsidRPr="006800C3">
        <w:rPr>
          <w:lang w:val="fr-FR"/>
        </w:rPr>
        <w:t> </w:t>
      </w:r>
      <w:r w:rsidR="00BE0C93" w:rsidRPr="006800C3">
        <w:rPr>
          <w:lang w:val="fr-FR"/>
        </w:rPr>
        <w:t>C1, on a recours au pneumatique d</w:t>
      </w:r>
      <w:r w:rsidR="00047310" w:rsidRPr="006800C3">
        <w:rPr>
          <w:lang w:val="fr-FR"/>
        </w:rPr>
        <w:t>’</w:t>
      </w:r>
      <w:r w:rsidR="00BE0C93" w:rsidRPr="006800C3">
        <w:rPr>
          <w:lang w:val="fr-FR"/>
        </w:rPr>
        <w:t>essai de référence normalisé SRTT16</w:t>
      </w:r>
      <w:r w:rsidR="00F61FCE" w:rsidRPr="006800C3">
        <w:rPr>
          <w:lang w:val="fr-FR"/>
        </w:rPr>
        <w:t>.</w:t>
      </w:r>
      <w:r w:rsidR="00BE0C93" w:rsidRPr="006800C3">
        <w:rPr>
          <w:lang w:val="fr-FR"/>
        </w:rPr>
        <w:t xml:space="preserve"> Le</w:t>
      </w:r>
      <w:r w:rsidR="007F536C" w:rsidRPr="006800C3">
        <w:rPr>
          <w:lang w:val="fr-FR"/>
        </w:rPr>
        <w:t xml:space="preserve"> </w:t>
      </w:r>
      <w:r w:rsidR="00BE0C93" w:rsidRPr="006800C3">
        <w:rPr>
          <w:lang w:val="fr-FR"/>
        </w:rPr>
        <w:t>pneumatique de référence ne doit pas avoir plus de 30 mois à compter de la semaine de production et doit être stocké conformément à la norme ASTM</w:t>
      </w:r>
      <w:r w:rsidR="007F536C" w:rsidRPr="006800C3">
        <w:rPr>
          <w:lang w:val="fr-FR"/>
        </w:rPr>
        <w:t> </w:t>
      </w:r>
      <w:r w:rsidR="00BE0C93" w:rsidRPr="006800C3">
        <w:rPr>
          <w:lang w:val="fr-FR"/>
        </w:rPr>
        <w:t xml:space="preserve">F2493 − </w:t>
      </w:r>
      <w:r w:rsidR="00BE0C93" w:rsidRPr="006800C3">
        <w:rPr>
          <w:strike/>
          <w:lang w:val="fr-FR"/>
        </w:rPr>
        <w:t>20</w:t>
      </w:r>
      <w:r w:rsidR="00BE0C93" w:rsidRPr="006800C3">
        <w:rPr>
          <w:b/>
          <w:bCs/>
          <w:lang w:val="fr-FR"/>
        </w:rPr>
        <w:t>23</w:t>
      </w:r>
      <w:r w:rsidR="00F61FCE" w:rsidRPr="006800C3">
        <w:rPr>
          <w:lang w:val="fr-FR"/>
        </w:rPr>
        <w:t>.</w:t>
      </w:r>
      <w:r w:rsidR="00BE0C93" w:rsidRPr="006800C3">
        <w:rPr>
          <w:lang w:val="fr-FR"/>
        </w:rPr>
        <w:t> »</w:t>
      </w:r>
    </w:p>
    <w:p w14:paraId="1622EADA" w14:textId="272A2E50" w:rsidR="00BE0C93" w:rsidRPr="006800C3" w:rsidRDefault="00BE0C93" w:rsidP="00B359F2">
      <w:pPr>
        <w:pStyle w:val="SingleTxtG"/>
        <w:keepNext/>
        <w:keepLines/>
        <w:spacing w:before="120"/>
        <w:ind w:left="2268" w:hanging="1134"/>
        <w:rPr>
          <w:lang w:val="fr-FR"/>
        </w:rPr>
      </w:pPr>
      <w:r w:rsidRPr="006800C3">
        <w:rPr>
          <w:i/>
          <w:iCs/>
          <w:lang w:val="fr-FR"/>
        </w:rPr>
        <w:lastRenderedPageBreak/>
        <w:t>Paragraphe 2</w:t>
      </w:r>
      <w:r w:rsidR="00F61FCE" w:rsidRPr="006800C3">
        <w:rPr>
          <w:i/>
          <w:iCs/>
          <w:lang w:val="fr-FR"/>
        </w:rPr>
        <w:t>.</w:t>
      </w:r>
      <w:r w:rsidRPr="006800C3">
        <w:rPr>
          <w:i/>
          <w:iCs/>
          <w:lang w:val="fr-FR"/>
        </w:rPr>
        <w:t>1</w:t>
      </w:r>
      <w:r w:rsidR="00F61FCE" w:rsidRPr="006800C3">
        <w:rPr>
          <w:i/>
          <w:iCs/>
          <w:lang w:val="fr-FR"/>
        </w:rPr>
        <w:t>.</w:t>
      </w:r>
      <w:r w:rsidRPr="006800C3">
        <w:rPr>
          <w:i/>
          <w:iCs/>
          <w:lang w:val="fr-FR"/>
        </w:rPr>
        <w:t>3</w:t>
      </w:r>
      <w:r w:rsidR="00F61FCE" w:rsidRPr="006800C3">
        <w:rPr>
          <w:i/>
          <w:iCs/>
          <w:lang w:val="fr-FR"/>
        </w:rPr>
        <w:t>.</w:t>
      </w:r>
      <w:r w:rsidRPr="006800C3">
        <w:rPr>
          <w:i/>
          <w:iCs/>
          <w:lang w:val="fr-FR"/>
        </w:rPr>
        <w:t>2</w:t>
      </w:r>
      <w:r w:rsidR="00F61FCE" w:rsidRPr="006800C3">
        <w:rPr>
          <w:i/>
          <w:iCs/>
          <w:lang w:val="fr-FR"/>
        </w:rPr>
        <w:t>.</w:t>
      </w:r>
      <w:r w:rsidRPr="006800C3">
        <w:rPr>
          <w:i/>
          <w:iCs/>
          <w:lang w:val="fr-FR"/>
        </w:rPr>
        <w:t>1</w:t>
      </w:r>
      <w:r w:rsidRPr="006800C3">
        <w:rPr>
          <w:lang w:val="fr-FR"/>
        </w:rPr>
        <w:t>, lire</w:t>
      </w:r>
      <w:r w:rsidR="00047310" w:rsidRPr="006800C3">
        <w:rPr>
          <w:lang w:val="fr-FR"/>
        </w:rPr>
        <w:t> :</w:t>
      </w:r>
    </w:p>
    <w:p w14:paraId="54987174" w14:textId="75DEBC15" w:rsidR="00BE0C93" w:rsidRPr="006800C3" w:rsidRDefault="00BE0C93" w:rsidP="00D616ED">
      <w:pPr>
        <w:pStyle w:val="SingleTxtG"/>
        <w:keepNext/>
        <w:keepLines/>
        <w:spacing w:before="120"/>
        <w:ind w:left="2268" w:hanging="1134"/>
        <w:rPr>
          <w:b/>
          <w:bCs/>
          <w:lang w:val="fr-FR"/>
        </w:rPr>
      </w:pPr>
      <w:r w:rsidRPr="006800C3">
        <w:rPr>
          <w:lang w:val="fr-FR"/>
        </w:rPr>
        <w:t>« 2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>1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>3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>2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>1</w:t>
      </w:r>
      <w:r w:rsidRPr="006800C3">
        <w:rPr>
          <w:lang w:val="fr-FR"/>
        </w:rPr>
        <w:tab/>
      </w:r>
      <w:r w:rsidRPr="006800C3">
        <w:rPr>
          <w:lang w:val="fr-FR"/>
        </w:rPr>
        <w:tab/>
        <w:t>Monter chaque pneumatique à essayer sur une jante répondant à la norme ISO</w:t>
      </w:r>
      <w:r w:rsidR="00D616ED" w:rsidRPr="006800C3">
        <w:rPr>
          <w:lang w:val="fr-FR"/>
        </w:rPr>
        <w:t> </w:t>
      </w:r>
      <w:r w:rsidRPr="006800C3">
        <w:rPr>
          <w:lang w:val="fr-FR"/>
        </w:rPr>
        <w:t>4000-1</w:t>
      </w:r>
      <w:r w:rsidR="00047310" w:rsidRPr="006800C3">
        <w:rPr>
          <w:b/>
          <w:bCs/>
          <w:lang w:val="fr-FR"/>
        </w:rPr>
        <w:t>:</w:t>
      </w:r>
      <w:r w:rsidRPr="006800C3">
        <w:rPr>
          <w:b/>
          <w:bCs/>
          <w:lang w:val="fr-FR"/>
        </w:rPr>
        <w:t>2021</w:t>
      </w:r>
      <w:r w:rsidRPr="006800C3">
        <w:rPr>
          <w:lang w:val="fr-FR"/>
        </w:rPr>
        <w:t>, selon une méthode conventionnelle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 xml:space="preserve"> Dans ces conditions, le code de largeur de jante ne doit pas s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écarter de plus de 0,5 de celui de la jante de mesure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 xml:space="preserve"> Si l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on ne dispose pas d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une jante du commerce pour le véhicule d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essai, il est acceptable d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utiliser une jante dont le code de largeur s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écarte de 1,0 du code de largeur de la jante de mesure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 xml:space="preserve"> L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utilisation d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un lubrifiant adéquat permet de s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assurer que la portée du talon est correcte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 xml:space="preserve"> On évitera un apport excessif de lubrifiant afin que le pneumatique ne glisse pas sur la jante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> »</w:t>
      </w:r>
    </w:p>
    <w:p w14:paraId="284CD26F" w14:textId="77777777" w:rsidR="00047310" w:rsidRPr="006800C3" w:rsidRDefault="00BE0C93" w:rsidP="00BE0C93">
      <w:pPr>
        <w:pStyle w:val="SingleTxtG"/>
        <w:spacing w:before="120"/>
        <w:ind w:left="2268" w:hanging="1134"/>
        <w:rPr>
          <w:lang w:val="fr-FR"/>
        </w:rPr>
      </w:pPr>
      <w:r w:rsidRPr="006800C3">
        <w:rPr>
          <w:i/>
          <w:iCs/>
          <w:lang w:val="fr-FR"/>
        </w:rPr>
        <w:t>Annexe 9,</w:t>
      </w:r>
    </w:p>
    <w:p w14:paraId="3AC8176E" w14:textId="4A16D5EC" w:rsidR="00BE0C93" w:rsidRPr="006800C3" w:rsidRDefault="00BE0C93" w:rsidP="00BE0C93">
      <w:pPr>
        <w:pStyle w:val="SingleTxtG"/>
        <w:spacing w:before="120"/>
        <w:ind w:left="2268" w:hanging="1134"/>
        <w:rPr>
          <w:lang w:val="fr-FR"/>
        </w:rPr>
      </w:pPr>
      <w:r w:rsidRPr="006800C3">
        <w:rPr>
          <w:i/>
          <w:iCs/>
          <w:lang w:val="fr-FR"/>
        </w:rPr>
        <w:t>paragraphe 2</w:t>
      </w:r>
      <w:r w:rsidR="00F61FCE" w:rsidRPr="006800C3">
        <w:rPr>
          <w:i/>
          <w:iCs/>
          <w:lang w:val="fr-FR"/>
        </w:rPr>
        <w:t>.</w:t>
      </w:r>
      <w:r w:rsidRPr="006800C3">
        <w:rPr>
          <w:i/>
          <w:iCs/>
          <w:lang w:val="fr-FR"/>
        </w:rPr>
        <w:t>1</w:t>
      </w:r>
      <w:r w:rsidR="00F61FCE" w:rsidRPr="006800C3">
        <w:rPr>
          <w:i/>
          <w:iCs/>
          <w:lang w:val="fr-FR"/>
        </w:rPr>
        <w:t>.</w:t>
      </w:r>
      <w:r w:rsidRPr="006800C3">
        <w:rPr>
          <w:i/>
          <w:iCs/>
          <w:lang w:val="fr-FR"/>
        </w:rPr>
        <w:t>8</w:t>
      </w:r>
      <w:r w:rsidRPr="006800C3">
        <w:rPr>
          <w:lang w:val="fr-FR"/>
        </w:rPr>
        <w:t>, lire</w:t>
      </w:r>
      <w:r w:rsidR="00047310" w:rsidRPr="006800C3">
        <w:rPr>
          <w:lang w:val="fr-FR"/>
        </w:rPr>
        <w:t> :</w:t>
      </w:r>
    </w:p>
    <w:p w14:paraId="2937AC75" w14:textId="6EA91B4B" w:rsidR="00BE0C93" w:rsidRPr="006800C3" w:rsidRDefault="00BE0C93" w:rsidP="00BE0C93">
      <w:pPr>
        <w:pStyle w:val="SingleTxtG"/>
        <w:ind w:left="2410" w:hanging="1276"/>
        <w:rPr>
          <w:lang w:val="fr-FR"/>
        </w:rPr>
      </w:pPr>
      <w:r w:rsidRPr="006800C3">
        <w:rPr>
          <w:lang w:val="fr-FR"/>
        </w:rPr>
        <w:t>« 2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>1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>8</w:t>
      </w:r>
      <w:r w:rsidRPr="006800C3">
        <w:rPr>
          <w:lang w:val="fr-FR"/>
        </w:rPr>
        <w:tab/>
      </w:r>
      <w:r w:rsidR="00AE49BF" w:rsidRPr="006800C3">
        <w:rPr>
          <w:lang w:val="fr-FR"/>
        </w:rPr>
        <w:t>« </w:t>
      </w:r>
      <w:r w:rsidRPr="006800C3">
        <w:rPr>
          <w:lang w:val="fr-FR"/>
        </w:rPr>
        <w:t>Zone centrale</w:t>
      </w:r>
      <w:r w:rsidR="00AE49BF" w:rsidRPr="006800C3">
        <w:rPr>
          <w:lang w:val="fr-FR"/>
        </w:rPr>
        <w:t> »</w:t>
      </w:r>
      <w:r w:rsidRPr="006800C3">
        <w:rPr>
          <w:lang w:val="fr-FR"/>
        </w:rPr>
        <w:t>, la partie de la largeur de la bande de roulement occupant les ¾ (75</w:t>
      </w:r>
      <w:r w:rsidR="00047310" w:rsidRPr="006800C3">
        <w:rPr>
          <w:lang w:val="fr-FR"/>
        </w:rPr>
        <w:t> %</w:t>
      </w:r>
      <w:r w:rsidRPr="006800C3">
        <w:rPr>
          <w:lang w:val="fr-FR"/>
        </w:rPr>
        <w:t>) de la largeur de la bande de roulement de référence (C), mesurée de part et d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 xml:space="preserve">autre de la ligne médiane </w:t>
      </w:r>
      <w:r w:rsidRPr="006800C3">
        <w:rPr>
          <w:b/>
          <w:bCs/>
          <w:lang w:val="fr-FR"/>
        </w:rPr>
        <w:t>(voir fig</w:t>
      </w:r>
      <w:r w:rsidR="00F61FCE" w:rsidRPr="006800C3">
        <w:rPr>
          <w:b/>
          <w:bCs/>
          <w:lang w:val="fr-FR"/>
        </w:rPr>
        <w:t>.</w:t>
      </w:r>
      <w:r w:rsidRPr="006800C3">
        <w:rPr>
          <w:b/>
          <w:bCs/>
          <w:lang w:val="fr-FR"/>
        </w:rPr>
        <w:t xml:space="preserve"> 4)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> »</w:t>
      </w:r>
    </w:p>
    <w:p w14:paraId="57DFC1A5" w14:textId="5721B1EE" w:rsidR="00BE0C93" w:rsidRPr="006800C3" w:rsidRDefault="00BE0C93" w:rsidP="00BE0C93">
      <w:pPr>
        <w:pStyle w:val="SingleTxtG"/>
        <w:spacing w:before="120"/>
        <w:ind w:left="2268" w:hanging="1134"/>
        <w:rPr>
          <w:lang w:val="fr-FR"/>
        </w:rPr>
      </w:pPr>
      <w:r w:rsidRPr="006800C3">
        <w:rPr>
          <w:i/>
          <w:iCs/>
          <w:lang w:val="fr-FR"/>
        </w:rPr>
        <w:t>Paragraphe 2</w:t>
      </w:r>
      <w:r w:rsidR="00F61FCE" w:rsidRPr="006800C3">
        <w:rPr>
          <w:i/>
          <w:iCs/>
          <w:lang w:val="fr-FR"/>
        </w:rPr>
        <w:t>.</w:t>
      </w:r>
      <w:r w:rsidRPr="006800C3">
        <w:rPr>
          <w:i/>
          <w:iCs/>
          <w:lang w:val="fr-FR"/>
        </w:rPr>
        <w:t>1</w:t>
      </w:r>
      <w:r w:rsidR="00F61FCE" w:rsidRPr="006800C3">
        <w:rPr>
          <w:i/>
          <w:iCs/>
          <w:lang w:val="fr-FR"/>
        </w:rPr>
        <w:t>.</w:t>
      </w:r>
      <w:r w:rsidRPr="006800C3">
        <w:rPr>
          <w:i/>
          <w:iCs/>
          <w:lang w:val="fr-FR"/>
        </w:rPr>
        <w:t>10</w:t>
      </w:r>
      <w:r w:rsidRPr="006800C3">
        <w:rPr>
          <w:lang w:val="fr-FR"/>
        </w:rPr>
        <w:t>, lire</w:t>
      </w:r>
      <w:r w:rsidR="00047310" w:rsidRPr="006800C3">
        <w:rPr>
          <w:lang w:val="fr-FR"/>
        </w:rPr>
        <w:t> :</w:t>
      </w:r>
    </w:p>
    <w:p w14:paraId="3E14B92C" w14:textId="31266910" w:rsidR="00BE0C93" w:rsidRPr="006800C3" w:rsidRDefault="00BE0C93" w:rsidP="00BE0C93">
      <w:pPr>
        <w:pStyle w:val="SingleTxtG"/>
        <w:spacing w:before="120"/>
        <w:ind w:left="2268" w:hanging="1134"/>
        <w:rPr>
          <w:lang w:val="fr-FR"/>
        </w:rPr>
      </w:pPr>
      <w:r w:rsidRPr="006800C3">
        <w:rPr>
          <w:lang w:val="fr-FR"/>
        </w:rPr>
        <w:t>« 2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>1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>10</w:t>
      </w:r>
      <w:r w:rsidRPr="006800C3">
        <w:rPr>
          <w:lang w:val="fr-FR"/>
        </w:rPr>
        <w:tab/>
      </w:r>
      <w:r w:rsidR="00AE49BF" w:rsidRPr="006800C3">
        <w:rPr>
          <w:lang w:val="fr-FR"/>
        </w:rPr>
        <w:t>« </w:t>
      </w:r>
      <w:r w:rsidRPr="006800C3">
        <w:rPr>
          <w:lang w:val="fr-FR"/>
        </w:rPr>
        <w:t>Ligne de joint du moule</w:t>
      </w:r>
      <w:r w:rsidR="00AE49BF" w:rsidRPr="006800C3">
        <w:rPr>
          <w:lang w:val="fr-FR"/>
        </w:rPr>
        <w:t> »</w:t>
      </w:r>
      <w:r w:rsidRPr="006800C3">
        <w:rPr>
          <w:lang w:val="fr-FR"/>
        </w:rPr>
        <w:t>, la ligne au niveau de laquelle les parties du moule formant la bande de roulement et les parties plaquées sur le flanc se rejoignent sur la circonférence du pneumatique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 xml:space="preserve"> En l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absence de ligne de joint du moule visible sur le pneumatique, on peut déterminer une ligne de circonférence virtuelle à l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endroit correspondant, à l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extrémité des rainures de l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 xml:space="preserve">épaule </w:t>
      </w:r>
      <w:r w:rsidRPr="006800C3">
        <w:rPr>
          <w:b/>
          <w:bCs/>
          <w:lang w:val="fr-FR"/>
        </w:rPr>
        <w:t>(voir fig</w:t>
      </w:r>
      <w:r w:rsidR="00F61FCE" w:rsidRPr="006800C3">
        <w:rPr>
          <w:b/>
          <w:bCs/>
          <w:lang w:val="fr-FR"/>
        </w:rPr>
        <w:t>.</w:t>
      </w:r>
      <w:r w:rsidRPr="006800C3">
        <w:rPr>
          <w:b/>
          <w:bCs/>
          <w:lang w:val="fr-FR"/>
        </w:rPr>
        <w:t xml:space="preserve"> 1)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> »</w:t>
      </w:r>
    </w:p>
    <w:p w14:paraId="3C10ABD8" w14:textId="1CDCFD36" w:rsidR="00BE0C93" w:rsidRPr="006800C3" w:rsidRDefault="00BE0C93" w:rsidP="00BE0C93">
      <w:pPr>
        <w:pStyle w:val="SingleTxtG"/>
        <w:spacing w:before="120"/>
        <w:ind w:left="2268" w:hanging="1134"/>
        <w:rPr>
          <w:lang w:val="fr-FR"/>
        </w:rPr>
      </w:pPr>
      <w:r w:rsidRPr="006800C3">
        <w:rPr>
          <w:i/>
          <w:iCs/>
          <w:lang w:val="fr-FR"/>
        </w:rPr>
        <w:t>Paragraphe 2</w:t>
      </w:r>
      <w:r w:rsidR="00F61FCE" w:rsidRPr="006800C3">
        <w:rPr>
          <w:i/>
          <w:iCs/>
          <w:lang w:val="fr-FR"/>
        </w:rPr>
        <w:t>.</w:t>
      </w:r>
      <w:r w:rsidRPr="006800C3">
        <w:rPr>
          <w:i/>
          <w:iCs/>
          <w:lang w:val="fr-FR"/>
        </w:rPr>
        <w:t>2</w:t>
      </w:r>
      <w:r w:rsidR="00F61FCE" w:rsidRPr="006800C3">
        <w:rPr>
          <w:i/>
          <w:iCs/>
          <w:lang w:val="fr-FR"/>
        </w:rPr>
        <w:t>.</w:t>
      </w:r>
      <w:r w:rsidRPr="006800C3">
        <w:rPr>
          <w:i/>
          <w:iCs/>
          <w:lang w:val="fr-FR"/>
        </w:rPr>
        <w:t>1</w:t>
      </w:r>
      <w:r w:rsidR="00F61FCE" w:rsidRPr="006800C3">
        <w:rPr>
          <w:i/>
          <w:iCs/>
          <w:lang w:val="fr-FR"/>
        </w:rPr>
        <w:t>.</w:t>
      </w:r>
      <w:r w:rsidRPr="006800C3">
        <w:rPr>
          <w:i/>
          <w:iCs/>
          <w:lang w:val="fr-FR"/>
        </w:rPr>
        <w:t>2</w:t>
      </w:r>
      <w:r w:rsidR="00F61FCE" w:rsidRPr="006800C3">
        <w:rPr>
          <w:i/>
          <w:iCs/>
          <w:lang w:val="fr-FR"/>
        </w:rPr>
        <w:t>.</w:t>
      </w:r>
      <w:r w:rsidRPr="006800C3">
        <w:rPr>
          <w:i/>
          <w:iCs/>
          <w:lang w:val="fr-FR"/>
        </w:rPr>
        <w:t>1</w:t>
      </w:r>
      <w:r w:rsidRPr="006800C3">
        <w:rPr>
          <w:lang w:val="fr-FR"/>
        </w:rPr>
        <w:t>, lire</w:t>
      </w:r>
      <w:r w:rsidR="00047310" w:rsidRPr="006800C3">
        <w:rPr>
          <w:lang w:val="fr-FR"/>
        </w:rPr>
        <w:t> :</w:t>
      </w:r>
    </w:p>
    <w:p w14:paraId="669D55A8" w14:textId="3380A8EB" w:rsidR="00BE0C93" w:rsidRPr="006800C3" w:rsidRDefault="00BE0C93" w:rsidP="00BE0C93">
      <w:pPr>
        <w:spacing w:after="120"/>
        <w:ind w:left="2268" w:right="1134" w:hanging="1134"/>
        <w:jc w:val="both"/>
        <w:rPr>
          <w:i/>
          <w:lang w:val="fr-FR"/>
        </w:rPr>
      </w:pPr>
      <w:r w:rsidRPr="006800C3">
        <w:rPr>
          <w:lang w:val="fr-FR"/>
        </w:rPr>
        <w:t>« 2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>2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>1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>2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>1</w:t>
      </w:r>
      <w:r w:rsidRPr="006800C3">
        <w:rPr>
          <w:lang w:val="fr-FR"/>
        </w:rPr>
        <w:tab/>
      </w:r>
      <w:r w:rsidRPr="006800C3">
        <w:rPr>
          <w:i/>
          <w:iCs/>
          <w:lang w:val="fr-FR"/>
        </w:rPr>
        <w:t>Choix des points de mesure dans la zone centrale</w:t>
      </w:r>
    </w:p>
    <w:p w14:paraId="3CEC0637" w14:textId="17F9FB80" w:rsidR="00BE0C93" w:rsidRPr="006800C3" w:rsidRDefault="00BE0C93" w:rsidP="00BE0C93">
      <w:pPr>
        <w:spacing w:after="120"/>
        <w:ind w:left="2268" w:right="1134"/>
        <w:jc w:val="both"/>
        <w:rPr>
          <w:lang w:val="fr-FR"/>
        </w:rPr>
      </w:pPr>
      <w:r w:rsidRPr="006800C3">
        <w:rPr>
          <w:lang w:val="fr-FR"/>
        </w:rPr>
        <w:t>Pour vérifier la conformité du processus de préparation à l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usure (voir par</w:t>
      </w:r>
      <w:r w:rsidR="00F61FCE" w:rsidRPr="006800C3">
        <w:rPr>
          <w:lang w:val="fr-FR"/>
        </w:rPr>
        <w:t>.</w:t>
      </w:r>
      <w:r w:rsidR="00595DB6" w:rsidRPr="006800C3">
        <w:rPr>
          <w:lang w:val="fr-FR"/>
        </w:rPr>
        <w:t> </w:t>
      </w:r>
      <w:r w:rsidRPr="006800C3">
        <w:rPr>
          <w:lang w:val="fr-FR"/>
        </w:rPr>
        <w:t>2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>2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>1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>2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 xml:space="preserve">3), choisir </w:t>
      </w:r>
      <w:r w:rsidRPr="006800C3">
        <w:rPr>
          <w:i/>
          <w:iCs/>
          <w:lang w:val="fr-FR"/>
        </w:rPr>
        <w:t>n</w:t>
      </w:r>
      <w:r w:rsidRPr="006800C3">
        <w:rPr>
          <w:lang w:val="fr-FR"/>
        </w:rPr>
        <w:t xml:space="preserve"> points de mesure dans la zone centrale, dans la direction transversale (voir fig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 xml:space="preserve"> </w:t>
      </w:r>
      <w:r w:rsidRPr="006800C3">
        <w:rPr>
          <w:strike/>
          <w:lang w:val="fr-FR"/>
        </w:rPr>
        <w:t>2</w:t>
      </w:r>
      <w:r w:rsidRPr="006800C3">
        <w:rPr>
          <w:b/>
          <w:bCs/>
          <w:lang w:val="fr-FR"/>
        </w:rPr>
        <w:t>3</w:t>
      </w:r>
      <w:r w:rsidRPr="006800C3">
        <w:rPr>
          <w:lang w:val="fr-FR"/>
        </w:rPr>
        <w:t>)</w:t>
      </w:r>
    </w:p>
    <w:p w14:paraId="45B7534E" w14:textId="614B7A1C" w:rsidR="00BE0C93" w:rsidRPr="006800C3" w:rsidRDefault="00F61FCE" w:rsidP="00BE0C93">
      <w:pPr>
        <w:spacing w:after="120"/>
        <w:ind w:left="2268" w:right="1134"/>
        <w:jc w:val="both"/>
        <w:rPr>
          <w:lang w:val="fr-FR"/>
        </w:rPr>
      </w:pPr>
      <w:r w:rsidRPr="006800C3">
        <w:rPr>
          <w:lang w:val="fr-FR"/>
        </w:rPr>
        <w:t>...</w:t>
      </w:r>
      <w:r w:rsidR="00BE0C93" w:rsidRPr="006800C3">
        <w:rPr>
          <w:lang w:val="fr-FR"/>
        </w:rPr>
        <w:t> »</w:t>
      </w:r>
    </w:p>
    <w:p w14:paraId="2503C3AF" w14:textId="1E078BFC" w:rsidR="00BE0C93" w:rsidRPr="006800C3" w:rsidRDefault="00BE0C93" w:rsidP="00BE0C93">
      <w:pPr>
        <w:pStyle w:val="SingleTxtG"/>
        <w:ind w:left="2410" w:hanging="1276"/>
        <w:rPr>
          <w:bCs/>
          <w:lang w:val="fr-FR"/>
        </w:rPr>
      </w:pPr>
      <w:r w:rsidRPr="006800C3">
        <w:rPr>
          <w:i/>
          <w:iCs/>
          <w:lang w:val="fr-FR"/>
        </w:rPr>
        <w:t>Annexe 9, appendice 1</w:t>
      </w:r>
      <w:r w:rsidRPr="006800C3">
        <w:rPr>
          <w:lang w:val="fr-FR"/>
        </w:rPr>
        <w:t>, modification sans objet en français</w:t>
      </w:r>
      <w:r w:rsidR="00F61FCE" w:rsidRPr="006800C3">
        <w:rPr>
          <w:lang w:val="fr-FR"/>
        </w:rPr>
        <w:t>.</w:t>
      </w:r>
    </w:p>
    <w:p w14:paraId="1C76DD14" w14:textId="5704F9EB" w:rsidR="00BE0C93" w:rsidRPr="006800C3" w:rsidRDefault="00BE0C93" w:rsidP="00BE0C93">
      <w:pPr>
        <w:keepNext/>
        <w:keepLines/>
        <w:tabs>
          <w:tab w:val="right" w:pos="851"/>
        </w:tabs>
        <w:spacing w:before="360" w:after="240" w:line="300" w:lineRule="exact"/>
        <w:ind w:left="360" w:right="1134"/>
        <w:rPr>
          <w:b/>
          <w:bCs/>
          <w:sz w:val="24"/>
          <w:szCs w:val="24"/>
          <w:lang w:val="fr-FR"/>
        </w:rPr>
      </w:pPr>
      <w:bookmarkStart w:id="9" w:name="_Hlk150788979"/>
      <w:r w:rsidRPr="006800C3">
        <w:rPr>
          <w:b/>
          <w:bCs/>
          <w:sz w:val="24"/>
          <w:szCs w:val="24"/>
          <w:lang w:val="fr-FR"/>
        </w:rPr>
        <w:tab/>
        <w:t>II</w:t>
      </w:r>
      <w:r w:rsidR="00F61FCE" w:rsidRPr="006800C3">
        <w:rPr>
          <w:b/>
          <w:bCs/>
          <w:sz w:val="24"/>
          <w:szCs w:val="24"/>
          <w:lang w:val="fr-FR"/>
        </w:rPr>
        <w:t>.</w:t>
      </w:r>
      <w:r w:rsidRPr="006800C3">
        <w:rPr>
          <w:sz w:val="24"/>
          <w:szCs w:val="24"/>
          <w:lang w:val="fr-FR"/>
        </w:rPr>
        <w:tab/>
      </w:r>
      <w:r w:rsidRPr="006800C3">
        <w:rPr>
          <w:b/>
          <w:bCs/>
          <w:sz w:val="24"/>
          <w:szCs w:val="24"/>
          <w:lang w:val="fr-FR"/>
        </w:rPr>
        <w:t>Justification</w:t>
      </w:r>
    </w:p>
    <w:p w14:paraId="170C0D34" w14:textId="62916583" w:rsidR="00BE0C93" w:rsidRPr="006800C3" w:rsidRDefault="00BE0C93" w:rsidP="00BE0C93">
      <w:pPr>
        <w:pStyle w:val="ListParagraph"/>
        <w:numPr>
          <w:ilvl w:val="0"/>
          <w:numId w:val="17"/>
        </w:numPr>
        <w:spacing w:after="120"/>
        <w:ind w:left="1134" w:right="1134" w:firstLine="0"/>
        <w:jc w:val="both"/>
        <w:rPr>
          <w:lang w:val="fr-FR"/>
        </w:rPr>
      </w:pPr>
      <w:r w:rsidRPr="006800C3">
        <w:rPr>
          <w:lang w:val="fr-FR"/>
        </w:rPr>
        <w:t>Le titre du paragraphe 6, «</w:t>
      </w:r>
      <w:r w:rsidR="006839AE" w:rsidRPr="006800C3">
        <w:rPr>
          <w:lang w:val="fr-FR"/>
        </w:rPr>
        <w:t> </w:t>
      </w:r>
      <w:r w:rsidRPr="006800C3">
        <w:rPr>
          <w:lang w:val="fr-FR"/>
        </w:rPr>
        <w:t>Caractéristiques</w:t>
      </w:r>
      <w:r w:rsidR="006839AE" w:rsidRPr="006800C3">
        <w:rPr>
          <w:lang w:val="fr-FR"/>
        </w:rPr>
        <w:t> </w:t>
      </w:r>
      <w:r w:rsidRPr="006800C3">
        <w:rPr>
          <w:lang w:val="fr-FR"/>
        </w:rPr>
        <w:t>», est remplacé par « Prescriptions », ce qui correspond mieux à son contenu et à celui des Règlements ONU n</w:t>
      </w:r>
      <w:r w:rsidRPr="006800C3">
        <w:rPr>
          <w:vertAlign w:val="superscript"/>
          <w:lang w:val="fr-FR"/>
        </w:rPr>
        <w:t>os</w:t>
      </w:r>
      <w:r w:rsidR="006839AE" w:rsidRPr="006800C3">
        <w:rPr>
          <w:lang w:val="fr-FR"/>
        </w:rPr>
        <w:t> </w:t>
      </w:r>
      <w:r w:rsidRPr="006800C3">
        <w:rPr>
          <w:lang w:val="fr-FR"/>
        </w:rPr>
        <w:t>30, 75 et 106</w:t>
      </w:r>
      <w:r w:rsidR="00F61FCE" w:rsidRPr="006800C3">
        <w:rPr>
          <w:lang w:val="fr-FR"/>
        </w:rPr>
        <w:t>.</w:t>
      </w:r>
    </w:p>
    <w:p w14:paraId="44633B90" w14:textId="63859459" w:rsidR="00BE0C93" w:rsidRPr="006800C3" w:rsidRDefault="00BE0C93" w:rsidP="00BE0C93">
      <w:pPr>
        <w:pStyle w:val="ListParagraph"/>
        <w:numPr>
          <w:ilvl w:val="0"/>
          <w:numId w:val="17"/>
        </w:numPr>
        <w:spacing w:after="120"/>
        <w:ind w:left="1134" w:right="1134" w:firstLine="0"/>
        <w:jc w:val="both"/>
        <w:rPr>
          <w:lang w:val="fr-FR"/>
        </w:rPr>
      </w:pPr>
      <w:r w:rsidRPr="006800C3">
        <w:rPr>
          <w:lang w:val="fr-FR"/>
        </w:rPr>
        <w:t>Dans la table des matières, le point 7 correspond maintenant au titre du paragraphe 7 dans la version anglaise</w:t>
      </w:r>
      <w:r w:rsidR="00F61FCE" w:rsidRPr="006800C3">
        <w:rPr>
          <w:lang w:val="fr-FR"/>
        </w:rPr>
        <w:t>.</w:t>
      </w:r>
    </w:p>
    <w:p w14:paraId="2DF0DB94" w14:textId="6E462CB2" w:rsidR="00BE0C93" w:rsidRPr="006800C3" w:rsidRDefault="00BE0C93" w:rsidP="00BE0C93">
      <w:pPr>
        <w:pStyle w:val="ListParagraph"/>
        <w:numPr>
          <w:ilvl w:val="0"/>
          <w:numId w:val="17"/>
        </w:numPr>
        <w:spacing w:after="120"/>
        <w:ind w:left="1134" w:right="1134" w:firstLine="0"/>
        <w:jc w:val="both"/>
        <w:rPr>
          <w:spacing w:val="-4"/>
          <w:lang w:val="fr-FR"/>
        </w:rPr>
      </w:pPr>
      <w:r w:rsidRPr="006800C3">
        <w:rPr>
          <w:spacing w:val="-4"/>
          <w:lang w:val="fr-FR"/>
        </w:rPr>
        <w:t xml:space="preserve">Comme cela a été fait dans le Règlement ONU </w:t>
      </w:r>
      <w:r w:rsidR="00047310" w:rsidRPr="006800C3">
        <w:rPr>
          <w:spacing w:val="-4"/>
          <w:lang w:val="fr-FR"/>
        </w:rPr>
        <w:t>n</w:t>
      </w:r>
      <w:r w:rsidR="00047310" w:rsidRPr="006800C3">
        <w:rPr>
          <w:spacing w:val="-4"/>
          <w:vertAlign w:val="superscript"/>
          <w:lang w:val="fr-FR"/>
        </w:rPr>
        <w:t>o</w:t>
      </w:r>
      <w:r w:rsidR="00A07A93" w:rsidRPr="006800C3">
        <w:rPr>
          <w:spacing w:val="-4"/>
          <w:lang w:val="fr-FR"/>
        </w:rPr>
        <w:t> </w:t>
      </w:r>
      <w:r w:rsidRPr="006800C3">
        <w:rPr>
          <w:spacing w:val="-4"/>
          <w:lang w:val="fr-FR"/>
        </w:rPr>
        <w:t>164, au paragraphe 1, la référence</w:t>
      </w:r>
      <w:r w:rsidRPr="006800C3">
        <w:rPr>
          <w:b/>
          <w:bCs/>
          <w:spacing w:val="-4"/>
          <w:lang w:val="fr-FR"/>
        </w:rPr>
        <w:t xml:space="preserve"> </w:t>
      </w:r>
      <w:r w:rsidRPr="006800C3">
        <w:rPr>
          <w:spacing w:val="-4"/>
          <w:lang w:val="fr-FR"/>
        </w:rPr>
        <w:t>à la Résolution d</w:t>
      </w:r>
      <w:r w:rsidR="00047310" w:rsidRPr="006800C3">
        <w:rPr>
          <w:spacing w:val="-4"/>
          <w:lang w:val="fr-FR"/>
        </w:rPr>
        <w:t>’</w:t>
      </w:r>
      <w:r w:rsidRPr="006800C3">
        <w:rPr>
          <w:spacing w:val="-4"/>
          <w:lang w:val="fr-FR"/>
        </w:rPr>
        <w:t>ensemble sur la construction des véhicules (R</w:t>
      </w:r>
      <w:r w:rsidR="00F61FCE" w:rsidRPr="006800C3">
        <w:rPr>
          <w:spacing w:val="-4"/>
          <w:lang w:val="fr-FR"/>
        </w:rPr>
        <w:t>.</w:t>
      </w:r>
      <w:r w:rsidRPr="006800C3">
        <w:rPr>
          <w:spacing w:val="-4"/>
          <w:lang w:val="fr-FR"/>
        </w:rPr>
        <w:t>E</w:t>
      </w:r>
      <w:r w:rsidR="00F61FCE" w:rsidRPr="006800C3">
        <w:rPr>
          <w:spacing w:val="-4"/>
          <w:lang w:val="fr-FR"/>
        </w:rPr>
        <w:t>.</w:t>
      </w:r>
      <w:r w:rsidRPr="006800C3">
        <w:rPr>
          <w:spacing w:val="-4"/>
          <w:lang w:val="fr-FR"/>
        </w:rPr>
        <w:t>3) est simplifiée pour éviter de devoir effectuer régulièrement des mises à jour correspondant aux nouvelles révisions de la R</w:t>
      </w:r>
      <w:r w:rsidR="00F61FCE" w:rsidRPr="006800C3">
        <w:rPr>
          <w:spacing w:val="-4"/>
          <w:lang w:val="fr-FR"/>
        </w:rPr>
        <w:t>.</w:t>
      </w:r>
      <w:r w:rsidRPr="006800C3">
        <w:rPr>
          <w:spacing w:val="-4"/>
          <w:lang w:val="fr-FR"/>
        </w:rPr>
        <w:t>E</w:t>
      </w:r>
      <w:r w:rsidR="00F61FCE" w:rsidRPr="006800C3">
        <w:rPr>
          <w:spacing w:val="-4"/>
          <w:lang w:val="fr-FR"/>
        </w:rPr>
        <w:t>.</w:t>
      </w:r>
      <w:r w:rsidRPr="006800C3">
        <w:rPr>
          <w:spacing w:val="-4"/>
          <w:lang w:val="fr-FR"/>
        </w:rPr>
        <w:t>3</w:t>
      </w:r>
      <w:r w:rsidR="00F61FCE" w:rsidRPr="006800C3">
        <w:rPr>
          <w:spacing w:val="-4"/>
          <w:lang w:val="fr-FR"/>
        </w:rPr>
        <w:t>.</w:t>
      </w:r>
    </w:p>
    <w:p w14:paraId="0C24958F" w14:textId="5B2CBB6A" w:rsidR="00BE0C93" w:rsidRPr="006800C3" w:rsidRDefault="00BE0C93" w:rsidP="00BE0C93">
      <w:pPr>
        <w:pStyle w:val="ListParagraph"/>
        <w:numPr>
          <w:ilvl w:val="0"/>
          <w:numId w:val="17"/>
        </w:numPr>
        <w:suppressAutoHyphens w:val="0"/>
        <w:spacing w:after="120"/>
        <w:ind w:left="1134" w:right="1134" w:firstLine="0"/>
        <w:jc w:val="both"/>
        <w:rPr>
          <w:lang w:val="fr-FR"/>
        </w:rPr>
      </w:pPr>
      <w:r w:rsidRPr="006800C3">
        <w:rPr>
          <w:lang w:val="fr-FR"/>
        </w:rPr>
        <w:t>Les références aux normes ISO sont actualisées dans de nombreux paragraphes</w:t>
      </w:r>
      <w:r w:rsidR="00F61FCE" w:rsidRPr="006800C3">
        <w:rPr>
          <w:lang w:val="fr-FR"/>
        </w:rPr>
        <w:t>.</w:t>
      </w:r>
    </w:p>
    <w:p w14:paraId="728A4BCA" w14:textId="7A8D6BB5" w:rsidR="00BE0C93" w:rsidRPr="006800C3" w:rsidRDefault="00BE0C93" w:rsidP="000D69AB">
      <w:pPr>
        <w:pStyle w:val="ListParagraph"/>
        <w:numPr>
          <w:ilvl w:val="0"/>
          <w:numId w:val="17"/>
        </w:numPr>
        <w:suppressAutoHyphens w:val="0"/>
        <w:spacing w:after="100"/>
        <w:ind w:left="1134" w:right="1134" w:firstLine="0"/>
        <w:jc w:val="both"/>
        <w:rPr>
          <w:lang w:val="fr-FR"/>
        </w:rPr>
      </w:pPr>
      <w:r w:rsidRPr="006800C3">
        <w:rPr>
          <w:lang w:val="fr-FR"/>
        </w:rPr>
        <w:t>Des modifications d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ordre rédactionnel ont été apportées pour que le libellé des unités de mesure soit conforme aux directives concernant l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établissement de documents et leur soumission au Forum mondial de l</w:t>
      </w:r>
      <w:r w:rsidR="00047310" w:rsidRPr="006800C3">
        <w:rPr>
          <w:lang w:val="fr-FR"/>
        </w:rPr>
        <w:t>’</w:t>
      </w:r>
      <w:r w:rsidRPr="006800C3">
        <w:rPr>
          <w:lang w:val="fr-FR"/>
        </w:rPr>
        <w:t>harmonisation des Règlements concernant les véhicules (WP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>29) et à ses organes subsidiaires</w:t>
      </w:r>
      <w:r w:rsidR="00F61FCE" w:rsidRPr="006800C3">
        <w:rPr>
          <w:lang w:val="fr-FR"/>
        </w:rPr>
        <w:t>.</w:t>
      </w:r>
    </w:p>
    <w:p w14:paraId="3E8A711B" w14:textId="64528425" w:rsidR="00BE0C93" w:rsidRPr="006800C3" w:rsidRDefault="00BE0C93" w:rsidP="000D69AB">
      <w:pPr>
        <w:pStyle w:val="ListParagraph"/>
        <w:numPr>
          <w:ilvl w:val="0"/>
          <w:numId w:val="17"/>
        </w:numPr>
        <w:suppressAutoHyphens w:val="0"/>
        <w:spacing w:after="100"/>
        <w:ind w:left="1134" w:right="1134" w:firstLine="0"/>
        <w:jc w:val="both"/>
        <w:rPr>
          <w:lang w:val="fr-FR"/>
        </w:rPr>
      </w:pPr>
      <w:r w:rsidRPr="006800C3">
        <w:rPr>
          <w:lang w:val="fr-FR"/>
        </w:rPr>
        <w:t>La définition des pneumatiques neige est maintenant harmonisée avec celle qui figure dans les Règlements ONU n</w:t>
      </w:r>
      <w:r w:rsidRPr="006800C3">
        <w:rPr>
          <w:vertAlign w:val="superscript"/>
          <w:lang w:val="fr-FR"/>
        </w:rPr>
        <w:t>os</w:t>
      </w:r>
      <w:r w:rsidR="00A07A93" w:rsidRPr="006800C3">
        <w:rPr>
          <w:lang w:val="fr-FR"/>
        </w:rPr>
        <w:t> </w:t>
      </w:r>
      <w:r w:rsidRPr="006800C3">
        <w:rPr>
          <w:lang w:val="fr-FR"/>
        </w:rPr>
        <w:t>54 et 75</w:t>
      </w:r>
      <w:r w:rsidR="00F61FCE" w:rsidRPr="006800C3">
        <w:rPr>
          <w:lang w:val="fr-FR"/>
        </w:rPr>
        <w:t>.</w:t>
      </w:r>
    </w:p>
    <w:p w14:paraId="6021E1DD" w14:textId="13A12F85" w:rsidR="00BE0C93" w:rsidRPr="006800C3" w:rsidRDefault="00BE0C93" w:rsidP="000D69AB">
      <w:pPr>
        <w:pStyle w:val="ListParagraph"/>
        <w:numPr>
          <w:ilvl w:val="0"/>
          <w:numId w:val="17"/>
        </w:numPr>
        <w:suppressAutoHyphens w:val="0"/>
        <w:spacing w:after="100"/>
        <w:ind w:left="1134" w:right="1134" w:firstLine="0"/>
        <w:jc w:val="both"/>
        <w:rPr>
          <w:lang w:val="fr-FR"/>
        </w:rPr>
      </w:pPr>
      <w:r w:rsidRPr="006800C3">
        <w:rPr>
          <w:lang w:val="fr-FR"/>
        </w:rPr>
        <w:t>La référence aux normes ASTM figurant au paragraphe 2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>18 a été actualisée</w:t>
      </w:r>
      <w:r w:rsidR="00F61FCE" w:rsidRPr="006800C3">
        <w:rPr>
          <w:lang w:val="fr-FR"/>
        </w:rPr>
        <w:t>.</w:t>
      </w:r>
    </w:p>
    <w:bookmarkEnd w:id="9"/>
    <w:p w14:paraId="581798FA" w14:textId="4245F1E4" w:rsidR="00BE0C93" w:rsidRPr="006800C3" w:rsidRDefault="00865F15" w:rsidP="00865F15">
      <w:pPr>
        <w:pStyle w:val="SingleTxtG"/>
        <w:rPr>
          <w:lang w:val="fr-FR"/>
        </w:rPr>
      </w:pPr>
      <w:r w:rsidRPr="006800C3">
        <w:rPr>
          <w:lang w:val="fr-FR"/>
        </w:rPr>
        <w:t>8</w:t>
      </w:r>
      <w:r w:rsidR="00F61FCE" w:rsidRPr="006800C3">
        <w:rPr>
          <w:lang w:val="fr-FR"/>
        </w:rPr>
        <w:t>.</w:t>
      </w:r>
      <w:r w:rsidRPr="006800C3">
        <w:rPr>
          <w:lang w:val="fr-FR"/>
        </w:rPr>
        <w:tab/>
      </w:r>
      <w:r w:rsidR="00BE0C93" w:rsidRPr="006800C3">
        <w:rPr>
          <w:lang w:val="fr-FR"/>
        </w:rPr>
        <w:t>Dans l</w:t>
      </w:r>
      <w:r w:rsidR="00047310" w:rsidRPr="006800C3">
        <w:rPr>
          <w:lang w:val="fr-FR"/>
        </w:rPr>
        <w:t>’</w:t>
      </w:r>
      <w:r w:rsidR="00BE0C93" w:rsidRPr="006800C3">
        <w:rPr>
          <w:lang w:val="fr-FR"/>
        </w:rPr>
        <w:t>annexe 9, des renvois</w:t>
      </w:r>
      <w:r w:rsidR="00BE0C93" w:rsidRPr="006800C3">
        <w:rPr>
          <w:b/>
          <w:bCs/>
          <w:lang w:val="fr-FR"/>
        </w:rPr>
        <w:t xml:space="preserve"> </w:t>
      </w:r>
      <w:r w:rsidR="00BE0C93" w:rsidRPr="006800C3">
        <w:rPr>
          <w:lang w:val="fr-FR"/>
        </w:rPr>
        <w:t>à deux figures ont été ajoutés pour plus de clarté</w:t>
      </w:r>
      <w:r w:rsidR="00F61FCE" w:rsidRPr="006800C3">
        <w:rPr>
          <w:lang w:val="fr-FR"/>
        </w:rPr>
        <w:t>.</w:t>
      </w:r>
    </w:p>
    <w:p w14:paraId="3396B6CA" w14:textId="6F1DF01C" w:rsidR="00BE0C93" w:rsidRPr="006800C3" w:rsidRDefault="00BE0C93" w:rsidP="00BE0C93">
      <w:pPr>
        <w:pStyle w:val="SingleTxtG"/>
        <w:spacing w:before="240" w:after="0"/>
        <w:jc w:val="center"/>
        <w:rPr>
          <w:u w:val="single"/>
          <w:lang w:val="fr-FR"/>
        </w:rPr>
      </w:pPr>
      <w:r w:rsidRPr="006800C3">
        <w:rPr>
          <w:u w:val="single"/>
          <w:lang w:val="fr-FR"/>
        </w:rPr>
        <w:tab/>
      </w:r>
      <w:r w:rsidRPr="006800C3">
        <w:rPr>
          <w:u w:val="single"/>
          <w:lang w:val="fr-FR"/>
        </w:rPr>
        <w:tab/>
      </w:r>
      <w:r w:rsidRPr="006800C3">
        <w:rPr>
          <w:u w:val="single"/>
          <w:lang w:val="fr-FR"/>
        </w:rPr>
        <w:tab/>
      </w:r>
      <w:r w:rsidRPr="006800C3">
        <w:rPr>
          <w:u w:val="single"/>
          <w:lang w:val="fr-FR"/>
        </w:rPr>
        <w:tab/>
      </w:r>
    </w:p>
    <w:sectPr w:rsidR="00BE0C93" w:rsidRPr="006800C3" w:rsidSect="00BE0C93"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505F5" w14:textId="77777777" w:rsidR="008C3C4C" w:rsidRDefault="008C3C4C" w:rsidP="00F95C08">
      <w:pPr>
        <w:spacing w:line="240" w:lineRule="auto"/>
      </w:pPr>
    </w:p>
  </w:endnote>
  <w:endnote w:type="continuationSeparator" w:id="0">
    <w:p w14:paraId="74D5B4C0" w14:textId="77777777" w:rsidR="008C3C4C" w:rsidRPr="00AC3823" w:rsidRDefault="008C3C4C" w:rsidP="00AC3823">
      <w:pPr>
        <w:pStyle w:val="Footer"/>
      </w:pPr>
    </w:p>
  </w:endnote>
  <w:endnote w:type="continuationNotice" w:id="1">
    <w:p w14:paraId="7B2A7D4C" w14:textId="77777777" w:rsidR="008C3C4C" w:rsidRDefault="008C3C4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43E12" w14:textId="03C33B82" w:rsidR="00416768" w:rsidRPr="00BE0C93" w:rsidRDefault="00BE0C93" w:rsidP="00BE0C93">
    <w:pPr>
      <w:pStyle w:val="Footer"/>
      <w:tabs>
        <w:tab w:val="right" w:pos="9638"/>
      </w:tabs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2</w:t>
    </w:r>
    <w:r>
      <w:rPr>
        <w:b/>
        <w:sz w:val="18"/>
      </w:rPr>
      <w:fldChar w:fldCharType="end"/>
    </w:r>
    <w:r>
      <w:rPr>
        <w:b/>
        <w:sz w:val="18"/>
      </w:rPr>
      <w:tab/>
    </w:r>
    <w:r w:rsidRPr="00BE0C93">
      <w:t>GE.23-22759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A054" w14:textId="676DFBF4" w:rsidR="00416768" w:rsidRPr="00416768" w:rsidRDefault="00416768" w:rsidP="00416768">
    <w:pPr>
      <w:pStyle w:val="Footer"/>
      <w:tabs>
        <w:tab w:val="right" w:pos="9638"/>
      </w:tabs>
      <w:rPr>
        <w:b/>
        <w:sz w:val="18"/>
      </w:rPr>
    </w:pPr>
    <w:r>
      <w:t>GE.23-22759</w:t>
    </w:r>
    <w:r>
      <w:tab/>
    </w:r>
    <w:r w:rsidRPr="00416768">
      <w:rPr>
        <w:b/>
        <w:sz w:val="18"/>
      </w:rPr>
      <w:fldChar w:fldCharType="begin"/>
    </w:r>
    <w:r w:rsidRPr="00416768">
      <w:rPr>
        <w:b/>
        <w:sz w:val="18"/>
      </w:rPr>
      <w:instrText xml:space="preserve"> PAGE  \* MERGEFORMAT </w:instrText>
    </w:r>
    <w:r w:rsidRPr="00416768">
      <w:rPr>
        <w:b/>
        <w:sz w:val="18"/>
      </w:rPr>
      <w:fldChar w:fldCharType="separate"/>
    </w:r>
    <w:r w:rsidRPr="00416768">
      <w:rPr>
        <w:b/>
        <w:noProof/>
        <w:sz w:val="18"/>
      </w:rPr>
      <w:t>3</w:t>
    </w:r>
    <w:r w:rsidRPr="0041676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CC6E" w14:textId="1CA821EA" w:rsidR="007F20FA" w:rsidRPr="00416768" w:rsidRDefault="00416768" w:rsidP="00416768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45A274C" wp14:editId="342200C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23-22759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87A319B" wp14:editId="495EDA2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98700700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041223    051223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A97E" w14:textId="6054E311" w:rsidR="00BE0C93" w:rsidRPr="00BE0C93" w:rsidRDefault="00BE0C93" w:rsidP="00BE0C93">
    <w:pPr>
      <w:pStyle w:val="Footer"/>
      <w:tabs>
        <w:tab w:val="right" w:pos="9638"/>
      </w:tabs>
      <w:rPr>
        <w:b/>
        <w:sz w:val="18"/>
      </w:rPr>
    </w:pPr>
    <w:r>
      <w:t>GE.</w:t>
    </w:r>
    <w:r w:rsidRPr="00BE0C93">
      <w:t>23</w:t>
    </w:r>
    <w:r>
      <w:t>-</w:t>
    </w:r>
    <w:r w:rsidRPr="00BE0C93">
      <w:t>22759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3</w:t>
    </w:r>
    <w:r>
      <w:rPr>
        <w:b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6AF5" w14:textId="77777777" w:rsidR="00BE0C93" w:rsidRPr="00416768" w:rsidRDefault="00BE0C93" w:rsidP="00416768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62336" behindDoc="0" locked="0" layoutInCell="1" allowOverlap="0" wp14:anchorId="34560F8C" wp14:editId="649F3FD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734494184" name="Picture 734494184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23-22759  (F)</w:t>
    </w:r>
    <w:r>
      <w:rPr>
        <w:noProof/>
        <w:sz w:val="20"/>
      </w:rPr>
      <w:drawing>
        <wp:anchor distT="0" distB="0" distL="114300" distR="114300" simplePos="0" relativeHeight="251663360" behindDoc="0" locked="0" layoutInCell="1" allowOverlap="1" wp14:anchorId="4C609D47" wp14:editId="317E90E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713894867" name="Picture 7138948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041223    051223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D769" w14:textId="77777777" w:rsidR="008C3C4C" w:rsidRPr="00AC3823" w:rsidRDefault="008C3C4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0ABEE26" w14:textId="77777777" w:rsidR="008C3C4C" w:rsidRPr="00AC3823" w:rsidRDefault="008C3C4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63E2AE2" w14:textId="77777777" w:rsidR="008C3C4C" w:rsidRPr="00AC3823" w:rsidRDefault="008C3C4C">
      <w:pPr>
        <w:spacing w:line="240" w:lineRule="auto"/>
        <w:rPr>
          <w:sz w:val="2"/>
          <w:szCs w:val="2"/>
        </w:rPr>
      </w:pPr>
    </w:p>
  </w:footnote>
  <w:footnote w:id="2">
    <w:p w14:paraId="0D2476A5" w14:textId="50C7A7C3" w:rsidR="00416768" w:rsidRPr="00EA370C" w:rsidRDefault="00416768" w:rsidP="00416768">
      <w:pPr>
        <w:pStyle w:val="FootnoteText"/>
      </w:pPr>
      <w:r>
        <w:rPr>
          <w:lang w:val="fr-FR"/>
        </w:rPr>
        <w:tab/>
      </w:r>
      <w:r w:rsidRPr="008B14B8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2024 tel qu’il figure dans le projet de budget-programme pour 2024 (</w:t>
      </w:r>
      <w:hyperlink r:id="rId1" w:history="1">
        <w:r w:rsidRPr="006730F4">
          <w:rPr>
            <w:rStyle w:val="Hyperlink"/>
            <w:lang w:val="fr-FR"/>
          </w:rPr>
          <w:t>A/78/6 (Sect. 20)</w:t>
        </w:r>
      </w:hyperlink>
      <w:r>
        <w:rPr>
          <w:lang w:val="fr-FR"/>
        </w:rPr>
        <w:t>, tableau 20.5),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2927" w14:textId="55C85AB8" w:rsidR="00416768" w:rsidRPr="00416768" w:rsidRDefault="00BE618A">
    <w:pPr>
      <w:pStyle w:val="Header"/>
    </w:pPr>
    <w:fldSimple w:instr=" TITLE  \* MERGEFORMAT ">
      <w:r>
        <w:t>ECE/TRANS/WP.29/GRBP/2024/4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9B21F" w14:textId="624600C3" w:rsidR="00416768" w:rsidRPr="00416768" w:rsidRDefault="00BE618A" w:rsidP="00416768">
    <w:pPr>
      <w:pStyle w:val="Header"/>
      <w:jc w:val="right"/>
    </w:pPr>
    <w:fldSimple w:instr=" TITLE  \* MERGEFORMAT ">
      <w:r>
        <w:t>ECE/TRANS/WP.29/GRBP/2024/4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08D2" w14:textId="141F0BB1" w:rsidR="00BE0C93" w:rsidRPr="00BE0C93" w:rsidRDefault="00BE618A" w:rsidP="00BE0C93">
    <w:pPr>
      <w:pStyle w:val="Header"/>
      <w:jc w:val="right"/>
    </w:pPr>
    <w:fldSimple w:instr=" TITLE  \* MERGEFORMAT ">
      <w:r>
        <w:t>ECE/TRANS/WP.29/GRBP/2024/4</w:t>
      </w:r>
    </w:fldSimple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DB2F" w14:textId="39BD80AE" w:rsidR="00BE0C93" w:rsidRPr="00BE0C93" w:rsidRDefault="00BE618A" w:rsidP="00BE0C93">
    <w:pPr>
      <w:pStyle w:val="Header"/>
    </w:pPr>
    <w:fldSimple w:instr=" TITLE  \* MERGEFORMAT ">
      <w:r>
        <w:t>ECE/TRANS/WP.29/GRBP/2024/4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47825B7"/>
    <w:multiLevelType w:val="hybridMultilevel"/>
    <w:tmpl w:val="09600C62"/>
    <w:lvl w:ilvl="0" w:tplc="75BE75D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25326721">
    <w:abstractNumId w:val="13"/>
  </w:num>
  <w:num w:numId="2" w16cid:durableId="1033652402">
    <w:abstractNumId w:val="11"/>
  </w:num>
  <w:num w:numId="3" w16cid:durableId="916281914">
    <w:abstractNumId w:val="10"/>
  </w:num>
  <w:num w:numId="4" w16cid:durableId="2001495121">
    <w:abstractNumId w:val="8"/>
  </w:num>
  <w:num w:numId="5" w16cid:durableId="1071805700">
    <w:abstractNumId w:val="3"/>
  </w:num>
  <w:num w:numId="6" w16cid:durableId="556551321">
    <w:abstractNumId w:val="2"/>
  </w:num>
  <w:num w:numId="7" w16cid:durableId="807555774">
    <w:abstractNumId w:val="1"/>
  </w:num>
  <w:num w:numId="8" w16cid:durableId="857549531">
    <w:abstractNumId w:val="0"/>
  </w:num>
  <w:num w:numId="9" w16cid:durableId="454367375">
    <w:abstractNumId w:val="9"/>
  </w:num>
  <w:num w:numId="10" w16cid:durableId="1676574609">
    <w:abstractNumId w:val="7"/>
  </w:num>
  <w:num w:numId="11" w16cid:durableId="1849372125">
    <w:abstractNumId w:val="6"/>
  </w:num>
  <w:num w:numId="12" w16cid:durableId="1111776442">
    <w:abstractNumId w:val="5"/>
  </w:num>
  <w:num w:numId="13" w16cid:durableId="23019780">
    <w:abstractNumId w:val="4"/>
  </w:num>
  <w:num w:numId="14" w16cid:durableId="92095959">
    <w:abstractNumId w:val="13"/>
  </w:num>
  <w:num w:numId="15" w16cid:durableId="2086567321">
    <w:abstractNumId w:val="11"/>
  </w:num>
  <w:num w:numId="16" w16cid:durableId="1306620822">
    <w:abstractNumId w:val="10"/>
  </w:num>
  <w:num w:numId="17" w16cid:durableId="12836846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9F"/>
    <w:rsid w:val="00012C61"/>
    <w:rsid w:val="00017F94"/>
    <w:rsid w:val="00023730"/>
    <w:rsid w:val="00023842"/>
    <w:rsid w:val="000334F9"/>
    <w:rsid w:val="00045FEB"/>
    <w:rsid w:val="00047310"/>
    <w:rsid w:val="0007796D"/>
    <w:rsid w:val="000B1083"/>
    <w:rsid w:val="000B7790"/>
    <w:rsid w:val="000D69AB"/>
    <w:rsid w:val="000E1454"/>
    <w:rsid w:val="00111F2F"/>
    <w:rsid w:val="0014365E"/>
    <w:rsid w:val="00143C66"/>
    <w:rsid w:val="00152E7E"/>
    <w:rsid w:val="00170F16"/>
    <w:rsid w:val="00176178"/>
    <w:rsid w:val="00177B77"/>
    <w:rsid w:val="001F525A"/>
    <w:rsid w:val="00201148"/>
    <w:rsid w:val="0020240D"/>
    <w:rsid w:val="00223272"/>
    <w:rsid w:val="00246DA6"/>
    <w:rsid w:val="0024779E"/>
    <w:rsid w:val="00257168"/>
    <w:rsid w:val="002744B8"/>
    <w:rsid w:val="002832AC"/>
    <w:rsid w:val="002D7C93"/>
    <w:rsid w:val="00305801"/>
    <w:rsid w:val="00341FF1"/>
    <w:rsid w:val="00372AC0"/>
    <w:rsid w:val="003916DE"/>
    <w:rsid w:val="003B4A06"/>
    <w:rsid w:val="003C17BE"/>
    <w:rsid w:val="00416768"/>
    <w:rsid w:val="00421996"/>
    <w:rsid w:val="00441C3B"/>
    <w:rsid w:val="00446FE5"/>
    <w:rsid w:val="00452396"/>
    <w:rsid w:val="00453E18"/>
    <w:rsid w:val="004749B3"/>
    <w:rsid w:val="00477EB2"/>
    <w:rsid w:val="00481835"/>
    <w:rsid w:val="004837D8"/>
    <w:rsid w:val="004A2D4D"/>
    <w:rsid w:val="004E2EED"/>
    <w:rsid w:val="004E468C"/>
    <w:rsid w:val="005505B7"/>
    <w:rsid w:val="0055270E"/>
    <w:rsid w:val="00573BE5"/>
    <w:rsid w:val="00586ED3"/>
    <w:rsid w:val="00595DB6"/>
    <w:rsid w:val="00596AA9"/>
    <w:rsid w:val="00650CE9"/>
    <w:rsid w:val="006730F4"/>
    <w:rsid w:val="006800C3"/>
    <w:rsid w:val="006839AE"/>
    <w:rsid w:val="0069140C"/>
    <w:rsid w:val="0071601D"/>
    <w:rsid w:val="007272F1"/>
    <w:rsid w:val="007824F6"/>
    <w:rsid w:val="007A62E6"/>
    <w:rsid w:val="007C007F"/>
    <w:rsid w:val="007C1007"/>
    <w:rsid w:val="007F20FA"/>
    <w:rsid w:val="007F536C"/>
    <w:rsid w:val="0080684C"/>
    <w:rsid w:val="00865F15"/>
    <w:rsid w:val="00871C75"/>
    <w:rsid w:val="008776DC"/>
    <w:rsid w:val="00884B41"/>
    <w:rsid w:val="00886EBA"/>
    <w:rsid w:val="008B14B8"/>
    <w:rsid w:val="008C27F3"/>
    <w:rsid w:val="008C3C4C"/>
    <w:rsid w:val="008D5EF9"/>
    <w:rsid w:val="008F2871"/>
    <w:rsid w:val="009446C0"/>
    <w:rsid w:val="00955966"/>
    <w:rsid w:val="009705C8"/>
    <w:rsid w:val="009C1CF4"/>
    <w:rsid w:val="009F6B74"/>
    <w:rsid w:val="00A01F24"/>
    <w:rsid w:val="00A07A93"/>
    <w:rsid w:val="00A3029F"/>
    <w:rsid w:val="00A30353"/>
    <w:rsid w:val="00AC3823"/>
    <w:rsid w:val="00AE323C"/>
    <w:rsid w:val="00AE49BF"/>
    <w:rsid w:val="00AF0CB5"/>
    <w:rsid w:val="00B00181"/>
    <w:rsid w:val="00B00B0D"/>
    <w:rsid w:val="00B359F2"/>
    <w:rsid w:val="00B45F2E"/>
    <w:rsid w:val="00B765F7"/>
    <w:rsid w:val="00B77993"/>
    <w:rsid w:val="00BA0CA9"/>
    <w:rsid w:val="00BE0C93"/>
    <w:rsid w:val="00BE618A"/>
    <w:rsid w:val="00C02897"/>
    <w:rsid w:val="00C3002C"/>
    <w:rsid w:val="00C45CFF"/>
    <w:rsid w:val="00C57447"/>
    <w:rsid w:val="00C97039"/>
    <w:rsid w:val="00D00020"/>
    <w:rsid w:val="00D3439C"/>
    <w:rsid w:val="00D616ED"/>
    <w:rsid w:val="00D7622E"/>
    <w:rsid w:val="00D7654E"/>
    <w:rsid w:val="00DB1831"/>
    <w:rsid w:val="00DD3BFD"/>
    <w:rsid w:val="00DF12DC"/>
    <w:rsid w:val="00DF6678"/>
    <w:rsid w:val="00E0299A"/>
    <w:rsid w:val="00E82E93"/>
    <w:rsid w:val="00E85C74"/>
    <w:rsid w:val="00EA6547"/>
    <w:rsid w:val="00EC621D"/>
    <w:rsid w:val="00ED7237"/>
    <w:rsid w:val="00EF2E22"/>
    <w:rsid w:val="00F35BAF"/>
    <w:rsid w:val="00F61FCE"/>
    <w:rsid w:val="00F660DF"/>
    <w:rsid w:val="00F94664"/>
    <w:rsid w:val="00F9573C"/>
    <w:rsid w:val="00F95C08"/>
    <w:rsid w:val="00F95EA1"/>
    <w:rsid w:val="00FB1D9F"/>
    <w:rsid w:val="00FC0ABA"/>
    <w:rsid w:val="00F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F8666"/>
  <w15:docId w15:val="{E9CDD26E-289E-4DF3-AF93-C1987F62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5_G_6,Fußnotentext,5_GR,-E Fußnotentext,footnote text,Fußnotentext Ursprung,Footnote Text Char Char Char Char,Footnote Text1,Footnote Text Char Char Char,Fußnotentext Char1,Fußnotentext Char Char,Fußnotentext Char2,Fußn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,Fußnotentext Char,5_GR Char,-E Fußnotentext Char,footnote text Char,Fußnotentext Ursprung Char,Footnote Text Char Char Char Char Char,Footnote Text1 Char,Footnote Text Char Char Char Char1,Fußn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BE0C93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E0C93"/>
    <w:pPr>
      <w:ind w:left="708"/>
    </w:pPr>
    <w:rPr>
      <w:lang w:val="en-GB"/>
    </w:rPr>
  </w:style>
  <w:style w:type="paragraph" w:styleId="TOC1">
    <w:name w:val="toc 1"/>
    <w:basedOn w:val="Normal"/>
    <w:next w:val="Normal"/>
    <w:uiPriority w:val="39"/>
    <w:rsid w:val="00BE0C93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sz w:val="24"/>
      <w:szCs w:val="24"/>
      <w:lang w:val="en-GB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673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fr/ECE/TRANS/WP.29/GRBP/2023/19" TargetMode="Externa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customXml" Target="../customXml/item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ndocs.org/fr/A/78/6(Sect.2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B0C948-61D8-425F-BC3E-70CA1F39E86A}"/>
</file>

<file path=customXml/itemProps2.xml><?xml version="1.0" encoding="utf-8"?>
<ds:datastoreItem xmlns:ds="http://schemas.openxmlformats.org/officeDocument/2006/customXml" ds:itemID="{EC8E64E9-36CB-49DB-90EA-0E98624574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365</Words>
  <Characters>10246</Characters>
  <Application>Microsoft Office Word</Application>
  <DocSecurity>0</DocSecurity>
  <Lines>365</Lines>
  <Paragraphs>365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ECE/TRANS/WP.29/GRBP/2024/4</dc:title>
  <dc:subject/>
  <dc:creator>Luisa PENA-MONTERO</dc:creator>
  <cp:keywords/>
  <cp:lastModifiedBy>Luisa PENA-MONTERO</cp:lastModifiedBy>
  <cp:revision>62</cp:revision>
  <cp:lastPrinted>2023-12-05T07:17:00Z</cp:lastPrinted>
  <dcterms:created xsi:type="dcterms:W3CDTF">2023-12-04T16:44:00Z</dcterms:created>
  <dcterms:modified xsi:type="dcterms:W3CDTF">2023-12-05T07:19:00Z</dcterms:modified>
</cp:coreProperties>
</file>