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531D9" w:rsidRPr="00F56D95" w14:paraId="4AC2ACCE" w14:textId="77777777" w:rsidTr="00DC0CEA">
        <w:trPr>
          <w:cantSplit/>
          <w:trHeight w:val="567"/>
        </w:trPr>
        <w:tc>
          <w:tcPr>
            <w:tcW w:w="1276" w:type="dxa"/>
            <w:tcBorders>
              <w:bottom w:val="single" w:sz="4" w:space="0" w:color="auto"/>
            </w:tcBorders>
            <w:shd w:val="clear" w:color="auto" w:fill="auto"/>
            <w:vAlign w:val="bottom"/>
          </w:tcPr>
          <w:p w14:paraId="7329ECD0" w14:textId="77777777" w:rsidR="00E03A64" w:rsidRPr="005531D9" w:rsidRDefault="00E03A64" w:rsidP="00313A6F">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5531D9" w:rsidRDefault="00E03A64" w:rsidP="00313A6F">
            <w:pPr>
              <w:spacing w:after="80" w:line="300" w:lineRule="exact"/>
              <w:rPr>
                <w:b/>
                <w:sz w:val="24"/>
                <w:szCs w:val="24"/>
                <w:lang w:val="en-GB"/>
              </w:rPr>
            </w:pPr>
            <w:r w:rsidRPr="005531D9">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43B49D70" w:rsidR="00E03A64" w:rsidRPr="005531D9" w:rsidRDefault="00E03A64" w:rsidP="00313A6F">
            <w:pPr>
              <w:jc w:val="right"/>
              <w:rPr>
                <w:lang w:val="en-GB"/>
              </w:rPr>
            </w:pPr>
            <w:r w:rsidRPr="005531D9">
              <w:rPr>
                <w:sz w:val="40"/>
                <w:lang w:val="en-GB"/>
              </w:rPr>
              <w:t>ECE</w:t>
            </w:r>
            <w:r w:rsidRPr="005531D9">
              <w:rPr>
                <w:lang w:val="en-GB"/>
              </w:rPr>
              <w:t>/TRANS/</w:t>
            </w:r>
            <w:r w:rsidR="00E13A6A" w:rsidRPr="005531D9">
              <w:rPr>
                <w:lang w:val="en-GB"/>
              </w:rPr>
              <w:t>WP.29/</w:t>
            </w:r>
            <w:r w:rsidRPr="005531D9">
              <w:rPr>
                <w:lang w:val="en-GB"/>
              </w:rPr>
              <w:t>GR</w:t>
            </w:r>
            <w:r w:rsidR="00BB1F39" w:rsidRPr="005531D9">
              <w:rPr>
                <w:lang w:val="en-GB"/>
              </w:rPr>
              <w:t>BP</w:t>
            </w:r>
            <w:r w:rsidRPr="005531D9">
              <w:rPr>
                <w:lang w:val="en-GB"/>
              </w:rPr>
              <w:t>/</w:t>
            </w:r>
            <w:r w:rsidR="00BB1F39" w:rsidRPr="005531D9">
              <w:rPr>
                <w:lang w:val="en-GB"/>
              </w:rPr>
              <w:t>202</w:t>
            </w:r>
            <w:r w:rsidR="00B06876" w:rsidRPr="005531D9">
              <w:rPr>
                <w:lang w:val="en-GB"/>
              </w:rPr>
              <w:t>4</w:t>
            </w:r>
            <w:r w:rsidRPr="005531D9">
              <w:rPr>
                <w:lang w:val="en-GB"/>
              </w:rPr>
              <w:t>/</w:t>
            </w:r>
            <w:r w:rsidR="00150865">
              <w:rPr>
                <w:lang w:val="en-GB"/>
              </w:rPr>
              <w:t>4</w:t>
            </w:r>
          </w:p>
        </w:tc>
      </w:tr>
      <w:tr w:rsidR="005531D9" w:rsidRPr="00FD6CA9" w14:paraId="79E7C868" w14:textId="77777777" w:rsidTr="00DC0CE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5531D9" w:rsidRDefault="00D17D4E" w:rsidP="00313A6F">
            <w:pPr>
              <w:spacing w:before="120"/>
              <w:rPr>
                <w:lang w:val="en-GB"/>
              </w:rPr>
            </w:pPr>
            <w:r w:rsidRPr="005531D9">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5531D9" w:rsidRDefault="00E03A64" w:rsidP="00313A6F">
            <w:pPr>
              <w:spacing w:before="120" w:line="420" w:lineRule="exact"/>
              <w:rPr>
                <w:sz w:val="40"/>
                <w:szCs w:val="40"/>
                <w:lang w:val="en-GB"/>
              </w:rPr>
            </w:pPr>
            <w:r w:rsidRPr="005531D9">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531D9" w:rsidRDefault="00E03A64" w:rsidP="00313A6F">
            <w:pPr>
              <w:tabs>
                <w:tab w:val="right" w:pos="2835"/>
              </w:tabs>
              <w:spacing w:before="240" w:line="240" w:lineRule="exact"/>
              <w:rPr>
                <w:lang w:val="en-GB"/>
              </w:rPr>
            </w:pPr>
            <w:r w:rsidRPr="005531D9">
              <w:rPr>
                <w:lang w:val="en-GB"/>
              </w:rPr>
              <w:t>Distr.: General</w:t>
            </w:r>
          </w:p>
          <w:p w14:paraId="227EF995" w14:textId="54D1A407" w:rsidR="00E03A64" w:rsidRPr="005531D9" w:rsidRDefault="00150865" w:rsidP="00313A6F">
            <w:pPr>
              <w:spacing w:line="240" w:lineRule="exact"/>
              <w:rPr>
                <w:lang w:val="en-GB"/>
              </w:rPr>
            </w:pPr>
            <w:r>
              <w:rPr>
                <w:lang w:val="en-GB"/>
              </w:rPr>
              <w:t xml:space="preserve">20 </w:t>
            </w:r>
            <w:r w:rsidR="00F72980" w:rsidRPr="005531D9">
              <w:rPr>
                <w:lang w:val="en-GB"/>
              </w:rPr>
              <w:t xml:space="preserve">November </w:t>
            </w:r>
            <w:r w:rsidR="006A187B" w:rsidRPr="005531D9">
              <w:rPr>
                <w:lang w:val="en-GB"/>
              </w:rPr>
              <w:t>202</w:t>
            </w:r>
            <w:r w:rsidR="008769D0" w:rsidRPr="005531D9">
              <w:rPr>
                <w:lang w:val="en-GB"/>
              </w:rPr>
              <w:t>3</w:t>
            </w:r>
          </w:p>
          <w:p w14:paraId="7C397D80" w14:textId="77777777" w:rsidR="00E03A64" w:rsidRPr="005531D9" w:rsidRDefault="00E03A64" w:rsidP="00313A6F">
            <w:pPr>
              <w:spacing w:line="240" w:lineRule="exact"/>
              <w:rPr>
                <w:lang w:val="en-GB"/>
              </w:rPr>
            </w:pPr>
          </w:p>
          <w:p w14:paraId="4490966E" w14:textId="77777777" w:rsidR="00E03A64" w:rsidRPr="005531D9" w:rsidRDefault="00E03A64" w:rsidP="00313A6F">
            <w:pPr>
              <w:spacing w:line="240" w:lineRule="exact"/>
              <w:rPr>
                <w:lang w:val="en-GB"/>
              </w:rPr>
            </w:pPr>
            <w:r w:rsidRPr="005531D9">
              <w:rPr>
                <w:lang w:val="en-GB"/>
              </w:rPr>
              <w:t>Original: English</w:t>
            </w:r>
          </w:p>
        </w:tc>
      </w:tr>
    </w:tbl>
    <w:p w14:paraId="4C0044CD" w14:textId="77777777" w:rsidR="00BB1F39" w:rsidRPr="005531D9" w:rsidRDefault="00E03A64" w:rsidP="00313A6F">
      <w:pPr>
        <w:spacing w:before="120"/>
        <w:rPr>
          <w:b/>
          <w:bCs/>
          <w:sz w:val="28"/>
          <w:szCs w:val="28"/>
          <w:lang w:val="en-GB"/>
        </w:rPr>
      </w:pPr>
      <w:r w:rsidRPr="005531D9">
        <w:rPr>
          <w:b/>
          <w:sz w:val="28"/>
          <w:szCs w:val="28"/>
          <w:lang w:val="en-GB"/>
        </w:rPr>
        <w:t>Economic</w:t>
      </w:r>
      <w:r w:rsidRPr="005531D9">
        <w:rPr>
          <w:b/>
          <w:bCs/>
          <w:sz w:val="28"/>
          <w:szCs w:val="28"/>
          <w:lang w:val="en-GB"/>
        </w:rPr>
        <w:t xml:space="preserve"> Commission for Europe </w:t>
      </w:r>
    </w:p>
    <w:p w14:paraId="415C529A" w14:textId="77777777" w:rsidR="00BB1F39" w:rsidRPr="005531D9" w:rsidRDefault="00E03A64" w:rsidP="00313A6F">
      <w:pPr>
        <w:spacing w:before="120"/>
        <w:rPr>
          <w:sz w:val="28"/>
          <w:szCs w:val="28"/>
          <w:lang w:val="en-GB"/>
        </w:rPr>
      </w:pPr>
      <w:r w:rsidRPr="005531D9">
        <w:rPr>
          <w:sz w:val="28"/>
          <w:szCs w:val="28"/>
          <w:lang w:val="en-GB"/>
        </w:rPr>
        <w:t xml:space="preserve">Inland Transport Committee </w:t>
      </w:r>
    </w:p>
    <w:p w14:paraId="0DD9A787" w14:textId="77777777" w:rsidR="00E03A64" w:rsidRPr="005531D9" w:rsidRDefault="00E03A64" w:rsidP="00313A6F">
      <w:pPr>
        <w:spacing w:before="120"/>
        <w:rPr>
          <w:sz w:val="22"/>
          <w:szCs w:val="22"/>
          <w:lang w:val="en-GB"/>
        </w:rPr>
      </w:pPr>
      <w:r w:rsidRPr="005531D9">
        <w:rPr>
          <w:b/>
          <w:bCs/>
          <w:sz w:val="24"/>
          <w:szCs w:val="24"/>
          <w:lang w:val="en-GB"/>
        </w:rPr>
        <w:t xml:space="preserve">World Forum for Harmonization of Vehicle Regulations </w:t>
      </w:r>
    </w:p>
    <w:p w14:paraId="71FCA7C1" w14:textId="77777777" w:rsidR="00E03A64" w:rsidRPr="005531D9" w:rsidRDefault="00E03A64" w:rsidP="00313A6F">
      <w:pPr>
        <w:spacing w:before="120" w:after="120"/>
        <w:rPr>
          <w:b/>
          <w:bCs/>
          <w:lang w:val="en-GB"/>
        </w:rPr>
      </w:pPr>
      <w:r w:rsidRPr="005531D9">
        <w:rPr>
          <w:b/>
          <w:bCs/>
          <w:lang w:val="en-GB"/>
        </w:rPr>
        <w:t xml:space="preserve">Working Party on </w:t>
      </w:r>
      <w:r w:rsidR="00BB1F39" w:rsidRPr="005531D9">
        <w:rPr>
          <w:b/>
          <w:bCs/>
          <w:lang w:val="en-GB"/>
        </w:rPr>
        <w:t>Noise and Tyres</w:t>
      </w:r>
    </w:p>
    <w:p w14:paraId="16AB86CA" w14:textId="5863D7A1" w:rsidR="008769D0" w:rsidRPr="005531D9" w:rsidRDefault="008769D0" w:rsidP="00313A6F">
      <w:pPr>
        <w:rPr>
          <w:b/>
          <w:lang w:val="en-GB"/>
        </w:rPr>
      </w:pPr>
      <w:r w:rsidRPr="005531D9">
        <w:rPr>
          <w:b/>
          <w:lang w:val="en-GB"/>
        </w:rPr>
        <w:t>Seventy-</w:t>
      </w:r>
      <w:r w:rsidR="00B06876" w:rsidRPr="005531D9">
        <w:rPr>
          <w:b/>
          <w:lang w:val="en-GB"/>
        </w:rPr>
        <w:t>ninth</w:t>
      </w:r>
      <w:r w:rsidRPr="005531D9">
        <w:rPr>
          <w:b/>
          <w:lang w:val="en-GB"/>
        </w:rPr>
        <w:t xml:space="preserve"> session </w:t>
      </w:r>
    </w:p>
    <w:p w14:paraId="4D5EA582" w14:textId="0E4C7900" w:rsidR="008769D0" w:rsidRPr="005531D9" w:rsidRDefault="008769D0" w:rsidP="00313A6F">
      <w:pPr>
        <w:rPr>
          <w:bCs/>
          <w:lang w:val="en-GB"/>
        </w:rPr>
      </w:pPr>
      <w:r w:rsidRPr="005531D9">
        <w:rPr>
          <w:lang w:val="en-GB"/>
        </w:rPr>
        <w:t>Geneva</w:t>
      </w:r>
      <w:r w:rsidRPr="005531D9">
        <w:rPr>
          <w:bCs/>
          <w:lang w:val="en-GB"/>
        </w:rPr>
        <w:t xml:space="preserve">, </w:t>
      </w:r>
      <w:r w:rsidR="00B06876" w:rsidRPr="005531D9">
        <w:rPr>
          <w:bCs/>
          <w:lang w:val="en-GB"/>
        </w:rPr>
        <w:t>6</w:t>
      </w:r>
      <w:r w:rsidR="00275EDB">
        <w:rPr>
          <w:bCs/>
          <w:lang w:val="en-GB"/>
        </w:rPr>
        <w:t>–</w:t>
      </w:r>
      <w:r w:rsidR="00B06876" w:rsidRPr="005531D9">
        <w:rPr>
          <w:bCs/>
          <w:lang w:val="en-GB"/>
        </w:rPr>
        <w:t>9</w:t>
      </w:r>
      <w:r w:rsidR="00275EDB">
        <w:rPr>
          <w:bCs/>
          <w:lang w:val="en-GB"/>
        </w:rPr>
        <w:t xml:space="preserve"> </w:t>
      </w:r>
      <w:r w:rsidRPr="005531D9">
        <w:rPr>
          <w:bCs/>
          <w:lang w:val="en-GB"/>
        </w:rPr>
        <w:t>February 202</w:t>
      </w:r>
      <w:r w:rsidR="00B06876" w:rsidRPr="005531D9">
        <w:rPr>
          <w:bCs/>
          <w:lang w:val="en-GB"/>
        </w:rPr>
        <w:t>4</w:t>
      </w:r>
    </w:p>
    <w:p w14:paraId="430059EC" w14:textId="39E90980" w:rsidR="008769D0" w:rsidRPr="005531D9" w:rsidRDefault="008769D0" w:rsidP="00313A6F">
      <w:pPr>
        <w:rPr>
          <w:bCs/>
          <w:lang w:val="en-GB"/>
        </w:rPr>
      </w:pPr>
      <w:r w:rsidRPr="005531D9">
        <w:rPr>
          <w:bCs/>
          <w:lang w:val="en-GB"/>
        </w:rPr>
        <w:t>Item</w:t>
      </w:r>
      <w:r w:rsidR="00275EDB">
        <w:rPr>
          <w:bCs/>
          <w:lang w:val="en-GB"/>
        </w:rPr>
        <w:t xml:space="preserve"> 7 (d) </w:t>
      </w:r>
      <w:r w:rsidRPr="005531D9">
        <w:rPr>
          <w:bCs/>
          <w:lang w:val="en-GB"/>
        </w:rPr>
        <w:t>of the provisional agenda</w:t>
      </w:r>
    </w:p>
    <w:p w14:paraId="34CF11C5" w14:textId="1B372691" w:rsidR="00716F84" w:rsidRPr="005531D9" w:rsidRDefault="00716F84" w:rsidP="00313A6F">
      <w:pPr>
        <w:rPr>
          <w:b/>
          <w:bCs/>
          <w:lang w:val="en-GB"/>
        </w:rPr>
      </w:pPr>
      <w:r w:rsidRPr="005531D9">
        <w:rPr>
          <w:b/>
          <w:bCs/>
          <w:lang w:val="en-GB"/>
        </w:rPr>
        <w:t xml:space="preserve">Tyres: </w:t>
      </w:r>
      <w:r w:rsidR="005E67C5" w:rsidRPr="005531D9">
        <w:rPr>
          <w:b/>
          <w:bCs/>
          <w:lang w:val="en-GB"/>
        </w:rPr>
        <w:t xml:space="preserve">UN Regulation No. </w:t>
      </w:r>
      <w:r w:rsidR="0045262A" w:rsidRPr="005531D9">
        <w:rPr>
          <w:b/>
          <w:bCs/>
          <w:lang w:val="en-GB"/>
        </w:rPr>
        <w:t>117 (Tyre rolling resistance, rolling noise and wet grip)</w:t>
      </w:r>
    </w:p>
    <w:p w14:paraId="3E3F695C" w14:textId="7CC3D774" w:rsidR="00E03A64" w:rsidRPr="005531D9" w:rsidRDefault="00E03A64" w:rsidP="00313A6F">
      <w:pPr>
        <w:keepNext/>
        <w:keepLines/>
        <w:tabs>
          <w:tab w:val="right" w:pos="851"/>
        </w:tabs>
        <w:spacing w:before="360" w:after="240" w:line="300" w:lineRule="exact"/>
        <w:ind w:left="1134" w:right="1134" w:hanging="1134"/>
        <w:rPr>
          <w:b/>
          <w:sz w:val="24"/>
          <w:szCs w:val="24"/>
          <w:lang w:val="en-GB"/>
        </w:rPr>
      </w:pPr>
      <w:r w:rsidRPr="005531D9">
        <w:rPr>
          <w:b/>
          <w:sz w:val="28"/>
          <w:lang w:val="en-GB"/>
        </w:rPr>
        <w:tab/>
      </w:r>
      <w:r w:rsidRPr="005531D9">
        <w:rPr>
          <w:b/>
          <w:sz w:val="28"/>
          <w:lang w:val="en-GB"/>
        </w:rPr>
        <w:tab/>
      </w:r>
      <w:r w:rsidR="00716F84" w:rsidRPr="005531D9">
        <w:rPr>
          <w:b/>
          <w:sz w:val="28"/>
          <w:lang w:val="en-GB"/>
        </w:rPr>
        <w:t xml:space="preserve">Proposal for </w:t>
      </w:r>
      <w:r w:rsidR="00DC2100" w:rsidRPr="005531D9">
        <w:rPr>
          <w:b/>
          <w:sz w:val="28"/>
          <w:lang w:val="en-GB"/>
        </w:rPr>
        <w:t xml:space="preserve">Supplement </w:t>
      </w:r>
      <w:r w:rsidR="00026FD7" w:rsidRPr="005531D9">
        <w:rPr>
          <w:b/>
          <w:sz w:val="28"/>
          <w:lang w:val="en-GB"/>
        </w:rPr>
        <w:t>2</w:t>
      </w:r>
      <w:r w:rsidR="00DC2100" w:rsidRPr="005531D9">
        <w:rPr>
          <w:b/>
          <w:sz w:val="28"/>
          <w:lang w:val="en-GB"/>
        </w:rPr>
        <w:t xml:space="preserve"> to </w:t>
      </w:r>
      <w:r w:rsidR="00150865">
        <w:rPr>
          <w:b/>
          <w:sz w:val="28"/>
          <w:lang w:val="en-GB"/>
        </w:rPr>
        <w:t xml:space="preserve">the </w:t>
      </w:r>
      <w:r w:rsidR="00DC2100" w:rsidRPr="005531D9">
        <w:rPr>
          <w:b/>
          <w:sz w:val="28"/>
          <w:lang w:val="en-GB"/>
        </w:rPr>
        <w:t>0</w:t>
      </w:r>
      <w:r w:rsidR="00026FD7" w:rsidRPr="005531D9">
        <w:rPr>
          <w:b/>
          <w:sz w:val="28"/>
          <w:lang w:val="en-GB"/>
        </w:rPr>
        <w:t>4</w:t>
      </w:r>
      <w:r w:rsidR="00DC2100" w:rsidRPr="005531D9">
        <w:rPr>
          <w:b/>
          <w:sz w:val="28"/>
          <w:lang w:val="en-GB"/>
        </w:rPr>
        <w:t xml:space="preserve"> </w:t>
      </w:r>
      <w:r w:rsidR="00150865">
        <w:rPr>
          <w:b/>
          <w:sz w:val="28"/>
          <w:lang w:val="en-GB"/>
        </w:rPr>
        <w:t>s</w:t>
      </w:r>
      <w:r w:rsidR="00DC2100" w:rsidRPr="005531D9">
        <w:rPr>
          <w:b/>
          <w:sz w:val="28"/>
          <w:lang w:val="en-GB"/>
        </w:rPr>
        <w:t xml:space="preserve">eries of </w:t>
      </w:r>
      <w:r w:rsidR="00150865">
        <w:rPr>
          <w:b/>
          <w:sz w:val="28"/>
          <w:lang w:val="en-GB"/>
        </w:rPr>
        <w:t>a</w:t>
      </w:r>
      <w:r w:rsidR="00DC2100" w:rsidRPr="005531D9">
        <w:rPr>
          <w:b/>
          <w:sz w:val="28"/>
          <w:lang w:val="en-GB"/>
        </w:rPr>
        <w:t xml:space="preserve">mendments </w:t>
      </w:r>
      <w:r w:rsidR="00716F84" w:rsidRPr="005531D9">
        <w:rPr>
          <w:b/>
          <w:sz w:val="28"/>
          <w:lang w:val="en-GB"/>
        </w:rPr>
        <w:t xml:space="preserve">to UN Regulation No. </w:t>
      </w:r>
      <w:r w:rsidR="002246FB" w:rsidRPr="005531D9">
        <w:rPr>
          <w:b/>
          <w:sz w:val="28"/>
          <w:lang w:val="en-GB"/>
        </w:rPr>
        <w:t>117</w:t>
      </w:r>
    </w:p>
    <w:p w14:paraId="21B9B395" w14:textId="2360CE81" w:rsidR="00E03A64" w:rsidRPr="005531D9" w:rsidRDefault="00E03A64" w:rsidP="00313A6F">
      <w:pPr>
        <w:keepNext/>
        <w:keepLines/>
        <w:tabs>
          <w:tab w:val="right" w:pos="851"/>
        </w:tabs>
        <w:spacing w:before="360" w:after="240" w:line="270" w:lineRule="exact"/>
        <w:ind w:left="1134" w:right="1134" w:hanging="1134"/>
        <w:rPr>
          <w:b/>
          <w:sz w:val="24"/>
          <w:lang w:val="en-GB"/>
        </w:rPr>
      </w:pPr>
      <w:r w:rsidRPr="005531D9">
        <w:rPr>
          <w:b/>
          <w:sz w:val="24"/>
          <w:lang w:val="en-GB"/>
        </w:rPr>
        <w:tab/>
      </w:r>
      <w:r w:rsidRPr="005531D9">
        <w:rPr>
          <w:b/>
          <w:sz w:val="24"/>
          <w:lang w:val="en-GB"/>
        </w:rPr>
        <w:tab/>
      </w:r>
      <w:r w:rsidR="00716F84" w:rsidRPr="005531D9">
        <w:rPr>
          <w:b/>
          <w:sz w:val="24"/>
          <w:lang w:val="en-GB"/>
        </w:rPr>
        <w:t>Submitted by the experts from the European Tyre and Rim Technical Organization</w:t>
      </w:r>
      <w:r w:rsidR="00E01A8C" w:rsidRPr="005531D9">
        <w:rPr>
          <w:b/>
          <w:lang w:val="en-GB"/>
        </w:rPr>
        <w:footnoteReference w:customMarkFollows="1" w:id="2"/>
        <w:t>*</w:t>
      </w:r>
      <w:r w:rsidR="00E01A8C" w:rsidRPr="005531D9">
        <w:rPr>
          <w:b/>
          <w:sz w:val="24"/>
          <w:lang w:val="en-GB"/>
        </w:rPr>
        <w:t xml:space="preserve">  </w:t>
      </w:r>
    </w:p>
    <w:p w14:paraId="6C2B27B4" w14:textId="588E611A" w:rsidR="00FE243B" w:rsidRPr="005531D9" w:rsidRDefault="00716F84" w:rsidP="00313A6F">
      <w:pPr>
        <w:pStyle w:val="SingleTxtG"/>
        <w:tabs>
          <w:tab w:val="left" w:pos="8505"/>
        </w:tabs>
        <w:spacing w:before="240" w:after="0"/>
        <w:ind w:firstLine="567"/>
        <w:rPr>
          <w:lang w:val="en-GB"/>
        </w:rPr>
      </w:pPr>
      <w:r w:rsidRPr="005531D9">
        <w:rPr>
          <w:lang w:val="en-GB"/>
        </w:rPr>
        <w:t>The text reproduced below was prepared by the experts from the European Tyre and Rim Technical Organization (ETRTO)</w:t>
      </w:r>
      <w:r w:rsidR="000D50BB" w:rsidRPr="005531D9">
        <w:rPr>
          <w:lang w:val="en-GB"/>
        </w:rPr>
        <w:t xml:space="preserve"> and is meant to complete the amendment proposal adopted </w:t>
      </w:r>
      <w:r w:rsidR="0095703B">
        <w:rPr>
          <w:lang w:val="en-GB"/>
        </w:rPr>
        <w:t xml:space="preserve">at the seventy-eight session of the </w:t>
      </w:r>
      <w:r w:rsidR="0095703B" w:rsidRPr="0095703B">
        <w:rPr>
          <w:lang w:val="en-GB"/>
        </w:rPr>
        <w:t>Working Party on Noise and Tyres</w:t>
      </w:r>
      <w:r w:rsidR="0095703B">
        <w:rPr>
          <w:lang w:val="en-GB"/>
        </w:rPr>
        <w:t xml:space="preserve"> (</w:t>
      </w:r>
      <w:r w:rsidR="000D50BB" w:rsidRPr="005531D9">
        <w:rPr>
          <w:lang w:val="en-GB"/>
        </w:rPr>
        <w:t>GRBP</w:t>
      </w:r>
      <w:r w:rsidR="0095703B">
        <w:rPr>
          <w:lang w:val="en-GB"/>
        </w:rPr>
        <w:t xml:space="preserve">) </w:t>
      </w:r>
      <w:r w:rsidR="000D50BB" w:rsidRPr="005531D9">
        <w:rPr>
          <w:lang w:val="en-GB"/>
        </w:rPr>
        <w:t>(</w:t>
      </w:r>
      <w:r w:rsidR="0095703B">
        <w:rPr>
          <w:lang w:val="en-GB"/>
        </w:rPr>
        <w:t xml:space="preserve">informal document </w:t>
      </w:r>
      <w:r w:rsidR="000D50BB" w:rsidRPr="005531D9">
        <w:rPr>
          <w:lang w:val="en-GB"/>
        </w:rPr>
        <w:t xml:space="preserve">GRBP-78-05 replacing </w:t>
      </w:r>
      <w:r w:rsidR="0095703B">
        <w:rPr>
          <w:lang w:val="en-GB"/>
        </w:rPr>
        <w:t>ECE/TRANS/WP.29/</w:t>
      </w:r>
      <w:r w:rsidR="000D50BB" w:rsidRPr="005531D9">
        <w:rPr>
          <w:lang w:val="en-GB"/>
        </w:rPr>
        <w:t>GRBP/2023/19)</w:t>
      </w:r>
      <w:r w:rsidRPr="005531D9">
        <w:rPr>
          <w:lang w:val="en-GB"/>
        </w:rPr>
        <w:t xml:space="preserve">. The modifications to the existing text of the UN Regulation are marked in bold for new or strikethrough for deleted characters. </w:t>
      </w:r>
    </w:p>
    <w:p w14:paraId="4E9F16A8" w14:textId="77777777" w:rsidR="00BE15E7" w:rsidRPr="005531D9" w:rsidRDefault="00FE243B" w:rsidP="00313A6F">
      <w:pPr>
        <w:pStyle w:val="SingleTxtG"/>
        <w:tabs>
          <w:tab w:val="left" w:pos="8505"/>
        </w:tabs>
        <w:spacing w:before="240" w:after="0"/>
        <w:ind w:firstLine="567"/>
        <w:rPr>
          <w:lang w:val="en-GB"/>
        </w:rPr>
      </w:pPr>
      <w:r w:rsidRPr="005531D9">
        <w:rPr>
          <w:lang w:val="en-GB"/>
        </w:rPr>
        <w:t xml:space="preserve"> </w:t>
      </w:r>
    </w:p>
    <w:p w14:paraId="48350505" w14:textId="77777777" w:rsidR="00240D36" w:rsidRPr="005531D9" w:rsidRDefault="00240D36" w:rsidP="00313A6F">
      <w:pPr>
        <w:keepNext/>
        <w:keepLines/>
        <w:tabs>
          <w:tab w:val="right" w:pos="851"/>
          <w:tab w:val="left" w:pos="8505"/>
        </w:tabs>
        <w:spacing w:before="360" w:after="240" w:line="300" w:lineRule="exact"/>
        <w:ind w:left="1134" w:right="1134" w:firstLine="567"/>
        <w:rPr>
          <w:lang w:val="en-GB"/>
        </w:rPr>
        <w:sectPr w:rsidR="00240D36" w:rsidRPr="005531D9"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7F93685" w14:textId="77777777" w:rsidR="00DC2100" w:rsidRPr="005531D9" w:rsidRDefault="00E5260A" w:rsidP="00313A6F">
      <w:pPr>
        <w:keepNext/>
        <w:keepLines/>
        <w:tabs>
          <w:tab w:val="right" w:pos="851"/>
        </w:tabs>
        <w:spacing w:before="360" w:after="240" w:line="300" w:lineRule="exact"/>
        <w:ind w:left="357" w:right="1134"/>
        <w:rPr>
          <w:b/>
          <w:bCs/>
          <w:sz w:val="40"/>
          <w:szCs w:val="28"/>
          <w:lang w:val="en-GB"/>
        </w:rPr>
      </w:pPr>
      <w:r w:rsidRPr="005531D9">
        <w:rPr>
          <w:b/>
          <w:bCs/>
          <w:sz w:val="28"/>
          <w:szCs w:val="28"/>
          <w:lang w:val="en-GB"/>
        </w:rPr>
        <w:lastRenderedPageBreak/>
        <w:tab/>
        <w:t>I.</w:t>
      </w:r>
      <w:r w:rsidRPr="005531D9">
        <w:rPr>
          <w:b/>
          <w:bCs/>
          <w:sz w:val="28"/>
          <w:szCs w:val="28"/>
          <w:lang w:val="en-GB"/>
        </w:rPr>
        <w:tab/>
      </w:r>
      <w:r w:rsidR="00DC2100" w:rsidRPr="005531D9">
        <w:rPr>
          <w:b/>
          <w:bCs/>
          <w:sz w:val="28"/>
          <w:szCs w:val="28"/>
          <w:lang w:val="en-GB"/>
        </w:rPr>
        <w:t>Proposal</w:t>
      </w:r>
    </w:p>
    <w:p w14:paraId="3EAD707F" w14:textId="110E62BB" w:rsidR="00DC2100" w:rsidRPr="005531D9" w:rsidRDefault="00DC2100" w:rsidP="00313A6F">
      <w:pPr>
        <w:spacing w:after="120"/>
        <w:ind w:left="1134" w:right="1134"/>
        <w:jc w:val="both"/>
        <w:rPr>
          <w:iCs/>
          <w:lang w:val="en-GB"/>
        </w:rPr>
      </w:pPr>
      <w:bookmarkStart w:id="2" w:name="_Hlk116996355"/>
      <w:r w:rsidRPr="005531D9">
        <w:rPr>
          <w:noProof/>
          <w:webHidden/>
          <w:lang w:val="en-GB"/>
        </w:rPr>
        <w:tab/>
      </w:r>
      <w:r w:rsidR="0095703B" w:rsidRPr="0095703B">
        <w:rPr>
          <w:i/>
          <w:iCs/>
          <w:noProof/>
          <w:webHidden/>
          <w:lang w:val="en-GB"/>
        </w:rPr>
        <w:t xml:space="preserve">Table of </w:t>
      </w:r>
      <w:r w:rsidRPr="0095703B">
        <w:rPr>
          <w:i/>
          <w:iCs/>
          <w:noProof/>
          <w:webHidden/>
          <w:lang w:val="en-GB"/>
        </w:rPr>
        <w:t>Contents</w:t>
      </w:r>
      <w:r w:rsidRPr="0095703B">
        <w:rPr>
          <w:i/>
          <w:iCs/>
          <w:lang w:val="en-GB"/>
        </w:rPr>
        <w:t>,</w:t>
      </w:r>
      <w:r w:rsidRPr="005531D9">
        <w:rPr>
          <w:i/>
          <w:lang w:val="en-GB"/>
        </w:rPr>
        <w:t xml:space="preserve"> </w:t>
      </w:r>
      <w:r w:rsidRPr="005531D9">
        <w:rPr>
          <w:iCs/>
          <w:lang w:val="en-GB"/>
        </w:rPr>
        <w:t xml:space="preserve">amend to read: </w:t>
      </w:r>
    </w:p>
    <w:p w14:paraId="58722C66" w14:textId="28D408D9" w:rsidR="00DC2100" w:rsidRPr="005531D9" w:rsidRDefault="00DC2100" w:rsidP="00313A6F">
      <w:pPr>
        <w:spacing w:after="120"/>
        <w:ind w:left="1134" w:right="1134"/>
        <w:jc w:val="both"/>
        <w:rPr>
          <w:iCs/>
          <w:lang w:val="en-GB"/>
        </w:rPr>
      </w:pPr>
      <w:r w:rsidRPr="005531D9">
        <w:rPr>
          <w:iCs/>
          <w:lang w:val="en-GB"/>
        </w:rPr>
        <w:t>"…</w:t>
      </w:r>
    </w:p>
    <w:p w14:paraId="29216624" w14:textId="371DE7AE" w:rsidR="00DC2100" w:rsidRPr="005531D9" w:rsidRDefault="00DC2100" w:rsidP="00313A6F">
      <w:pPr>
        <w:pStyle w:val="TOC1"/>
        <w:tabs>
          <w:tab w:val="clear" w:pos="9071"/>
          <w:tab w:val="right" w:leader="dot" w:pos="8789"/>
          <w:tab w:val="right" w:pos="9498"/>
        </w:tabs>
        <w:ind w:left="1701" w:hanging="566"/>
        <w:rPr>
          <w:rFonts w:ascii="Calibri" w:hAnsi="Calibri"/>
          <w:noProof/>
          <w:sz w:val="20"/>
          <w:szCs w:val="20"/>
          <w:lang w:eastAsia="en-GB"/>
        </w:rPr>
      </w:pPr>
      <w:r w:rsidRPr="005531D9">
        <w:rPr>
          <w:noProof/>
          <w:sz w:val="20"/>
          <w:szCs w:val="20"/>
        </w:rPr>
        <w:t>6.</w:t>
      </w:r>
      <w:r w:rsidRPr="005531D9">
        <w:rPr>
          <w:rFonts w:ascii="Calibri" w:hAnsi="Calibri"/>
          <w:noProof/>
          <w:sz w:val="20"/>
          <w:szCs w:val="20"/>
          <w:lang w:eastAsia="en-GB"/>
        </w:rPr>
        <w:tab/>
      </w:r>
      <w:r w:rsidRPr="005531D9">
        <w:rPr>
          <w:strike/>
          <w:noProof/>
          <w:sz w:val="20"/>
          <w:szCs w:val="20"/>
        </w:rPr>
        <w:t>Specifications</w:t>
      </w:r>
      <w:r w:rsidRPr="005531D9">
        <w:rPr>
          <w:b/>
          <w:bCs/>
          <w:noProof/>
          <w:sz w:val="20"/>
          <w:szCs w:val="20"/>
        </w:rPr>
        <w:t>Requirements</w:t>
      </w:r>
      <w:r w:rsidRPr="005531D9">
        <w:rPr>
          <w:noProof/>
          <w:webHidden/>
          <w:sz w:val="20"/>
          <w:szCs w:val="20"/>
        </w:rPr>
        <w:tab/>
      </w:r>
      <w:r w:rsidRPr="005531D9">
        <w:rPr>
          <w:noProof/>
          <w:webHidden/>
          <w:sz w:val="20"/>
          <w:szCs w:val="20"/>
        </w:rPr>
        <w:tab/>
      </w:r>
    </w:p>
    <w:p w14:paraId="015836BE" w14:textId="72383E76" w:rsidR="00DC2100" w:rsidRPr="005531D9" w:rsidRDefault="00DC2100" w:rsidP="00313A6F">
      <w:pPr>
        <w:pStyle w:val="TOC1"/>
        <w:tabs>
          <w:tab w:val="clear" w:pos="9071"/>
          <w:tab w:val="right" w:leader="dot" w:pos="8789"/>
          <w:tab w:val="right" w:pos="9498"/>
        </w:tabs>
        <w:ind w:left="1701" w:hanging="566"/>
        <w:rPr>
          <w:rFonts w:ascii="Calibri" w:hAnsi="Calibri"/>
          <w:noProof/>
          <w:sz w:val="20"/>
          <w:szCs w:val="20"/>
          <w:lang w:eastAsia="en-GB"/>
        </w:rPr>
      </w:pPr>
      <w:r w:rsidRPr="005531D9">
        <w:rPr>
          <w:noProof/>
          <w:sz w:val="20"/>
          <w:szCs w:val="20"/>
        </w:rPr>
        <w:t>7.</w:t>
      </w:r>
      <w:r w:rsidRPr="005531D9">
        <w:rPr>
          <w:rFonts w:ascii="Calibri" w:hAnsi="Calibri"/>
          <w:noProof/>
          <w:sz w:val="20"/>
          <w:szCs w:val="20"/>
          <w:lang w:eastAsia="en-GB"/>
        </w:rPr>
        <w:tab/>
      </w:r>
      <w:r w:rsidRPr="005531D9">
        <w:rPr>
          <w:noProof/>
          <w:sz w:val="20"/>
          <w:szCs w:val="20"/>
        </w:rPr>
        <w:t xml:space="preserve">Modifications of the type of </w:t>
      </w:r>
      <w:r w:rsidRPr="005531D9">
        <w:rPr>
          <w:strike/>
          <w:noProof/>
          <w:sz w:val="20"/>
          <w:szCs w:val="20"/>
        </w:rPr>
        <w:t xml:space="preserve">pneumatic </w:t>
      </w:r>
      <w:r w:rsidRPr="005531D9">
        <w:rPr>
          <w:noProof/>
          <w:sz w:val="20"/>
          <w:szCs w:val="20"/>
        </w:rPr>
        <w:t>tyre and extension of approval</w:t>
      </w:r>
      <w:r w:rsidRPr="005531D9">
        <w:rPr>
          <w:noProof/>
          <w:webHidden/>
          <w:sz w:val="20"/>
          <w:szCs w:val="20"/>
        </w:rPr>
        <w:tab/>
      </w:r>
      <w:r w:rsidRPr="005531D9">
        <w:rPr>
          <w:noProof/>
          <w:webHidden/>
          <w:sz w:val="20"/>
          <w:szCs w:val="20"/>
        </w:rPr>
        <w:tab/>
      </w:r>
    </w:p>
    <w:p w14:paraId="350E706D" w14:textId="094083AA" w:rsidR="00AD4644" w:rsidRPr="005531D9" w:rsidRDefault="00DC2100" w:rsidP="00313A6F">
      <w:pPr>
        <w:spacing w:after="120"/>
        <w:ind w:left="1134" w:right="1134"/>
        <w:jc w:val="both"/>
        <w:rPr>
          <w:iCs/>
          <w:lang w:val="en-GB"/>
        </w:rPr>
      </w:pPr>
      <w:r w:rsidRPr="005531D9">
        <w:rPr>
          <w:iCs/>
          <w:lang w:val="en-GB"/>
        </w:rPr>
        <w:t>…</w:t>
      </w:r>
      <w:bookmarkStart w:id="3" w:name="_Hlk116986355"/>
      <w:bookmarkEnd w:id="2"/>
      <w:r w:rsidRPr="005531D9">
        <w:rPr>
          <w:iCs/>
          <w:lang w:val="en-GB"/>
        </w:rPr>
        <w:t>"</w:t>
      </w:r>
      <w:bookmarkEnd w:id="3"/>
    </w:p>
    <w:p w14:paraId="6BFF32BD" w14:textId="685CC20B" w:rsidR="008E225C" w:rsidRPr="005531D9" w:rsidRDefault="008E225C" w:rsidP="00313A6F">
      <w:pPr>
        <w:spacing w:after="120"/>
        <w:ind w:left="1134" w:right="1134"/>
        <w:jc w:val="both"/>
        <w:rPr>
          <w:i/>
          <w:lang w:val="en-GB"/>
        </w:rPr>
      </w:pPr>
      <w:r w:rsidRPr="005531D9">
        <w:rPr>
          <w:i/>
          <w:lang w:val="en-GB"/>
        </w:rPr>
        <w:t>Paragraph 1.</w:t>
      </w:r>
      <w:r w:rsidRPr="005531D9">
        <w:rPr>
          <w:iCs/>
          <w:lang w:val="en-GB"/>
        </w:rPr>
        <w:t xml:space="preserve">, </w:t>
      </w:r>
      <w:r w:rsidR="00A96572" w:rsidRPr="00A96572">
        <w:rPr>
          <w:i/>
          <w:lang w:val="en-GB"/>
        </w:rPr>
        <w:t>foot</w:t>
      </w:r>
      <w:r w:rsidRPr="00A96572">
        <w:rPr>
          <w:i/>
          <w:lang w:val="en-GB"/>
        </w:rPr>
        <w:t>note 1</w:t>
      </w:r>
      <w:r w:rsidR="00A96572" w:rsidRPr="00A96572">
        <w:rPr>
          <w:i/>
          <w:lang w:val="en-GB"/>
        </w:rPr>
        <w:t>,</w:t>
      </w:r>
      <w:r w:rsidRPr="005531D9">
        <w:rPr>
          <w:iCs/>
          <w:lang w:val="en-GB"/>
        </w:rPr>
        <w:t xml:space="preserve"> </w:t>
      </w:r>
      <w:r w:rsidR="00A96572" w:rsidRPr="005531D9">
        <w:rPr>
          <w:iCs/>
          <w:lang w:val="en-GB"/>
        </w:rPr>
        <w:t xml:space="preserve">amend </w:t>
      </w:r>
      <w:r w:rsidRPr="005531D9">
        <w:rPr>
          <w:iCs/>
          <w:lang w:val="en-GB"/>
        </w:rPr>
        <w:t>to read:</w:t>
      </w:r>
    </w:p>
    <w:p w14:paraId="47E32CEB" w14:textId="1A0F5EA1" w:rsidR="008E225C" w:rsidRPr="00506198" w:rsidRDefault="008E225C" w:rsidP="00506198">
      <w:pPr>
        <w:pStyle w:val="SingleTxtG"/>
        <w:ind w:left="1418" w:hanging="284"/>
        <w:jc w:val="left"/>
        <w:rPr>
          <w:bCs/>
          <w:sz w:val="18"/>
          <w:szCs w:val="18"/>
          <w:lang w:val="en-GB"/>
        </w:rPr>
      </w:pPr>
      <w:r w:rsidRPr="00506198">
        <w:rPr>
          <w:iCs/>
          <w:sz w:val="18"/>
          <w:szCs w:val="18"/>
          <w:lang w:val="en-GB"/>
        </w:rPr>
        <w:t>"</w:t>
      </w:r>
      <w:r w:rsidRPr="00506198">
        <w:rPr>
          <w:bCs/>
          <w:sz w:val="18"/>
          <w:szCs w:val="18"/>
          <w:vertAlign w:val="superscript"/>
          <w:lang w:val="en-GB"/>
        </w:rPr>
        <w:t xml:space="preserve">1 </w:t>
      </w:r>
      <w:r w:rsidR="00A96572">
        <w:rPr>
          <w:bCs/>
          <w:sz w:val="18"/>
          <w:szCs w:val="18"/>
          <w:vertAlign w:val="superscript"/>
          <w:lang w:val="en-GB"/>
        </w:rPr>
        <w:tab/>
      </w:r>
      <w:r w:rsidRPr="00506198">
        <w:rPr>
          <w:sz w:val="18"/>
          <w:szCs w:val="18"/>
          <w:lang w:val="en-GB"/>
        </w:rPr>
        <w:t>As defined in the Consolidated Resolution on the Construction of Vehicles (R.E.3)</w:t>
      </w:r>
      <w:r w:rsidRPr="00506198">
        <w:rPr>
          <w:strike/>
          <w:sz w:val="18"/>
          <w:szCs w:val="18"/>
          <w:lang w:val="en-GB"/>
        </w:rPr>
        <w:t xml:space="preserve">, document ECE/TRANS/WP.29/78/Rev.4, para. 2. </w:t>
      </w:r>
      <w:r w:rsidRPr="00506198">
        <w:rPr>
          <w:strike/>
          <w:sz w:val="18"/>
          <w:szCs w:val="18"/>
          <w:lang w:val="en-GB" w:eastAsia="en-GB"/>
        </w:rPr>
        <w:t xml:space="preserve">- </w:t>
      </w:r>
      <w:hyperlink r:id="rId18" w:history="1">
        <w:r w:rsidRPr="00506198">
          <w:rPr>
            <w:strike/>
            <w:sz w:val="18"/>
            <w:szCs w:val="18"/>
            <w:lang w:val="en-GB" w:eastAsia="en-GB"/>
          </w:rPr>
          <w:t>www.unece.org/trans/main/wp29/wp29wgs/wp29gen/wp29resolutions.html</w:t>
        </w:r>
      </w:hyperlink>
      <w:r w:rsidRPr="00506198">
        <w:rPr>
          <w:strike/>
          <w:sz w:val="18"/>
          <w:szCs w:val="18"/>
          <w:lang w:val="en-GB" w:eastAsia="en-GB"/>
        </w:rPr>
        <w:t>"</w:t>
      </w:r>
    </w:p>
    <w:p w14:paraId="3445A7CB" w14:textId="498D06A6" w:rsidR="008E225C" w:rsidRPr="005531D9" w:rsidRDefault="008E225C" w:rsidP="00313A6F">
      <w:pPr>
        <w:spacing w:after="120"/>
        <w:ind w:left="1134" w:right="1134"/>
        <w:jc w:val="both"/>
        <w:rPr>
          <w:i/>
          <w:lang w:val="en-GB"/>
        </w:rPr>
      </w:pPr>
      <w:r w:rsidRPr="005531D9">
        <w:rPr>
          <w:i/>
          <w:lang w:val="en-GB"/>
        </w:rPr>
        <w:t>Paragraph 2</w:t>
      </w:r>
      <w:r w:rsidRPr="00A96572">
        <w:rPr>
          <w:i/>
          <w:lang w:val="en-GB"/>
        </w:rPr>
        <w:t xml:space="preserve">., </w:t>
      </w:r>
      <w:r w:rsidR="00A96572" w:rsidRPr="00A96572">
        <w:rPr>
          <w:i/>
          <w:lang w:val="en-GB"/>
        </w:rPr>
        <w:t>foot</w:t>
      </w:r>
      <w:r w:rsidRPr="00A96572">
        <w:rPr>
          <w:i/>
          <w:lang w:val="en-GB"/>
        </w:rPr>
        <w:t>note</w:t>
      </w:r>
      <w:r w:rsidR="00A96572" w:rsidRPr="00A96572">
        <w:rPr>
          <w:i/>
          <w:lang w:val="en-GB"/>
        </w:rPr>
        <w:t>s</w:t>
      </w:r>
      <w:r w:rsidRPr="00A96572">
        <w:rPr>
          <w:i/>
          <w:lang w:val="en-GB"/>
        </w:rPr>
        <w:t xml:space="preserve"> 2 to 4</w:t>
      </w:r>
      <w:r w:rsidR="00A96572" w:rsidRPr="00A96572">
        <w:rPr>
          <w:i/>
          <w:lang w:val="en-GB"/>
        </w:rPr>
        <w:t>,</w:t>
      </w:r>
      <w:r w:rsidRPr="005531D9">
        <w:rPr>
          <w:iCs/>
          <w:lang w:val="en-GB"/>
        </w:rPr>
        <w:t xml:space="preserve"> </w:t>
      </w:r>
      <w:r w:rsidR="00A96572" w:rsidRPr="005531D9">
        <w:rPr>
          <w:iCs/>
          <w:lang w:val="en-GB"/>
        </w:rPr>
        <w:t xml:space="preserve">amend </w:t>
      </w:r>
      <w:r w:rsidRPr="005531D9">
        <w:rPr>
          <w:iCs/>
          <w:lang w:val="en-GB"/>
        </w:rPr>
        <w:t>to read:</w:t>
      </w:r>
    </w:p>
    <w:p w14:paraId="32F0D4B2" w14:textId="77777777" w:rsidR="008E225C" w:rsidRPr="00506198" w:rsidRDefault="008E225C" w:rsidP="00506198">
      <w:pPr>
        <w:pStyle w:val="SingleTxtG"/>
        <w:spacing w:after="60"/>
        <w:ind w:left="1418" w:hanging="284"/>
        <w:rPr>
          <w:bCs/>
          <w:sz w:val="18"/>
          <w:szCs w:val="18"/>
          <w:lang w:val="en-GB"/>
        </w:rPr>
      </w:pPr>
      <w:r w:rsidRPr="00506198">
        <w:rPr>
          <w:iCs/>
          <w:sz w:val="18"/>
          <w:szCs w:val="18"/>
          <w:lang w:val="en-GB"/>
        </w:rPr>
        <w:t>"</w:t>
      </w:r>
      <w:r w:rsidRPr="00506198">
        <w:rPr>
          <w:bCs/>
          <w:sz w:val="18"/>
          <w:szCs w:val="18"/>
          <w:vertAlign w:val="superscript"/>
          <w:lang w:val="en-GB"/>
        </w:rPr>
        <w:t>2</w:t>
      </w:r>
      <w:r w:rsidRPr="00506198">
        <w:rPr>
          <w:bCs/>
          <w:sz w:val="18"/>
          <w:szCs w:val="18"/>
          <w:lang w:val="en-GB"/>
        </w:rPr>
        <w:tab/>
      </w:r>
      <w:r w:rsidRPr="00506198">
        <w:rPr>
          <w:sz w:val="18"/>
          <w:szCs w:val="18"/>
          <w:lang w:val="en-GB"/>
        </w:rPr>
        <w:t xml:space="preserve">Class C1 tyres correspond to "passenger car tyres" in </w:t>
      </w:r>
      <w:bookmarkStart w:id="4" w:name="_Hlk148358019"/>
      <w:r w:rsidRPr="00506198">
        <w:rPr>
          <w:bCs/>
          <w:sz w:val="18"/>
          <w:szCs w:val="18"/>
          <w:lang w:val="en-GB"/>
        </w:rPr>
        <w:t>I</w:t>
      </w:r>
      <w:bookmarkStart w:id="5" w:name="_Hlk148358002"/>
      <w:r w:rsidRPr="00506198">
        <w:rPr>
          <w:bCs/>
          <w:sz w:val="18"/>
          <w:szCs w:val="18"/>
          <w:lang w:val="en-GB"/>
        </w:rPr>
        <w:t>SO 4000-1:</w:t>
      </w:r>
      <w:r w:rsidRPr="00506198">
        <w:rPr>
          <w:bCs/>
          <w:strike/>
          <w:sz w:val="18"/>
          <w:szCs w:val="18"/>
          <w:lang w:val="en-GB"/>
        </w:rPr>
        <w:t>2010</w:t>
      </w:r>
      <w:r w:rsidRPr="00506198">
        <w:rPr>
          <w:b/>
          <w:sz w:val="18"/>
          <w:szCs w:val="18"/>
          <w:lang w:val="en-GB"/>
        </w:rPr>
        <w:t>2021</w:t>
      </w:r>
      <w:r w:rsidRPr="00506198">
        <w:rPr>
          <w:bCs/>
          <w:sz w:val="18"/>
          <w:szCs w:val="18"/>
          <w:lang w:val="en-GB"/>
        </w:rPr>
        <w:t>.</w:t>
      </w:r>
      <w:bookmarkEnd w:id="4"/>
      <w:bookmarkEnd w:id="5"/>
    </w:p>
    <w:p w14:paraId="5C1C7CA4" w14:textId="77777777" w:rsidR="008E225C" w:rsidRPr="00506198" w:rsidRDefault="008E225C" w:rsidP="00506198">
      <w:pPr>
        <w:pStyle w:val="SingleTxtG"/>
        <w:spacing w:after="60"/>
        <w:ind w:left="1418" w:hanging="284"/>
        <w:rPr>
          <w:sz w:val="18"/>
          <w:szCs w:val="18"/>
          <w:lang w:val="en-GB"/>
        </w:rPr>
      </w:pPr>
      <w:r w:rsidRPr="00506198">
        <w:rPr>
          <w:sz w:val="18"/>
          <w:szCs w:val="18"/>
          <w:vertAlign w:val="superscript"/>
          <w:lang w:val="en-GB"/>
        </w:rPr>
        <w:t>3</w:t>
      </w:r>
      <w:r w:rsidRPr="00506198">
        <w:rPr>
          <w:sz w:val="18"/>
          <w:szCs w:val="18"/>
          <w:lang w:val="en-GB"/>
        </w:rPr>
        <w:tab/>
        <w:t xml:space="preserve">The International System of Units (SI) unit conventionally used for the rolling resistance is the newton-metre per metre, which is equivalent to a drag force </w:t>
      </w:r>
      <w:r w:rsidRPr="00506198">
        <w:rPr>
          <w:bCs/>
          <w:sz w:val="18"/>
          <w:szCs w:val="18"/>
          <w:lang w:val="en-GB"/>
        </w:rPr>
        <w:t xml:space="preserve">in </w:t>
      </w:r>
      <w:proofErr w:type="spellStart"/>
      <w:r w:rsidRPr="00506198">
        <w:rPr>
          <w:bCs/>
          <w:strike/>
          <w:sz w:val="18"/>
          <w:szCs w:val="18"/>
          <w:lang w:val="en-GB"/>
        </w:rPr>
        <w:t>newton</w:t>
      </w:r>
      <w:r w:rsidRPr="00506198">
        <w:rPr>
          <w:b/>
          <w:sz w:val="18"/>
          <w:szCs w:val="18"/>
          <w:lang w:val="en-GB"/>
        </w:rPr>
        <w:t>newtons</w:t>
      </w:r>
      <w:proofErr w:type="spellEnd"/>
      <w:r w:rsidRPr="00506198">
        <w:rPr>
          <w:sz w:val="18"/>
          <w:szCs w:val="18"/>
          <w:lang w:val="en-GB"/>
        </w:rPr>
        <w:t>.</w:t>
      </w:r>
    </w:p>
    <w:p w14:paraId="4BE68076" w14:textId="1A5CE5BA" w:rsidR="008E225C" w:rsidRPr="00506198" w:rsidRDefault="008E225C" w:rsidP="00506198">
      <w:pPr>
        <w:pStyle w:val="FootnoteText"/>
        <w:widowControl w:val="0"/>
        <w:tabs>
          <w:tab w:val="clear" w:pos="1021"/>
          <w:tab w:val="right" w:pos="0"/>
        </w:tabs>
        <w:spacing w:after="120" w:line="240" w:lineRule="atLeast"/>
        <w:ind w:left="1418" w:hanging="284"/>
        <w:rPr>
          <w:szCs w:val="18"/>
          <w:lang w:val="en-GB"/>
        </w:rPr>
      </w:pPr>
      <w:r w:rsidRPr="00506198">
        <w:rPr>
          <w:szCs w:val="18"/>
          <w:vertAlign w:val="superscript"/>
          <w:lang w:val="en-GB"/>
        </w:rPr>
        <w:t>4</w:t>
      </w:r>
      <w:r w:rsidRPr="00506198">
        <w:rPr>
          <w:szCs w:val="18"/>
          <w:vertAlign w:val="superscript"/>
          <w:lang w:val="en-GB"/>
        </w:rPr>
        <w:tab/>
      </w:r>
      <w:r w:rsidRPr="00506198">
        <w:rPr>
          <w:szCs w:val="18"/>
          <w:lang w:val="en-GB"/>
        </w:rPr>
        <w:t xml:space="preserve">The rolling resistance is expressed </w:t>
      </w:r>
      <w:r w:rsidRPr="00506198">
        <w:rPr>
          <w:bCs/>
          <w:szCs w:val="18"/>
          <w:lang w:val="en-GB"/>
        </w:rPr>
        <w:t xml:space="preserve">in </w:t>
      </w:r>
      <w:proofErr w:type="spellStart"/>
      <w:r w:rsidRPr="00506198">
        <w:rPr>
          <w:bCs/>
          <w:strike/>
          <w:szCs w:val="18"/>
          <w:lang w:val="en-GB"/>
        </w:rPr>
        <w:t>newton</w:t>
      </w:r>
      <w:r w:rsidRPr="00506198">
        <w:rPr>
          <w:b/>
          <w:szCs w:val="18"/>
          <w:lang w:val="en-GB"/>
        </w:rPr>
        <w:t>newtons</w:t>
      </w:r>
      <w:proofErr w:type="spellEnd"/>
      <w:r w:rsidRPr="00506198">
        <w:rPr>
          <w:szCs w:val="18"/>
          <w:lang w:val="en-GB"/>
        </w:rPr>
        <w:t xml:space="preserve"> and the load is expressed in kilo-newton. The rolling resistance coefficient is dimensionless."</w:t>
      </w:r>
    </w:p>
    <w:p w14:paraId="45ADCC9A" w14:textId="6DD04441" w:rsidR="00DC2100" w:rsidRPr="005531D9" w:rsidRDefault="00DC2100" w:rsidP="00313A6F">
      <w:pPr>
        <w:spacing w:after="120"/>
        <w:ind w:left="1134" w:right="1134"/>
        <w:jc w:val="both"/>
        <w:rPr>
          <w:iCs/>
          <w:lang w:val="en-GB"/>
        </w:rPr>
      </w:pPr>
      <w:r w:rsidRPr="005531D9">
        <w:rPr>
          <w:i/>
          <w:lang w:val="en-GB"/>
        </w:rPr>
        <w:t>Paragraph 2.11.</w:t>
      </w:r>
      <w:r w:rsidRPr="005531D9">
        <w:rPr>
          <w:iCs/>
          <w:lang w:val="en-GB"/>
        </w:rPr>
        <w:t>, amend to read:</w:t>
      </w:r>
    </w:p>
    <w:p w14:paraId="09D169B1" w14:textId="2F739FC8" w:rsidR="00DC2100" w:rsidRPr="005531D9" w:rsidRDefault="00DC2100" w:rsidP="00313A6F">
      <w:pPr>
        <w:pStyle w:val="SingleTxtG"/>
        <w:ind w:left="2268" w:hanging="1134"/>
        <w:rPr>
          <w:iCs/>
          <w:lang w:val="en-GB"/>
        </w:rPr>
      </w:pPr>
      <w:r w:rsidRPr="005531D9">
        <w:rPr>
          <w:iCs/>
          <w:lang w:val="en-GB"/>
        </w:rPr>
        <w:t>"</w:t>
      </w:r>
      <w:r w:rsidR="008E225C" w:rsidRPr="005531D9">
        <w:rPr>
          <w:bCs/>
          <w:lang w:val="en-GB"/>
        </w:rPr>
        <w:t>2.11.</w:t>
      </w:r>
      <w:r w:rsidR="008E225C" w:rsidRPr="005531D9">
        <w:rPr>
          <w:bCs/>
          <w:lang w:val="en-GB"/>
        </w:rPr>
        <w:tab/>
        <w:t>"</w:t>
      </w:r>
      <w:r w:rsidR="008E225C" w:rsidRPr="005531D9">
        <w:rPr>
          <w:bCs/>
          <w:i/>
          <w:lang w:val="en-GB"/>
        </w:rPr>
        <w:t>Reinforced tyre</w:t>
      </w:r>
      <w:r w:rsidR="008E225C" w:rsidRPr="005531D9">
        <w:rPr>
          <w:bCs/>
          <w:lang w:val="en-GB"/>
        </w:rPr>
        <w:t>" or "</w:t>
      </w:r>
      <w:r w:rsidR="008E225C" w:rsidRPr="005531D9">
        <w:rPr>
          <w:bCs/>
          <w:i/>
          <w:lang w:val="en-GB"/>
        </w:rPr>
        <w:t>extra load tyre</w:t>
      </w:r>
      <w:r w:rsidR="008E225C" w:rsidRPr="005531D9">
        <w:rPr>
          <w:bCs/>
          <w:lang w:val="en-GB"/>
        </w:rPr>
        <w:t xml:space="preserve">" of class C1 means a tyre structure designed to carry more load at a higher inflation pressure than the load carried by the corresponding standard version tyre at the standard inflation pressure as specified in </w:t>
      </w:r>
      <w:bookmarkStart w:id="6" w:name="_Hlk148357946"/>
      <w:r w:rsidR="008E225C" w:rsidRPr="005531D9">
        <w:rPr>
          <w:bCs/>
          <w:lang w:val="en-GB"/>
        </w:rPr>
        <w:t>ISO 4000-1:</w:t>
      </w:r>
      <w:r w:rsidR="008E225C" w:rsidRPr="005531D9">
        <w:rPr>
          <w:bCs/>
          <w:strike/>
          <w:lang w:val="en-GB"/>
        </w:rPr>
        <w:t>2010</w:t>
      </w:r>
      <w:r w:rsidR="008E225C" w:rsidRPr="005531D9">
        <w:rPr>
          <w:b/>
          <w:lang w:val="en-GB"/>
        </w:rPr>
        <w:t>2021</w:t>
      </w:r>
      <w:r w:rsidR="008E225C" w:rsidRPr="005531D9">
        <w:rPr>
          <w:bCs/>
          <w:lang w:val="en-GB"/>
        </w:rPr>
        <w:t>.</w:t>
      </w:r>
      <w:r w:rsidR="008E225C" w:rsidRPr="005531D9">
        <w:rPr>
          <w:bCs/>
          <w:vertAlign w:val="superscript"/>
          <w:lang w:val="en-GB"/>
        </w:rPr>
        <w:t>2</w:t>
      </w:r>
      <w:bookmarkEnd w:id="6"/>
      <w:r w:rsidRPr="005531D9">
        <w:rPr>
          <w:iCs/>
          <w:lang w:val="en-GB"/>
        </w:rPr>
        <w:t>"</w:t>
      </w:r>
    </w:p>
    <w:p w14:paraId="04416B7F" w14:textId="2658AD39" w:rsidR="008E225C" w:rsidRPr="005531D9" w:rsidRDefault="008E225C" w:rsidP="00313A6F">
      <w:pPr>
        <w:spacing w:after="120"/>
        <w:ind w:left="1134" w:right="1134"/>
        <w:jc w:val="both"/>
        <w:rPr>
          <w:iCs/>
          <w:lang w:val="en-GB"/>
        </w:rPr>
      </w:pPr>
      <w:r w:rsidRPr="005531D9">
        <w:rPr>
          <w:i/>
          <w:lang w:val="en-GB"/>
        </w:rPr>
        <w:t>Paragraph 2.13.</w:t>
      </w:r>
      <w:r w:rsidRPr="005531D9">
        <w:rPr>
          <w:iCs/>
          <w:lang w:val="en-GB"/>
        </w:rPr>
        <w:t>, amend to read:</w:t>
      </w:r>
    </w:p>
    <w:p w14:paraId="5C913CFE" w14:textId="7A84DDBD" w:rsidR="008E225C" w:rsidRPr="005531D9" w:rsidRDefault="008E225C" w:rsidP="00313A6F">
      <w:pPr>
        <w:pStyle w:val="SingleTxtG"/>
        <w:ind w:left="2268" w:hanging="1134"/>
        <w:rPr>
          <w:bCs/>
          <w:lang w:val="en-GB"/>
        </w:rPr>
      </w:pPr>
      <w:r w:rsidRPr="005531D9">
        <w:rPr>
          <w:bCs/>
          <w:lang w:val="en-GB"/>
        </w:rPr>
        <w:t>"2.13.</w:t>
      </w:r>
      <w:r w:rsidRPr="005531D9">
        <w:rPr>
          <w:bCs/>
          <w:lang w:val="en-GB"/>
        </w:rPr>
        <w:tab/>
        <w:t>"</w:t>
      </w:r>
      <w:r w:rsidRPr="005531D9">
        <w:rPr>
          <w:bCs/>
          <w:i/>
          <w:lang w:val="en-GB"/>
        </w:rPr>
        <w:t>Snow tyre</w:t>
      </w:r>
      <w:r w:rsidRPr="005531D9">
        <w:rPr>
          <w:bCs/>
          <w:lang w:val="en-GB"/>
        </w:rPr>
        <w:t xml:space="preserve">" means a tyre whose tread pattern, tread compound or </w:t>
      </w:r>
      <w:r w:rsidRPr="005531D9">
        <w:rPr>
          <w:bCs/>
          <w:strike/>
          <w:lang w:val="en-GB"/>
        </w:rPr>
        <w:t>structure</w:t>
      </w:r>
      <w:r w:rsidRPr="005531D9">
        <w:rPr>
          <w:bCs/>
          <w:shd w:val="clear" w:color="auto" w:fill="F7CAAC" w:themeFill="accent2" w:themeFillTint="66"/>
          <w:lang w:val="en-GB"/>
        </w:rPr>
        <w:t xml:space="preserve"> </w:t>
      </w:r>
      <w:r w:rsidRPr="005531D9">
        <w:rPr>
          <w:b/>
          <w:lang w:val="en-GB"/>
        </w:rPr>
        <w:t xml:space="preserve">construction </w:t>
      </w:r>
      <w:r w:rsidRPr="005531D9">
        <w:rPr>
          <w:bCs/>
          <w:lang w:val="en-GB"/>
        </w:rPr>
        <w:t xml:space="preserve">is primarily designed to achieve in </w:t>
      </w:r>
      <w:r w:rsidRPr="005531D9">
        <w:rPr>
          <w:b/>
          <w:lang w:val="en-GB"/>
        </w:rPr>
        <w:t xml:space="preserve">mud and/or </w:t>
      </w:r>
      <w:r w:rsidRPr="005531D9">
        <w:rPr>
          <w:bCs/>
          <w:lang w:val="en-GB"/>
        </w:rPr>
        <w:t xml:space="preserve">snow conditions a performance better than that of a normal tyre with regard to its ability to initiate </w:t>
      </w:r>
      <w:r w:rsidRPr="005531D9">
        <w:rPr>
          <w:bCs/>
          <w:strike/>
          <w:lang w:val="en-GB"/>
        </w:rPr>
        <w:t>or maintain</w:t>
      </w:r>
      <w:r w:rsidRPr="005531D9">
        <w:rPr>
          <w:bCs/>
          <w:lang w:val="en-GB"/>
        </w:rPr>
        <w:t xml:space="preserve"> </w:t>
      </w:r>
      <w:r w:rsidRPr="005531D9">
        <w:rPr>
          <w:b/>
          <w:lang w:val="en-GB"/>
        </w:rPr>
        <w:t xml:space="preserve">and control </w:t>
      </w:r>
      <w:r w:rsidRPr="005531D9">
        <w:rPr>
          <w:bCs/>
          <w:lang w:val="en-GB"/>
        </w:rPr>
        <w:t>vehicle motion."</w:t>
      </w:r>
    </w:p>
    <w:p w14:paraId="3F084247" w14:textId="41B9874F" w:rsidR="008E225C" w:rsidRPr="005531D9" w:rsidRDefault="008E225C" w:rsidP="00313A6F">
      <w:pPr>
        <w:spacing w:after="120"/>
        <w:ind w:left="1134" w:right="1134"/>
        <w:jc w:val="both"/>
        <w:rPr>
          <w:iCs/>
          <w:lang w:val="en-GB"/>
        </w:rPr>
      </w:pPr>
      <w:r w:rsidRPr="005531D9">
        <w:rPr>
          <w:i/>
          <w:lang w:val="en-GB"/>
        </w:rPr>
        <w:t>Paragraph 2.18.</w:t>
      </w:r>
      <w:r w:rsidRPr="005531D9">
        <w:rPr>
          <w:iCs/>
          <w:lang w:val="en-GB"/>
        </w:rPr>
        <w:t>, amend to read:</w:t>
      </w:r>
    </w:p>
    <w:p w14:paraId="719745B3" w14:textId="77777777" w:rsidR="008E225C" w:rsidRPr="005531D9" w:rsidRDefault="008E225C" w:rsidP="00313A6F">
      <w:pPr>
        <w:spacing w:after="120"/>
        <w:ind w:left="2268" w:right="1134" w:hanging="1134"/>
        <w:jc w:val="both"/>
        <w:rPr>
          <w:lang w:val="en-GB"/>
        </w:rPr>
      </w:pPr>
      <w:r w:rsidRPr="005531D9">
        <w:rPr>
          <w:bCs/>
          <w:lang w:val="en-GB"/>
        </w:rPr>
        <w:t>"</w:t>
      </w:r>
      <w:r w:rsidRPr="005531D9">
        <w:rPr>
          <w:lang w:val="en-GB"/>
        </w:rPr>
        <w:t>2.18.</w:t>
      </w:r>
      <w:r w:rsidRPr="005531D9">
        <w:rPr>
          <w:lang w:val="en-GB"/>
        </w:rPr>
        <w:tab/>
        <w:t>"</w:t>
      </w:r>
      <w:r w:rsidRPr="005531D9">
        <w:rPr>
          <w:i/>
          <w:lang w:val="en-GB"/>
        </w:rPr>
        <w:t>Standard Reference Test Tyre</w:t>
      </w:r>
      <w:r w:rsidRPr="005531D9">
        <w:rPr>
          <w:lang w:val="en-GB"/>
        </w:rPr>
        <w:t xml:space="preserve">" or </w:t>
      </w:r>
      <w:r w:rsidRPr="005531D9">
        <w:rPr>
          <w:bCs/>
          <w:lang w:val="en-GB"/>
        </w:rPr>
        <w:t>"</w:t>
      </w:r>
      <w:r w:rsidRPr="005531D9">
        <w:rPr>
          <w:bCs/>
          <w:i/>
          <w:iCs/>
          <w:lang w:val="en-GB"/>
        </w:rPr>
        <w:t>SRTT</w:t>
      </w:r>
      <w:r w:rsidRPr="005531D9">
        <w:rPr>
          <w:bCs/>
          <w:lang w:val="en-GB"/>
        </w:rPr>
        <w:t xml:space="preserve">" </w:t>
      </w:r>
      <w:r w:rsidRPr="005531D9">
        <w:rPr>
          <w:lang w:val="en-GB"/>
        </w:rPr>
        <w:t>means a tyre that is produced, controlled and stored in accordance with the standards of ASTM International:</w:t>
      </w:r>
    </w:p>
    <w:p w14:paraId="5359DD8F" w14:textId="77777777" w:rsidR="008E225C" w:rsidRPr="005531D9" w:rsidRDefault="008E225C" w:rsidP="00313A6F">
      <w:pPr>
        <w:spacing w:after="120"/>
        <w:ind w:left="2268" w:right="1134"/>
        <w:jc w:val="both"/>
        <w:rPr>
          <w:lang w:val="en-GB"/>
        </w:rPr>
      </w:pPr>
      <w:r w:rsidRPr="005531D9">
        <w:rPr>
          <w:lang w:val="en-GB"/>
        </w:rPr>
        <w:tab/>
      </w:r>
      <w:bookmarkStart w:id="7" w:name="_Hlk148358654"/>
      <w:r w:rsidRPr="005531D9">
        <w:rPr>
          <w:bCs/>
          <w:lang w:val="en-GB"/>
        </w:rPr>
        <w:t>(a)</w:t>
      </w:r>
      <w:r w:rsidRPr="005531D9">
        <w:rPr>
          <w:lang w:val="en-GB"/>
        </w:rPr>
        <w:tab/>
        <w:t xml:space="preserve">E1136 – </w:t>
      </w:r>
      <w:r w:rsidRPr="005531D9">
        <w:rPr>
          <w:strike/>
          <w:lang w:val="en-GB"/>
        </w:rPr>
        <w:t>17</w:t>
      </w:r>
      <w:r w:rsidRPr="005531D9">
        <w:rPr>
          <w:b/>
          <w:bCs/>
          <w:lang w:val="en-GB"/>
        </w:rPr>
        <w:t>19</w:t>
      </w:r>
      <w:r w:rsidRPr="005531D9">
        <w:rPr>
          <w:lang w:val="en-GB"/>
        </w:rPr>
        <w:t>for the size P195/75R14 and referred to as "SRTT14",</w:t>
      </w:r>
    </w:p>
    <w:p w14:paraId="3995A8C4" w14:textId="77777777" w:rsidR="008E225C" w:rsidRPr="005531D9" w:rsidRDefault="008E225C" w:rsidP="00313A6F">
      <w:pPr>
        <w:pStyle w:val="SingleTxtG"/>
        <w:ind w:left="2835" w:hanging="567"/>
        <w:rPr>
          <w:lang w:val="en-GB"/>
        </w:rPr>
      </w:pPr>
      <w:r w:rsidRPr="005531D9">
        <w:rPr>
          <w:lang w:val="en-GB"/>
        </w:rPr>
        <w:t>(b)</w:t>
      </w:r>
      <w:r w:rsidRPr="005531D9">
        <w:rPr>
          <w:lang w:val="en-GB"/>
        </w:rPr>
        <w:tab/>
        <w:t xml:space="preserve">F2493 – </w:t>
      </w:r>
      <w:bookmarkStart w:id="8" w:name="_Hlk147405774"/>
      <w:r w:rsidRPr="0010578F">
        <w:rPr>
          <w:strike/>
          <w:lang w:val="en-GB"/>
        </w:rPr>
        <w:t>20</w:t>
      </w:r>
      <w:r w:rsidRPr="0010578F">
        <w:rPr>
          <w:b/>
          <w:bCs/>
          <w:lang w:val="en-GB"/>
        </w:rPr>
        <w:t>23</w:t>
      </w:r>
      <w:bookmarkEnd w:id="8"/>
      <w:r w:rsidRPr="005531D9">
        <w:rPr>
          <w:lang w:val="en-GB"/>
        </w:rPr>
        <w:t xml:space="preserve"> for the size P225/60R16 and referred to as "SRTT16",</w:t>
      </w:r>
    </w:p>
    <w:p w14:paraId="3D783DAC" w14:textId="7C355D29" w:rsidR="008E225C" w:rsidRPr="005531D9" w:rsidRDefault="008E225C" w:rsidP="00313A6F">
      <w:pPr>
        <w:pStyle w:val="SingleTxtG"/>
        <w:ind w:left="2835" w:hanging="567"/>
        <w:rPr>
          <w:lang w:val="en-GB"/>
        </w:rPr>
      </w:pPr>
      <w:r w:rsidRPr="005531D9">
        <w:rPr>
          <w:lang w:val="en-GB"/>
        </w:rPr>
        <w:t>(</w:t>
      </w:r>
      <w:r w:rsidRPr="005531D9">
        <w:rPr>
          <w:lang w:val="en-GB" w:eastAsia="ja-JP"/>
        </w:rPr>
        <w:t>c</w:t>
      </w:r>
      <w:r w:rsidRPr="005531D9">
        <w:rPr>
          <w:lang w:val="en-GB"/>
        </w:rPr>
        <w:t>)</w:t>
      </w:r>
      <w:r w:rsidRPr="005531D9">
        <w:rPr>
          <w:lang w:val="en-GB"/>
        </w:rPr>
        <w:tab/>
        <w:t>F3611</w:t>
      </w:r>
      <w:r w:rsidR="00736C87">
        <w:rPr>
          <w:lang w:val="en-GB"/>
        </w:rPr>
        <w:t xml:space="preserve"> – </w:t>
      </w:r>
      <w:r w:rsidRPr="005531D9">
        <w:rPr>
          <w:lang w:val="en-GB"/>
        </w:rPr>
        <w:t>22</w:t>
      </w:r>
      <w:r w:rsidRPr="005531D9">
        <w:rPr>
          <w:b/>
          <w:bCs/>
          <w:lang w:val="en-GB"/>
        </w:rPr>
        <w:t>e1</w:t>
      </w:r>
      <w:r w:rsidRPr="005531D9">
        <w:rPr>
          <w:lang w:val="en-GB"/>
        </w:rPr>
        <w:t xml:space="preserve"> for the size P225/60R16 in worn state and referred to as "moulded SRTT16 worn",</w:t>
      </w:r>
    </w:p>
    <w:p w14:paraId="48E2BA7D" w14:textId="77777777" w:rsidR="008E225C" w:rsidRPr="005531D9" w:rsidRDefault="008E225C" w:rsidP="00313A6F">
      <w:pPr>
        <w:spacing w:after="120"/>
        <w:ind w:left="2268" w:right="1134"/>
        <w:jc w:val="both"/>
        <w:rPr>
          <w:lang w:val="en-GB"/>
        </w:rPr>
      </w:pPr>
      <w:r w:rsidRPr="005531D9">
        <w:rPr>
          <w:bCs/>
          <w:lang w:val="en-GB"/>
        </w:rPr>
        <w:t>(d)</w:t>
      </w:r>
      <w:r w:rsidRPr="005531D9">
        <w:rPr>
          <w:bCs/>
          <w:lang w:val="en-GB"/>
        </w:rPr>
        <w:tab/>
        <w:t xml:space="preserve">F2872 – </w:t>
      </w:r>
      <w:r w:rsidRPr="005531D9">
        <w:rPr>
          <w:strike/>
          <w:lang w:val="en-GB"/>
        </w:rPr>
        <w:t>16</w:t>
      </w:r>
      <w:r w:rsidRPr="005531D9">
        <w:rPr>
          <w:b/>
          <w:bCs/>
          <w:lang w:val="en-GB"/>
        </w:rPr>
        <w:t>19</w:t>
      </w:r>
      <w:r w:rsidRPr="005531D9">
        <w:rPr>
          <w:bCs/>
          <w:lang w:val="en-GB"/>
        </w:rPr>
        <w:t xml:space="preserve"> for the size 225/75R16C and referred to as </w:t>
      </w:r>
      <w:r w:rsidRPr="005531D9">
        <w:rPr>
          <w:lang w:val="en-GB"/>
        </w:rPr>
        <w:t>"</w:t>
      </w:r>
      <w:r w:rsidRPr="005531D9">
        <w:rPr>
          <w:bCs/>
          <w:lang w:val="en-GB"/>
        </w:rPr>
        <w:t>SRTT16C</w:t>
      </w:r>
      <w:r w:rsidRPr="005531D9">
        <w:rPr>
          <w:lang w:val="en-GB"/>
        </w:rPr>
        <w:t>"</w:t>
      </w:r>
      <w:r w:rsidRPr="005531D9">
        <w:rPr>
          <w:bCs/>
          <w:lang w:val="en-GB"/>
        </w:rPr>
        <w:t>,</w:t>
      </w:r>
    </w:p>
    <w:p w14:paraId="3D19206E" w14:textId="77777777" w:rsidR="008E225C" w:rsidRPr="005531D9" w:rsidRDefault="008E225C" w:rsidP="00313A6F">
      <w:pPr>
        <w:spacing w:after="120"/>
        <w:ind w:left="2268" w:right="1134"/>
        <w:jc w:val="both"/>
        <w:rPr>
          <w:lang w:val="en-GB"/>
        </w:rPr>
      </w:pPr>
      <w:r w:rsidRPr="005531D9">
        <w:rPr>
          <w:bCs/>
          <w:lang w:val="en-GB"/>
        </w:rPr>
        <w:t>(e)</w:t>
      </w:r>
      <w:r w:rsidRPr="005531D9">
        <w:rPr>
          <w:bCs/>
          <w:lang w:val="en-GB"/>
        </w:rPr>
        <w:tab/>
      </w:r>
      <w:r w:rsidRPr="005531D9">
        <w:rPr>
          <w:lang w:val="en-GB"/>
        </w:rPr>
        <w:t xml:space="preserve">F2871 – </w:t>
      </w:r>
      <w:r w:rsidRPr="005531D9">
        <w:rPr>
          <w:strike/>
          <w:lang w:val="en-GB"/>
        </w:rPr>
        <w:t>16</w:t>
      </w:r>
      <w:r w:rsidRPr="005531D9">
        <w:rPr>
          <w:b/>
          <w:bCs/>
          <w:lang w:val="en-GB"/>
        </w:rPr>
        <w:t>23</w:t>
      </w:r>
      <w:r w:rsidRPr="005531D9">
        <w:rPr>
          <w:lang w:val="en-GB"/>
        </w:rPr>
        <w:t xml:space="preserve"> for the size 245/70R19.5 and referred to as "SRTT19.5",</w:t>
      </w:r>
    </w:p>
    <w:p w14:paraId="07FDFFB2" w14:textId="12E8CC9C" w:rsidR="008E225C" w:rsidRPr="005531D9" w:rsidRDefault="008E225C" w:rsidP="00313A6F">
      <w:pPr>
        <w:pStyle w:val="SingleTxtG"/>
        <w:ind w:left="2268"/>
        <w:rPr>
          <w:lang w:val="en-GB"/>
        </w:rPr>
      </w:pPr>
      <w:r w:rsidRPr="005531D9">
        <w:rPr>
          <w:lang w:val="en-GB"/>
        </w:rPr>
        <w:tab/>
        <w:t>(f)</w:t>
      </w:r>
      <w:r w:rsidRPr="005531D9">
        <w:rPr>
          <w:lang w:val="en-GB"/>
        </w:rPr>
        <w:tab/>
        <w:t xml:space="preserve">F2870 – </w:t>
      </w:r>
      <w:r w:rsidRPr="005531D9">
        <w:rPr>
          <w:strike/>
          <w:lang w:val="en-GB"/>
        </w:rPr>
        <w:t>16</w:t>
      </w:r>
      <w:r w:rsidRPr="005531D9">
        <w:rPr>
          <w:b/>
          <w:bCs/>
          <w:lang w:val="en-GB"/>
        </w:rPr>
        <w:t>23</w:t>
      </w:r>
      <w:r w:rsidRPr="005531D9">
        <w:rPr>
          <w:lang w:val="en-GB"/>
        </w:rPr>
        <w:t xml:space="preserve"> for the size 315/70R22.5 and referred to as "SRTT22.5"."</w:t>
      </w:r>
    </w:p>
    <w:bookmarkEnd w:id="7"/>
    <w:p w14:paraId="0A27BB27" w14:textId="705F760D" w:rsidR="008E225C" w:rsidRPr="005531D9" w:rsidRDefault="008E225C" w:rsidP="00313A6F">
      <w:pPr>
        <w:spacing w:after="120"/>
        <w:ind w:left="1134" w:right="1134"/>
        <w:jc w:val="both"/>
        <w:rPr>
          <w:iCs/>
          <w:lang w:val="en-GB"/>
        </w:rPr>
      </w:pPr>
      <w:r w:rsidRPr="005531D9">
        <w:rPr>
          <w:i/>
          <w:lang w:val="en-GB"/>
        </w:rPr>
        <w:t>Paragraph 5.2.2.</w:t>
      </w:r>
      <w:r w:rsidRPr="005531D9">
        <w:rPr>
          <w:iCs/>
          <w:lang w:val="en-GB"/>
        </w:rPr>
        <w:t>, amend to read:</w:t>
      </w:r>
    </w:p>
    <w:p w14:paraId="7EC430F0" w14:textId="52C77E9B" w:rsidR="008E225C" w:rsidRPr="005531D9" w:rsidRDefault="008E225C" w:rsidP="00313A6F">
      <w:pPr>
        <w:pStyle w:val="SingleTxtG"/>
        <w:ind w:left="2268" w:hanging="1134"/>
        <w:rPr>
          <w:bCs/>
          <w:lang w:val="en-GB"/>
        </w:rPr>
      </w:pPr>
      <w:r w:rsidRPr="005531D9">
        <w:rPr>
          <w:bCs/>
          <w:lang w:val="en-GB"/>
        </w:rPr>
        <w:t>"5.2.2.</w:t>
      </w:r>
      <w:r w:rsidRPr="005531D9">
        <w:rPr>
          <w:bCs/>
          <w:lang w:val="en-GB"/>
        </w:rPr>
        <w:tab/>
        <w:t xml:space="preserve">The communication form mentioned in paragraph 5.3. below shall identify specific performance parameters of </w:t>
      </w:r>
      <w:r w:rsidR="003B7323">
        <w:rPr>
          <w:bCs/>
          <w:lang w:val="en-GB"/>
        </w:rPr>
        <w:t xml:space="preserve">UN </w:t>
      </w:r>
      <w:r w:rsidRPr="005531D9">
        <w:rPr>
          <w:bCs/>
          <w:lang w:val="en-GB"/>
        </w:rPr>
        <w:t>Regulation No. 117 by the following suffixes:</w:t>
      </w:r>
    </w:p>
    <w:p w14:paraId="47966358" w14:textId="77777777" w:rsidR="008E225C" w:rsidRPr="005531D9" w:rsidRDefault="008E225C" w:rsidP="00313A6F">
      <w:pPr>
        <w:pStyle w:val="SingleTxtG"/>
        <w:ind w:left="2835" w:hanging="576"/>
        <w:rPr>
          <w:bCs/>
          <w:lang w:val="en-GB"/>
        </w:rPr>
      </w:pPr>
      <w:r w:rsidRPr="005531D9">
        <w:rPr>
          <w:bCs/>
          <w:lang w:val="en-GB"/>
        </w:rPr>
        <w:t>S</w:t>
      </w:r>
      <w:r w:rsidRPr="005531D9">
        <w:rPr>
          <w:bCs/>
          <w:lang w:val="en-GB"/>
        </w:rPr>
        <w:tab/>
        <w:t>To identify additional conformity to the requirements on tyre rolling sound emissions;</w:t>
      </w:r>
    </w:p>
    <w:p w14:paraId="6F6E000E" w14:textId="77777777" w:rsidR="008E225C" w:rsidRPr="005531D9" w:rsidRDefault="008E225C" w:rsidP="00313A6F">
      <w:pPr>
        <w:pStyle w:val="SingleTxtG"/>
        <w:ind w:left="2835" w:hanging="576"/>
        <w:rPr>
          <w:bCs/>
          <w:lang w:val="en-GB"/>
        </w:rPr>
      </w:pPr>
      <w:r w:rsidRPr="005531D9">
        <w:rPr>
          <w:bCs/>
          <w:lang w:val="en-GB"/>
        </w:rPr>
        <w:t>W</w:t>
      </w:r>
      <w:r w:rsidRPr="005531D9">
        <w:rPr>
          <w:bCs/>
          <w:lang w:val="en-GB"/>
        </w:rPr>
        <w:tab/>
        <w:t>To identify additional conformity to the requirements on adhesion on wet surfaces of tyres in new state;</w:t>
      </w:r>
    </w:p>
    <w:p w14:paraId="6A051829" w14:textId="77777777" w:rsidR="008E225C" w:rsidRPr="005531D9" w:rsidRDefault="008E225C" w:rsidP="00313A6F">
      <w:pPr>
        <w:pStyle w:val="SingleTxtG"/>
        <w:ind w:left="2835" w:hanging="576"/>
        <w:rPr>
          <w:bCs/>
          <w:lang w:val="en-GB"/>
        </w:rPr>
      </w:pPr>
      <w:r w:rsidRPr="005531D9">
        <w:rPr>
          <w:bCs/>
          <w:lang w:val="en-GB"/>
        </w:rPr>
        <w:lastRenderedPageBreak/>
        <w:t>R</w:t>
      </w:r>
      <w:r w:rsidRPr="005531D9">
        <w:rPr>
          <w:bCs/>
          <w:lang w:val="en-GB"/>
        </w:rPr>
        <w:tab/>
        <w:t>To identify additional conformity to the requirements on tyre rolling resistance;</w:t>
      </w:r>
    </w:p>
    <w:p w14:paraId="607CDF7E" w14:textId="77777777" w:rsidR="008E225C" w:rsidRPr="005531D9" w:rsidRDefault="008E225C" w:rsidP="00313A6F">
      <w:pPr>
        <w:pStyle w:val="SingleTxtG"/>
        <w:ind w:left="2835" w:hanging="576"/>
        <w:rPr>
          <w:bCs/>
          <w:lang w:val="en-GB"/>
        </w:rPr>
      </w:pPr>
      <w:r w:rsidRPr="005531D9">
        <w:rPr>
          <w:bCs/>
          <w:lang w:val="en-GB"/>
        </w:rPr>
        <w:t xml:space="preserve">B </w:t>
      </w:r>
      <w:r w:rsidRPr="005531D9">
        <w:rPr>
          <w:bCs/>
          <w:lang w:val="en-GB"/>
        </w:rPr>
        <w:tab/>
        <w:t>To identify additional conformity to the requirements on adhesion on wet surfaces of tyres in worn state.</w:t>
      </w:r>
    </w:p>
    <w:p w14:paraId="3C08182A" w14:textId="4A75D5D5" w:rsidR="006D1528" w:rsidRPr="005531D9" w:rsidRDefault="008E225C" w:rsidP="003B7323">
      <w:pPr>
        <w:pStyle w:val="SingleTxtG"/>
        <w:ind w:left="2268" w:hanging="1134"/>
        <w:rPr>
          <w:bCs/>
          <w:lang w:val="en-GB"/>
        </w:rPr>
      </w:pPr>
      <w:r w:rsidRPr="005531D9">
        <w:rPr>
          <w:bCs/>
          <w:lang w:val="en-GB"/>
        </w:rPr>
        <w:tab/>
        <w:t xml:space="preserve">S will be followed by the suffix "2" for compliance to stage 2 while, taking into account that two stages are defined for adhesion on wet surfaces of tyres in new state and rolling resistance </w:t>
      </w:r>
      <w:proofErr w:type="spellStart"/>
      <w:r w:rsidRPr="005531D9">
        <w:rPr>
          <w:bCs/>
          <w:strike/>
          <w:lang w:val="en-GB"/>
        </w:rPr>
        <w:t>specifications</w:t>
      </w:r>
      <w:r w:rsidRPr="005531D9">
        <w:rPr>
          <w:b/>
          <w:lang w:val="en-GB"/>
        </w:rPr>
        <w:t>requirements</w:t>
      </w:r>
      <w:proofErr w:type="spellEnd"/>
      <w:r w:rsidRPr="005531D9">
        <w:rPr>
          <w:bCs/>
          <w:lang w:val="en-GB"/>
        </w:rPr>
        <w:t xml:space="preserve"> in paragraphs 6.2. and 6.3. below, W will be followed either by the suffix "1" for compliance to stage 1 or by the suffix "2" for compliance to stage 2 and R will be followed either by the suffix "2" for compliance to stage 2 or by the suffix "3" for compliance to stage 3."</w:t>
      </w:r>
    </w:p>
    <w:p w14:paraId="7C9F44AF" w14:textId="052C502A" w:rsidR="008E225C" w:rsidRPr="005531D9" w:rsidRDefault="008E225C" w:rsidP="00313A6F">
      <w:pPr>
        <w:pStyle w:val="SingleTxtG"/>
        <w:ind w:left="2268" w:hanging="1134"/>
        <w:rPr>
          <w:bCs/>
          <w:lang w:val="en-GB"/>
        </w:rPr>
      </w:pPr>
      <w:r w:rsidRPr="005531D9">
        <w:rPr>
          <w:bCs/>
          <w:i/>
          <w:iCs/>
          <w:lang w:val="en-GB"/>
        </w:rPr>
        <w:t xml:space="preserve">Paragraph 6, </w:t>
      </w:r>
      <w:r w:rsidR="006D1528" w:rsidRPr="005531D9">
        <w:rPr>
          <w:bCs/>
          <w:i/>
          <w:iCs/>
          <w:lang w:val="en-GB"/>
        </w:rPr>
        <w:t>title,</w:t>
      </w:r>
      <w:r w:rsidR="006D1528" w:rsidRPr="005531D9">
        <w:rPr>
          <w:bCs/>
          <w:lang w:val="en-GB"/>
        </w:rPr>
        <w:t xml:space="preserve"> amend to read:</w:t>
      </w:r>
      <w:r w:rsidRPr="005531D9">
        <w:rPr>
          <w:bCs/>
          <w:lang w:val="en-GB"/>
        </w:rPr>
        <w:t xml:space="preserve"> </w:t>
      </w:r>
    </w:p>
    <w:p w14:paraId="0DB3E262" w14:textId="25991F07" w:rsidR="008E225C" w:rsidRPr="003B7323" w:rsidRDefault="006D1528" w:rsidP="00313A6F">
      <w:pPr>
        <w:pStyle w:val="SingleTxtG"/>
        <w:ind w:left="2268" w:hanging="1134"/>
        <w:rPr>
          <w:shd w:val="clear" w:color="auto" w:fill="F7CAAC" w:themeFill="accent2" w:themeFillTint="66"/>
          <w:lang w:val="en-GB"/>
        </w:rPr>
      </w:pPr>
      <w:r w:rsidRPr="003B7323">
        <w:rPr>
          <w:bCs/>
          <w:lang w:val="en-GB"/>
        </w:rPr>
        <w:t>"</w:t>
      </w:r>
      <w:r w:rsidRPr="003B7323">
        <w:rPr>
          <w:lang w:val="en-GB"/>
        </w:rPr>
        <w:t>6.</w:t>
      </w:r>
      <w:r w:rsidRPr="003B7323">
        <w:rPr>
          <w:lang w:val="en-GB"/>
        </w:rPr>
        <w:tab/>
      </w:r>
      <w:r w:rsidRPr="003B7323">
        <w:rPr>
          <w:lang w:val="en-GB"/>
        </w:rPr>
        <w:tab/>
      </w:r>
      <w:proofErr w:type="spellStart"/>
      <w:r w:rsidRPr="003B7323">
        <w:rPr>
          <w:strike/>
          <w:lang w:val="en-GB"/>
        </w:rPr>
        <w:t>Specifications</w:t>
      </w:r>
      <w:r w:rsidRPr="003B7323">
        <w:rPr>
          <w:b/>
          <w:bCs/>
          <w:lang w:val="en-GB"/>
        </w:rPr>
        <w:t>Requirements</w:t>
      </w:r>
      <w:proofErr w:type="spellEnd"/>
      <w:r w:rsidRPr="003B7323">
        <w:rPr>
          <w:lang w:val="en-GB"/>
        </w:rPr>
        <w:t>"</w:t>
      </w:r>
    </w:p>
    <w:p w14:paraId="79397D6C" w14:textId="2412E40E" w:rsidR="006D1528" w:rsidRPr="005531D9" w:rsidRDefault="006D1528" w:rsidP="00313A6F">
      <w:pPr>
        <w:spacing w:after="120"/>
        <w:ind w:left="2410" w:right="1134" w:hanging="1276"/>
        <w:jc w:val="both"/>
        <w:rPr>
          <w:iCs/>
          <w:lang w:val="en-GB"/>
        </w:rPr>
      </w:pPr>
      <w:r w:rsidRPr="005531D9">
        <w:rPr>
          <w:i/>
          <w:lang w:val="en-GB"/>
        </w:rPr>
        <w:t>Paragraph 8.3.2.</w:t>
      </w:r>
      <w:r w:rsidRPr="005531D9">
        <w:rPr>
          <w:iCs/>
          <w:lang w:val="en-GB"/>
        </w:rPr>
        <w:t>, amend to read:</w:t>
      </w:r>
    </w:p>
    <w:p w14:paraId="498C8E7E" w14:textId="24C455C2" w:rsidR="006D1528" w:rsidRPr="005531D9" w:rsidRDefault="006D1528" w:rsidP="00313A6F">
      <w:pPr>
        <w:pStyle w:val="SingleTxtG"/>
        <w:ind w:left="2410" w:hanging="1276"/>
        <w:rPr>
          <w:bCs/>
          <w:lang w:val="en-GB"/>
        </w:rPr>
      </w:pPr>
      <w:r w:rsidRPr="005531D9">
        <w:rPr>
          <w:bCs/>
          <w:lang w:val="en-GB"/>
        </w:rPr>
        <w:t>"</w:t>
      </w:r>
      <w:r w:rsidRPr="005531D9">
        <w:rPr>
          <w:lang w:val="en-GB"/>
        </w:rPr>
        <w:t>8.3.2.</w:t>
      </w:r>
      <w:r w:rsidRPr="005531D9">
        <w:rPr>
          <w:lang w:val="en-GB"/>
        </w:rPr>
        <w:tab/>
        <w:t>In the case of verification tests with regard to approvals in accordance with paragraph </w:t>
      </w:r>
      <w:r w:rsidRPr="005531D9">
        <w:rPr>
          <w:strike/>
          <w:lang w:val="en-GB"/>
        </w:rPr>
        <w:t>6.4.</w:t>
      </w:r>
      <w:r w:rsidRPr="005531D9">
        <w:rPr>
          <w:b/>
          <w:bCs/>
          <w:lang w:val="en-GB"/>
        </w:rPr>
        <w:t>6.5.</w:t>
      </w:r>
      <w:r w:rsidRPr="005531D9">
        <w:rPr>
          <w:lang w:val="en-GB"/>
        </w:rPr>
        <w:t xml:space="preserve"> of this Regulation, these shall be carried out using the same testing method (see Annex 7 to this Regulation) as that adopted for original approval."</w:t>
      </w:r>
    </w:p>
    <w:p w14:paraId="3FCB66F4" w14:textId="10905083" w:rsidR="006D1528" w:rsidRPr="005531D9" w:rsidRDefault="00026FD7" w:rsidP="00313A6F">
      <w:pPr>
        <w:pStyle w:val="SingleTxtG"/>
        <w:ind w:left="2410" w:hanging="1276"/>
        <w:rPr>
          <w:bCs/>
          <w:lang w:val="en-GB"/>
        </w:rPr>
      </w:pPr>
      <w:r w:rsidRPr="005531D9">
        <w:rPr>
          <w:bCs/>
          <w:i/>
          <w:iCs/>
          <w:lang w:val="en-GB"/>
        </w:rPr>
        <w:t>Annex 1, item 8.1.,</w:t>
      </w:r>
      <w:r w:rsidRPr="005531D9">
        <w:rPr>
          <w:bCs/>
          <w:lang w:val="en-GB"/>
        </w:rPr>
        <w:t xml:space="preserve"> amend to read:</w:t>
      </w:r>
    </w:p>
    <w:p w14:paraId="547251D4" w14:textId="195E8F72" w:rsidR="00026FD7" w:rsidRPr="005531D9" w:rsidRDefault="00026FD7" w:rsidP="00313A6F">
      <w:pPr>
        <w:pStyle w:val="SingleTxtG"/>
        <w:tabs>
          <w:tab w:val="left" w:pos="1700"/>
        </w:tabs>
        <w:ind w:left="1700" w:hanging="566"/>
        <w:rPr>
          <w:lang w:val="en-GB"/>
        </w:rPr>
      </w:pPr>
      <w:r w:rsidRPr="005531D9">
        <w:rPr>
          <w:bCs/>
          <w:lang w:val="en-GB"/>
        </w:rPr>
        <w:t>"</w:t>
      </w:r>
      <w:r w:rsidRPr="005531D9">
        <w:rPr>
          <w:lang w:val="en-GB"/>
        </w:rPr>
        <w:t>8.1.</w:t>
      </w:r>
      <w:r w:rsidRPr="005531D9">
        <w:rPr>
          <w:lang w:val="en-GB"/>
        </w:rPr>
        <w:tab/>
        <w:t xml:space="preserve">Sound level </w:t>
      </w:r>
      <w:r w:rsidRPr="005531D9">
        <w:rPr>
          <w:bCs/>
          <w:lang w:val="en-GB"/>
        </w:rPr>
        <w:t>of</w:t>
      </w:r>
      <w:r w:rsidRPr="005531D9">
        <w:rPr>
          <w:lang w:val="en-GB"/>
        </w:rPr>
        <w:t xml:space="preserve"> the representative tyre size, see paragraph 2.7. of this Regulation, as per item 7. of the test report in Appendix 1 to Annex 3: ................ dB(A) at reference speed of </w:t>
      </w:r>
      <w:r w:rsidRPr="005531D9">
        <w:rPr>
          <w:strike/>
          <w:lang w:val="en-GB"/>
        </w:rPr>
        <w:t>70/80</w:t>
      </w:r>
      <w:r w:rsidRPr="005531D9">
        <w:rPr>
          <w:b/>
          <w:bCs/>
          <w:lang w:val="en-GB"/>
        </w:rPr>
        <w:t>70 km/h or 80</w:t>
      </w:r>
      <w:r w:rsidRPr="005531D9">
        <w:rPr>
          <w:lang w:val="en-GB"/>
        </w:rPr>
        <w:t xml:space="preserve"> km/h </w:t>
      </w:r>
      <w:r w:rsidRPr="005531D9">
        <w:rPr>
          <w:iCs/>
          <w:vertAlign w:val="superscript"/>
          <w:lang w:val="en-GB"/>
        </w:rPr>
        <w:t>2</w:t>
      </w:r>
      <w:r w:rsidRPr="005531D9">
        <w:rPr>
          <w:iCs/>
          <w:lang w:val="en-GB"/>
        </w:rPr>
        <w:t>"</w:t>
      </w:r>
    </w:p>
    <w:p w14:paraId="7397256E" w14:textId="77777777" w:rsidR="00A8056A" w:rsidRDefault="000E0648" w:rsidP="00313A6F">
      <w:pPr>
        <w:pStyle w:val="SingleTxtG"/>
        <w:ind w:left="2410" w:hanging="1276"/>
        <w:rPr>
          <w:bCs/>
          <w:i/>
          <w:iCs/>
          <w:lang w:val="en-GB"/>
        </w:rPr>
      </w:pPr>
      <w:r w:rsidRPr="005531D9">
        <w:rPr>
          <w:bCs/>
          <w:i/>
          <w:iCs/>
          <w:lang w:val="en-GB"/>
        </w:rPr>
        <w:t xml:space="preserve">Annex 6, </w:t>
      </w:r>
    </w:p>
    <w:p w14:paraId="5C4FCAFD" w14:textId="475F3F51" w:rsidR="00026FD7" w:rsidRPr="005531D9" w:rsidRDefault="00A8056A" w:rsidP="00313A6F">
      <w:pPr>
        <w:pStyle w:val="SingleTxtG"/>
        <w:ind w:left="2410" w:hanging="1276"/>
        <w:rPr>
          <w:bCs/>
          <w:lang w:val="en-GB"/>
        </w:rPr>
      </w:pPr>
      <w:r>
        <w:rPr>
          <w:bCs/>
          <w:i/>
          <w:iCs/>
          <w:lang w:val="en-GB"/>
        </w:rPr>
        <w:t>P</w:t>
      </w:r>
      <w:r w:rsidR="000E0648" w:rsidRPr="005531D9">
        <w:rPr>
          <w:bCs/>
          <w:i/>
          <w:iCs/>
          <w:lang w:val="en-GB"/>
        </w:rPr>
        <w:t xml:space="preserve">aragraph </w:t>
      </w:r>
      <w:r w:rsidR="004B2A94" w:rsidRPr="005531D9">
        <w:rPr>
          <w:bCs/>
          <w:i/>
          <w:iCs/>
          <w:lang w:val="en-GB"/>
        </w:rPr>
        <w:t>2.2.</w:t>
      </w:r>
      <w:r w:rsidR="004B2A94" w:rsidRPr="005531D9">
        <w:rPr>
          <w:bCs/>
          <w:lang w:val="en-GB"/>
        </w:rPr>
        <w:t>, amend to read:</w:t>
      </w:r>
    </w:p>
    <w:p w14:paraId="1DC076B8" w14:textId="77777777" w:rsidR="004B2A94" w:rsidRPr="005531D9" w:rsidRDefault="004B2A94" w:rsidP="00313A6F">
      <w:pPr>
        <w:keepNext/>
        <w:keepLines/>
        <w:spacing w:after="120"/>
        <w:ind w:left="2268" w:right="1139" w:hanging="1134"/>
        <w:jc w:val="both"/>
        <w:rPr>
          <w:lang w:val="en-GB"/>
        </w:rPr>
      </w:pPr>
      <w:r w:rsidRPr="005531D9">
        <w:rPr>
          <w:bCs/>
          <w:lang w:val="en-GB"/>
        </w:rPr>
        <w:t>"</w:t>
      </w:r>
      <w:r w:rsidRPr="005531D9">
        <w:rPr>
          <w:lang w:val="en-GB"/>
        </w:rPr>
        <w:t>2.2.</w:t>
      </w:r>
      <w:r w:rsidRPr="005531D9">
        <w:rPr>
          <w:lang w:val="en-GB"/>
        </w:rPr>
        <w:tab/>
        <w:t>Measuring rim</w:t>
      </w:r>
    </w:p>
    <w:p w14:paraId="7B9737A6" w14:textId="77777777" w:rsidR="004B2A94" w:rsidRPr="005531D9" w:rsidRDefault="004B2A94" w:rsidP="00313A6F">
      <w:pPr>
        <w:spacing w:after="120"/>
        <w:ind w:left="2268" w:right="1139"/>
        <w:jc w:val="both"/>
        <w:rPr>
          <w:bCs/>
          <w:lang w:val="en-GB"/>
        </w:rPr>
      </w:pPr>
      <w:r w:rsidRPr="005531D9">
        <w:rPr>
          <w:bCs/>
          <w:lang w:val="en-GB"/>
        </w:rPr>
        <w:t>The tyre shall be mounted on a steel or light alloy measuring rim, as follows:</w:t>
      </w:r>
    </w:p>
    <w:p w14:paraId="733ECE18" w14:textId="77777777" w:rsidR="004B2A94" w:rsidRPr="005531D9" w:rsidRDefault="004B2A94" w:rsidP="00313A6F">
      <w:pPr>
        <w:spacing w:after="120"/>
        <w:ind w:left="2835" w:right="1139" w:hanging="567"/>
        <w:jc w:val="both"/>
        <w:rPr>
          <w:bCs/>
          <w:lang w:val="en-GB"/>
        </w:rPr>
      </w:pPr>
      <w:r w:rsidRPr="005531D9">
        <w:rPr>
          <w:bCs/>
          <w:lang w:val="en-GB"/>
        </w:rPr>
        <w:t>(a)</w:t>
      </w:r>
      <w:r w:rsidRPr="005531D9">
        <w:rPr>
          <w:bCs/>
          <w:lang w:val="en-GB"/>
        </w:rPr>
        <w:tab/>
        <w:t>For class C1 tyres, the width of the rim shall be as defined in ISO 4000-1:</w:t>
      </w:r>
      <w:r w:rsidRPr="005531D9">
        <w:rPr>
          <w:bCs/>
          <w:strike/>
          <w:lang w:val="en-GB"/>
        </w:rPr>
        <w:t>2010</w:t>
      </w:r>
      <w:r w:rsidRPr="005531D9">
        <w:rPr>
          <w:b/>
          <w:lang w:val="en-GB"/>
        </w:rPr>
        <w:t>2021</w:t>
      </w:r>
      <w:r w:rsidRPr="005531D9">
        <w:rPr>
          <w:bCs/>
          <w:lang w:val="en-GB"/>
        </w:rPr>
        <w:t>,</w:t>
      </w:r>
    </w:p>
    <w:p w14:paraId="4B75530C" w14:textId="77777777" w:rsidR="004B2A94" w:rsidRPr="005531D9" w:rsidRDefault="004B2A94" w:rsidP="00313A6F">
      <w:pPr>
        <w:spacing w:after="120"/>
        <w:ind w:left="2835" w:right="1139" w:hanging="567"/>
        <w:jc w:val="both"/>
        <w:rPr>
          <w:bCs/>
          <w:dstrike/>
          <w:lang w:val="en-GB"/>
        </w:rPr>
      </w:pPr>
      <w:r w:rsidRPr="005531D9">
        <w:rPr>
          <w:bCs/>
          <w:lang w:val="en-GB"/>
        </w:rPr>
        <w:t>(b)</w:t>
      </w:r>
      <w:r w:rsidRPr="005531D9">
        <w:rPr>
          <w:bCs/>
          <w:lang w:val="en-GB"/>
        </w:rPr>
        <w:tab/>
      </w:r>
      <w:r w:rsidRPr="005531D9">
        <w:rPr>
          <w:bCs/>
          <w:lang w:val="en-GB"/>
        </w:rPr>
        <w:tab/>
        <w:t>For classes C2 and C3 tyres, the width of the rim shall be as defined in ISO 4209</w:t>
      </w:r>
      <w:r w:rsidRPr="005531D9">
        <w:rPr>
          <w:b/>
          <w:lang w:val="en-GB"/>
        </w:rPr>
        <w:t>-</w:t>
      </w:r>
      <w:r w:rsidRPr="005531D9">
        <w:rPr>
          <w:bCs/>
          <w:lang w:val="en-GB"/>
        </w:rPr>
        <w:t>1:2001.</w:t>
      </w:r>
    </w:p>
    <w:p w14:paraId="6EFFD596" w14:textId="0BC4E243" w:rsidR="004B2A94" w:rsidRPr="005531D9" w:rsidRDefault="004B2A94" w:rsidP="00313A6F">
      <w:pPr>
        <w:pStyle w:val="SingleTxtG"/>
        <w:keepNext/>
        <w:keepLines/>
        <w:ind w:left="2268"/>
        <w:rPr>
          <w:lang w:val="en-GB"/>
        </w:rPr>
      </w:pPr>
      <w:r w:rsidRPr="005531D9">
        <w:rPr>
          <w:lang w:val="en-GB"/>
        </w:rPr>
        <w:t>In cases where the width is not defined in the above mentioned ISO Standards, the rim width as defined by one of the standards organizations as specified in Appendix 4 may be used."</w:t>
      </w:r>
    </w:p>
    <w:p w14:paraId="0A259081" w14:textId="6C2B5214" w:rsidR="004B2A94" w:rsidRPr="005531D9" w:rsidRDefault="004B2A94" w:rsidP="00313A6F">
      <w:pPr>
        <w:pStyle w:val="SingleTxtG"/>
        <w:ind w:left="2410" w:hanging="1276"/>
        <w:rPr>
          <w:bCs/>
          <w:lang w:val="en-GB"/>
        </w:rPr>
      </w:pPr>
      <w:r w:rsidRPr="005531D9">
        <w:rPr>
          <w:bCs/>
          <w:i/>
          <w:iCs/>
          <w:lang w:val="en-GB"/>
        </w:rPr>
        <w:t>Paragraph 4.5.</w:t>
      </w:r>
      <w:r w:rsidRPr="005531D9">
        <w:rPr>
          <w:bCs/>
          <w:lang w:val="en-GB"/>
        </w:rPr>
        <w:t>, amend to read:</w:t>
      </w:r>
    </w:p>
    <w:p w14:paraId="2FDF86F8" w14:textId="77777777" w:rsidR="004B2A94" w:rsidRPr="005531D9" w:rsidRDefault="004B2A94" w:rsidP="00313A6F">
      <w:pPr>
        <w:pStyle w:val="SingleTxtG"/>
        <w:spacing w:before="120"/>
        <w:ind w:left="2268" w:hanging="1134"/>
        <w:rPr>
          <w:lang w:val="en-GB"/>
        </w:rPr>
      </w:pPr>
      <w:r w:rsidRPr="005531D9">
        <w:rPr>
          <w:bCs/>
          <w:lang w:val="en-GB"/>
        </w:rPr>
        <w:t>"</w:t>
      </w:r>
      <w:r w:rsidRPr="005531D9">
        <w:rPr>
          <w:lang w:val="en-GB"/>
        </w:rPr>
        <w:t>4.5.</w:t>
      </w:r>
      <w:r w:rsidRPr="005531D9">
        <w:rPr>
          <w:lang w:val="en-GB"/>
        </w:rPr>
        <w:tab/>
        <w:t>Measurement and recording</w:t>
      </w:r>
    </w:p>
    <w:p w14:paraId="2D49A160" w14:textId="77777777" w:rsidR="004B2A94" w:rsidRPr="005531D9" w:rsidRDefault="004B2A94" w:rsidP="00313A6F">
      <w:pPr>
        <w:pStyle w:val="SingleTxtG"/>
        <w:spacing w:before="120"/>
        <w:ind w:left="2268" w:hanging="1134"/>
        <w:rPr>
          <w:lang w:val="en-GB"/>
        </w:rPr>
      </w:pPr>
      <w:r w:rsidRPr="005531D9">
        <w:rPr>
          <w:lang w:val="en-GB"/>
        </w:rPr>
        <w:tab/>
        <w:t>The following shall be measured and recorded (see Figure 1):</w:t>
      </w:r>
    </w:p>
    <w:p w14:paraId="7CC0AC13" w14:textId="77777777" w:rsidR="004B2A94" w:rsidRPr="005531D9" w:rsidRDefault="004B2A94" w:rsidP="00313A6F">
      <w:pPr>
        <w:pStyle w:val="SingleTxtG"/>
        <w:spacing w:before="120"/>
        <w:ind w:left="2268" w:hanging="1134"/>
        <w:rPr>
          <w:lang w:val="en-GB"/>
        </w:rPr>
      </w:pPr>
      <w:r w:rsidRPr="005531D9">
        <w:rPr>
          <w:lang w:val="en-GB"/>
        </w:rPr>
        <w:tab/>
        <w:t>(a)</w:t>
      </w:r>
      <w:r w:rsidRPr="005531D9">
        <w:rPr>
          <w:lang w:val="en-GB"/>
        </w:rPr>
        <w:tab/>
        <w:t>Test speed U</w:t>
      </w:r>
      <w:r w:rsidRPr="005531D9">
        <w:rPr>
          <w:vertAlign w:val="subscript"/>
          <w:lang w:val="en-GB"/>
        </w:rPr>
        <w:t>n</w:t>
      </w:r>
      <w:r w:rsidRPr="005531D9">
        <w:rPr>
          <w:lang w:val="en-GB"/>
        </w:rPr>
        <w:t>;</w:t>
      </w:r>
    </w:p>
    <w:p w14:paraId="06964AB2" w14:textId="77777777" w:rsidR="004B2A94" w:rsidRPr="005531D9" w:rsidRDefault="004B2A94" w:rsidP="00313A6F">
      <w:pPr>
        <w:pStyle w:val="SingleTxtG"/>
        <w:spacing w:before="120"/>
        <w:ind w:left="2268" w:hanging="1134"/>
        <w:rPr>
          <w:lang w:val="en-GB"/>
        </w:rPr>
      </w:pPr>
      <w:r w:rsidRPr="005531D9">
        <w:rPr>
          <w:lang w:val="en-GB"/>
        </w:rPr>
        <w:tab/>
        <w:t>(b)</w:t>
      </w:r>
      <w:r w:rsidRPr="005531D9">
        <w:rPr>
          <w:lang w:val="en-GB"/>
        </w:rPr>
        <w:tab/>
        <w:t xml:space="preserve">Load on the tyre normal to the drum surface </w:t>
      </w:r>
      <w:proofErr w:type="spellStart"/>
      <w:r w:rsidRPr="005531D9">
        <w:rPr>
          <w:lang w:val="en-GB"/>
        </w:rPr>
        <w:t>L</w:t>
      </w:r>
      <w:r w:rsidRPr="005531D9">
        <w:rPr>
          <w:vertAlign w:val="subscript"/>
          <w:lang w:val="en-GB"/>
        </w:rPr>
        <w:t>m</w:t>
      </w:r>
      <w:proofErr w:type="spellEnd"/>
      <w:r w:rsidRPr="005531D9">
        <w:rPr>
          <w:lang w:val="en-GB"/>
        </w:rPr>
        <w:t>;</w:t>
      </w:r>
    </w:p>
    <w:p w14:paraId="4EBC3075" w14:textId="77777777" w:rsidR="004B2A94" w:rsidRPr="005531D9" w:rsidRDefault="004B2A94" w:rsidP="00313A6F">
      <w:pPr>
        <w:pStyle w:val="SingleTxtG"/>
        <w:spacing w:before="120"/>
        <w:ind w:left="2268" w:hanging="1134"/>
        <w:rPr>
          <w:lang w:val="en-GB"/>
        </w:rPr>
      </w:pPr>
      <w:r w:rsidRPr="005531D9">
        <w:rPr>
          <w:lang w:val="en-GB"/>
        </w:rPr>
        <w:tab/>
        <w:t>(c)</w:t>
      </w:r>
      <w:r w:rsidRPr="005531D9">
        <w:rPr>
          <w:lang w:val="en-GB"/>
        </w:rPr>
        <w:tab/>
        <w:t>The initial test inflation pressure as defined in paragraph 3.3. above;</w:t>
      </w:r>
    </w:p>
    <w:p w14:paraId="249BCF46" w14:textId="77777777" w:rsidR="004B2A94" w:rsidRPr="005531D9" w:rsidRDefault="004B2A94" w:rsidP="00313A6F">
      <w:pPr>
        <w:pStyle w:val="SingleTxtG"/>
        <w:spacing w:before="120"/>
        <w:ind w:left="2829" w:hanging="561"/>
        <w:rPr>
          <w:lang w:val="en-GB"/>
        </w:rPr>
      </w:pPr>
      <w:r w:rsidRPr="005531D9">
        <w:rPr>
          <w:lang w:val="en-GB"/>
        </w:rPr>
        <w:t>(d)</w:t>
      </w:r>
      <w:r w:rsidRPr="005531D9">
        <w:rPr>
          <w:lang w:val="en-GB"/>
        </w:rPr>
        <w:tab/>
        <w:t>The coefficient of rolling resistance measured C</w:t>
      </w:r>
      <w:r w:rsidRPr="005531D9">
        <w:rPr>
          <w:vertAlign w:val="subscript"/>
          <w:lang w:val="en-GB"/>
        </w:rPr>
        <w:t>r</w:t>
      </w:r>
      <w:r w:rsidRPr="005531D9">
        <w:rPr>
          <w:lang w:val="en-GB"/>
        </w:rPr>
        <w:t xml:space="preserve">, and its corrected value </w:t>
      </w:r>
      <w:proofErr w:type="spellStart"/>
      <w:r w:rsidRPr="005531D9">
        <w:rPr>
          <w:lang w:val="en-GB"/>
        </w:rPr>
        <w:t>C</w:t>
      </w:r>
      <w:r w:rsidRPr="005531D9">
        <w:rPr>
          <w:vertAlign w:val="subscript"/>
          <w:lang w:val="en-GB"/>
        </w:rPr>
        <w:t>rc</w:t>
      </w:r>
      <w:proofErr w:type="spellEnd"/>
      <w:r w:rsidRPr="005531D9">
        <w:rPr>
          <w:lang w:val="en-GB"/>
        </w:rPr>
        <w:t>, at 25 °C and for a drum diameter of 2 m;</w:t>
      </w:r>
    </w:p>
    <w:p w14:paraId="086B70F2" w14:textId="77777777" w:rsidR="004B2A94" w:rsidRPr="005531D9" w:rsidRDefault="004B2A94" w:rsidP="00313A6F">
      <w:pPr>
        <w:pStyle w:val="SingleTxtG"/>
        <w:spacing w:before="120"/>
        <w:ind w:left="2829" w:hanging="561"/>
        <w:rPr>
          <w:lang w:val="en-GB"/>
        </w:rPr>
      </w:pPr>
      <w:r w:rsidRPr="005531D9">
        <w:rPr>
          <w:lang w:val="en-GB"/>
        </w:rPr>
        <w:t>(e)</w:t>
      </w:r>
      <w:r w:rsidRPr="005531D9">
        <w:rPr>
          <w:lang w:val="en-GB"/>
        </w:rPr>
        <w:tab/>
        <w:t xml:space="preserve">The distance from the tyre axis to the drum outer surface under steady state </w:t>
      </w:r>
      <w:proofErr w:type="spellStart"/>
      <w:r w:rsidRPr="005531D9">
        <w:rPr>
          <w:lang w:val="en-GB"/>
        </w:rPr>
        <w:t>r</w:t>
      </w:r>
      <w:r w:rsidRPr="005531D9">
        <w:rPr>
          <w:vertAlign w:val="subscript"/>
          <w:lang w:val="en-GB"/>
        </w:rPr>
        <w:t>L</w:t>
      </w:r>
      <w:proofErr w:type="spellEnd"/>
      <w:r w:rsidRPr="005531D9">
        <w:rPr>
          <w:vertAlign w:val="subscript"/>
          <w:lang w:val="en-GB"/>
        </w:rPr>
        <w:t>,</w:t>
      </w:r>
      <w:r w:rsidRPr="005531D9">
        <w:rPr>
          <w:lang w:val="en-GB"/>
        </w:rPr>
        <w:t>;</w:t>
      </w:r>
    </w:p>
    <w:p w14:paraId="1CD8B674" w14:textId="77777777" w:rsidR="004B2A94" w:rsidRPr="005531D9" w:rsidRDefault="004B2A94" w:rsidP="00313A6F">
      <w:pPr>
        <w:pStyle w:val="SingleTxtG"/>
        <w:spacing w:before="120"/>
        <w:ind w:left="2268" w:hanging="1134"/>
        <w:rPr>
          <w:vertAlign w:val="subscript"/>
          <w:lang w:val="en-GB"/>
        </w:rPr>
      </w:pPr>
      <w:r w:rsidRPr="005531D9">
        <w:rPr>
          <w:lang w:val="en-GB"/>
        </w:rPr>
        <w:tab/>
        <w:t>(f)</w:t>
      </w:r>
      <w:r w:rsidRPr="005531D9">
        <w:rPr>
          <w:lang w:val="en-GB"/>
        </w:rPr>
        <w:tab/>
        <w:t xml:space="preserve">Ambient temperature </w:t>
      </w:r>
      <w:proofErr w:type="spellStart"/>
      <w:r w:rsidRPr="005531D9">
        <w:rPr>
          <w:lang w:val="en-GB"/>
        </w:rPr>
        <w:t>t</w:t>
      </w:r>
      <w:r w:rsidRPr="005531D9">
        <w:rPr>
          <w:vertAlign w:val="subscript"/>
          <w:lang w:val="en-GB"/>
        </w:rPr>
        <w:t>amb</w:t>
      </w:r>
      <w:proofErr w:type="spellEnd"/>
      <w:r w:rsidRPr="005531D9">
        <w:rPr>
          <w:lang w:val="en-GB"/>
        </w:rPr>
        <w:t>;</w:t>
      </w:r>
    </w:p>
    <w:p w14:paraId="40DC3F01" w14:textId="77777777" w:rsidR="004B2A94" w:rsidRPr="005531D9" w:rsidRDefault="004B2A94" w:rsidP="00313A6F">
      <w:pPr>
        <w:pStyle w:val="SingleTxtG"/>
        <w:spacing w:before="120"/>
        <w:ind w:left="2268" w:hanging="1134"/>
        <w:rPr>
          <w:lang w:val="en-GB"/>
        </w:rPr>
      </w:pPr>
      <w:r w:rsidRPr="005531D9">
        <w:rPr>
          <w:lang w:val="en-GB"/>
        </w:rPr>
        <w:tab/>
        <w:t>(g)</w:t>
      </w:r>
      <w:r w:rsidRPr="005531D9">
        <w:rPr>
          <w:lang w:val="en-GB"/>
        </w:rPr>
        <w:tab/>
        <w:t>Test drum radius R;</w:t>
      </w:r>
    </w:p>
    <w:p w14:paraId="5C69F269" w14:textId="77777777" w:rsidR="004B2A94" w:rsidRPr="005531D9" w:rsidRDefault="004B2A94" w:rsidP="00313A6F">
      <w:pPr>
        <w:pStyle w:val="SingleTxtG"/>
        <w:spacing w:before="120"/>
        <w:ind w:left="2268" w:hanging="1134"/>
        <w:rPr>
          <w:lang w:val="en-GB"/>
        </w:rPr>
      </w:pPr>
      <w:r w:rsidRPr="005531D9">
        <w:rPr>
          <w:lang w:val="en-GB"/>
        </w:rPr>
        <w:tab/>
        <w:t>(h)</w:t>
      </w:r>
      <w:r w:rsidRPr="005531D9">
        <w:rPr>
          <w:lang w:val="en-GB"/>
        </w:rPr>
        <w:tab/>
        <w:t>Test method chosen;</w:t>
      </w:r>
    </w:p>
    <w:p w14:paraId="6785994F" w14:textId="77777777" w:rsidR="004B2A94" w:rsidRPr="005531D9" w:rsidRDefault="004B2A94" w:rsidP="00313A6F">
      <w:pPr>
        <w:pStyle w:val="SingleTxtG"/>
        <w:spacing w:before="120"/>
        <w:ind w:left="2268" w:hanging="1134"/>
        <w:rPr>
          <w:lang w:val="en-GB"/>
        </w:rPr>
      </w:pPr>
      <w:r w:rsidRPr="005531D9">
        <w:rPr>
          <w:lang w:val="en-GB"/>
        </w:rPr>
        <w:tab/>
        <w:t>(</w:t>
      </w:r>
      <w:proofErr w:type="spellStart"/>
      <w:r w:rsidRPr="005531D9">
        <w:rPr>
          <w:lang w:val="en-GB"/>
        </w:rPr>
        <w:t>i</w:t>
      </w:r>
      <w:proofErr w:type="spellEnd"/>
      <w:r w:rsidRPr="005531D9">
        <w:rPr>
          <w:lang w:val="en-GB"/>
        </w:rPr>
        <w:t>)</w:t>
      </w:r>
      <w:r w:rsidRPr="005531D9">
        <w:rPr>
          <w:lang w:val="en-GB"/>
        </w:rPr>
        <w:tab/>
        <w:t>Test rim (size and material);</w:t>
      </w:r>
    </w:p>
    <w:p w14:paraId="0B574C83" w14:textId="77777777" w:rsidR="004B2A94" w:rsidRPr="005531D9" w:rsidRDefault="004B2A94" w:rsidP="00313A6F">
      <w:pPr>
        <w:pStyle w:val="SingleTxtG"/>
        <w:spacing w:before="120"/>
        <w:ind w:left="2835" w:hanging="567"/>
        <w:rPr>
          <w:lang w:val="en-GB"/>
        </w:rPr>
      </w:pPr>
      <w:r w:rsidRPr="005531D9">
        <w:rPr>
          <w:lang w:val="en-GB"/>
        </w:rPr>
        <w:t>(j)</w:t>
      </w:r>
      <w:r w:rsidRPr="005531D9">
        <w:rPr>
          <w:lang w:val="en-GB"/>
        </w:rPr>
        <w:tab/>
        <w:t>Tyre size, manufacturer, type, identity number (if one exists), speed category symbol, load index, DOT number (Department of Transportation).</w:t>
      </w:r>
    </w:p>
    <w:p w14:paraId="2F1EE4C7" w14:textId="77777777" w:rsidR="004B2A94" w:rsidRPr="005531D9" w:rsidRDefault="004B2A94" w:rsidP="00313A6F">
      <w:pPr>
        <w:pStyle w:val="SingleTxtG"/>
        <w:keepNext/>
        <w:keepLines/>
        <w:spacing w:before="120"/>
        <w:ind w:left="2835" w:hanging="567"/>
        <w:rPr>
          <w:lang w:val="en-GB"/>
        </w:rPr>
      </w:pPr>
      <w:r w:rsidRPr="005531D9">
        <w:rPr>
          <w:lang w:val="en-GB"/>
        </w:rPr>
        <w:t>Figure 1</w:t>
      </w:r>
    </w:p>
    <w:p w14:paraId="4F3B800E" w14:textId="77777777" w:rsidR="004B2A94" w:rsidRPr="005531D9" w:rsidRDefault="004B2A94" w:rsidP="00313A6F">
      <w:pPr>
        <w:pStyle w:val="SingleTxtG"/>
        <w:spacing w:before="120"/>
        <w:ind w:left="2835" w:hanging="567"/>
        <w:rPr>
          <w:lang w:val="en-GB"/>
        </w:rPr>
      </w:pPr>
      <w:r w:rsidRPr="005531D9">
        <w:rPr>
          <w:noProof/>
          <w:lang w:val="en-GB"/>
        </w:rPr>
        <w:drawing>
          <wp:inline distT="0" distB="0" distL="0" distR="0" wp14:anchorId="7F14C115" wp14:editId="5A404993">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38AC8A27" w14:textId="77777777" w:rsidR="004B2A94" w:rsidRPr="005531D9" w:rsidRDefault="004B2A94" w:rsidP="00313A6F">
      <w:pPr>
        <w:pStyle w:val="SingleTxtG"/>
        <w:spacing w:before="120"/>
        <w:ind w:left="2268"/>
        <w:rPr>
          <w:lang w:val="en-GB"/>
        </w:rPr>
      </w:pPr>
      <w:r w:rsidRPr="005531D9">
        <w:rPr>
          <w:lang w:val="en-GB"/>
        </w:rPr>
        <w:t xml:space="preserve">All the mechanical quantities (forces, torques) will be orientated in accordance with the axis systems specified in </w:t>
      </w:r>
      <w:bookmarkStart w:id="9" w:name="_Hlk148357841"/>
      <w:r w:rsidRPr="005531D9">
        <w:rPr>
          <w:lang w:val="en-GB"/>
        </w:rPr>
        <w:t>ISO 8855:</w:t>
      </w:r>
      <w:r w:rsidRPr="005531D9">
        <w:rPr>
          <w:strike/>
          <w:lang w:val="en-GB"/>
        </w:rPr>
        <w:t>1991</w:t>
      </w:r>
      <w:r w:rsidRPr="005531D9">
        <w:rPr>
          <w:b/>
          <w:bCs/>
          <w:lang w:val="en-GB"/>
        </w:rPr>
        <w:t>2011</w:t>
      </w:r>
      <w:r w:rsidRPr="005531D9">
        <w:rPr>
          <w:lang w:val="en-GB"/>
        </w:rPr>
        <w:t>.</w:t>
      </w:r>
      <w:bookmarkEnd w:id="9"/>
    </w:p>
    <w:p w14:paraId="4E3CD7AE" w14:textId="69F045D8" w:rsidR="004B2A94" w:rsidRPr="005531D9" w:rsidRDefault="004B2A94" w:rsidP="00313A6F">
      <w:pPr>
        <w:pStyle w:val="SingleTxtG"/>
        <w:spacing w:before="120"/>
        <w:ind w:left="2268" w:hanging="1134"/>
        <w:rPr>
          <w:lang w:val="en-GB"/>
        </w:rPr>
      </w:pPr>
      <w:r w:rsidRPr="005531D9">
        <w:rPr>
          <w:lang w:val="en-GB"/>
        </w:rPr>
        <w:tab/>
        <w:t>The directional tyres shall be run in their specified rotation sense."</w:t>
      </w:r>
    </w:p>
    <w:p w14:paraId="4288E705" w14:textId="76E27853" w:rsidR="004B2A94" w:rsidRPr="005531D9" w:rsidRDefault="00A8056A" w:rsidP="00313A6F">
      <w:pPr>
        <w:pStyle w:val="SingleTxtG"/>
        <w:ind w:left="2410" w:hanging="1276"/>
        <w:rPr>
          <w:bCs/>
          <w:lang w:val="en-GB"/>
        </w:rPr>
      </w:pPr>
      <w:r>
        <w:rPr>
          <w:bCs/>
          <w:i/>
          <w:iCs/>
          <w:lang w:val="en-GB"/>
        </w:rPr>
        <w:t>P</w:t>
      </w:r>
      <w:r w:rsidR="004B2A94" w:rsidRPr="005531D9">
        <w:rPr>
          <w:bCs/>
          <w:i/>
          <w:iCs/>
          <w:lang w:val="en-GB"/>
        </w:rPr>
        <w:t>aragraphs 5.1.1. and 5.1.2.</w:t>
      </w:r>
      <w:r w:rsidR="004B2A94" w:rsidRPr="005531D9">
        <w:rPr>
          <w:bCs/>
          <w:lang w:val="en-GB"/>
        </w:rPr>
        <w:t>, amend to read:</w:t>
      </w:r>
    </w:p>
    <w:p w14:paraId="1FDCE141" w14:textId="77777777" w:rsidR="004B2A94" w:rsidRPr="005531D9" w:rsidRDefault="004B2A94" w:rsidP="00313A6F">
      <w:pPr>
        <w:pStyle w:val="SingleTxtG"/>
        <w:spacing w:before="120"/>
        <w:ind w:left="2268" w:hanging="1134"/>
        <w:rPr>
          <w:bCs/>
          <w:lang w:val="en-GB"/>
        </w:rPr>
      </w:pPr>
      <w:r w:rsidRPr="005531D9">
        <w:rPr>
          <w:bCs/>
          <w:lang w:val="en-GB"/>
        </w:rPr>
        <w:t>"5.1.1.</w:t>
      </w:r>
      <w:r w:rsidRPr="005531D9">
        <w:rPr>
          <w:bCs/>
          <w:lang w:val="en-GB"/>
        </w:rPr>
        <w:tab/>
        <w:t>General</w:t>
      </w:r>
    </w:p>
    <w:p w14:paraId="77BA4BC2" w14:textId="77777777" w:rsidR="004B2A94" w:rsidRPr="005531D9" w:rsidRDefault="004B2A94" w:rsidP="00313A6F">
      <w:pPr>
        <w:pStyle w:val="SingleTxtG"/>
        <w:spacing w:before="120"/>
        <w:ind w:left="2268" w:hanging="1134"/>
        <w:rPr>
          <w:bCs/>
          <w:lang w:val="en-GB"/>
        </w:rPr>
      </w:pPr>
      <w:r w:rsidRPr="005531D9">
        <w:rPr>
          <w:bCs/>
          <w:lang w:val="en-GB"/>
        </w:rPr>
        <w:tab/>
        <w:t>The laboratory shall perform the measurements described in paragraph 4.6.1. above for the force, torque and power methods or those described in paragraph 4.6.2. above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40F946D1" w14:textId="77777777" w:rsidR="004B2A94" w:rsidRPr="00A8056A" w:rsidRDefault="004B2A94" w:rsidP="00313A6F">
      <w:pPr>
        <w:pStyle w:val="SingleTxtG"/>
        <w:spacing w:before="120"/>
        <w:ind w:left="2268" w:hanging="1134"/>
        <w:rPr>
          <w:bCs/>
          <w:lang w:val="en-GB"/>
        </w:rPr>
      </w:pPr>
      <w:r w:rsidRPr="005531D9">
        <w:rPr>
          <w:bCs/>
          <w:lang w:val="en-GB"/>
        </w:rPr>
        <w:tab/>
      </w:r>
      <w:r w:rsidRPr="00A8056A">
        <w:rPr>
          <w:bCs/>
          <w:lang w:val="en-GB"/>
        </w:rPr>
        <w:t xml:space="preserve">The parasitic losses related to the tyre/drum interface </w:t>
      </w:r>
      <w:proofErr w:type="spellStart"/>
      <w:r w:rsidRPr="00A8056A">
        <w:rPr>
          <w:bCs/>
          <w:lang w:val="en-GB"/>
        </w:rPr>
        <w:t>F</w:t>
      </w:r>
      <w:r w:rsidRPr="00A8056A">
        <w:rPr>
          <w:bCs/>
          <w:vertAlign w:val="subscript"/>
          <w:lang w:val="en-GB"/>
        </w:rPr>
        <w:t>pl</w:t>
      </w:r>
      <w:proofErr w:type="spellEnd"/>
      <w:r w:rsidRPr="00A8056A">
        <w:rPr>
          <w:bCs/>
          <w:lang w:val="en-GB"/>
        </w:rPr>
        <w:t xml:space="preserve"> expressed in </w:t>
      </w:r>
      <w:proofErr w:type="spellStart"/>
      <w:r w:rsidRPr="00A8056A">
        <w:rPr>
          <w:bCs/>
          <w:strike/>
          <w:lang w:val="en-GB"/>
        </w:rPr>
        <w:t>newton</w:t>
      </w:r>
      <w:r w:rsidRPr="00A8056A">
        <w:rPr>
          <w:b/>
          <w:lang w:val="en-GB"/>
        </w:rPr>
        <w:t>newtons</w:t>
      </w:r>
      <w:proofErr w:type="spellEnd"/>
      <w:r w:rsidRPr="00A8056A">
        <w:rPr>
          <w:bCs/>
          <w:lang w:val="en-GB"/>
        </w:rPr>
        <w:t xml:space="preserve"> shall be calculated from the force F</w:t>
      </w:r>
      <w:r w:rsidRPr="00A8056A">
        <w:rPr>
          <w:bCs/>
          <w:vertAlign w:val="subscript"/>
          <w:lang w:val="en-GB"/>
        </w:rPr>
        <w:t>t</w:t>
      </w:r>
      <w:r w:rsidRPr="00A8056A">
        <w:rPr>
          <w:bCs/>
          <w:lang w:val="en-GB"/>
        </w:rPr>
        <w:t xml:space="preserve"> torque, power or the deceleration, as shown in paragraphs 5.1.2. to 5.1.5. below.</w:t>
      </w:r>
    </w:p>
    <w:p w14:paraId="361E84C9" w14:textId="77777777" w:rsidR="004B2A94" w:rsidRPr="00A8056A" w:rsidRDefault="004B2A94" w:rsidP="00313A6F">
      <w:pPr>
        <w:pStyle w:val="SingleTxtG"/>
        <w:spacing w:before="120"/>
        <w:ind w:left="2268" w:hanging="1134"/>
        <w:rPr>
          <w:lang w:val="en-GB"/>
        </w:rPr>
      </w:pPr>
      <w:r w:rsidRPr="00A8056A">
        <w:rPr>
          <w:lang w:val="en-GB"/>
        </w:rPr>
        <w:t>5.1.2.</w:t>
      </w:r>
      <w:r w:rsidRPr="00A8056A">
        <w:rPr>
          <w:lang w:val="en-GB"/>
        </w:rPr>
        <w:tab/>
        <w:t>Force method at tyre spindle</w:t>
      </w:r>
    </w:p>
    <w:p w14:paraId="4BD8EA16" w14:textId="77777777" w:rsidR="004B2A94" w:rsidRPr="00A8056A" w:rsidRDefault="004B2A94" w:rsidP="00313A6F">
      <w:pPr>
        <w:pStyle w:val="SingleTxtG"/>
        <w:spacing w:before="120"/>
        <w:ind w:left="2268" w:hanging="1134"/>
        <w:rPr>
          <w:lang w:val="en-GB"/>
        </w:rPr>
      </w:pPr>
      <w:r w:rsidRPr="00A8056A">
        <w:rPr>
          <w:lang w:val="en-GB"/>
        </w:rPr>
        <w:tab/>
        <w:t xml:space="preserve">Calculate: </w:t>
      </w:r>
      <w:proofErr w:type="spellStart"/>
      <w:r w:rsidRPr="00A8056A">
        <w:rPr>
          <w:lang w:val="en-GB"/>
        </w:rPr>
        <w:t>F</w:t>
      </w:r>
      <w:r w:rsidRPr="00A8056A">
        <w:rPr>
          <w:vertAlign w:val="subscript"/>
          <w:lang w:val="en-GB"/>
        </w:rPr>
        <w:t>pl</w:t>
      </w:r>
      <w:proofErr w:type="spellEnd"/>
      <w:r w:rsidRPr="00A8056A">
        <w:rPr>
          <w:lang w:val="en-GB"/>
        </w:rPr>
        <w:t xml:space="preserve"> = F</w:t>
      </w:r>
      <w:r w:rsidRPr="00A8056A">
        <w:rPr>
          <w:vertAlign w:val="subscript"/>
          <w:lang w:val="en-GB"/>
        </w:rPr>
        <w:t xml:space="preserve">t </w:t>
      </w:r>
      <w:r w:rsidRPr="00A8056A">
        <w:rPr>
          <w:lang w:val="en-GB"/>
        </w:rPr>
        <w:t xml:space="preserve">(1 </w:t>
      </w:r>
      <w:r w:rsidRPr="00A8056A">
        <w:rPr>
          <w:lang w:val="en-GB"/>
        </w:rPr>
        <w:sym w:font="Symbol" w:char="F02B"/>
      </w:r>
      <w:r w:rsidRPr="00A8056A">
        <w:rPr>
          <w:lang w:val="en-GB"/>
        </w:rPr>
        <w:t xml:space="preserve"> </w:t>
      </w:r>
      <w:proofErr w:type="spellStart"/>
      <w:r w:rsidRPr="00A8056A">
        <w:rPr>
          <w:lang w:val="en-GB"/>
        </w:rPr>
        <w:t>r</w:t>
      </w:r>
      <w:r w:rsidRPr="00A8056A">
        <w:rPr>
          <w:vertAlign w:val="subscript"/>
          <w:lang w:val="en-GB"/>
        </w:rPr>
        <w:t>L</w:t>
      </w:r>
      <w:proofErr w:type="spellEnd"/>
      <w:r w:rsidRPr="00A8056A">
        <w:rPr>
          <w:lang w:val="en-GB"/>
        </w:rPr>
        <w:t>/R)</w:t>
      </w:r>
    </w:p>
    <w:p w14:paraId="3AD80503" w14:textId="58392F07" w:rsidR="004B2A94" w:rsidRPr="00A8056A" w:rsidRDefault="004B2A94" w:rsidP="00313A6F">
      <w:pPr>
        <w:pStyle w:val="SingleTxtG"/>
        <w:spacing w:before="120"/>
        <w:ind w:left="2835" w:hanging="567"/>
        <w:rPr>
          <w:lang w:val="en-GB"/>
        </w:rPr>
      </w:pPr>
      <w:r w:rsidRPr="00A8056A">
        <w:rPr>
          <w:lang w:val="en-GB"/>
        </w:rPr>
        <w:t>Where:</w:t>
      </w:r>
    </w:p>
    <w:p w14:paraId="10884C60" w14:textId="4C4B7B23" w:rsidR="004B2A94" w:rsidRPr="005531D9" w:rsidRDefault="004B2A94" w:rsidP="00313A6F">
      <w:pPr>
        <w:pStyle w:val="SingleTxtG"/>
        <w:spacing w:before="120"/>
        <w:ind w:left="2835" w:hanging="567"/>
        <w:rPr>
          <w:lang w:val="en-GB"/>
        </w:rPr>
      </w:pPr>
      <w:r w:rsidRPr="00A8056A">
        <w:rPr>
          <w:lang w:val="en-GB"/>
        </w:rPr>
        <w:t>F</w:t>
      </w:r>
      <w:r w:rsidRPr="00A8056A">
        <w:rPr>
          <w:vertAlign w:val="subscript"/>
          <w:lang w:val="en-GB"/>
        </w:rPr>
        <w:t>t</w:t>
      </w:r>
      <w:r w:rsidRPr="00A8056A">
        <w:rPr>
          <w:vertAlign w:val="subscript"/>
          <w:lang w:val="en-GB"/>
        </w:rPr>
        <w:tab/>
      </w:r>
      <w:r w:rsidRPr="00A8056A">
        <w:rPr>
          <w:lang w:val="en-GB"/>
        </w:rPr>
        <w:t xml:space="preserve">is the tyre spindle force </w:t>
      </w:r>
      <w:r w:rsidRPr="00A8056A">
        <w:rPr>
          <w:bCs/>
          <w:lang w:val="en-GB"/>
        </w:rPr>
        <w:t xml:space="preserve">in </w:t>
      </w:r>
      <w:proofErr w:type="spellStart"/>
      <w:r w:rsidRPr="00A8056A">
        <w:rPr>
          <w:bCs/>
          <w:strike/>
          <w:lang w:val="en-GB"/>
        </w:rPr>
        <w:t>newton</w:t>
      </w:r>
      <w:r w:rsidRPr="00A8056A">
        <w:rPr>
          <w:b/>
          <w:lang w:val="en-GB"/>
        </w:rPr>
        <w:t>newtons</w:t>
      </w:r>
      <w:proofErr w:type="spellEnd"/>
      <w:r w:rsidR="006539E6">
        <w:rPr>
          <w:b/>
          <w:lang w:val="en-GB"/>
        </w:rPr>
        <w:t xml:space="preserve"> </w:t>
      </w:r>
      <w:r w:rsidRPr="00A8056A">
        <w:rPr>
          <w:lang w:val="en-GB"/>
        </w:rPr>
        <w:t>(see</w:t>
      </w:r>
      <w:r w:rsidRPr="005531D9">
        <w:rPr>
          <w:lang w:val="en-GB"/>
        </w:rPr>
        <w:t xml:space="preserve"> paragraph 4.6.1. above),</w:t>
      </w:r>
    </w:p>
    <w:p w14:paraId="5FC3762F" w14:textId="571982DC" w:rsidR="004B2A94" w:rsidRPr="005531D9" w:rsidRDefault="004B2A94" w:rsidP="00313A6F">
      <w:pPr>
        <w:pStyle w:val="SingleTxtG"/>
        <w:spacing w:before="120"/>
        <w:ind w:left="2835" w:hanging="567"/>
        <w:rPr>
          <w:lang w:val="en-GB"/>
        </w:rPr>
      </w:pPr>
      <w:proofErr w:type="spellStart"/>
      <w:r w:rsidRPr="005531D9">
        <w:rPr>
          <w:lang w:val="en-GB"/>
        </w:rPr>
        <w:t>r</w:t>
      </w:r>
      <w:r w:rsidRPr="005531D9">
        <w:rPr>
          <w:vertAlign w:val="subscript"/>
          <w:lang w:val="en-GB"/>
        </w:rPr>
        <w:t>L</w:t>
      </w:r>
      <w:proofErr w:type="spellEnd"/>
      <w:r w:rsidRPr="005531D9">
        <w:rPr>
          <w:vertAlign w:val="subscript"/>
          <w:lang w:val="en-GB"/>
        </w:rPr>
        <w:tab/>
      </w:r>
      <w:r w:rsidRPr="005531D9">
        <w:rPr>
          <w:lang w:val="en-GB"/>
        </w:rPr>
        <w:t>is the distance from the tyre axis to the drum outer surface under steady state conditions, in metres,</w:t>
      </w:r>
    </w:p>
    <w:p w14:paraId="46925724" w14:textId="239DCBFD" w:rsidR="004B2A94" w:rsidRPr="005531D9" w:rsidRDefault="004B2A94" w:rsidP="00313A6F">
      <w:pPr>
        <w:pStyle w:val="SingleTxtG"/>
        <w:spacing w:before="120"/>
        <w:ind w:left="2835" w:hanging="567"/>
        <w:rPr>
          <w:bCs/>
          <w:lang w:val="en-GB"/>
        </w:rPr>
      </w:pPr>
      <w:r w:rsidRPr="005531D9">
        <w:rPr>
          <w:lang w:val="en-GB"/>
        </w:rPr>
        <w:t>R</w:t>
      </w:r>
      <w:r w:rsidRPr="005531D9">
        <w:rPr>
          <w:lang w:val="en-GB"/>
        </w:rPr>
        <w:tab/>
        <w:t>is the test drum radius, in metres.</w:t>
      </w:r>
      <w:r w:rsidRPr="005531D9">
        <w:rPr>
          <w:bCs/>
          <w:lang w:val="en-GB"/>
        </w:rPr>
        <w:t>"</w:t>
      </w:r>
    </w:p>
    <w:p w14:paraId="1A5D75B5" w14:textId="544F2676" w:rsidR="004B2A94" w:rsidRPr="005531D9" w:rsidRDefault="004B2A94" w:rsidP="00313A6F">
      <w:pPr>
        <w:pStyle w:val="SingleTxtG"/>
        <w:ind w:left="2410" w:hanging="1276"/>
        <w:rPr>
          <w:bCs/>
          <w:lang w:val="en-GB"/>
        </w:rPr>
      </w:pPr>
      <w:r w:rsidRPr="005531D9">
        <w:rPr>
          <w:bCs/>
          <w:i/>
          <w:iCs/>
          <w:lang w:val="en-GB"/>
        </w:rPr>
        <w:t>Paragraph 5.2.1.</w:t>
      </w:r>
      <w:r w:rsidRPr="005531D9">
        <w:rPr>
          <w:bCs/>
          <w:lang w:val="en-GB"/>
        </w:rPr>
        <w:t>, amend to read:</w:t>
      </w:r>
    </w:p>
    <w:p w14:paraId="0412C02B" w14:textId="77777777" w:rsidR="004B2A94" w:rsidRPr="005531D9" w:rsidRDefault="004B2A94" w:rsidP="00313A6F">
      <w:pPr>
        <w:pStyle w:val="SingleTxtG"/>
        <w:spacing w:before="120"/>
        <w:ind w:left="2268" w:hanging="1134"/>
        <w:rPr>
          <w:lang w:val="en-GB"/>
        </w:rPr>
      </w:pPr>
      <w:r w:rsidRPr="005531D9">
        <w:rPr>
          <w:bCs/>
          <w:lang w:val="en-GB"/>
        </w:rPr>
        <w:t>"</w:t>
      </w:r>
      <w:r w:rsidRPr="005531D9">
        <w:rPr>
          <w:lang w:val="en-GB"/>
        </w:rPr>
        <w:t>5.2.1.</w:t>
      </w:r>
      <w:r w:rsidRPr="005531D9">
        <w:rPr>
          <w:lang w:val="en-GB"/>
        </w:rPr>
        <w:tab/>
        <w:t>General</w:t>
      </w:r>
    </w:p>
    <w:p w14:paraId="5E62D523" w14:textId="7D07A311" w:rsidR="004B2A94" w:rsidRPr="005531D9" w:rsidRDefault="004B2A94" w:rsidP="00313A6F">
      <w:pPr>
        <w:pStyle w:val="SingleTxtG"/>
        <w:spacing w:before="120"/>
        <w:ind w:left="2268" w:hanging="1134"/>
        <w:rPr>
          <w:lang w:val="en-GB"/>
        </w:rPr>
      </w:pPr>
      <w:r w:rsidRPr="005531D9">
        <w:rPr>
          <w:lang w:val="en-GB"/>
        </w:rPr>
        <w:tab/>
        <w:t>The rolling resistance F</w:t>
      </w:r>
      <w:r w:rsidRPr="005531D9">
        <w:rPr>
          <w:vertAlign w:val="subscript"/>
          <w:lang w:val="en-GB"/>
        </w:rPr>
        <w:t>r</w:t>
      </w:r>
      <w:r w:rsidRPr="00A8056A">
        <w:rPr>
          <w:lang w:val="en-GB"/>
        </w:rPr>
        <w:t xml:space="preserve">, expressed </w:t>
      </w:r>
      <w:r w:rsidRPr="00A8056A">
        <w:rPr>
          <w:bCs/>
          <w:lang w:val="en-GB"/>
        </w:rPr>
        <w:t xml:space="preserve">in </w:t>
      </w:r>
      <w:proofErr w:type="spellStart"/>
      <w:r w:rsidRPr="00A8056A">
        <w:rPr>
          <w:bCs/>
          <w:strike/>
          <w:lang w:val="en-GB"/>
        </w:rPr>
        <w:t>newton</w:t>
      </w:r>
      <w:r w:rsidRPr="00A8056A">
        <w:rPr>
          <w:b/>
          <w:lang w:val="en-GB"/>
        </w:rPr>
        <w:t>newtons</w:t>
      </w:r>
      <w:proofErr w:type="spellEnd"/>
      <w:r w:rsidRPr="00A8056A">
        <w:rPr>
          <w:lang w:val="en-GB"/>
        </w:rPr>
        <w:t>, is calculated using the values obtained by testing the tyre to the conditions specified</w:t>
      </w:r>
      <w:r w:rsidRPr="005531D9">
        <w:rPr>
          <w:lang w:val="en-GB"/>
        </w:rPr>
        <w:t xml:space="preserve"> in this Regulation and by subtracting the appropriate parasitic losses </w:t>
      </w:r>
      <w:proofErr w:type="spellStart"/>
      <w:r w:rsidRPr="005531D9">
        <w:rPr>
          <w:lang w:val="en-GB"/>
        </w:rPr>
        <w:t>F</w:t>
      </w:r>
      <w:r w:rsidRPr="005531D9">
        <w:rPr>
          <w:vertAlign w:val="subscript"/>
          <w:lang w:val="en-GB"/>
        </w:rPr>
        <w:t>pl</w:t>
      </w:r>
      <w:proofErr w:type="spellEnd"/>
      <w:r w:rsidRPr="005531D9">
        <w:rPr>
          <w:lang w:val="en-GB"/>
        </w:rPr>
        <w:t>, obtained according to paragraph 5.1. above."</w:t>
      </w:r>
    </w:p>
    <w:p w14:paraId="756658D7" w14:textId="3005BE12" w:rsidR="004B2A94" w:rsidRPr="005531D9" w:rsidRDefault="004B2A94" w:rsidP="00313A6F">
      <w:pPr>
        <w:pStyle w:val="SingleTxtG"/>
        <w:ind w:left="2410" w:hanging="1276"/>
        <w:rPr>
          <w:bCs/>
          <w:lang w:val="en-GB"/>
        </w:rPr>
      </w:pPr>
      <w:r w:rsidRPr="005531D9">
        <w:rPr>
          <w:bCs/>
          <w:i/>
          <w:iCs/>
          <w:lang w:val="en-GB"/>
        </w:rPr>
        <w:t>Paragraph 6.1.</w:t>
      </w:r>
      <w:r w:rsidRPr="005531D9">
        <w:rPr>
          <w:bCs/>
          <w:lang w:val="en-GB"/>
        </w:rPr>
        <w:t>, amend to read:</w:t>
      </w:r>
    </w:p>
    <w:p w14:paraId="18161DE2" w14:textId="77777777" w:rsidR="004B2A94" w:rsidRPr="005531D9" w:rsidRDefault="004B2A94" w:rsidP="00313A6F">
      <w:pPr>
        <w:pStyle w:val="SingleTxtG"/>
        <w:spacing w:before="120"/>
        <w:ind w:left="2268" w:hanging="1134"/>
        <w:rPr>
          <w:lang w:val="en-GB"/>
        </w:rPr>
      </w:pPr>
      <w:r w:rsidRPr="005531D9">
        <w:rPr>
          <w:lang w:val="en-GB"/>
        </w:rPr>
        <w:t>"6.1.</w:t>
      </w:r>
      <w:r w:rsidRPr="005531D9">
        <w:rPr>
          <w:lang w:val="en-GB"/>
        </w:rPr>
        <w:tab/>
        <w:t>Rolling resistance coefficient</w:t>
      </w:r>
    </w:p>
    <w:p w14:paraId="238526F1" w14:textId="77777777" w:rsidR="004B2A94" w:rsidRPr="005531D9" w:rsidRDefault="004B2A94" w:rsidP="00313A6F">
      <w:pPr>
        <w:pStyle w:val="SingleTxtG"/>
        <w:spacing w:before="120"/>
        <w:ind w:left="2268" w:hanging="1134"/>
        <w:rPr>
          <w:lang w:val="en-GB"/>
        </w:rPr>
      </w:pPr>
      <w:r w:rsidRPr="005531D9">
        <w:rPr>
          <w:lang w:val="en-GB"/>
        </w:rPr>
        <w:tab/>
        <w:t>The rolling resistance coefficient C</w:t>
      </w:r>
      <w:r w:rsidRPr="005531D9">
        <w:rPr>
          <w:vertAlign w:val="subscript"/>
          <w:lang w:val="en-GB"/>
        </w:rPr>
        <w:t>r</w:t>
      </w:r>
      <w:r w:rsidRPr="005531D9">
        <w:rPr>
          <w:lang w:val="en-GB"/>
        </w:rPr>
        <w:t xml:space="preserve"> is calculated by dividing the rolling resistance by the load on the tyre:</w:t>
      </w:r>
    </w:p>
    <w:p w14:paraId="4633BC19" w14:textId="07BFB786" w:rsidR="004B2A94" w:rsidRPr="005531D9" w:rsidRDefault="003E1D2F" w:rsidP="00313A6F">
      <w:pPr>
        <w:pStyle w:val="SingleTxtG"/>
        <w:spacing w:before="120"/>
        <w:ind w:left="2268"/>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m</m:t>
                  </m:r>
                </m:sub>
              </m:sSub>
            </m:den>
          </m:f>
        </m:oMath>
      </m:oMathPara>
    </w:p>
    <w:p w14:paraId="59C489FD" w14:textId="4650BB14" w:rsidR="00526DB0" w:rsidRPr="005531D9" w:rsidRDefault="00526DB0" w:rsidP="00313A6F">
      <w:pPr>
        <w:pStyle w:val="SingleTxtG"/>
        <w:spacing w:before="120"/>
        <w:ind w:left="2268"/>
        <w:jc w:val="left"/>
        <w:rPr>
          <w:lang w:val="en-GB"/>
        </w:rPr>
      </w:pPr>
      <w:r w:rsidRPr="005531D9">
        <w:rPr>
          <w:lang w:val="en-GB"/>
        </w:rPr>
        <w:t>Where:</w:t>
      </w:r>
    </w:p>
    <w:p w14:paraId="20F8A8C6" w14:textId="6C674087" w:rsidR="00526DB0" w:rsidRPr="005531D9" w:rsidRDefault="00526DB0" w:rsidP="00313A6F">
      <w:pPr>
        <w:pStyle w:val="SingleTxtG"/>
        <w:spacing w:before="120"/>
        <w:ind w:left="2268"/>
        <w:jc w:val="left"/>
        <w:rPr>
          <w:lang w:val="en-GB"/>
        </w:rPr>
      </w:pPr>
      <w:r w:rsidRPr="005531D9">
        <w:rPr>
          <w:i/>
          <w:iCs/>
          <w:lang w:val="en-GB"/>
        </w:rPr>
        <w:t>F</w:t>
      </w:r>
      <w:r w:rsidRPr="005531D9">
        <w:rPr>
          <w:i/>
          <w:iCs/>
          <w:vertAlign w:val="subscript"/>
          <w:lang w:val="en-GB"/>
        </w:rPr>
        <w:t>r</w:t>
      </w:r>
      <w:r w:rsidRPr="005531D9">
        <w:rPr>
          <w:lang w:val="en-GB"/>
        </w:rPr>
        <w:tab/>
        <w:t xml:space="preserve">is the rolling resistance, in </w:t>
      </w:r>
      <w:proofErr w:type="spellStart"/>
      <w:r w:rsidRPr="005531D9">
        <w:rPr>
          <w:bCs/>
          <w:strike/>
          <w:sz w:val="18"/>
          <w:szCs w:val="18"/>
          <w:lang w:val="en-GB"/>
        </w:rPr>
        <w:t>newton</w:t>
      </w:r>
      <w:r w:rsidRPr="005531D9">
        <w:rPr>
          <w:b/>
          <w:sz w:val="18"/>
          <w:szCs w:val="18"/>
          <w:lang w:val="en-GB"/>
        </w:rPr>
        <w:t>newtons</w:t>
      </w:r>
      <w:proofErr w:type="spellEnd"/>
      <w:r w:rsidRPr="005531D9">
        <w:rPr>
          <w:lang w:val="en-GB"/>
        </w:rPr>
        <w:t>,</w:t>
      </w:r>
    </w:p>
    <w:p w14:paraId="7B531C2E" w14:textId="7E2D3292" w:rsidR="00526DB0" w:rsidRPr="005531D9" w:rsidRDefault="00526DB0" w:rsidP="00313A6F">
      <w:pPr>
        <w:pStyle w:val="SingleTxtG"/>
        <w:spacing w:before="120"/>
        <w:ind w:left="2268"/>
        <w:jc w:val="left"/>
        <w:rPr>
          <w:lang w:val="en-GB"/>
        </w:rPr>
      </w:pPr>
      <w:proofErr w:type="spellStart"/>
      <w:r w:rsidRPr="005531D9">
        <w:rPr>
          <w:i/>
          <w:iCs/>
          <w:lang w:val="en-GB"/>
        </w:rPr>
        <w:t>L</w:t>
      </w:r>
      <w:r w:rsidRPr="005531D9">
        <w:rPr>
          <w:i/>
          <w:iCs/>
          <w:vertAlign w:val="subscript"/>
          <w:lang w:val="en-GB"/>
        </w:rPr>
        <w:t>m</w:t>
      </w:r>
      <w:proofErr w:type="spellEnd"/>
      <w:r w:rsidRPr="005531D9">
        <w:rPr>
          <w:lang w:val="en-GB"/>
        </w:rPr>
        <w:tab/>
        <w:t xml:space="preserve">is the test load, in </w:t>
      </w:r>
      <w:proofErr w:type="spellStart"/>
      <w:r w:rsidRPr="005531D9">
        <w:rPr>
          <w:lang w:val="en-GB"/>
        </w:rPr>
        <w:t>kN.</w:t>
      </w:r>
      <w:proofErr w:type="spellEnd"/>
      <w:r w:rsidRPr="005531D9">
        <w:rPr>
          <w:lang w:val="en-GB"/>
        </w:rPr>
        <w:t>"</w:t>
      </w:r>
    </w:p>
    <w:p w14:paraId="260F0ABF" w14:textId="6DD0071B" w:rsidR="004B2A94" w:rsidRPr="005531D9" w:rsidRDefault="004B2A94" w:rsidP="00313A6F">
      <w:pPr>
        <w:pStyle w:val="SingleTxtG"/>
        <w:spacing w:before="120"/>
        <w:ind w:left="2268" w:hanging="1134"/>
        <w:rPr>
          <w:lang w:val="en-GB"/>
        </w:rPr>
      </w:pPr>
      <w:r w:rsidRPr="005531D9">
        <w:rPr>
          <w:i/>
          <w:iCs/>
          <w:lang w:val="en-GB"/>
        </w:rPr>
        <w:t xml:space="preserve">Annex 6, Appendix 1, </w:t>
      </w:r>
      <w:r w:rsidR="00A8056A">
        <w:rPr>
          <w:i/>
          <w:iCs/>
          <w:lang w:val="en-GB"/>
        </w:rPr>
        <w:t>p</w:t>
      </w:r>
      <w:r w:rsidRPr="005531D9">
        <w:rPr>
          <w:i/>
          <w:iCs/>
          <w:lang w:val="en-GB"/>
        </w:rPr>
        <w:t>aragraph 2.1.,</w:t>
      </w:r>
      <w:r w:rsidRPr="005531D9">
        <w:rPr>
          <w:lang w:val="en-GB"/>
        </w:rPr>
        <w:t xml:space="preserve"> amend to read:</w:t>
      </w:r>
    </w:p>
    <w:p w14:paraId="6E87642E" w14:textId="77777777" w:rsidR="004B2A94" w:rsidRPr="005531D9" w:rsidRDefault="004B2A94" w:rsidP="00313A6F">
      <w:pPr>
        <w:tabs>
          <w:tab w:val="left" w:pos="2268"/>
        </w:tabs>
        <w:suppressAutoHyphens w:val="0"/>
        <w:autoSpaceDE w:val="0"/>
        <w:autoSpaceDN w:val="0"/>
        <w:adjustRightInd w:val="0"/>
        <w:spacing w:line="240" w:lineRule="auto"/>
        <w:ind w:left="1134" w:right="1139"/>
        <w:jc w:val="both"/>
        <w:rPr>
          <w:lang w:val="en-GB"/>
        </w:rPr>
      </w:pPr>
      <w:r w:rsidRPr="005531D9">
        <w:rPr>
          <w:lang w:val="en-GB"/>
        </w:rPr>
        <w:t>"2.1.</w:t>
      </w:r>
      <w:r w:rsidRPr="005531D9">
        <w:rPr>
          <w:lang w:val="en-GB"/>
        </w:rPr>
        <w:tab/>
        <w:t>Width</w:t>
      </w:r>
    </w:p>
    <w:p w14:paraId="5B1B26A1" w14:textId="77777777" w:rsidR="004B2A94" w:rsidRPr="005531D9" w:rsidRDefault="004B2A94" w:rsidP="00313A6F">
      <w:pPr>
        <w:spacing w:before="120" w:after="120"/>
        <w:ind w:left="2268" w:right="1134"/>
        <w:jc w:val="both"/>
        <w:rPr>
          <w:lang w:val="en-GB"/>
        </w:rPr>
      </w:pPr>
      <w:bookmarkStart w:id="10" w:name="_Hlk148358155"/>
      <w:r w:rsidRPr="005531D9">
        <w:rPr>
          <w:lang w:val="en-GB"/>
        </w:rPr>
        <w:t>For passenger car tyre rims (class C1 tyres), the test rim width shall be the same as the measuring rim determined in ISO 4000-1:</w:t>
      </w:r>
      <w:r w:rsidRPr="005531D9">
        <w:rPr>
          <w:bCs/>
          <w:strike/>
          <w:lang w:val="en-GB"/>
        </w:rPr>
        <w:t>2010</w:t>
      </w:r>
      <w:r w:rsidRPr="005531D9">
        <w:rPr>
          <w:b/>
          <w:lang w:val="en-GB"/>
        </w:rPr>
        <w:t>2021</w:t>
      </w:r>
      <w:r w:rsidRPr="005531D9">
        <w:rPr>
          <w:lang w:val="en-GB"/>
        </w:rPr>
        <w:t>, clause 6.2.2.</w:t>
      </w:r>
    </w:p>
    <w:bookmarkEnd w:id="10"/>
    <w:p w14:paraId="3BA5DA50" w14:textId="77777777" w:rsidR="004B2A94" w:rsidRPr="005531D9" w:rsidRDefault="004B2A94" w:rsidP="00313A6F">
      <w:pPr>
        <w:spacing w:before="120" w:after="120"/>
        <w:ind w:left="2268" w:right="1134"/>
        <w:jc w:val="both"/>
        <w:rPr>
          <w:lang w:val="en-GB"/>
        </w:rPr>
      </w:pPr>
      <w:r w:rsidRPr="005531D9">
        <w:rPr>
          <w:lang w:val="en-GB"/>
        </w:rPr>
        <w:t>For truck and bus tyres (classes C2 and C3), the rim width shall be the same as the measuring rim determined in ISO 4209-1:2001, clause 5.1.3.</w:t>
      </w:r>
    </w:p>
    <w:p w14:paraId="64B4F126" w14:textId="34A5FC5A" w:rsidR="004B2A94" w:rsidRPr="005531D9" w:rsidRDefault="004B2A94" w:rsidP="00313A6F">
      <w:pPr>
        <w:pStyle w:val="SingleTxtG"/>
        <w:spacing w:before="120"/>
        <w:ind w:left="2268"/>
        <w:rPr>
          <w:lang w:val="en-GB"/>
        </w:rPr>
      </w:pPr>
      <w:r w:rsidRPr="005531D9">
        <w:rPr>
          <w:lang w:val="en-GB"/>
        </w:rPr>
        <w:t>In cases where the width is not defined in the above mentioned ISO Standards, the rim width as defined by one of the standards organizations as specified in Appendix 4 to Annex 6 may be used."</w:t>
      </w:r>
    </w:p>
    <w:p w14:paraId="6EBF4E0C" w14:textId="3EB04AE9" w:rsidR="004B2A94" w:rsidRPr="005531D9" w:rsidRDefault="0008597A" w:rsidP="00313A6F">
      <w:pPr>
        <w:pStyle w:val="SingleTxtG"/>
        <w:spacing w:before="120"/>
        <w:ind w:left="2268" w:hanging="1134"/>
        <w:rPr>
          <w:lang w:val="en-GB"/>
        </w:rPr>
      </w:pPr>
      <w:r w:rsidRPr="005531D9">
        <w:rPr>
          <w:i/>
          <w:iCs/>
          <w:lang w:val="en-GB"/>
        </w:rPr>
        <w:t xml:space="preserve">Annex 7, </w:t>
      </w:r>
      <w:r w:rsidR="00F0683D">
        <w:rPr>
          <w:i/>
          <w:iCs/>
          <w:lang w:val="en-GB"/>
        </w:rPr>
        <w:t>p</w:t>
      </w:r>
      <w:r w:rsidRPr="005531D9">
        <w:rPr>
          <w:i/>
          <w:iCs/>
          <w:lang w:val="en-GB"/>
        </w:rPr>
        <w:t xml:space="preserve">aragraph 4.5.1., </w:t>
      </w:r>
      <w:r w:rsidRPr="005531D9">
        <w:rPr>
          <w:lang w:val="en-GB"/>
        </w:rPr>
        <w:t>amend to read:</w:t>
      </w:r>
    </w:p>
    <w:p w14:paraId="031D9BBE" w14:textId="3DC651FC" w:rsidR="0008597A" w:rsidRPr="005531D9" w:rsidRDefault="0008597A" w:rsidP="00313A6F">
      <w:pPr>
        <w:pStyle w:val="SingleTxtG"/>
        <w:spacing w:before="120"/>
        <w:ind w:left="2268" w:hanging="1134"/>
        <w:rPr>
          <w:lang w:val="en-GB"/>
        </w:rPr>
      </w:pPr>
      <w:r w:rsidRPr="005531D9">
        <w:rPr>
          <w:lang w:val="en-GB"/>
        </w:rPr>
        <w:t>"4.5.1.</w:t>
      </w:r>
      <w:r w:rsidRPr="005531D9">
        <w:rPr>
          <w:lang w:val="en-GB"/>
        </w:rPr>
        <w:tab/>
        <w:t xml:space="preserve">Fit the test tyres on rims as per </w:t>
      </w:r>
      <w:bookmarkStart w:id="11" w:name="_Hlk148357888"/>
      <w:r w:rsidRPr="005531D9">
        <w:rPr>
          <w:lang w:val="en-GB"/>
        </w:rPr>
        <w:t>ISO 4209-1</w:t>
      </w:r>
      <w:r w:rsidRPr="005531D9">
        <w:rPr>
          <w:b/>
          <w:bCs/>
          <w:lang w:val="en-GB"/>
        </w:rPr>
        <w:t>:2001</w:t>
      </w:r>
      <w:r w:rsidRPr="005531D9">
        <w:rPr>
          <w:lang w:val="en-GB"/>
        </w:rPr>
        <w:t xml:space="preserve"> </w:t>
      </w:r>
      <w:bookmarkEnd w:id="11"/>
      <w:r w:rsidRPr="005531D9">
        <w:rPr>
          <w:lang w:val="en-GB"/>
        </w:rPr>
        <w:t>using conventional mounting methods. Ensure proper bead seating by the use of a suitable lubricant. Excessive use of lubricant should be avoided to prevent slipping of the tyre on the wheel rim."</w:t>
      </w:r>
    </w:p>
    <w:p w14:paraId="49C20C93" w14:textId="77777777" w:rsidR="00F0683D" w:rsidRDefault="001D320D" w:rsidP="001D320D">
      <w:pPr>
        <w:pStyle w:val="SingleTxtG"/>
        <w:spacing w:before="120"/>
        <w:ind w:left="2268" w:hanging="1134"/>
        <w:rPr>
          <w:i/>
          <w:iCs/>
          <w:lang w:val="en-US"/>
        </w:rPr>
      </w:pPr>
      <w:r w:rsidRPr="00DC0CEA">
        <w:rPr>
          <w:i/>
          <w:iCs/>
          <w:lang w:val="en-US"/>
        </w:rPr>
        <w:t xml:space="preserve">Annex 8, </w:t>
      </w:r>
    </w:p>
    <w:p w14:paraId="18A56B5C" w14:textId="1BCE05D2" w:rsidR="001D320D" w:rsidRDefault="001D320D" w:rsidP="001D320D">
      <w:pPr>
        <w:pStyle w:val="SingleTxtG"/>
        <w:spacing w:before="120"/>
        <w:ind w:left="2268" w:hanging="1134"/>
        <w:rPr>
          <w:lang w:val="en-GB"/>
        </w:rPr>
      </w:pPr>
      <w:r w:rsidRPr="00DC0CEA">
        <w:rPr>
          <w:i/>
          <w:iCs/>
          <w:lang w:val="en-US"/>
        </w:rPr>
        <w:t xml:space="preserve">Paragraph 2.1.3.1., </w:t>
      </w:r>
      <w:r w:rsidRPr="00DC0CEA">
        <w:rPr>
          <w:lang w:val="en-US"/>
        </w:rPr>
        <w:t>amend to read:</w:t>
      </w:r>
    </w:p>
    <w:p w14:paraId="1D14785F" w14:textId="77777777" w:rsidR="001D320D" w:rsidRDefault="001D320D" w:rsidP="001D320D">
      <w:pPr>
        <w:pStyle w:val="SingleTxtG"/>
        <w:ind w:left="2268" w:hanging="1134"/>
        <w:rPr>
          <w:lang w:val="en-GB"/>
        </w:rPr>
      </w:pPr>
      <w:r w:rsidRPr="00DC0CEA">
        <w:rPr>
          <w:lang w:val="en-US"/>
        </w:rPr>
        <w:t xml:space="preserve">"2.1.3.1.         Standard Reference Test </w:t>
      </w:r>
      <w:proofErr w:type="spellStart"/>
      <w:r w:rsidRPr="00DC0CEA">
        <w:rPr>
          <w:lang w:val="en-US"/>
        </w:rPr>
        <w:t>Tyre</w:t>
      </w:r>
      <w:proofErr w:type="spellEnd"/>
    </w:p>
    <w:p w14:paraId="355AA715" w14:textId="5B32DC14" w:rsidR="001D320D" w:rsidRPr="00F56D95" w:rsidRDefault="001D320D" w:rsidP="001D320D">
      <w:pPr>
        <w:pStyle w:val="SingleTxtG"/>
        <w:ind w:left="2268" w:hanging="1134"/>
        <w:rPr>
          <w:lang w:val="en-US"/>
        </w:rPr>
      </w:pPr>
      <w:r w:rsidRPr="00DC0CEA">
        <w:rPr>
          <w:lang w:val="en-US"/>
        </w:rPr>
        <w:t xml:space="preserve">                       For the evaluation of the ice performance of class C1 </w:t>
      </w:r>
      <w:proofErr w:type="spellStart"/>
      <w:r w:rsidRPr="00DC0CEA">
        <w:rPr>
          <w:lang w:val="en-US"/>
        </w:rPr>
        <w:t>tyres</w:t>
      </w:r>
      <w:proofErr w:type="spellEnd"/>
      <w:r w:rsidRPr="00DC0CEA">
        <w:rPr>
          <w:lang w:val="en-US"/>
        </w:rPr>
        <w:t xml:space="preserve">, the Standard Reference Test </w:t>
      </w:r>
      <w:proofErr w:type="spellStart"/>
      <w:r w:rsidRPr="00DC0CEA">
        <w:rPr>
          <w:lang w:val="en-US"/>
        </w:rPr>
        <w:t>Tyre</w:t>
      </w:r>
      <w:proofErr w:type="spellEnd"/>
      <w:r w:rsidRPr="00DC0CEA">
        <w:rPr>
          <w:lang w:val="en-US"/>
        </w:rPr>
        <w:t xml:space="preserve"> SRTT16 shall be used. The reference </w:t>
      </w:r>
      <w:proofErr w:type="spellStart"/>
      <w:r w:rsidRPr="00DC0CEA">
        <w:rPr>
          <w:lang w:val="en-US"/>
        </w:rPr>
        <w:t>tyre</w:t>
      </w:r>
      <w:proofErr w:type="spellEnd"/>
      <w:r w:rsidRPr="00DC0CEA">
        <w:rPr>
          <w:lang w:val="en-US"/>
        </w:rPr>
        <w:t xml:space="preserve"> shall not be older than 30 months starting from the production week and shall be stored in accordance with ASTM F2493 – </w:t>
      </w:r>
      <w:r w:rsidR="00C648EB" w:rsidRPr="00DC0CEA">
        <w:rPr>
          <w:strike/>
          <w:lang w:val="en-US"/>
        </w:rPr>
        <w:t>20</w:t>
      </w:r>
      <w:r w:rsidR="00C648EB" w:rsidRPr="00DC0CEA">
        <w:rPr>
          <w:b/>
          <w:bCs/>
          <w:lang w:val="en-US"/>
        </w:rPr>
        <w:t>23</w:t>
      </w:r>
      <w:r w:rsidRPr="00DC0CEA">
        <w:rPr>
          <w:lang w:val="en-US"/>
        </w:rPr>
        <w:t>.</w:t>
      </w:r>
      <w:r w:rsidRPr="00F56D95">
        <w:rPr>
          <w:lang w:val="en-US"/>
        </w:rPr>
        <w:t>"</w:t>
      </w:r>
    </w:p>
    <w:p w14:paraId="44788F4F" w14:textId="54ADBDD3" w:rsidR="0008597A" w:rsidRPr="005531D9" w:rsidRDefault="0008597A" w:rsidP="00313A6F">
      <w:pPr>
        <w:pStyle w:val="SingleTxtG"/>
        <w:spacing w:before="120"/>
        <w:ind w:left="2268" w:hanging="1134"/>
        <w:rPr>
          <w:lang w:val="en-GB"/>
        </w:rPr>
      </w:pPr>
      <w:r w:rsidRPr="005531D9">
        <w:rPr>
          <w:i/>
          <w:iCs/>
          <w:lang w:val="en-GB"/>
        </w:rPr>
        <w:t xml:space="preserve">Paragraph 2.1.3.2.1., </w:t>
      </w:r>
      <w:r w:rsidRPr="005531D9">
        <w:rPr>
          <w:lang w:val="en-GB"/>
        </w:rPr>
        <w:t>amend to read:</w:t>
      </w:r>
    </w:p>
    <w:p w14:paraId="0F39E0B1" w14:textId="2F08587E" w:rsidR="004B2A94" w:rsidRPr="005531D9" w:rsidRDefault="0008597A" w:rsidP="00313A6F">
      <w:pPr>
        <w:pStyle w:val="SingleTxtG"/>
        <w:spacing w:before="120"/>
        <w:ind w:left="2268" w:hanging="1134"/>
        <w:rPr>
          <w:lang w:val="en-GB"/>
        </w:rPr>
      </w:pPr>
      <w:r w:rsidRPr="005531D9">
        <w:rPr>
          <w:lang w:val="en-GB"/>
        </w:rPr>
        <w:t>"</w:t>
      </w:r>
      <w:r w:rsidRPr="005531D9">
        <w:rPr>
          <w:bCs/>
          <w:lang w:val="en-GB"/>
        </w:rPr>
        <w:t>2.1.3.2.1.</w:t>
      </w:r>
      <w:r w:rsidRPr="005531D9">
        <w:rPr>
          <w:bCs/>
          <w:lang w:val="en-GB"/>
        </w:rPr>
        <w:tab/>
      </w:r>
      <w:r w:rsidRPr="005531D9">
        <w:rPr>
          <w:bCs/>
          <w:lang w:val="en-GB"/>
        </w:rPr>
        <w:tab/>
        <w:t>Fit each test tyres on an approved rim pursuant to ISO 4000-1</w:t>
      </w:r>
      <w:r w:rsidRPr="005531D9">
        <w:rPr>
          <w:b/>
          <w:lang w:val="en-GB"/>
        </w:rPr>
        <w:t>:2021</w:t>
      </w:r>
      <w:r w:rsidRPr="005531D9">
        <w:rPr>
          <w:bCs/>
          <w:lang w:val="en-GB"/>
        </w:rPr>
        <w:t xml:space="preserve">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50F27C80" w14:textId="77777777" w:rsidR="00F0683D" w:rsidRDefault="00EF3701" w:rsidP="00313A6F">
      <w:pPr>
        <w:pStyle w:val="SingleTxtG"/>
        <w:spacing w:before="120"/>
        <w:ind w:left="2268" w:hanging="1134"/>
        <w:rPr>
          <w:i/>
          <w:iCs/>
          <w:lang w:val="en-GB"/>
        </w:rPr>
      </w:pPr>
      <w:r w:rsidRPr="005531D9">
        <w:rPr>
          <w:i/>
          <w:iCs/>
          <w:lang w:val="en-GB"/>
        </w:rPr>
        <w:t xml:space="preserve">Annex </w:t>
      </w:r>
      <w:r w:rsidR="00EB1782" w:rsidRPr="005531D9">
        <w:rPr>
          <w:i/>
          <w:iCs/>
          <w:lang w:val="en-GB"/>
        </w:rPr>
        <w:t>9</w:t>
      </w:r>
      <w:r w:rsidRPr="005531D9">
        <w:rPr>
          <w:i/>
          <w:iCs/>
          <w:lang w:val="en-GB"/>
        </w:rPr>
        <w:t xml:space="preserve">, </w:t>
      </w:r>
    </w:p>
    <w:p w14:paraId="399C63F1" w14:textId="5004530A" w:rsidR="00EF3701" w:rsidRPr="005531D9" w:rsidRDefault="00EF3701" w:rsidP="00313A6F">
      <w:pPr>
        <w:pStyle w:val="SingleTxtG"/>
        <w:spacing w:before="120"/>
        <w:ind w:left="2268" w:hanging="1134"/>
        <w:rPr>
          <w:lang w:val="en-GB"/>
        </w:rPr>
      </w:pPr>
      <w:r w:rsidRPr="005531D9">
        <w:rPr>
          <w:i/>
          <w:iCs/>
          <w:lang w:val="en-GB"/>
        </w:rPr>
        <w:t xml:space="preserve">Paragraph 2.1.8., </w:t>
      </w:r>
      <w:r w:rsidRPr="005531D9">
        <w:rPr>
          <w:lang w:val="en-GB"/>
        </w:rPr>
        <w:t>amend to read:</w:t>
      </w:r>
    </w:p>
    <w:p w14:paraId="7166C3F9" w14:textId="77E3F6DE" w:rsidR="00EF3701" w:rsidRPr="005531D9" w:rsidRDefault="00EF3701" w:rsidP="00313A6F">
      <w:pPr>
        <w:pStyle w:val="SingleTxtG"/>
        <w:ind w:left="2410" w:hanging="1276"/>
        <w:rPr>
          <w:lang w:val="en-GB"/>
        </w:rPr>
      </w:pPr>
      <w:r w:rsidRPr="005531D9">
        <w:rPr>
          <w:bCs/>
          <w:lang w:val="en-GB"/>
        </w:rPr>
        <w:t>"</w:t>
      </w:r>
      <w:r w:rsidRPr="005531D9">
        <w:rPr>
          <w:lang w:val="en-GB"/>
        </w:rPr>
        <w:t>2.1.8.</w:t>
      </w:r>
      <w:r w:rsidRPr="005531D9">
        <w:rPr>
          <w:lang w:val="en-GB"/>
        </w:rPr>
        <w:tab/>
        <w:t>"</w:t>
      </w:r>
      <w:r w:rsidRPr="005531D9">
        <w:rPr>
          <w:i/>
          <w:lang w:val="en-GB"/>
        </w:rPr>
        <w:t>Central zone</w:t>
      </w:r>
      <w:r w:rsidRPr="005531D9">
        <w:rPr>
          <w:lang w:val="en-GB"/>
        </w:rPr>
        <w:t>" means the area on the tread width defined by the ¾ (75%) of the reference tread width (</w:t>
      </w:r>
      <w:r w:rsidRPr="005531D9">
        <w:rPr>
          <w:i/>
          <w:iCs/>
          <w:lang w:val="en-GB"/>
        </w:rPr>
        <w:t>C</w:t>
      </w:r>
      <w:r w:rsidRPr="005531D9">
        <w:rPr>
          <w:lang w:val="en-GB"/>
        </w:rPr>
        <w:t>) symmetrically measured from the centre line</w:t>
      </w:r>
      <w:r w:rsidRPr="005531D9">
        <w:rPr>
          <w:b/>
          <w:bCs/>
          <w:shd w:val="clear" w:color="auto" w:fill="F7CAAC" w:themeFill="accent2" w:themeFillTint="66"/>
          <w:lang w:val="en-GB"/>
        </w:rPr>
        <w:t xml:space="preserve"> </w:t>
      </w:r>
      <w:r w:rsidRPr="005531D9">
        <w:rPr>
          <w:b/>
          <w:bCs/>
          <w:lang w:val="en-GB"/>
        </w:rPr>
        <w:t>(see Figure 4)</w:t>
      </w:r>
      <w:r w:rsidRPr="005531D9">
        <w:rPr>
          <w:lang w:val="en-GB"/>
        </w:rPr>
        <w:t>."</w:t>
      </w:r>
    </w:p>
    <w:p w14:paraId="08E07232" w14:textId="3D4AEAA1" w:rsidR="00EF3701" w:rsidRPr="005531D9" w:rsidRDefault="00EF3701" w:rsidP="00313A6F">
      <w:pPr>
        <w:pStyle w:val="SingleTxtG"/>
        <w:spacing w:before="120"/>
        <w:ind w:left="2268" w:hanging="1134"/>
        <w:rPr>
          <w:lang w:val="en-GB"/>
        </w:rPr>
      </w:pPr>
      <w:r w:rsidRPr="005531D9">
        <w:rPr>
          <w:i/>
          <w:iCs/>
          <w:lang w:val="en-GB"/>
        </w:rPr>
        <w:t xml:space="preserve">Paragraph 2.1.10., </w:t>
      </w:r>
      <w:r w:rsidRPr="005531D9">
        <w:rPr>
          <w:lang w:val="en-GB"/>
        </w:rPr>
        <w:t>amend to read:</w:t>
      </w:r>
    </w:p>
    <w:p w14:paraId="3ED21AAC" w14:textId="5E2385DA" w:rsidR="00EF3701" w:rsidRPr="005531D9" w:rsidRDefault="00EF3701" w:rsidP="00313A6F">
      <w:pPr>
        <w:pStyle w:val="SingleTxtG"/>
        <w:spacing w:before="120"/>
        <w:ind w:left="2268" w:hanging="1134"/>
        <w:rPr>
          <w:lang w:val="en-GB"/>
        </w:rPr>
      </w:pPr>
      <w:r w:rsidRPr="005531D9">
        <w:rPr>
          <w:lang w:val="en-GB"/>
        </w:rPr>
        <w:t>"2.1.10.</w:t>
      </w:r>
      <w:r w:rsidRPr="005531D9">
        <w:rPr>
          <w:lang w:val="en-GB"/>
        </w:rPr>
        <w:tab/>
        <w:t>""</w:t>
      </w:r>
      <w:r w:rsidRPr="005531D9">
        <w:rPr>
          <w:i/>
          <w:lang w:val="en-GB"/>
        </w:rPr>
        <w:t>Mould parting line</w:t>
      </w:r>
      <w:r w:rsidRPr="005531D9">
        <w:rPr>
          <w:lang w:val="en-GB"/>
        </w:rPr>
        <w:t>"</w:t>
      </w:r>
      <w:r w:rsidRPr="005531D9">
        <w:rPr>
          <w:iCs/>
          <w:lang w:val="en-GB"/>
        </w:rPr>
        <w:t xml:space="preserve"> means the</w:t>
      </w:r>
      <w:r w:rsidRPr="005531D9">
        <w:rPr>
          <w:lang w:val="en-GB"/>
        </w:rPr>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r w:rsidRPr="005531D9">
        <w:rPr>
          <w:b/>
          <w:bCs/>
          <w:lang w:val="en-GB"/>
        </w:rPr>
        <w:t xml:space="preserve"> (see Figure 1)</w:t>
      </w:r>
      <w:r w:rsidRPr="005531D9">
        <w:rPr>
          <w:lang w:val="en-GB"/>
        </w:rPr>
        <w:t>."</w:t>
      </w:r>
    </w:p>
    <w:p w14:paraId="3D3075C0" w14:textId="2E7FB903" w:rsidR="00D02989" w:rsidRPr="005531D9" w:rsidRDefault="00D02989" w:rsidP="00313A6F">
      <w:pPr>
        <w:pStyle w:val="SingleTxtG"/>
        <w:spacing w:before="120"/>
        <w:ind w:left="2268" w:hanging="1134"/>
        <w:rPr>
          <w:lang w:val="en-GB"/>
        </w:rPr>
      </w:pPr>
      <w:r w:rsidRPr="005531D9">
        <w:rPr>
          <w:i/>
          <w:iCs/>
          <w:lang w:val="en-GB"/>
        </w:rPr>
        <w:t xml:space="preserve">Paragraph 2.2.1.2.1., </w:t>
      </w:r>
      <w:r w:rsidRPr="005531D9">
        <w:rPr>
          <w:lang w:val="en-GB"/>
        </w:rPr>
        <w:t>amend to read:</w:t>
      </w:r>
    </w:p>
    <w:p w14:paraId="6792CD67" w14:textId="77777777" w:rsidR="00D02989" w:rsidRPr="005531D9" w:rsidRDefault="00D02989" w:rsidP="00313A6F">
      <w:pPr>
        <w:autoSpaceDE w:val="0"/>
        <w:autoSpaceDN w:val="0"/>
        <w:adjustRightInd w:val="0"/>
        <w:spacing w:after="120"/>
        <w:ind w:left="2268" w:right="1134" w:hanging="1134"/>
        <w:jc w:val="both"/>
        <w:rPr>
          <w:i/>
          <w:lang w:val="en-GB"/>
        </w:rPr>
      </w:pPr>
      <w:r w:rsidRPr="005531D9">
        <w:rPr>
          <w:bCs/>
          <w:lang w:val="en-GB"/>
        </w:rPr>
        <w:t>"</w:t>
      </w:r>
      <w:r w:rsidRPr="005531D9">
        <w:rPr>
          <w:lang w:val="en-GB"/>
        </w:rPr>
        <w:t>2.2.1.2.1.</w:t>
      </w:r>
      <w:r w:rsidRPr="005531D9">
        <w:rPr>
          <w:lang w:val="en-GB"/>
        </w:rPr>
        <w:tab/>
      </w:r>
      <w:r w:rsidRPr="005531D9">
        <w:rPr>
          <w:i/>
          <w:lang w:val="en-GB"/>
        </w:rPr>
        <w:t>Choice of the control measurement points of the central zone</w:t>
      </w:r>
    </w:p>
    <w:p w14:paraId="05DED358" w14:textId="77777777" w:rsidR="00D02989" w:rsidRPr="005531D9" w:rsidRDefault="00D02989" w:rsidP="00313A6F">
      <w:pPr>
        <w:autoSpaceDE w:val="0"/>
        <w:autoSpaceDN w:val="0"/>
        <w:adjustRightInd w:val="0"/>
        <w:spacing w:after="120"/>
        <w:ind w:left="2268" w:right="1134"/>
        <w:jc w:val="both"/>
        <w:rPr>
          <w:lang w:val="en-GB"/>
        </w:rPr>
      </w:pPr>
      <w:r w:rsidRPr="005531D9">
        <w:rPr>
          <w:lang w:val="en-GB"/>
        </w:rPr>
        <w:t>To control the conformity of the preparation process (see paragraph 2.2.1.2.3.</w:t>
      </w:r>
      <w:r w:rsidRPr="005531D9">
        <w:rPr>
          <w:b/>
          <w:bCs/>
          <w:shd w:val="clear" w:color="auto" w:fill="F7CAAC" w:themeFill="accent2" w:themeFillTint="66"/>
          <w:lang w:val="en-GB"/>
        </w:rPr>
        <w:t>)</w:t>
      </w:r>
      <w:r w:rsidRPr="005531D9">
        <w:rPr>
          <w:lang w:val="en-GB"/>
        </w:rPr>
        <w:t xml:space="preserve">, choose </w:t>
      </w:r>
      <w:r w:rsidRPr="005531D9">
        <w:rPr>
          <w:i/>
          <w:iCs/>
          <w:lang w:val="en-GB"/>
        </w:rPr>
        <w:t>n</w:t>
      </w:r>
      <w:r w:rsidRPr="005531D9">
        <w:rPr>
          <w:lang w:val="en-GB"/>
        </w:rPr>
        <w:t xml:space="preserve"> measurement points in the central zone, in the transversal direction (see Figure </w:t>
      </w:r>
      <w:r w:rsidRPr="005531D9">
        <w:rPr>
          <w:b/>
          <w:bCs/>
          <w:lang w:val="en-GB"/>
        </w:rPr>
        <w:t>3</w:t>
      </w:r>
      <w:r w:rsidRPr="005531D9">
        <w:rPr>
          <w:strike/>
          <w:lang w:val="en-GB"/>
        </w:rPr>
        <w:t>2</w:t>
      </w:r>
      <w:r w:rsidRPr="005531D9">
        <w:rPr>
          <w:lang w:val="en-GB"/>
        </w:rPr>
        <w:t>)</w:t>
      </w:r>
    </w:p>
    <w:p w14:paraId="160709FC" w14:textId="523D2376" w:rsidR="00D02989" w:rsidRPr="005531D9" w:rsidRDefault="00D02989" w:rsidP="00F0683D">
      <w:pPr>
        <w:autoSpaceDE w:val="0"/>
        <w:autoSpaceDN w:val="0"/>
        <w:adjustRightInd w:val="0"/>
        <w:spacing w:after="120"/>
        <w:ind w:left="2268" w:right="1134"/>
        <w:jc w:val="both"/>
        <w:rPr>
          <w:lang w:val="en-GB"/>
        </w:rPr>
      </w:pPr>
      <w:r w:rsidRPr="005531D9">
        <w:rPr>
          <w:lang w:val="en-GB"/>
        </w:rPr>
        <w:t>…"</w:t>
      </w:r>
    </w:p>
    <w:p w14:paraId="1F405E94" w14:textId="2D62B112" w:rsidR="00EF3701" w:rsidRPr="005531D9" w:rsidRDefault="00D02989" w:rsidP="00313A6F">
      <w:pPr>
        <w:pStyle w:val="SingleTxtG"/>
        <w:ind w:left="2410" w:hanging="1276"/>
        <w:rPr>
          <w:bCs/>
          <w:lang w:val="en-GB"/>
        </w:rPr>
      </w:pPr>
      <w:r w:rsidRPr="005531D9">
        <w:rPr>
          <w:i/>
          <w:iCs/>
          <w:lang w:val="en-GB"/>
        </w:rPr>
        <w:t xml:space="preserve">Annex 9, Appendix 1, </w:t>
      </w:r>
      <w:r w:rsidRPr="005531D9">
        <w:rPr>
          <w:lang w:val="en-GB"/>
        </w:rPr>
        <w:t>amend to read:</w:t>
      </w:r>
    </w:p>
    <w:p w14:paraId="2FBCFC0E" w14:textId="5257911E" w:rsidR="00D02989" w:rsidRPr="005531D9" w:rsidRDefault="00D02989" w:rsidP="00313A6F">
      <w:pPr>
        <w:pStyle w:val="SingleTxtG"/>
        <w:ind w:left="2410" w:hanging="1276"/>
        <w:rPr>
          <w:bCs/>
          <w:lang w:val="en-GB"/>
        </w:rPr>
      </w:pPr>
      <w:r w:rsidRPr="005531D9">
        <w:rPr>
          <w:bCs/>
          <w:lang w:val="en-GB"/>
        </w:rPr>
        <w:t>"…</w:t>
      </w:r>
    </w:p>
    <w:p w14:paraId="7B0E5D8B" w14:textId="19C39E8B" w:rsidR="00D02989" w:rsidRPr="005531D9" w:rsidRDefault="00D02989" w:rsidP="00F0023F">
      <w:pPr>
        <w:spacing w:after="120"/>
        <w:ind w:left="993" w:firstLine="141"/>
        <w:rPr>
          <w:lang w:val="en-GB"/>
        </w:rPr>
      </w:pPr>
      <w:r w:rsidRPr="005531D9">
        <w:rPr>
          <w:lang w:val="en-GB"/>
        </w:rPr>
        <w:t>Roughness measurement</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5531D9" w:rsidRPr="00B9164A" w14:paraId="47734C3C" w14:textId="77777777" w:rsidTr="00F0023F">
        <w:trPr>
          <w:trHeight w:val="300"/>
        </w:trPr>
        <w:tc>
          <w:tcPr>
            <w:tcW w:w="3360" w:type="dxa"/>
            <w:gridSpan w:val="2"/>
            <w:vMerge w:val="restart"/>
            <w:tcBorders>
              <w:bottom w:val="single" w:sz="12" w:space="0" w:color="auto"/>
            </w:tcBorders>
            <w:shd w:val="clear" w:color="auto" w:fill="auto"/>
            <w:hideMark/>
          </w:tcPr>
          <w:p w14:paraId="001E77E3" w14:textId="77777777" w:rsidR="00D02989" w:rsidRPr="00B9164A" w:rsidRDefault="00D02989" w:rsidP="00313A6F">
            <w:pPr>
              <w:jc w:val="center"/>
              <w:rPr>
                <w:i/>
                <w:sz w:val="16"/>
                <w:szCs w:val="16"/>
                <w:lang w:val="en-GB"/>
              </w:rPr>
            </w:pPr>
            <w:r w:rsidRPr="00B9164A">
              <w:rPr>
                <w:i/>
                <w:sz w:val="16"/>
                <w:szCs w:val="16"/>
                <w:lang w:val="en-GB"/>
              </w:rPr>
              <w:t>Arithmetical mean height of the absolute values of the roughness profile (µm)</w:t>
            </w:r>
          </w:p>
        </w:tc>
        <w:tc>
          <w:tcPr>
            <w:tcW w:w="3922" w:type="dxa"/>
            <w:gridSpan w:val="4"/>
            <w:tcBorders>
              <w:bottom w:val="single" w:sz="4" w:space="0" w:color="auto"/>
            </w:tcBorders>
            <w:shd w:val="clear" w:color="auto" w:fill="auto"/>
            <w:noWrap/>
            <w:hideMark/>
          </w:tcPr>
          <w:p w14:paraId="2BE9E7ED" w14:textId="77777777" w:rsidR="00D02989" w:rsidRPr="00B9164A" w:rsidRDefault="00D02989" w:rsidP="00313A6F">
            <w:pPr>
              <w:jc w:val="center"/>
              <w:rPr>
                <w:i/>
                <w:sz w:val="16"/>
                <w:szCs w:val="16"/>
                <w:lang w:val="en-GB"/>
              </w:rPr>
            </w:pPr>
            <w:r w:rsidRPr="00B9164A">
              <w:rPr>
                <w:i/>
                <w:sz w:val="16"/>
                <w:szCs w:val="16"/>
                <w:lang w:val="en-GB"/>
              </w:rPr>
              <w:t>Sections</w:t>
            </w:r>
          </w:p>
        </w:tc>
      </w:tr>
      <w:tr w:rsidR="005531D9" w:rsidRPr="005531D9" w14:paraId="6A4E3C62" w14:textId="77777777" w:rsidTr="00F0023F">
        <w:trPr>
          <w:trHeight w:val="300"/>
        </w:trPr>
        <w:tc>
          <w:tcPr>
            <w:tcW w:w="3360" w:type="dxa"/>
            <w:gridSpan w:val="2"/>
            <w:vMerge/>
            <w:tcBorders>
              <w:bottom w:val="single" w:sz="12" w:space="0" w:color="auto"/>
            </w:tcBorders>
            <w:shd w:val="clear" w:color="auto" w:fill="auto"/>
            <w:hideMark/>
          </w:tcPr>
          <w:p w14:paraId="2D40798F" w14:textId="77777777" w:rsidR="00D02989" w:rsidRPr="00F0683D" w:rsidRDefault="00D02989" w:rsidP="00313A6F">
            <w:pPr>
              <w:jc w:val="center"/>
              <w:rPr>
                <w:b/>
                <w:bCs/>
                <w:i/>
                <w:sz w:val="16"/>
                <w:szCs w:val="16"/>
                <w:lang w:val="en-GB"/>
              </w:rPr>
            </w:pPr>
          </w:p>
        </w:tc>
        <w:tc>
          <w:tcPr>
            <w:tcW w:w="946" w:type="dxa"/>
            <w:tcBorders>
              <w:bottom w:val="single" w:sz="12" w:space="0" w:color="auto"/>
            </w:tcBorders>
            <w:shd w:val="clear" w:color="auto" w:fill="auto"/>
            <w:noWrap/>
            <w:hideMark/>
          </w:tcPr>
          <w:p w14:paraId="1D841BAC" w14:textId="77777777" w:rsidR="00D02989" w:rsidRPr="00B9164A" w:rsidRDefault="00D02989" w:rsidP="00313A6F">
            <w:pPr>
              <w:jc w:val="center"/>
              <w:rPr>
                <w:i/>
                <w:sz w:val="16"/>
                <w:szCs w:val="16"/>
                <w:lang w:val="en-GB"/>
              </w:rPr>
            </w:pPr>
            <w:r w:rsidRPr="00B9164A">
              <w:rPr>
                <w:i/>
                <w:sz w:val="16"/>
                <w:szCs w:val="16"/>
                <w:lang w:val="en-GB"/>
              </w:rPr>
              <w:t>1</w:t>
            </w:r>
          </w:p>
        </w:tc>
        <w:tc>
          <w:tcPr>
            <w:tcW w:w="992" w:type="dxa"/>
            <w:tcBorders>
              <w:bottom w:val="single" w:sz="12" w:space="0" w:color="auto"/>
            </w:tcBorders>
            <w:shd w:val="clear" w:color="auto" w:fill="auto"/>
            <w:noWrap/>
            <w:hideMark/>
          </w:tcPr>
          <w:p w14:paraId="70265C37" w14:textId="77777777" w:rsidR="00D02989" w:rsidRPr="00B9164A" w:rsidRDefault="00D02989" w:rsidP="00313A6F">
            <w:pPr>
              <w:jc w:val="center"/>
              <w:rPr>
                <w:i/>
                <w:sz w:val="16"/>
                <w:szCs w:val="16"/>
                <w:lang w:val="en-GB"/>
              </w:rPr>
            </w:pPr>
            <w:r w:rsidRPr="00B9164A">
              <w:rPr>
                <w:i/>
                <w:sz w:val="16"/>
                <w:szCs w:val="16"/>
                <w:lang w:val="en-GB"/>
              </w:rPr>
              <w:t>2</w:t>
            </w:r>
          </w:p>
        </w:tc>
        <w:tc>
          <w:tcPr>
            <w:tcW w:w="992" w:type="dxa"/>
            <w:tcBorders>
              <w:bottom w:val="single" w:sz="12" w:space="0" w:color="auto"/>
            </w:tcBorders>
            <w:shd w:val="clear" w:color="auto" w:fill="auto"/>
            <w:noWrap/>
            <w:hideMark/>
          </w:tcPr>
          <w:p w14:paraId="0AAC95CE" w14:textId="77777777" w:rsidR="00D02989" w:rsidRPr="00B9164A" w:rsidRDefault="00D02989" w:rsidP="00313A6F">
            <w:pPr>
              <w:jc w:val="center"/>
              <w:rPr>
                <w:i/>
                <w:sz w:val="16"/>
                <w:szCs w:val="16"/>
                <w:lang w:val="en-GB"/>
              </w:rPr>
            </w:pPr>
            <w:r w:rsidRPr="00B9164A">
              <w:rPr>
                <w:i/>
                <w:sz w:val="16"/>
                <w:szCs w:val="16"/>
                <w:lang w:val="en-GB"/>
              </w:rPr>
              <w:t>3</w:t>
            </w:r>
          </w:p>
        </w:tc>
        <w:tc>
          <w:tcPr>
            <w:tcW w:w="992" w:type="dxa"/>
            <w:tcBorders>
              <w:bottom w:val="single" w:sz="12" w:space="0" w:color="auto"/>
            </w:tcBorders>
            <w:shd w:val="clear" w:color="auto" w:fill="auto"/>
            <w:noWrap/>
            <w:hideMark/>
          </w:tcPr>
          <w:p w14:paraId="19FBC200" w14:textId="77777777" w:rsidR="00D02989" w:rsidRPr="00B9164A" w:rsidRDefault="00D02989" w:rsidP="00313A6F">
            <w:pPr>
              <w:jc w:val="center"/>
              <w:rPr>
                <w:i/>
                <w:sz w:val="16"/>
                <w:szCs w:val="16"/>
                <w:lang w:val="en-GB"/>
              </w:rPr>
            </w:pPr>
            <w:r w:rsidRPr="00B9164A">
              <w:rPr>
                <w:i/>
                <w:sz w:val="16"/>
                <w:szCs w:val="16"/>
                <w:lang w:val="en-GB"/>
              </w:rPr>
              <w:t>4</w:t>
            </w:r>
          </w:p>
        </w:tc>
      </w:tr>
      <w:tr w:rsidR="005531D9" w:rsidRPr="005531D9" w14:paraId="5291FA1C" w14:textId="77777777" w:rsidTr="00F0023F">
        <w:trPr>
          <w:trHeight w:val="300"/>
        </w:trPr>
        <w:tc>
          <w:tcPr>
            <w:tcW w:w="1120" w:type="dxa"/>
            <w:vMerge w:val="restart"/>
            <w:tcBorders>
              <w:top w:val="single" w:sz="12" w:space="0" w:color="auto"/>
            </w:tcBorders>
            <w:shd w:val="clear" w:color="auto" w:fill="auto"/>
            <w:textDirection w:val="btLr"/>
            <w:hideMark/>
          </w:tcPr>
          <w:p w14:paraId="566F7941" w14:textId="77777777" w:rsidR="00D02989" w:rsidRPr="005531D9" w:rsidRDefault="00D02989" w:rsidP="00313A6F">
            <w:pPr>
              <w:jc w:val="center"/>
              <w:rPr>
                <w:sz w:val="18"/>
                <w:szCs w:val="18"/>
                <w:lang w:val="en-GB"/>
              </w:rPr>
            </w:pPr>
            <w:r w:rsidRPr="005531D9">
              <w:rPr>
                <w:sz w:val="18"/>
                <w:szCs w:val="18"/>
                <w:lang w:val="en-GB"/>
              </w:rPr>
              <w:t>Trans. Loc.</w:t>
            </w:r>
          </w:p>
        </w:tc>
        <w:tc>
          <w:tcPr>
            <w:tcW w:w="2240" w:type="dxa"/>
            <w:tcBorders>
              <w:top w:val="single" w:sz="12" w:space="0" w:color="auto"/>
            </w:tcBorders>
            <w:shd w:val="clear" w:color="auto" w:fill="auto"/>
            <w:noWrap/>
            <w:hideMark/>
          </w:tcPr>
          <w:p w14:paraId="0D8BA3E9" w14:textId="77777777" w:rsidR="00D02989" w:rsidRPr="005531D9" w:rsidRDefault="00D02989" w:rsidP="00313A6F">
            <w:pPr>
              <w:ind w:firstLine="380"/>
              <w:rPr>
                <w:sz w:val="18"/>
                <w:szCs w:val="18"/>
                <w:lang w:val="en-GB"/>
              </w:rPr>
            </w:pPr>
            <w:r w:rsidRPr="005531D9">
              <w:rPr>
                <w:sz w:val="18"/>
                <w:szCs w:val="18"/>
                <w:lang w:val="en-GB"/>
              </w:rPr>
              <w:t>1 (right)</w:t>
            </w:r>
          </w:p>
        </w:tc>
        <w:tc>
          <w:tcPr>
            <w:tcW w:w="946" w:type="dxa"/>
            <w:tcBorders>
              <w:top w:val="single" w:sz="12" w:space="0" w:color="auto"/>
            </w:tcBorders>
            <w:shd w:val="clear" w:color="auto" w:fill="auto"/>
            <w:noWrap/>
            <w:hideMark/>
          </w:tcPr>
          <w:p w14:paraId="411BC755" w14:textId="77777777" w:rsidR="00D02989" w:rsidRPr="005531D9" w:rsidRDefault="00D02989" w:rsidP="00313A6F">
            <w:pPr>
              <w:jc w:val="center"/>
              <w:rPr>
                <w:sz w:val="18"/>
                <w:szCs w:val="18"/>
                <w:lang w:val="en-GB"/>
              </w:rPr>
            </w:pPr>
          </w:p>
        </w:tc>
        <w:tc>
          <w:tcPr>
            <w:tcW w:w="992" w:type="dxa"/>
            <w:tcBorders>
              <w:top w:val="single" w:sz="12" w:space="0" w:color="auto"/>
            </w:tcBorders>
            <w:shd w:val="clear" w:color="auto" w:fill="auto"/>
            <w:noWrap/>
            <w:hideMark/>
          </w:tcPr>
          <w:p w14:paraId="61BAEFBA" w14:textId="77777777" w:rsidR="00D02989" w:rsidRPr="005531D9" w:rsidRDefault="00D02989" w:rsidP="00313A6F">
            <w:pPr>
              <w:jc w:val="center"/>
              <w:rPr>
                <w:sz w:val="18"/>
                <w:szCs w:val="18"/>
                <w:lang w:val="en-GB"/>
              </w:rPr>
            </w:pPr>
          </w:p>
        </w:tc>
        <w:tc>
          <w:tcPr>
            <w:tcW w:w="992" w:type="dxa"/>
            <w:tcBorders>
              <w:top w:val="single" w:sz="12" w:space="0" w:color="auto"/>
            </w:tcBorders>
            <w:shd w:val="clear" w:color="auto" w:fill="auto"/>
            <w:noWrap/>
            <w:hideMark/>
          </w:tcPr>
          <w:p w14:paraId="5B8BA955" w14:textId="77777777" w:rsidR="00D02989" w:rsidRPr="005531D9" w:rsidRDefault="00D02989" w:rsidP="00313A6F">
            <w:pPr>
              <w:jc w:val="center"/>
              <w:rPr>
                <w:sz w:val="18"/>
                <w:szCs w:val="18"/>
                <w:lang w:val="en-GB"/>
              </w:rPr>
            </w:pPr>
          </w:p>
        </w:tc>
        <w:tc>
          <w:tcPr>
            <w:tcW w:w="992" w:type="dxa"/>
            <w:tcBorders>
              <w:top w:val="single" w:sz="12" w:space="0" w:color="auto"/>
            </w:tcBorders>
            <w:shd w:val="clear" w:color="auto" w:fill="auto"/>
            <w:noWrap/>
            <w:hideMark/>
          </w:tcPr>
          <w:p w14:paraId="17EBF7E6" w14:textId="77777777" w:rsidR="00D02989" w:rsidRPr="005531D9" w:rsidRDefault="00D02989" w:rsidP="00313A6F">
            <w:pPr>
              <w:jc w:val="center"/>
              <w:rPr>
                <w:sz w:val="18"/>
                <w:szCs w:val="18"/>
                <w:lang w:val="en-GB"/>
              </w:rPr>
            </w:pPr>
          </w:p>
        </w:tc>
      </w:tr>
      <w:tr w:rsidR="005531D9" w:rsidRPr="005531D9" w14:paraId="064D8B75" w14:textId="77777777" w:rsidTr="00F0023F">
        <w:trPr>
          <w:trHeight w:val="300"/>
        </w:trPr>
        <w:tc>
          <w:tcPr>
            <w:tcW w:w="1120" w:type="dxa"/>
            <w:vMerge/>
            <w:shd w:val="clear" w:color="auto" w:fill="auto"/>
            <w:hideMark/>
          </w:tcPr>
          <w:p w14:paraId="4534EFEB" w14:textId="77777777" w:rsidR="00D02989" w:rsidRPr="005531D9" w:rsidRDefault="00D02989" w:rsidP="00313A6F">
            <w:pPr>
              <w:jc w:val="center"/>
              <w:rPr>
                <w:sz w:val="18"/>
                <w:szCs w:val="18"/>
                <w:lang w:val="en-GB"/>
              </w:rPr>
            </w:pPr>
          </w:p>
        </w:tc>
        <w:tc>
          <w:tcPr>
            <w:tcW w:w="2240" w:type="dxa"/>
            <w:shd w:val="clear" w:color="auto" w:fill="auto"/>
            <w:noWrap/>
            <w:hideMark/>
          </w:tcPr>
          <w:p w14:paraId="1AE4EBDB" w14:textId="77777777" w:rsidR="00D02989" w:rsidRPr="005531D9" w:rsidRDefault="00D02989" w:rsidP="00313A6F">
            <w:pPr>
              <w:ind w:firstLine="380"/>
              <w:rPr>
                <w:sz w:val="18"/>
                <w:szCs w:val="18"/>
                <w:lang w:val="en-GB"/>
              </w:rPr>
            </w:pPr>
            <w:r w:rsidRPr="005531D9">
              <w:rPr>
                <w:sz w:val="18"/>
                <w:szCs w:val="18"/>
                <w:lang w:val="en-GB"/>
              </w:rPr>
              <w:t>2 (</w:t>
            </w:r>
            <w:proofErr w:type="spellStart"/>
            <w:r w:rsidRPr="005531D9">
              <w:rPr>
                <w:strike/>
                <w:sz w:val="18"/>
                <w:szCs w:val="18"/>
                <w:lang w:val="en-GB"/>
              </w:rPr>
              <w:t>center</w:t>
            </w:r>
            <w:r w:rsidRPr="005531D9">
              <w:rPr>
                <w:b/>
                <w:bCs/>
                <w:sz w:val="18"/>
                <w:szCs w:val="18"/>
                <w:lang w:val="en-GB"/>
              </w:rPr>
              <w:t>centre</w:t>
            </w:r>
            <w:proofErr w:type="spellEnd"/>
            <w:r w:rsidRPr="005531D9">
              <w:rPr>
                <w:sz w:val="18"/>
                <w:szCs w:val="18"/>
                <w:lang w:val="en-GB"/>
              </w:rPr>
              <w:t>)</w:t>
            </w:r>
          </w:p>
        </w:tc>
        <w:tc>
          <w:tcPr>
            <w:tcW w:w="946" w:type="dxa"/>
            <w:shd w:val="clear" w:color="auto" w:fill="auto"/>
            <w:noWrap/>
            <w:hideMark/>
          </w:tcPr>
          <w:p w14:paraId="5B38F019" w14:textId="77777777" w:rsidR="00D02989" w:rsidRPr="005531D9" w:rsidRDefault="00D02989" w:rsidP="00313A6F">
            <w:pPr>
              <w:jc w:val="center"/>
              <w:rPr>
                <w:sz w:val="18"/>
                <w:szCs w:val="18"/>
                <w:lang w:val="en-GB"/>
              </w:rPr>
            </w:pPr>
          </w:p>
        </w:tc>
        <w:tc>
          <w:tcPr>
            <w:tcW w:w="992" w:type="dxa"/>
            <w:shd w:val="clear" w:color="auto" w:fill="auto"/>
            <w:noWrap/>
            <w:hideMark/>
          </w:tcPr>
          <w:p w14:paraId="325FCA1F" w14:textId="77777777" w:rsidR="00D02989" w:rsidRPr="005531D9" w:rsidRDefault="00D02989" w:rsidP="00313A6F">
            <w:pPr>
              <w:jc w:val="center"/>
              <w:rPr>
                <w:sz w:val="18"/>
                <w:szCs w:val="18"/>
                <w:lang w:val="en-GB"/>
              </w:rPr>
            </w:pPr>
          </w:p>
        </w:tc>
        <w:tc>
          <w:tcPr>
            <w:tcW w:w="992" w:type="dxa"/>
            <w:shd w:val="clear" w:color="auto" w:fill="auto"/>
            <w:noWrap/>
            <w:hideMark/>
          </w:tcPr>
          <w:p w14:paraId="1FD9D557" w14:textId="77777777" w:rsidR="00D02989" w:rsidRPr="005531D9" w:rsidRDefault="00D02989" w:rsidP="00313A6F">
            <w:pPr>
              <w:jc w:val="center"/>
              <w:rPr>
                <w:sz w:val="18"/>
                <w:szCs w:val="18"/>
                <w:lang w:val="en-GB"/>
              </w:rPr>
            </w:pPr>
          </w:p>
        </w:tc>
        <w:tc>
          <w:tcPr>
            <w:tcW w:w="992" w:type="dxa"/>
            <w:shd w:val="clear" w:color="auto" w:fill="auto"/>
            <w:noWrap/>
            <w:hideMark/>
          </w:tcPr>
          <w:p w14:paraId="02DA286D" w14:textId="77777777" w:rsidR="00D02989" w:rsidRPr="005531D9" w:rsidRDefault="00D02989" w:rsidP="00313A6F">
            <w:pPr>
              <w:jc w:val="center"/>
              <w:rPr>
                <w:sz w:val="18"/>
                <w:szCs w:val="18"/>
                <w:lang w:val="en-GB"/>
              </w:rPr>
            </w:pPr>
          </w:p>
        </w:tc>
      </w:tr>
      <w:tr w:rsidR="005531D9" w:rsidRPr="005531D9" w14:paraId="6C136AE1" w14:textId="77777777" w:rsidTr="00F0023F">
        <w:trPr>
          <w:trHeight w:val="300"/>
        </w:trPr>
        <w:tc>
          <w:tcPr>
            <w:tcW w:w="1120" w:type="dxa"/>
            <w:vMerge/>
            <w:tcBorders>
              <w:bottom w:val="single" w:sz="4" w:space="0" w:color="auto"/>
            </w:tcBorders>
            <w:shd w:val="clear" w:color="auto" w:fill="auto"/>
            <w:hideMark/>
          </w:tcPr>
          <w:p w14:paraId="67EBC146" w14:textId="77777777" w:rsidR="00D02989" w:rsidRPr="005531D9" w:rsidRDefault="00D02989" w:rsidP="00313A6F">
            <w:pPr>
              <w:jc w:val="center"/>
              <w:rPr>
                <w:sz w:val="18"/>
                <w:szCs w:val="18"/>
                <w:lang w:val="en-GB"/>
              </w:rPr>
            </w:pPr>
          </w:p>
        </w:tc>
        <w:tc>
          <w:tcPr>
            <w:tcW w:w="2240" w:type="dxa"/>
            <w:tcBorders>
              <w:bottom w:val="single" w:sz="4" w:space="0" w:color="auto"/>
            </w:tcBorders>
            <w:shd w:val="clear" w:color="auto" w:fill="auto"/>
            <w:noWrap/>
            <w:hideMark/>
          </w:tcPr>
          <w:p w14:paraId="5A628CFC" w14:textId="77777777" w:rsidR="00D02989" w:rsidRPr="005531D9" w:rsidRDefault="00D02989" w:rsidP="00313A6F">
            <w:pPr>
              <w:ind w:firstLine="380"/>
              <w:rPr>
                <w:sz w:val="18"/>
                <w:szCs w:val="18"/>
                <w:lang w:val="en-GB"/>
              </w:rPr>
            </w:pPr>
            <w:r w:rsidRPr="005531D9">
              <w:rPr>
                <w:sz w:val="18"/>
                <w:szCs w:val="18"/>
                <w:lang w:val="en-GB"/>
              </w:rPr>
              <w:t>3 (left)</w:t>
            </w:r>
          </w:p>
        </w:tc>
        <w:tc>
          <w:tcPr>
            <w:tcW w:w="946" w:type="dxa"/>
            <w:tcBorders>
              <w:bottom w:val="single" w:sz="4" w:space="0" w:color="auto"/>
            </w:tcBorders>
            <w:shd w:val="clear" w:color="auto" w:fill="auto"/>
            <w:noWrap/>
            <w:hideMark/>
          </w:tcPr>
          <w:p w14:paraId="11C7860D" w14:textId="77777777" w:rsidR="00D02989" w:rsidRPr="005531D9" w:rsidRDefault="00D02989" w:rsidP="00313A6F">
            <w:pPr>
              <w:jc w:val="center"/>
              <w:rPr>
                <w:sz w:val="18"/>
                <w:szCs w:val="18"/>
                <w:lang w:val="en-GB"/>
              </w:rPr>
            </w:pPr>
          </w:p>
        </w:tc>
        <w:tc>
          <w:tcPr>
            <w:tcW w:w="992" w:type="dxa"/>
            <w:tcBorders>
              <w:bottom w:val="single" w:sz="4" w:space="0" w:color="auto"/>
            </w:tcBorders>
            <w:shd w:val="clear" w:color="auto" w:fill="auto"/>
            <w:noWrap/>
            <w:hideMark/>
          </w:tcPr>
          <w:p w14:paraId="2E6E66C8" w14:textId="77777777" w:rsidR="00D02989" w:rsidRPr="005531D9" w:rsidRDefault="00D02989" w:rsidP="00313A6F">
            <w:pPr>
              <w:jc w:val="center"/>
              <w:rPr>
                <w:sz w:val="18"/>
                <w:szCs w:val="18"/>
                <w:lang w:val="en-GB"/>
              </w:rPr>
            </w:pPr>
          </w:p>
        </w:tc>
        <w:tc>
          <w:tcPr>
            <w:tcW w:w="992" w:type="dxa"/>
            <w:tcBorders>
              <w:bottom w:val="single" w:sz="4" w:space="0" w:color="auto"/>
            </w:tcBorders>
            <w:shd w:val="clear" w:color="auto" w:fill="auto"/>
            <w:noWrap/>
            <w:hideMark/>
          </w:tcPr>
          <w:p w14:paraId="5C69DA20" w14:textId="77777777" w:rsidR="00D02989" w:rsidRPr="005531D9" w:rsidRDefault="00D02989" w:rsidP="00313A6F">
            <w:pPr>
              <w:jc w:val="center"/>
              <w:rPr>
                <w:sz w:val="18"/>
                <w:szCs w:val="18"/>
                <w:lang w:val="en-GB"/>
              </w:rPr>
            </w:pPr>
          </w:p>
        </w:tc>
        <w:tc>
          <w:tcPr>
            <w:tcW w:w="992" w:type="dxa"/>
            <w:tcBorders>
              <w:bottom w:val="single" w:sz="4" w:space="0" w:color="auto"/>
            </w:tcBorders>
            <w:shd w:val="clear" w:color="auto" w:fill="auto"/>
            <w:noWrap/>
            <w:hideMark/>
          </w:tcPr>
          <w:p w14:paraId="63E1E4CD" w14:textId="77777777" w:rsidR="00D02989" w:rsidRPr="005531D9" w:rsidRDefault="00D02989" w:rsidP="00313A6F">
            <w:pPr>
              <w:jc w:val="center"/>
              <w:rPr>
                <w:sz w:val="18"/>
                <w:szCs w:val="18"/>
                <w:lang w:val="en-GB"/>
              </w:rPr>
            </w:pPr>
          </w:p>
        </w:tc>
      </w:tr>
      <w:tr w:rsidR="005531D9" w:rsidRPr="005531D9" w14:paraId="3EFE86B8" w14:textId="77777777" w:rsidTr="00F0023F">
        <w:trPr>
          <w:trHeight w:val="300"/>
        </w:trPr>
        <w:tc>
          <w:tcPr>
            <w:tcW w:w="3360" w:type="dxa"/>
            <w:gridSpan w:val="2"/>
            <w:tcBorders>
              <w:bottom w:val="single" w:sz="12" w:space="0" w:color="auto"/>
            </w:tcBorders>
            <w:shd w:val="clear" w:color="auto" w:fill="auto"/>
            <w:noWrap/>
            <w:hideMark/>
          </w:tcPr>
          <w:p w14:paraId="3FF834D9" w14:textId="77777777" w:rsidR="00D02989" w:rsidRPr="005531D9" w:rsidRDefault="00D02989" w:rsidP="00313A6F">
            <w:pPr>
              <w:jc w:val="center"/>
              <w:rPr>
                <w:sz w:val="18"/>
                <w:szCs w:val="18"/>
                <w:lang w:val="en-GB"/>
              </w:rPr>
            </w:pPr>
            <w:r w:rsidRPr="005531D9">
              <w:rPr>
                <w:sz w:val="18"/>
                <w:szCs w:val="18"/>
                <w:lang w:val="en-GB"/>
              </w:rPr>
              <w:t>Average</w:t>
            </w:r>
          </w:p>
        </w:tc>
        <w:tc>
          <w:tcPr>
            <w:tcW w:w="946" w:type="dxa"/>
            <w:tcBorders>
              <w:bottom w:val="single" w:sz="12" w:space="0" w:color="auto"/>
            </w:tcBorders>
            <w:shd w:val="clear" w:color="auto" w:fill="auto"/>
            <w:noWrap/>
            <w:hideMark/>
          </w:tcPr>
          <w:p w14:paraId="30102D18" w14:textId="77777777" w:rsidR="00D02989" w:rsidRPr="005531D9" w:rsidRDefault="00D02989" w:rsidP="00313A6F">
            <w:pPr>
              <w:jc w:val="center"/>
              <w:rPr>
                <w:sz w:val="18"/>
                <w:szCs w:val="18"/>
                <w:lang w:val="en-GB"/>
              </w:rPr>
            </w:pPr>
          </w:p>
        </w:tc>
        <w:tc>
          <w:tcPr>
            <w:tcW w:w="992" w:type="dxa"/>
            <w:tcBorders>
              <w:bottom w:val="single" w:sz="12" w:space="0" w:color="auto"/>
            </w:tcBorders>
            <w:shd w:val="clear" w:color="auto" w:fill="auto"/>
            <w:noWrap/>
            <w:hideMark/>
          </w:tcPr>
          <w:p w14:paraId="779EB766" w14:textId="77777777" w:rsidR="00D02989" w:rsidRPr="005531D9" w:rsidRDefault="00D02989" w:rsidP="00313A6F">
            <w:pPr>
              <w:jc w:val="center"/>
              <w:rPr>
                <w:sz w:val="18"/>
                <w:szCs w:val="18"/>
                <w:lang w:val="en-GB"/>
              </w:rPr>
            </w:pPr>
          </w:p>
        </w:tc>
        <w:tc>
          <w:tcPr>
            <w:tcW w:w="992" w:type="dxa"/>
            <w:tcBorders>
              <w:bottom w:val="single" w:sz="12" w:space="0" w:color="auto"/>
            </w:tcBorders>
            <w:shd w:val="clear" w:color="auto" w:fill="auto"/>
            <w:noWrap/>
            <w:hideMark/>
          </w:tcPr>
          <w:p w14:paraId="1EEEC169" w14:textId="77777777" w:rsidR="00D02989" w:rsidRPr="005531D9" w:rsidRDefault="00D02989" w:rsidP="00313A6F">
            <w:pPr>
              <w:jc w:val="center"/>
              <w:rPr>
                <w:sz w:val="18"/>
                <w:szCs w:val="18"/>
                <w:lang w:val="en-GB"/>
              </w:rPr>
            </w:pPr>
          </w:p>
        </w:tc>
        <w:tc>
          <w:tcPr>
            <w:tcW w:w="992" w:type="dxa"/>
            <w:tcBorders>
              <w:bottom w:val="single" w:sz="12" w:space="0" w:color="auto"/>
            </w:tcBorders>
            <w:shd w:val="clear" w:color="auto" w:fill="auto"/>
            <w:noWrap/>
            <w:hideMark/>
          </w:tcPr>
          <w:p w14:paraId="487EAEA3" w14:textId="77777777" w:rsidR="00D02989" w:rsidRPr="005531D9" w:rsidRDefault="00D02989" w:rsidP="00313A6F">
            <w:pPr>
              <w:jc w:val="center"/>
              <w:rPr>
                <w:sz w:val="18"/>
                <w:szCs w:val="18"/>
                <w:lang w:val="en-GB"/>
              </w:rPr>
            </w:pPr>
          </w:p>
        </w:tc>
      </w:tr>
    </w:tbl>
    <w:p w14:paraId="2BEDAC6E" w14:textId="198158C2" w:rsidR="00950139" w:rsidRPr="005531D9" w:rsidRDefault="00D02989" w:rsidP="00F0023F">
      <w:pPr>
        <w:pStyle w:val="SingleTxtG"/>
        <w:ind w:left="2410" w:hanging="1276"/>
        <w:rPr>
          <w:bCs/>
          <w:lang w:val="en-GB"/>
        </w:rPr>
      </w:pPr>
      <w:r w:rsidRPr="005531D9">
        <w:rPr>
          <w:bCs/>
          <w:lang w:val="en-GB"/>
        </w:rPr>
        <w:t>"</w:t>
      </w:r>
      <w:bookmarkStart w:id="12" w:name="_Hlk150788979"/>
    </w:p>
    <w:p w14:paraId="640E6DAF" w14:textId="0583CA1F" w:rsidR="0033572B" w:rsidRPr="005531D9" w:rsidRDefault="003F636C" w:rsidP="00313A6F">
      <w:pPr>
        <w:keepNext/>
        <w:keepLines/>
        <w:tabs>
          <w:tab w:val="right" w:pos="851"/>
        </w:tabs>
        <w:spacing w:before="360" w:after="240" w:line="300" w:lineRule="exact"/>
        <w:ind w:left="360" w:right="1134"/>
        <w:rPr>
          <w:b/>
          <w:bCs/>
          <w:sz w:val="28"/>
          <w:szCs w:val="28"/>
          <w:lang w:val="en-GB"/>
        </w:rPr>
      </w:pPr>
      <w:r w:rsidRPr="005531D9">
        <w:rPr>
          <w:b/>
          <w:bCs/>
          <w:sz w:val="28"/>
          <w:szCs w:val="28"/>
          <w:lang w:val="en-GB"/>
        </w:rPr>
        <w:tab/>
      </w:r>
      <w:r w:rsidR="00E5260A" w:rsidRPr="005531D9">
        <w:rPr>
          <w:b/>
          <w:bCs/>
          <w:sz w:val="28"/>
          <w:szCs w:val="28"/>
          <w:lang w:val="en-GB"/>
        </w:rPr>
        <w:t>II.</w:t>
      </w:r>
      <w:r w:rsidRPr="005531D9">
        <w:rPr>
          <w:b/>
          <w:bCs/>
          <w:sz w:val="28"/>
          <w:szCs w:val="28"/>
          <w:lang w:val="en-GB"/>
        </w:rPr>
        <w:tab/>
      </w:r>
      <w:r w:rsidR="0033572B" w:rsidRPr="005531D9">
        <w:rPr>
          <w:b/>
          <w:bCs/>
          <w:sz w:val="28"/>
          <w:szCs w:val="28"/>
          <w:lang w:val="en-GB"/>
        </w:rPr>
        <w:t>Justification</w:t>
      </w:r>
    </w:p>
    <w:p w14:paraId="5837C777" w14:textId="77777777" w:rsidR="002E2B23" w:rsidRPr="005531D9" w:rsidRDefault="002E2B23" w:rsidP="00F0023F">
      <w:pPr>
        <w:pStyle w:val="ListParagraph"/>
        <w:numPr>
          <w:ilvl w:val="0"/>
          <w:numId w:val="13"/>
        </w:numPr>
        <w:spacing w:after="120"/>
        <w:ind w:left="1134" w:right="1134" w:firstLine="0"/>
        <w:jc w:val="both"/>
      </w:pPr>
      <w:r w:rsidRPr="005531D9">
        <w:rPr>
          <w:lang w:eastAsia="ja-JP"/>
        </w:rPr>
        <w:t xml:space="preserve">The title of paragraph 6 is changed to </w:t>
      </w:r>
      <w:r w:rsidRPr="005531D9">
        <w:rPr>
          <w:i/>
          <w:iCs/>
          <w:lang w:eastAsia="ja-JP"/>
        </w:rPr>
        <w:t>Requirements</w:t>
      </w:r>
      <w:r w:rsidRPr="005531D9">
        <w:rPr>
          <w:lang w:eastAsia="ja-JP"/>
        </w:rPr>
        <w:t>, more in line with its content and with UN Regulations No. 30, 75 and 106.</w:t>
      </w:r>
    </w:p>
    <w:p w14:paraId="78B8E408" w14:textId="07E01F07" w:rsidR="00356F04" w:rsidRPr="005531D9" w:rsidRDefault="00356F04" w:rsidP="00F0023F">
      <w:pPr>
        <w:pStyle w:val="ListParagraph"/>
        <w:numPr>
          <w:ilvl w:val="0"/>
          <w:numId w:val="13"/>
        </w:numPr>
        <w:spacing w:after="120"/>
        <w:ind w:left="1134" w:right="1134" w:firstLine="0"/>
        <w:jc w:val="both"/>
      </w:pPr>
      <w:r w:rsidRPr="005531D9">
        <w:rPr>
          <w:lang w:eastAsia="ja-JP"/>
        </w:rPr>
        <w:t xml:space="preserve">In the </w:t>
      </w:r>
      <w:r w:rsidRPr="005531D9">
        <w:rPr>
          <w:i/>
          <w:iCs/>
          <w:lang w:eastAsia="ja-JP"/>
        </w:rPr>
        <w:t>Contents</w:t>
      </w:r>
      <w:r w:rsidRPr="005531D9">
        <w:rPr>
          <w:lang w:eastAsia="ja-JP"/>
        </w:rPr>
        <w:t xml:space="preserve">, item 7 is now aligned to the title </w:t>
      </w:r>
      <w:r w:rsidR="00401718">
        <w:rPr>
          <w:lang w:eastAsia="ja-JP"/>
        </w:rPr>
        <w:t>o</w:t>
      </w:r>
      <w:r w:rsidRPr="005531D9">
        <w:rPr>
          <w:lang w:eastAsia="ja-JP"/>
        </w:rPr>
        <w:t xml:space="preserve">f </w:t>
      </w:r>
      <w:r w:rsidR="006F1E75">
        <w:rPr>
          <w:lang w:eastAsia="ja-JP"/>
        </w:rPr>
        <w:t>p</w:t>
      </w:r>
      <w:r w:rsidRPr="005531D9">
        <w:rPr>
          <w:lang w:eastAsia="ja-JP"/>
        </w:rPr>
        <w:t>aragraph 7.</w:t>
      </w:r>
    </w:p>
    <w:p w14:paraId="6F2F1AD9" w14:textId="5DC08490" w:rsidR="00356F04" w:rsidRPr="005531D9" w:rsidRDefault="00356F04" w:rsidP="00F0023F">
      <w:pPr>
        <w:pStyle w:val="ListParagraph"/>
        <w:numPr>
          <w:ilvl w:val="0"/>
          <w:numId w:val="13"/>
        </w:numPr>
        <w:spacing w:after="120"/>
        <w:ind w:left="1134" w:right="1134" w:firstLine="0"/>
        <w:jc w:val="both"/>
      </w:pPr>
      <w:r w:rsidRPr="005531D9">
        <w:rPr>
          <w:lang w:eastAsia="ja-JP"/>
        </w:rPr>
        <w:t xml:space="preserve">As already done for UN Regulation No. 164, in paragraph 1, the reference to the </w:t>
      </w:r>
      <w:r w:rsidRPr="005531D9">
        <w:t>Consolidated Resolution on the Construction of Vehicles (R.E.3) is simplified to avoid the need of continuous update with new revisions.</w:t>
      </w:r>
    </w:p>
    <w:p w14:paraId="04727CDE" w14:textId="77777777" w:rsidR="007E3E68" w:rsidRPr="005531D9" w:rsidRDefault="002E2B23" w:rsidP="00F0023F">
      <w:pPr>
        <w:pStyle w:val="ListParagraph"/>
        <w:numPr>
          <w:ilvl w:val="0"/>
          <w:numId w:val="13"/>
        </w:numPr>
        <w:suppressAutoHyphens w:val="0"/>
        <w:spacing w:after="120"/>
        <w:ind w:left="1134" w:right="1134" w:firstLine="0"/>
        <w:jc w:val="both"/>
      </w:pPr>
      <w:r w:rsidRPr="005531D9">
        <w:t>The reference to ISO standards is</w:t>
      </w:r>
      <w:r w:rsidR="007E3E68" w:rsidRPr="005531D9">
        <w:t xml:space="preserve"> updated in many paragraphs.</w:t>
      </w:r>
    </w:p>
    <w:p w14:paraId="6F6E6201" w14:textId="09B78715" w:rsidR="007E3E68" w:rsidRPr="005531D9" w:rsidRDefault="007E3E68" w:rsidP="00F0023F">
      <w:pPr>
        <w:pStyle w:val="ListParagraph"/>
        <w:numPr>
          <w:ilvl w:val="0"/>
          <w:numId w:val="13"/>
        </w:numPr>
        <w:suppressAutoHyphens w:val="0"/>
        <w:spacing w:after="120"/>
        <w:ind w:left="1134" w:right="1134" w:firstLine="0"/>
        <w:jc w:val="both"/>
      </w:pPr>
      <w:r w:rsidRPr="005531D9">
        <w:t xml:space="preserve">Editorial corrections </w:t>
      </w:r>
      <w:r w:rsidR="00B97F5D">
        <w:t xml:space="preserve">are introduced </w:t>
      </w:r>
      <w:r w:rsidRPr="005531D9">
        <w:t xml:space="preserve">to align the wording of measurement units in line with the Guidelines for the preparation and submission of documents to </w:t>
      </w:r>
      <w:r w:rsidR="004B23E3">
        <w:t xml:space="preserve">the </w:t>
      </w:r>
      <w:r w:rsidR="004B23E3" w:rsidRPr="004B23E3">
        <w:t xml:space="preserve">World Forum for Harmonization of Vehicle Regulations </w:t>
      </w:r>
      <w:r w:rsidR="004B23E3">
        <w:t>(</w:t>
      </w:r>
      <w:r w:rsidRPr="005531D9">
        <w:t>WP.29</w:t>
      </w:r>
      <w:r w:rsidR="004B23E3">
        <w:t>)</w:t>
      </w:r>
      <w:r w:rsidRPr="005531D9">
        <w:t xml:space="preserve"> and to its subsidiary bodies.</w:t>
      </w:r>
    </w:p>
    <w:p w14:paraId="78D9CB27" w14:textId="20248EED" w:rsidR="007E3E68" w:rsidRPr="005531D9" w:rsidRDefault="007E3E68" w:rsidP="00F0023F">
      <w:pPr>
        <w:pStyle w:val="ListParagraph"/>
        <w:numPr>
          <w:ilvl w:val="0"/>
          <w:numId w:val="13"/>
        </w:numPr>
        <w:suppressAutoHyphens w:val="0"/>
        <w:spacing w:after="120"/>
        <w:ind w:left="1134" w:right="1134" w:firstLine="0"/>
        <w:jc w:val="both"/>
      </w:pPr>
      <w:r w:rsidRPr="005531D9">
        <w:t xml:space="preserve">The </w:t>
      </w:r>
      <w:r w:rsidRPr="005531D9">
        <w:rPr>
          <w:i/>
          <w:iCs/>
        </w:rPr>
        <w:t>snow tyre</w:t>
      </w:r>
      <w:r w:rsidRPr="005531D9">
        <w:t xml:space="preserve"> definition is now aligned to the one in UN Regulations No. 54 and </w:t>
      </w:r>
      <w:r w:rsidR="006E4BCA" w:rsidRPr="005531D9">
        <w:t>75.</w:t>
      </w:r>
    </w:p>
    <w:p w14:paraId="509963B8" w14:textId="32E7D2E6" w:rsidR="006E4BCA" w:rsidRPr="005531D9" w:rsidRDefault="006E4BCA" w:rsidP="00F0023F">
      <w:pPr>
        <w:pStyle w:val="ListParagraph"/>
        <w:numPr>
          <w:ilvl w:val="0"/>
          <w:numId w:val="13"/>
        </w:numPr>
        <w:suppressAutoHyphens w:val="0"/>
        <w:spacing w:after="120"/>
        <w:ind w:left="1134" w:right="1134" w:firstLine="0"/>
        <w:jc w:val="both"/>
      </w:pPr>
      <w:r w:rsidRPr="005531D9">
        <w:t>The updated reference to AST</w:t>
      </w:r>
      <w:r w:rsidR="00366C21">
        <w:t>M</w:t>
      </w:r>
      <w:r w:rsidRPr="005531D9">
        <w:t xml:space="preserve"> standards is provided in paragraph 2.18.</w:t>
      </w:r>
    </w:p>
    <w:bookmarkEnd w:id="12"/>
    <w:p w14:paraId="5D30FCCD" w14:textId="241668CD" w:rsidR="006E4BCA" w:rsidRPr="005531D9" w:rsidRDefault="006E4BCA" w:rsidP="00F0023F">
      <w:pPr>
        <w:pStyle w:val="ListParagraph"/>
        <w:numPr>
          <w:ilvl w:val="0"/>
          <w:numId w:val="13"/>
        </w:numPr>
        <w:suppressAutoHyphens w:val="0"/>
        <w:spacing w:after="120"/>
        <w:ind w:left="1134" w:right="1134" w:firstLine="0"/>
        <w:jc w:val="both"/>
      </w:pPr>
      <w:r w:rsidRPr="005531D9">
        <w:t xml:space="preserve">In Annex </w:t>
      </w:r>
      <w:r w:rsidR="007A583C" w:rsidRPr="005531D9">
        <w:t>9</w:t>
      </w:r>
      <w:r w:rsidRPr="005531D9">
        <w:t>, reference</w:t>
      </w:r>
      <w:r w:rsidR="001446AE">
        <w:t>s</w:t>
      </w:r>
      <w:r w:rsidRPr="005531D9">
        <w:t xml:space="preserve"> to two figures w</w:t>
      </w:r>
      <w:r w:rsidR="001446AE">
        <w:t xml:space="preserve">ere </w:t>
      </w:r>
      <w:r w:rsidRPr="005531D9">
        <w:t>added for clarification.</w:t>
      </w:r>
    </w:p>
    <w:p w14:paraId="3AABACE1" w14:textId="1F7AAE22" w:rsidR="00B11277" w:rsidRPr="005531D9" w:rsidRDefault="003A7CF1" w:rsidP="00313A6F">
      <w:pPr>
        <w:spacing w:before="240"/>
        <w:jc w:val="center"/>
        <w:rPr>
          <w:u w:val="single"/>
          <w:lang w:val="en-GB"/>
        </w:rPr>
      </w:pPr>
      <w:r w:rsidRPr="005531D9">
        <w:rPr>
          <w:u w:val="single"/>
          <w:lang w:val="en-GB"/>
        </w:rPr>
        <w:tab/>
      </w:r>
      <w:r w:rsidRPr="005531D9">
        <w:rPr>
          <w:u w:val="single"/>
          <w:lang w:val="en-GB"/>
        </w:rPr>
        <w:tab/>
      </w:r>
      <w:r w:rsidRPr="005531D9">
        <w:rPr>
          <w:u w:val="single"/>
          <w:lang w:val="en-GB"/>
        </w:rPr>
        <w:tab/>
      </w:r>
    </w:p>
    <w:sectPr w:rsidR="00B11277" w:rsidRPr="005531D9" w:rsidSect="00FE243B">
      <w:headerReference w:type="first" r:id="rId20"/>
      <w:footerReference w:type="first" r:id="rId21"/>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0B8A" w14:textId="77777777" w:rsidR="00F14E54" w:rsidRDefault="00F14E54"/>
  </w:endnote>
  <w:endnote w:type="continuationSeparator" w:id="0">
    <w:p w14:paraId="5C458349" w14:textId="77777777" w:rsidR="00F14E54" w:rsidRDefault="00F14E54"/>
  </w:endnote>
  <w:endnote w:type="continuationNotice" w:id="1">
    <w:p w14:paraId="7C61D3F4" w14:textId="77777777" w:rsidR="00F14E54" w:rsidRDefault="00F1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A14E" w14:textId="30AF569B" w:rsidR="003E1D2F" w:rsidRDefault="003E1D2F" w:rsidP="003E1D2F">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215FF422" wp14:editId="79258D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9A4137" w14:textId="6090DB23" w:rsidR="003E1D2F" w:rsidRPr="003E1D2F" w:rsidRDefault="003E1D2F" w:rsidP="003E1D2F">
    <w:pPr>
      <w:spacing w:line="240" w:lineRule="auto"/>
      <w:ind w:right="1134"/>
    </w:pPr>
    <w:r>
      <w:t>GE.23-22759(E)</w:t>
    </w:r>
    <w:r>
      <w:rPr>
        <w:noProof/>
      </w:rPr>
      <w:drawing>
        <wp:anchor distT="0" distB="0" distL="114300" distR="114300" simplePos="0" relativeHeight="251660288" behindDoc="0" locked="0" layoutInCell="1" allowOverlap="1" wp14:anchorId="54104B0C" wp14:editId="4AA7EE3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366D" w14:textId="77777777" w:rsidR="00F14E54" w:rsidRPr="00D27D5E" w:rsidRDefault="00F14E54" w:rsidP="00D27D5E">
      <w:pPr>
        <w:tabs>
          <w:tab w:val="right" w:pos="2155"/>
        </w:tabs>
        <w:spacing w:after="80"/>
        <w:ind w:left="680"/>
        <w:rPr>
          <w:u w:val="single"/>
        </w:rPr>
      </w:pPr>
      <w:r>
        <w:rPr>
          <w:u w:val="single"/>
        </w:rPr>
        <w:tab/>
      </w:r>
    </w:p>
  </w:footnote>
  <w:footnote w:type="continuationSeparator" w:id="0">
    <w:p w14:paraId="49083486" w14:textId="77777777" w:rsidR="00F14E54" w:rsidRDefault="00F14E54">
      <w:r>
        <w:rPr>
          <w:u w:val="single"/>
        </w:rPr>
        <w:tab/>
      </w:r>
      <w:r>
        <w:rPr>
          <w:u w:val="single"/>
        </w:rPr>
        <w:tab/>
      </w:r>
      <w:r>
        <w:rPr>
          <w:u w:val="single"/>
        </w:rPr>
        <w:tab/>
      </w:r>
      <w:r>
        <w:rPr>
          <w:u w:val="single"/>
        </w:rPr>
        <w:tab/>
      </w:r>
    </w:p>
  </w:footnote>
  <w:footnote w:type="continuationNotice" w:id="1">
    <w:p w14:paraId="0AFDECF7" w14:textId="77777777" w:rsidR="00F14E54" w:rsidRDefault="00F14E54"/>
  </w:footnote>
  <w:footnote w:id="2">
    <w:p w14:paraId="3D2E18DA" w14:textId="777FB1A3"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00F56D95" w:rsidRPr="00F56D95">
        <w:rPr>
          <w:lang w:val="en-US"/>
        </w:rPr>
        <w:t xml:space="preserve">2024 (A/78/6 (Sect. 20), table 20.5),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11A59C7A" w:rsidR="00127D55" w:rsidRPr="00401718" w:rsidRDefault="00401718" w:rsidP="00401718">
    <w:pPr>
      <w:pStyle w:val="Header"/>
      <w:rPr>
        <w:color w:val="FF0000"/>
        <w:u w:val="single"/>
        <w:lang w:val="en-US"/>
      </w:rPr>
    </w:pPr>
    <w:r w:rsidRPr="00BB1F39">
      <w:rPr>
        <w:lang w:val="en-US"/>
      </w:rPr>
      <w:t>ECE/TRANS/WP.29</w:t>
    </w:r>
    <w:r>
      <w:rPr>
        <w:lang w:val="en-US"/>
      </w:rPr>
      <w:t>/GRBP/2024/</w:t>
    </w:r>
    <w:r w:rsidR="00C17DEA">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08AEDEF7" w:rsidR="00127D55" w:rsidRPr="00401718" w:rsidRDefault="00401718" w:rsidP="00401718">
    <w:pPr>
      <w:pStyle w:val="Header"/>
      <w:jc w:val="right"/>
      <w:rPr>
        <w:color w:val="FF0000"/>
        <w:u w:val="single"/>
        <w:lang w:val="en-US"/>
      </w:rPr>
    </w:pPr>
    <w:r w:rsidRPr="00BB1F39">
      <w:rPr>
        <w:lang w:val="en-US"/>
      </w:rPr>
      <w:t>ECE/TRANS/WP.29</w:t>
    </w:r>
    <w:r>
      <w:rPr>
        <w:lang w:val="en-US"/>
      </w:rPr>
      <w:t>/GRBP/2024/</w:t>
    </w:r>
    <w:r w:rsidR="00C17DEA">
      <w:rPr>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46477793"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B06876">
      <w:rPr>
        <w:lang w:val="en-US"/>
      </w:rPr>
      <w:t>4</w:t>
    </w:r>
    <w:r w:rsidR="006A187B">
      <w:rPr>
        <w:lang w:val="en-US"/>
      </w:rPr>
      <w:t>/</w:t>
    </w:r>
    <w:r w:rsidR="00C17DEA">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1"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2"/>
  </w:num>
  <w:num w:numId="2" w16cid:durableId="1712224024">
    <w:abstractNumId w:val="6"/>
  </w:num>
  <w:num w:numId="3" w16cid:durableId="330833877">
    <w:abstractNumId w:val="8"/>
  </w:num>
  <w:num w:numId="4" w16cid:durableId="856044574">
    <w:abstractNumId w:val="4"/>
  </w:num>
  <w:num w:numId="5" w16cid:durableId="1154417406">
    <w:abstractNumId w:val="3"/>
  </w:num>
  <w:num w:numId="6" w16cid:durableId="2102872827">
    <w:abstractNumId w:val="1"/>
  </w:num>
  <w:num w:numId="7" w16cid:durableId="1453984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1"/>
  </w:num>
  <w:num w:numId="10" w16cid:durableId="1506047554">
    <w:abstractNumId w:val="7"/>
  </w:num>
  <w:num w:numId="11" w16cid:durableId="4091750">
    <w:abstractNumId w:val="13"/>
  </w:num>
  <w:num w:numId="12" w16cid:durableId="450979022">
    <w:abstractNumId w:val="0"/>
  </w:num>
  <w:num w:numId="13" w16cid:durableId="1283684658">
    <w:abstractNumId w:val="9"/>
  </w:num>
  <w:num w:numId="14"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FD7"/>
    <w:rsid w:val="00030ADE"/>
    <w:rsid w:val="000312C0"/>
    <w:rsid w:val="00031CA3"/>
    <w:rsid w:val="00031EFC"/>
    <w:rsid w:val="00035F50"/>
    <w:rsid w:val="000403DA"/>
    <w:rsid w:val="00042C26"/>
    <w:rsid w:val="00042F83"/>
    <w:rsid w:val="00053AD5"/>
    <w:rsid w:val="000571C0"/>
    <w:rsid w:val="00057396"/>
    <w:rsid w:val="00057B5D"/>
    <w:rsid w:val="0006268C"/>
    <w:rsid w:val="00065F01"/>
    <w:rsid w:val="000676C2"/>
    <w:rsid w:val="00081703"/>
    <w:rsid w:val="0008393C"/>
    <w:rsid w:val="00083F5E"/>
    <w:rsid w:val="0008597A"/>
    <w:rsid w:val="00093ECB"/>
    <w:rsid w:val="000A2D72"/>
    <w:rsid w:val="000A500E"/>
    <w:rsid w:val="000A59AC"/>
    <w:rsid w:val="000B422A"/>
    <w:rsid w:val="000C7B5F"/>
    <w:rsid w:val="000D08FD"/>
    <w:rsid w:val="000D146E"/>
    <w:rsid w:val="000D50BB"/>
    <w:rsid w:val="000D6F61"/>
    <w:rsid w:val="000E0648"/>
    <w:rsid w:val="000E099C"/>
    <w:rsid w:val="000E40FD"/>
    <w:rsid w:val="000F2A46"/>
    <w:rsid w:val="000F3C75"/>
    <w:rsid w:val="000F41F2"/>
    <w:rsid w:val="000F5826"/>
    <w:rsid w:val="0010544E"/>
    <w:rsid w:val="0010578F"/>
    <w:rsid w:val="0011306C"/>
    <w:rsid w:val="001138F1"/>
    <w:rsid w:val="0011447A"/>
    <w:rsid w:val="001243E5"/>
    <w:rsid w:val="001249D5"/>
    <w:rsid w:val="0012502C"/>
    <w:rsid w:val="00127D55"/>
    <w:rsid w:val="00130B2A"/>
    <w:rsid w:val="00130D9B"/>
    <w:rsid w:val="00135C0D"/>
    <w:rsid w:val="00136077"/>
    <w:rsid w:val="00140B74"/>
    <w:rsid w:val="001438FD"/>
    <w:rsid w:val="001446AE"/>
    <w:rsid w:val="00146FCF"/>
    <w:rsid w:val="00150865"/>
    <w:rsid w:val="00153756"/>
    <w:rsid w:val="0015656A"/>
    <w:rsid w:val="00160540"/>
    <w:rsid w:val="00161A5C"/>
    <w:rsid w:val="00164B1E"/>
    <w:rsid w:val="00164EC9"/>
    <w:rsid w:val="0017182C"/>
    <w:rsid w:val="00177007"/>
    <w:rsid w:val="0018605F"/>
    <w:rsid w:val="00186C01"/>
    <w:rsid w:val="00186EE9"/>
    <w:rsid w:val="00187BBC"/>
    <w:rsid w:val="001901A6"/>
    <w:rsid w:val="00192EEB"/>
    <w:rsid w:val="00193D16"/>
    <w:rsid w:val="001A1371"/>
    <w:rsid w:val="001A20FB"/>
    <w:rsid w:val="001A293E"/>
    <w:rsid w:val="001B2A28"/>
    <w:rsid w:val="001B6F40"/>
    <w:rsid w:val="001C1022"/>
    <w:rsid w:val="001C1AEE"/>
    <w:rsid w:val="001C263B"/>
    <w:rsid w:val="001C2E31"/>
    <w:rsid w:val="001C3BB1"/>
    <w:rsid w:val="001C5E6F"/>
    <w:rsid w:val="001C60AE"/>
    <w:rsid w:val="001D2352"/>
    <w:rsid w:val="001D320D"/>
    <w:rsid w:val="001D7B06"/>
    <w:rsid w:val="001D7F8A"/>
    <w:rsid w:val="001E1C4E"/>
    <w:rsid w:val="001E20DE"/>
    <w:rsid w:val="001E2E48"/>
    <w:rsid w:val="001E3FEB"/>
    <w:rsid w:val="001E4A02"/>
    <w:rsid w:val="001F7687"/>
    <w:rsid w:val="002013C5"/>
    <w:rsid w:val="00206C2C"/>
    <w:rsid w:val="00207580"/>
    <w:rsid w:val="002128EE"/>
    <w:rsid w:val="00217A86"/>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5EDB"/>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3AB3"/>
    <w:rsid w:val="002B47F8"/>
    <w:rsid w:val="002B5F5D"/>
    <w:rsid w:val="002B6D3F"/>
    <w:rsid w:val="002C03EB"/>
    <w:rsid w:val="002C0CBE"/>
    <w:rsid w:val="002C16C3"/>
    <w:rsid w:val="002C2BCA"/>
    <w:rsid w:val="002E2B23"/>
    <w:rsid w:val="002E38A6"/>
    <w:rsid w:val="002E5E7A"/>
    <w:rsid w:val="002F32A9"/>
    <w:rsid w:val="002F7163"/>
    <w:rsid w:val="003016B7"/>
    <w:rsid w:val="0030596E"/>
    <w:rsid w:val="00310241"/>
    <w:rsid w:val="00311677"/>
    <w:rsid w:val="00311D7D"/>
    <w:rsid w:val="00312DCE"/>
    <w:rsid w:val="00313A6F"/>
    <w:rsid w:val="00314D40"/>
    <w:rsid w:val="00317CE1"/>
    <w:rsid w:val="003220DA"/>
    <w:rsid w:val="0032427A"/>
    <w:rsid w:val="00325C93"/>
    <w:rsid w:val="0032688E"/>
    <w:rsid w:val="003278BE"/>
    <w:rsid w:val="0033087D"/>
    <w:rsid w:val="00330F9C"/>
    <w:rsid w:val="0033572B"/>
    <w:rsid w:val="00335748"/>
    <w:rsid w:val="00335D9F"/>
    <w:rsid w:val="003360FB"/>
    <w:rsid w:val="00336E96"/>
    <w:rsid w:val="00340C35"/>
    <w:rsid w:val="003427E7"/>
    <w:rsid w:val="00342FE6"/>
    <w:rsid w:val="003515AA"/>
    <w:rsid w:val="00352282"/>
    <w:rsid w:val="003540FD"/>
    <w:rsid w:val="00356F04"/>
    <w:rsid w:val="003602A4"/>
    <w:rsid w:val="003616B4"/>
    <w:rsid w:val="00362757"/>
    <w:rsid w:val="003649BA"/>
    <w:rsid w:val="00365F33"/>
    <w:rsid w:val="00366C21"/>
    <w:rsid w:val="00370E0F"/>
    <w:rsid w:val="00374106"/>
    <w:rsid w:val="003822EB"/>
    <w:rsid w:val="00387337"/>
    <w:rsid w:val="00393F52"/>
    <w:rsid w:val="00395DFE"/>
    <w:rsid w:val="003976D5"/>
    <w:rsid w:val="003A0FE8"/>
    <w:rsid w:val="003A4450"/>
    <w:rsid w:val="003A7CF1"/>
    <w:rsid w:val="003B0348"/>
    <w:rsid w:val="003B1596"/>
    <w:rsid w:val="003B3944"/>
    <w:rsid w:val="003B4E7F"/>
    <w:rsid w:val="003B71BA"/>
    <w:rsid w:val="003B7323"/>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1D2F"/>
    <w:rsid w:val="003E4A29"/>
    <w:rsid w:val="003F143E"/>
    <w:rsid w:val="003F6314"/>
    <w:rsid w:val="003F636C"/>
    <w:rsid w:val="00401718"/>
    <w:rsid w:val="0041175A"/>
    <w:rsid w:val="00411A77"/>
    <w:rsid w:val="004137EA"/>
    <w:rsid w:val="004159D0"/>
    <w:rsid w:val="004212CD"/>
    <w:rsid w:val="004249E7"/>
    <w:rsid w:val="0042645E"/>
    <w:rsid w:val="00426B2D"/>
    <w:rsid w:val="00426C6C"/>
    <w:rsid w:val="004302BF"/>
    <w:rsid w:val="0043072D"/>
    <w:rsid w:val="00430895"/>
    <w:rsid w:val="00430E44"/>
    <w:rsid w:val="004341F2"/>
    <w:rsid w:val="00434F04"/>
    <w:rsid w:val="00437B76"/>
    <w:rsid w:val="00440D4C"/>
    <w:rsid w:val="00444ACD"/>
    <w:rsid w:val="004456D6"/>
    <w:rsid w:val="0045262A"/>
    <w:rsid w:val="004538FB"/>
    <w:rsid w:val="004720B1"/>
    <w:rsid w:val="00473A8F"/>
    <w:rsid w:val="00473D03"/>
    <w:rsid w:val="0048239C"/>
    <w:rsid w:val="00490450"/>
    <w:rsid w:val="004A67FC"/>
    <w:rsid w:val="004A7442"/>
    <w:rsid w:val="004B23E3"/>
    <w:rsid w:val="004B2A94"/>
    <w:rsid w:val="004C0D3F"/>
    <w:rsid w:val="004D2005"/>
    <w:rsid w:val="004D3124"/>
    <w:rsid w:val="004D36D3"/>
    <w:rsid w:val="004D6F75"/>
    <w:rsid w:val="004E5BF0"/>
    <w:rsid w:val="004F077A"/>
    <w:rsid w:val="004F147A"/>
    <w:rsid w:val="004F55FF"/>
    <w:rsid w:val="00502C64"/>
    <w:rsid w:val="00503783"/>
    <w:rsid w:val="00506198"/>
    <w:rsid w:val="0050659C"/>
    <w:rsid w:val="00510FAC"/>
    <w:rsid w:val="00514DBB"/>
    <w:rsid w:val="00515D54"/>
    <w:rsid w:val="0052189F"/>
    <w:rsid w:val="0052230D"/>
    <w:rsid w:val="0052484D"/>
    <w:rsid w:val="00525DFD"/>
    <w:rsid w:val="00526DB0"/>
    <w:rsid w:val="0053388D"/>
    <w:rsid w:val="005409E7"/>
    <w:rsid w:val="00542549"/>
    <w:rsid w:val="0054385B"/>
    <w:rsid w:val="00543D5E"/>
    <w:rsid w:val="00550885"/>
    <w:rsid w:val="00550ED2"/>
    <w:rsid w:val="005531D9"/>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1467"/>
    <w:rsid w:val="005E2FF0"/>
    <w:rsid w:val="005E5D1F"/>
    <w:rsid w:val="005E67C5"/>
    <w:rsid w:val="005F0D33"/>
    <w:rsid w:val="005F1107"/>
    <w:rsid w:val="005F5601"/>
    <w:rsid w:val="005F5902"/>
    <w:rsid w:val="005F5C4D"/>
    <w:rsid w:val="005F69A2"/>
    <w:rsid w:val="00603391"/>
    <w:rsid w:val="00611D43"/>
    <w:rsid w:val="00612265"/>
    <w:rsid w:val="00612D48"/>
    <w:rsid w:val="00614877"/>
    <w:rsid w:val="00615262"/>
    <w:rsid w:val="00615307"/>
    <w:rsid w:val="00616B45"/>
    <w:rsid w:val="00624003"/>
    <w:rsid w:val="00630D9B"/>
    <w:rsid w:val="00631953"/>
    <w:rsid w:val="00634E1A"/>
    <w:rsid w:val="006439EC"/>
    <w:rsid w:val="00644577"/>
    <w:rsid w:val="006539E6"/>
    <w:rsid w:val="00655C8D"/>
    <w:rsid w:val="00661205"/>
    <w:rsid w:val="00661275"/>
    <w:rsid w:val="00662440"/>
    <w:rsid w:val="00664987"/>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528"/>
    <w:rsid w:val="006D1D1C"/>
    <w:rsid w:val="006D223A"/>
    <w:rsid w:val="006D3FB7"/>
    <w:rsid w:val="006D6638"/>
    <w:rsid w:val="006D666F"/>
    <w:rsid w:val="006E1570"/>
    <w:rsid w:val="006E4BCA"/>
    <w:rsid w:val="006E4E0C"/>
    <w:rsid w:val="006E5FC7"/>
    <w:rsid w:val="006E6860"/>
    <w:rsid w:val="006F13DC"/>
    <w:rsid w:val="006F1E75"/>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36C87"/>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324F"/>
    <w:rsid w:val="00795AA5"/>
    <w:rsid w:val="007A4735"/>
    <w:rsid w:val="007A583C"/>
    <w:rsid w:val="007A614F"/>
    <w:rsid w:val="007C43A7"/>
    <w:rsid w:val="007C62E9"/>
    <w:rsid w:val="007D1A04"/>
    <w:rsid w:val="007D4E20"/>
    <w:rsid w:val="007D6434"/>
    <w:rsid w:val="007D6D51"/>
    <w:rsid w:val="007E17EE"/>
    <w:rsid w:val="007E1B56"/>
    <w:rsid w:val="007E3BD7"/>
    <w:rsid w:val="007E3E68"/>
    <w:rsid w:val="007E7C09"/>
    <w:rsid w:val="007E7D03"/>
    <w:rsid w:val="007F0CC4"/>
    <w:rsid w:val="007F3451"/>
    <w:rsid w:val="007F3E03"/>
    <w:rsid w:val="007F55CB"/>
    <w:rsid w:val="00801A06"/>
    <w:rsid w:val="00812C1A"/>
    <w:rsid w:val="00814573"/>
    <w:rsid w:val="00821AE9"/>
    <w:rsid w:val="0082220B"/>
    <w:rsid w:val="0082428A"/>
    <w:rsid w:val="008317F6"/>
    <w:rsid w:val="008358F6"/>
    <w:rsid w:val="00844750"/>
    <w:rsid w:val="0084488A"/>
    <w:rsid w:val="00856B6B"/>
    <w:rsid w:val="00856D39"/>
    <w:rsid w:val="00860332"/>
    <w:rsid w:val="00862738"/>
    <w:rsid w:val="00863D1E"/>
    <w:rsid w:val="0086417A"/>
    <w:rsid w:val="00866A05"/>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225C"/>
    <w:rsid w:val="008E4410"/>
    <w:rsid w:val="008E4B46"/>
    <w:rsid w:val="008E4E9A"/>
    <w:rsid w:val="008E7FAE"/>
    <w:rsid w:val="008F0F36"/>
    <w:rsid w:val="008F0FE1"/>
    <w:rsid w:val="008F6436"/>
    <w:rsid w:val="008F65CA"/>
    <w:rsid w:val="00901556"/>
    <w:rsid w:val="0090498A"/>
    <w:rsid w:val="00905FBF"/>
    <w:rsid w:val="0091171C"/>
    <w:rsid w:val="009117E5"/>
    <w:rsid w:val="00911BF7"/>
    <w:rsid w:val="00912BF1"/>
    <w:rsid w:val="00914E35"/>
    <w:rsid w:val="00916838"/>
    <w:rsid w:val="00917113"/>
    <w:rsid w:val="009211D4"/>
    <w:rsid w:val="00925881"/>
    <w:rsid w:val="009267F1"/>
    <w:rsid w:val="009279E7"/>
    <w:rsid w:val="0093468D"/>
    <w:rsid w:val="00934D4C"/>
    <w:rsid w:val="009359E9"/>
    <w:rsid w:val="00936F5A"/>
    <w:rsid w:val="009470BD"/>
    <w:rsid w:val="00950139"/>
    <w:rsid w:val="009513AE"/>
    <w:rsid w:val="00952FDB"/>
    <w:rsid w:val="00955275"/>
    <w:rsid w:val="009556DB"/>
    <w:rsid w:val="00955EE9"/>
    <w:rsid w:val="0095703B"/>
    <w:rsid w:val="0096487B"/>
    <w:rsid w:val="00970BD3"/>
    <w:rsid w:val="00970F6B"/>
    <w:rsid w:val="0097133F"/>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012A"/>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5CD4"/>
    <w:rsid w:val="00A67496"/>
    <w:rsid w:val="00A70163"/>
    <w:rsid w:val="00A70EF3"/>
    <w:rsid w:val="00A71547"/>
    <w:rsid w:val="00A72057"/>
    <w:rsid w:val="00A72CF5"/>
    <w:rsid w:val="00A8056A"/>
    <w:rsid w:val="00A809AC"/>
    <w:rsid w:val="00A8726A"/>
    <w:rsid w:val="00A96572"/>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20126"/>
    <w:rsid w:val="00B20C7B"/>
    <w:rsid w:val="00B20E76"/>
    <w:rsid w:val="00B21B20"/>
    <w:rsid w:val="00B238BF"/>
    <w:rsid w:val="00B24D48"/>
    <w:rsid w:val="00B2541E"/>
    <w:rsid w:val="00B32E2D"/>
    <w:rsid w:val="00B367AE"/>
    <w:rsid w:val="00B37514"/>
    <w:rsid w:val="00B412F8"/>
    <w:rsid w:val="00B4466B"/>
    <w:rsid w:val="00B52B3F"/>
    <w:rsid w:val="00B61990"/>
    <w:rsid w:val="00B7040F"/>
    <w:rsid w:val="00B706B3"/>
    <w:rsid w:val="00B7145E"/>
    <w:rsid w:val="00B73F31"/>
    <w:rsid w:val="00B76C84"/>
    <w:rsid w:val="00B778BF"/>
    <w:rsid w:val="00B821A3"/>
    <w:rsid w:val="00B840F2"/>
    <w:rsid w:val="00B8537C"/>
    <w:rsid w:val="00B85D99"/>
    <w:rsid w:val="00B9164A"/>
    <w:rsid w:val="00B93E72"/>
    <w:rsid w:val="00B97F5D"/>
    <w:rsid w:val="00BA4E05"/>
    <w:rsid w:val="00BA505A"/>
    <w:rsid w:val="00BA511E"/>
    <w:rsid w:val="00BA61FA"/>
    <w:rsid w:val="00BB1F39"/>
    <w:rsid w:val="00BB4E62"/>
    <w:rsid w:val="00BC4943"/>
    <w:rsid w:val="00BC6718"/>
    <w:rsid w:val="00BD1481"/>
    <w:rsid w:val="00BD71C8"/>
    <w:rsid w:val="00BE15E7"/>
    <w:rsid w:val="00BE78EB"/>
    <w:rsid w:val="00BE7B88"/>
    <w:rsid w:val="00BF0556"/>
    <w:rsid w:val="00BF2655"/>
    <w:rsid w:val="00BF6A48"/>
    <w:rsid w:val="00BF6EF2"/>
    <w:rsid w:val="00C04A87"/>
    <w:rsid w:val="00C11802"/>
    <w:rsid w:val="00C15296"/>
    <w:rsid w:val="00C15437"/>
    <w:rsid w:val="00C16B57"/>
    <w:rsid w:val="00C17138"/>
    <w:rsid w:val="00C17DEA"/>
    <w:rsid w:val="00C24B53"/>
    <w:rsid w:val="00C24E22"/>
    <w:rsid w:val="00C261F8"/>
    <w:rsid w:val="00C2665A"/>
    <w:rsid w:val="00C33100"/>
    <w:rsid w:val="00C448F5"/>
    <w:rsid w:val="00C52995"/>
    <w:rsid w:val="00C5325A"/>
    <w:rsid w:val="00C53BAF"/>
    <w:rsid w:val="00C53CCE"/>
    <w:rsid w:val="00C54AA6"/>
    <w:rsid w:val="00C60530"/>
    <w:rsid w:val="00C61AC1"/>
    <w:rsid w:val="00C63328"/>
    <w:rsid w:val="00C648EB"/>
    <w:rsid w:val="00C6664E"/>
    <w:rsid w:val="00C70440"/>
    <w:rsid w:val="00C70623"/>
    <w:rsid w:val="00C70CA1"/>
    <w:rsid w:val="00C7350D"/>
    <w:rsid w:val="00C81F4B"/>
    <w:rsid w:val="00C82BC5"/>
    <w:rsid w:val="00C83AC3"/>
    <w:rsid w:val="00C940E9"/>
    <w:rsid w:val="00C94120"/>
    <w:rsid w:val="00C96972"/>
    <w:rsid w:val="00CA49A6"/>
    <w:rsid w:val="00CA78E2"/>
    <w:rsid w:val="00CB1F1C"/>
    <w:rsid w:val="00CB6267"/>
    <w:rsid w:val="00CC04B5"/>
    <w:rsid w:val="00CC1634"/>
    <w:rsid w:val="00CD1A71"/>
    <w:rsid w:val="00CD1FBB"/>
    <w:rsid w:val="00CE32FE"/>
    <w:rsid w:val="00CE5A9C"/>
    <w:rsid w:val="00CE698E"/>
    <w:rsid w:val="00CE7227"/>
    <w:rsid w:val="00CF5F96"/>
    <w:rsid w:val="00CF69F5"/>
    <w:rsid w:val="00D016B5"/>
    <w:rsid w:val="00D02989"/>
    <w:rsid w:val="00D034F1"/>
    <w:rsid w:val="00D045B5"/>
    <w:rsid w:val="00D11B17"/>
    <w:rsid w:val="00D11DC3"/>
    <w:rsid w:val="00D142CE"/>
    <w:rsid w:val="00D164D1"/>
    <w:rsid w:val="00D170AC"/>
    <w:rsid w:val="00D17D4E"/>
    <w:rsid w:val="00D218F8"/>
    <w:rsid w:val="00D27D5E"/>
    <w:rsid w:val="00D30ABC"/>
    <w:rsid w:val="00D3199E"/>
    <w:rsid w:val="00D330F6"/>
    <w:rsid w:val="00D371F4"/>
    <w:rsid w:val="00D429C2"/>
    <w:rsid w:val="00D44F97"/>
    <w:rsid w:val="00D46131"/>
    <w:rsid w:val="00D47A16"/>
    <w:rsid w:val="00D56A9E"/>
    <w:rsid w:val="00D57082"/>
    <w:rsid w:val="00D57C1E"/>
    <w:rsid w:val="00D60301"/>
    <w:rsid w:val="00D604F1"/>
    <w:rsid w:val="00D6454D"/>
    <w:rsid w:val="00D74C4B"/>
    <w:rsid w:val="00D8446E"/>
    <w:rsid w:val="00D8607C"/>
    <w:rsid w:val="00D9099F"/>
    <w:rsid w:val="00D9454D"/>
    <w:rsid w:val="00D967C7"/>
    <w:rsid w:val="00DA153B"/>
    <w:rsid w:val="00DA300D"/>
    <w:rsid w:val="00DA57D4"/>
    <w:rsid w:val="00DA7672"/>
    <w:rsid w:val="00DB2190"/>
    <w:rsid w:val="00DB4793"/>
    <w:rsid w:val="00DB6A82"/>
    <w:rsid w:val="00DC0CEA"/>
    <w:rsid w:val="00DC2100"/>
    <w:rsid w:val="00DD3A69"/>
    <w:rsid w:val="00DD55C8"/>
    <w:rsid w:val="00DD6E2C"/>
    <w:rsid w:val="00DE01E3"/>
    <w:rsid w:val="00DE17DD"/>
    <w:rsid w:val="00DE6D90"/>
    <w:rsid w:val="00DF002F"/>
    <w:rsid w:val="00DF73EC"/>
    <w:rsid w:val="00E01A8C"/>
    <w:rsid w:val="00E0244D"/>
    <w:rsid w:val="00E02A4F"/>
    <w:rsid w:val="00E032FD"/>
    <w:rsid w:val="00E03A64"/>
    <w:rsid w:val="00E04CA6"/>
    <w:rsid w:val="00E104C3"/>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90B72"/>
    <w:rsid w:val="00E91159"/>
    <w:rsid w:val="00E97E84"/>
    <w:rsid w:val="00EA31C2"/>
    <w:rsid w:val="00EB04A0"/>
    <w:rsid w:val="00EB1782"/>
    <w:rsid w:val="00EB6EDD"/>
    <w:rsid w:val="00EB7C7C"/>
    <w:rsid w:val="00ED0A27"/>
    <w:rsid w:val="00ED2702"/>
    <w:rsid w:val="00ED2EDD"/>
    <w:rsid w:val="00ED5C69"/>
    <w:rsid w:val="00EE2EA3"/>
    <w:rsid w:val="00EF1059"/>
    <w:rsid w:val="00EF3701"/>
    <w:rsid w:val="00EF3A5B"/>
    <w:rsid w:val="00EF6183"/>
    <w:rsid w:val="00EF73A7"/>
    <w:rsid w:val="00F0023F"/>
    <w:rsid w:val="00F00678"/>
    <w:rsid w:val="00F01516"/>
    <w:rsid w:val="00F0683D"/>
    <w:rsid w:val="00F06C2A"/>
    <w:rsid w:val="00F13965"/>
    <w:rsid w:val="00F14E54"/>
    <w:rsid w:val="00F15930"/>
    <w:rsid w:val="00F15C00"/>
    <w:rsid w:val="00F16AC6"/>
    <w:rsid w:val="00F202BC"/>
    <w:rsid w:val="00F20C8B"/>
    <w:rsid w:val="00F20F49"/>
    <w:rsid w:val="00F2438C"/>
    <w:rsid w:val="00F30D47"/>
    <w:rsid w:val="00F3201D"/>
    <w:rsid w:val="00F32889"/>
    <w:rsid w:val="00F353CA"/>
    <w:rsid w:val="00F47B29"/>
    <w:rsid w:val="00F53395"/>
    <w:rsid w:val="00F55188"/>
    <w:rsid w:val="00F56037"/>
    <w:rsid w:val="00F56D95"/>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D6CA9"/>
    <w:rsid w:val="00FE19D6"/>
    <w:rsid w:val="00FE243B"/>
    <w:rsid w:val="00FE6821"/>
    <w:rsid w:val="00FF1DBD"/>
    <w:rsid w:val="00FF2A3F"/>
    <w:rsid w:val="00FF6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DC2100"/>
    <w:pPr>
      <w:tabs>
        <w:tab w:val="right" w:leader="dot" w:pos="9071"/>
      </w:tabs>
      <w:suppressAutoHyphens w:val="0"/>
      <w:spacing w:before="60" w:after="120" w:line="240" w:lineRule="auto"/>
      <w:ind w:left="850" w:hanging="850"/>
    </w:pPr>
    <w:rPr>
      <w:sz w:val="24"/>
      <w:szCs w:val="24"/>
      <w:lang w:val="en-GB" w:eastAsia="de-DE"/>
    </w:rPr>
  </w:style>
  <w:style w:type="character" w:styleId="PlaceholderText">
    <w:name w:val="Placeholder Text"/>
    <w:basedOn w:val="DefaultParagraphFont"/>
    <w:uiPriority w:val="99"/>
    <w:semiHidden/>
    <w:rsid w:val="00A301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7260">
      <w:bodyDiv w:val="1"/>
      <w:marLeft w:val="0"/>
      <w:marRight w:val="0"/>
      <w:marTop w:val="0"/>
      <w:marBottom w:val="0"/>
      <w:divBdr>
        <w:top w:val="none" w:sz="0" w:space="0" w:color="auto"/>
        <w:left w:val="none" w:sz="0" w:space="0" w:color="auto"/>
        <w:bottom w:val="none" w:sz="0" w:space="0" w:color="auto"/>
        <w:right w:val="none" w:sz="0" w:space="0" w:color="auto"/>
      </w:divBdr>
    </w:div>
    <w:div w:id="9715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nece.org/trans/main/wp29/wp29wgs/wp29gen/wp29resolutions.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C6D18-499F-47FD-8407-7CDF1B79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9852</Characters>
  <Application>Microsoft Office Word</Application>
  <DocSecurity>0</DocSecurity>
  <Lines>260</Lines>
  <Paragraphs>143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11706</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ECE/TRANS/WP.29/GRBP/2024/4</dc:title>
  <dc:subject>2322759</dc:subject>
  <dc:creator>Corinne</dc:creator>
  <cp:keywords/>
  <dc:description/>
  <cp:lastModifiedBy>Anni Vi Tirol</cp:lastModifiedBy>
  <cp:revision>2</cp:revision>
  <cp:lastPrinted>2020-06-19T13:11:00Z</cp:lastPrinted>
  <dcterms:created xsi:type="dcterms:W3CDTF">2023-11-20T15:00:00Z</dcterms:created>
  <dcterms:modified xsi:type="dcterms:W3CDTF">2023-11-20T15:00:00Z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