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6B3A753" w14:textId="77777777" w:rsidTr="00B20551">
        <w:trPr>
          <w:cantSplit/>
          <w:trHeight w:hRule="exact" w:val="851"/>
        </w:trPr>
        <w:tc>
          <w:tcPr>
            <w:tcW w:w="1276" w:type="dxa"/>
            <w:tcBorders>
              <w:bottom w:val="single" w:sz="4" w:space="0" w:color="auto"/>
            </w:tcBorders>
            <w:vAlign w:val="bottom"/>
          </w:tcPr>
          <w:p w14:paraId="47D1E142" w14:textId="77777777" w:rsidR="009E6CB7" w:rsidRDefault="009E6CB7" w:rsidP="00B20551">
            <w:pPr>
              <w:spacing w:after="80"/>
            </w:pPr>
          </w:p>
        </w:tc>
        <w:tc>
          <w:tcPr>
            <w:tcW w:w="2268" w:type="dxa"/>
            <w:tcBorders>
              <w:bottom w:val="single" w:sz="4" w:space="0" w:color="auto"/>
            </w:tcBorders>
            <w:vAlign w:val="bottom"/>
          </w:tcPr>
          <w:p w14:paraId="59BB8E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5493B8" w14:textId="10D50818" w:rsidR="009E6CB7" w:rsidRPr="00D47EEA" w:rsidRDefault="00052C51" w:rsidP="00052C51">
            <w:pPr>
              <w:jc w:val="right"/>
            </w:pPr>
            <w:r w:rsidRPr="00052C51">
              <w:rPr>
                <w:sz w:val="40"/>
              </w:rPr>
              <w:t>ECE</w:t>
            </w:r>
            <w:r>
              <w:t>/TRANS/WP.15/</w:t>
            </w:r>
            <w:r w:rsidR="00F45542">
              <w:t>2</w:t>
            </w:r>
            <w:r>
              <w:t>64</w:t>
            </w:r>
          </w:p>
        </w:tc>
      </w:tr>
      <w:tr w:rsidR="009E6CB7" w14:paraId="14C05F12" w14:textId="77777777" w:rsidTr="00B20551">
        <w:trPr>
          <w:cantSplit/>
          <w:trHeight w:hRule="exact" w:val="2835"/>
        </w:trPr>
        <w:tc>
          <w:tcPr>
            <w:tcW w:w="1276" w:type="dxa"/>
            <w:tcBorders>
              <w:top w:val="single" w:sz="4" w:space="0" w:color="auto"/>
              <w:bottom w:val="single" w:sz="12" w:space="0" w:color="auto"/>
            </w:tcBorders>
          </w:tcPr>
          <w:p w14:paraId="7526FECE" w14:textId="77777777" w:rsidR="009E6CB7" w:rsidRDefault="00686A48" w:rsidP="00B20551">
            <w:pPr>
              <w:spacing w:before="120"/>
            </w:pPr>
            <w:r>
              <w:rPr>
                <w:noProof/>
                <w:lang w:val="fr-CH" w:eastAsia="fr-CH"/>
              </w:rPr>
              <w:drawing>
                <wp:inline distT="0" distB="0" distL="0" distR="0" wp14:anchorId="6EE242FD" wp14:editId="7930D0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0A15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8A7FFB" w14:textId="77777777" w:rsidR="009E6CB7" w:rsidRDefault="00052C51" w:rsidP="00052C51">
            <w:pPr>
              <w:spacing w:before="240" w:line="240" w:lineRule="exact"/>
            </w:pPr>
            <w:r>
              <w:t>Distr.: General</w:t>
            </w:r>
          </w:p>
          <w:p w14:paraId="0286907A" w14:textId="0D1C8679" w:rsidR="00E84125" w:rsidRDefault="00FC2073" w:rsidP="00E51308">
            <w:pPr>
              <w:spacing w:line="240" w:lineRule="exact"/>
            </w:pPr>
            <w:r>
              <w:t>2</w:t>
            </w:r>
            <w:r w:rsidR="00B26CD3">
              <w:t>2</w:t>
            </w:r>
            <w:r>
              <w:t xml:space="preserve"> </w:t>
            </w:r>
            <w:r w:rsidR="00052C51" w:rsidRPr="00FC2073">
              <w:t>November 2023</w:t>
            </w:r>
          </w:p>
          <w:p w14:paraId="30E1D8E6" w14:textId="2DE3A93D" w:rsidR="00E51308" w:rsidRDefault="00E51308" w:rsidP="00E51308">
            <w:pPr>
              <w:spacing w:line="240" w:lineRule="exact"/>
            </w:pPr>
            <w:r>
              <w:t>English</w:t>
            </w:r>
          </w:p>
          <w:p w14:paraId="41D49E0E" w14:textId="286FC9DC" w:rsidR="00052C51" w:rsidRDefault="00052C51" w:rsidP="00052C51">
            <w:pPr>
              <w:spacing w:line="240" w:lineRule="exact"/>
            </w:pPr>
            <w:r>
              <w:t>Original: English</w:t>
            </w:r>
            <w:r w:rsidR="00E84125">
              <w:t xml:space="preserve"> and French</w:t>
            </w:r>
          </w:p>
        </w:tc>
      </w:tr>
    </w:tbl>
    <w:p w14:paraId="503B2D26" w14:textId="77777777" w:rsidR="0051271C" w:rsidRPr="00802B2E" w:rsidRDefault="0051271C" w:rsidP="000A01F9">
      <w:pPr>
        <w:spacing w:before="120"/>
        <w:rPr>
          <w:b/>
          <w:bCs/>
          <w:sz w:val="28"/>
          <w:szCs w:val="28"/>
        </w:rPr>
      </w:pPr>
      <w:r w:rsidRPr="00802B2E">
        <w:rPr>
          <w:b/>
          <w:bCs/>
          <w:sz w:val="28"/>
          <w:szCs w:val="28"/>
        </w:rPr>
        <w:t>Economic Commission for Europe</w:t>
      </w:r>
    </w:p>
    <w:p w14:paraId="093FEF83" w14:textId="77777777" w:rsidR="0051271C" w:rsidRPr="00802B2E" w:rsidRDefault="0051271C" w:rsidP="000A01F9">
      <w:pPr>
        <w:spacing w:before="120"/>
        <w:rPr>
          <w:sz w:val="28"/>
          <w:szCs w:val="28"/>
        </w:rPr>
      </w:pPr>
      <w:r w:rsidRPr="00802B2E">
        <w:rPr>
          <w:sz w:val="28"/>
          <w:szCs w:val="28"/>
        </w:rPr>
        <w:t>Inland Transport Committee</w:t>
      </w:r>
    </w:p>
    <w:p w14:paraId="74D42CDC" w14:textId="77777777" w:rsidR="0051271C" w:rsidRPr="004A2945" w:rsidRDefault="0051271C" w:rsidP="000A01F9">
      <w:pPr>
        <w:spacing w:before="120"/>
        <w:rPr>
          <w:b/>
          <w:sz w:val="24"/>
          <w:szCs w:val="24"/>
        </w:rPr>
      </w:pPr>
      <w:r w:rsidRPr="004A2945">
        <w:rPr>
          <w:b/>
          <w:sz w:val="24"/>
          <w:szCs w:val="24"/>
        </w:rPr>
        <w:t>Working Party on Transport Trends and Economics</w:t>
      </w:r>
    </w:p>
    <w:p w14:paraId="0AC9DD93" w14:textId="673F0A53" w:rsidR="0051271C" w:rsidRPr="0012673C" w:rsidRDefault="0051271C" w:rsidP="000A01F9">
      <w:pPr>
        <w:spacing w:before="120"/>
        <w:rPr>
          <w:b/>
          <w:bCs/>
        </w:rPr>
      </w:pPr>
      <w:r>
        <w:rPr>
          <w:b/>
          <w:bCs/>
        </w:rPr>
        <w:t xml:space="preserve">114th </w:t>
      </w:r>
      <w:r w:rsidRPr="0012673C">
        <w:rPr>
          <w:b/>
          <w:bCs/>
        </w:rPr>
        <w:t>session</w:t>
      </w:r>
    </w:p>
    <w:p w14:paraId="7D46085F" w14:textId="7B5220BA" w:rsidR="0051271C" w:rsidRDefault="0051271C" w:rsidP="000A01F9">
      <w:r>
        <w:t>Geneva, 6-10 November</w:t>
      </w:r>
      <w:r w:rsidR="007808BF">
        <w:t xml:space="preserve"> 2023</w:t>
      </w:r>
    </w:p>
    <w:p w14:paraId="36BFA135" w14:textId="1C32D541" w:rsidR="001C6663" w:rsidRDefault="00194FBF" w:rsidP="00194FBF">
      <w:pPr>
        <w:pStyle w:val="HChG"/>
        <w:rPr>
          <w:lang w:eastAsia="en-US"/>
        </w:rPr>
      </w:pPr>
      <w:bookmarkStart w:id="0" w:name="_Toc26263904"/>
      <w:r>
        <w:rPr>
          <w:lang w:eastAsia="en-US"/>
        </w:rPr>
        <w:tab/>
      </w:r>
      <w:r>
        <w:rPr>
          <w:lang w:eastAsia="en-US"/>
        </w:rPr>
        <w:tab/>
      </w:r>
      <w:r w:rsidRPr="006A048F">
        <w:rPr>
          <w:lang w:eastAsia="en-US"/>
        </w:rPr>
        <w:t>Report of the Working Party on its 11</w:t>
      </w:r>
      <w:r>
        <w:rPr>
          <w:lang w:eastAsia="en-US"/>
        </w:rPr>
        <w:t>4</w:t>
      </w:r>
      <w:r w:rsidRPr="006A048F">
        <w:rPr>
          <w:lang w:eastAsia="en-US"/>
        </w:rPr>
        <w:t>th session</w:t>
      </w:r>
      <w:bookmarkEnd w:id="0"/>
    </w:p>
    <w:p w14:paraId="58D35C01" w14:textId="4976CA9E" w:rsidR="00335FA1" w:rsidRDefault="00335FA1" w:rsidP="00335FA1">
      <w:pPr>
        <w:pStyle w:val="SingleTxtG"/>
        <w:rPr>
          <w:lang w:eastAsia="en-US"/>
        </w:rPr>
      </w:pPr>
      <w:r>
        <w:rPr>
          <w:lang w:eastAsia="en-US"/>
        </w:rPr>
        <w:t>Held in Geneva from 6 to 10 November 2023</w:t>
      </w:r>
    </w:p>
    <w:p w14:paraId="2BBB55DF" w14:textId="1FA5A010" w:rsidR="00B0774E" w:rsidRDefault="00335FA1" w:rsidP="00B0774E">
      <w:pPr>
        <w:rPr>
          <w:sz w:val="28"/>
          <w:szCs w:val="28"/>
          <w:lang w:eastAsia="en-US"/>
        </w:rPr>
      </w:pPr>
      <w:r w:rsidRPr="00E84125">
        <w:rPr>
          <w:sz w:val="28"/>
          <w:szCs w:val="28"/>
          <w:lang w:eastAsia="en-US"/>
        </w:rPr>
        <w:t>Contents</w:t>
      </w:r>
    </w:p>
    <w:p w14:paraId="20393C7E" w14:textId="14D740FA" w:rsidR="00B0774E" w:rsidRPr="006A048F" w:rsidRDefault="0081512E" w:rsidP="00B0774E">
      <w:pPr>
        <w:tabs>
          <w:tab w:val="right" w:pos="8929"/>
          <w:tab w:val="right" w:pos="9638"/>
        </w:tabs>
        <w:spacing w:after="120"/>
        <w:ind w:left="283"/>
      </w:pPr>
      <w:r>
        <w:rPr>
          <w:i/>
          <w:sz w:val="18"/>
        </w:rPr>
        <w:tab/>
      </w:r>
      <w:r w:rsidR="00B0774E" w:rsidRPr="006A048F">
        <w:rPr>
          <w:i/>
          <w:sz w:val="18"/>
        </w:rPr>
        <w:t>Paragraphs</w:t>
      </w:r>
      <w:r w:rsidR="00B0774E" w:rsidRPr="006A048F">
        <w:rPr>
          <w:i/>
          <w:sz w:val="18"/>
        </w:rPr>
        <w:tab/>
        <w:t>Page</w:t>
      </w:r>
    </w:p>
    <w:p w14:paraId="4ED27E65" w14:textId="1432D644"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I.</w:t>
      </w:r>
      <w:r w:rsidRPr="006A048F">
        <w:tab/>
      </w:r>
      <w:r w:rsidRPr="006A048F">
        <w:rPr>
          <w:webHidden/>
        </w:rPr>
        <w:t>Attendance</w:t>
      </w:r>
      <w:r w:rsidRPr="006A048F">
        <w:rPr>
          <w:webHidden/>
        </w:rPr>
        <w:tab/>
      </w:r>
      <w:r w:rsidRPr="006A048F">
        <w:rPr>
          <w:webHidden/>
        </w:rPr>
        <w:tab/>
        <w:t>1-</w:t>
      </w:r>
      <w:r>
        <w:rPr>
          <w:webHidden/>
        </w:rPr>
        <w:t>6</w:t>
      </w:r>
      <w:r w:rsidRPr="006A048F">
        <w:rPr>
          <w:webHidden/>
        </w:rPr>
        <w:tab/>
      </w:r>
      <w:r w:rsidR="00805010">
        <w:t>3</w:t>
      </w:r>
      <w:r w:rsidRPr="006A048F">
        <w:tab/>
        <w:t>II.</w:t>
      </w:r>
      <w:r w:rsidRPr="006A048F">
        <w:tab/>
      </w:r>
      <w:r w:rsidRPr="006A048F">
        <w:rPr>
          <w:webHidden/>
        </w:rPr>
        <w:t>Adoption of the agenda (agenda item 1)</w:t>
      </w:r>
      <w:r w:rsidRPr="006A048F">
        <w:rPr>
          <w:webHidden/>
        </w:rPr>
        <w:tab/>
      </w:r>
      <w:r w:rsidRPr="006A048F">
        <w:rPr>
          <w:webHidden/>
        </w:rPr>
        <w:tab/>
      </w:r>
      <w:r>
        <w:rPr>
          <w:webHidden/>
        </w:rPr>
        <w:t>7</w:t>
      </w:r>
      <w:r w:rsidRPr="006A048F">
        <w:rPr>
          <w:webHidden/>
        </w:rPr>
        <w:tab/>
      </w:r>
      <w:r w:rsidR="00805010">
        <w:rPr>
          <w:webHidden/>
        </w:rPr>
        <w:t>3</w:t>
      </w:r>
    </w:p>
    <w:p w14:paraId="7C47D39C" w14:textId="69240DDA"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III.</w:t>
      </w:r>
      <w:r w:rsidRPr="006A048F">
        <w:tab/>
        <w:t>Eighty-fifth session of the Inland Transport Committee (agenda item 2)</w:t>
      </w:r>
      <w:r w:rsidRPr="006A048F">
        <w:rPr>
          <w:webHidden/>
        </w:rPr>
        <w:tab/>
      </w:r>
      <w:r>
        <w:rPr>
          <w:webHidden/>
        </w:rPr>
        <w:tab/>
        <w:t>8</w:t>
      </w:r>
      <w:r w:rsidRPr="006A048F">
        <w:rPr>
          <w:webHidden/>
        </w:rPr>
        <w:t>-</w:t>
      </w:r>
      <w:r>
        <w:rPr>
          <w:webHidden/>
        </w:rPr>
        <w:t>9</w:t>
      </w:r>
      <w:r w:rsidRPr="006A048F">
        <w:rPr>
          <w:webHidden/>
        </w:rPr>
        <w:tab/>
      </w:r>
      <w:r w:rsidR="00805010">
        <w:rPr>
          <w:webHidden/>
        </w:rPr>
        <w:t>3</w:t>
      </w:r>
    </w:p>
    <w:p w14:paraId="6A8E0F97" w14:textId="1C02DC83" w:rsidR="00B0774E" w:rsidRPr="006A048F" w:rsidRDefault="00B0774E" w:rsidP="00B0774E">
      <w:pPr>
        <w:tabs>
          <w:tab w:val="right" w:pos="850"/>
          <w:tab w:val="left" w:pos="1134"/>
          <w:tab w:val="left" w:pos="1984"/>
          <w:tab w:val="left" w:leader="dot" w:pos="7654"/>
          <w:tab w:val="right" w:pos="8929"/>
          <w:tab w:val="right" w:pos="9638"/>
        </w:tabs>
        <w:spacing w:after="120"/>
        <w:ind w:left="1134" w:hanging="1134"/>
        <w:rPr>
          <w:webHidden/>
        </w:rPr>
      </w:pPr>
      <w:r w:rsidRPr="006A048F">
        <w:tab/>
        <w:t>IV.</w:t>
      </w:r>
      <w:r w:rsidRPr="006A048F">
        <w:tab/>
        <w:t>Status of the Agreement concerning the International Carriage of Dangerous Goods</w:t>
      </w:r>
      <w:r w:rsidRPr="006A048F">
        <w:br/>
        <w:t>by Road (ADR) and related issues (agenda item 3)</w:t>
      </w:r>
      <w:r w:rsidRPr="006A048F">
        <w:rPr>
          <w:webHidden/>
        </w:rPr>
        <w:tab/>
      </w:r>
      <w:r w:rsidRPr="006A048F">
        <w:rPr>
          <w:webHidden/>
        </w:rPr>
        <w:tab/>
        <w:t>1</w:t>
      </w:r>
      <w:r>
        <w:rPr>
          <w:webHidden/>
        </w:rPr>
        <w:t>0</w:t>
      </w:r>
      <w:r w:rsidRPr="006A048F">
        <w:rPr>
          <w:webHidden/>
        </w:rPr>
        <w:t>-1</w:t>
      </w:r>
      <w:r>
        <w:rPr>
          <w:webHidden/>
        </w:rPr>
        <w:t>2</w:t>
      </w:r>
      <w:r w:rsidRPr="006A048F">
        <w:rPr>
          <w:webHidden/>
        </w:rPr>
        <w:tab/>
      </w:r>
      <w:r w:rsidR="00805010">
        <w:rPr>
          <w:webHidden/>
        </w:rPr>
        <w:t>4</w:t>
      </w:r>
    </w:p>
    <w:p w14:paraId="66F900E0" w14:textId="012DF9D1" w:rsidR="00B0774E" w:rsidRPr="006A048F" w:rsidRDefault="00B0774E" w:rsidP="00B0774E">
      <w:pPr>
        <w:tabs>
          <w:tab w:val="right" w:pos="850"/>
          <w:tab w:val="left" w:pos="1134"/>
          <w:tab w:val="left" w:pos="1559"/>
          <w:tab w:val="left" w:pos="1984"/>
          <w:tab w:val="left" w:leader="dot" w:pos="7654"/>
          <w:tab w:val="right" w:pos="8929"/>
          <w:tab w:val="right" w:pos="9638"/>
        </w:tabs>
        <w:spacing w:before="120" w:after="120"/>
        <w:ind w:left="850"/>
      </w:pPr>
      <w:r w:rsidRPr="006A048F">
        <w:tab/>
        <w:t>A.</w:t>
      </w:r>
      <w:r w:rsidRPr="006A048F">
        <w:tab/>
        <w:t>Status of the Agreement</w:t>
      </w:r>
      <w:r w:rsidRPr="006A048F">
        <w:tab/>
      </w:r>
      <w:r w:rsidRPr="006A048F">
        <w:tab/>
        <w:t>1</w:t>
      </w:r>
      <w:r>
        <w:t>0</w:t>
      </w:r>
      <w:r w:rsidRPr="006A048F">
        <w:tab/>
      </w:r>
      <w:r w:rsidR="00805010">
        <w:t>4</w:t>
      </w:r>
    </w:p>
    <w:p w14:paraId="79A3763A" w14:textId="28834A8F" w:rsidR="00B0774E" w:rsidRDefault="00B0774E" w:rsidP="00B0774E">
      <w:pPr>
        <w:tabs>
          <w:tab w:val="right" w:pos="850"/>
          <w:tab w:val="left" w:pos="1134"/>
          <w:tab w:val="left" w:pos="1559"/>
          <w:tab w:val="left" w:pos="1984"/>
          <w:tab w:val="left" w:leader="dot" w:pos="7654"/>
          <w:tab w:val="right" w:pos="8929"/>
          <w:tab w:val="right" w:pos="9638"/>
        </w:tabs>
        <w:spacing w:before="120" w:after="120"/>
        <w:ind w:left="850"/>
      </w:pPr>
      <w:r w:rsidRPr="006A048F">
        <w:tab/>
        <w:t>B.</w:t>
      </w:r>
      <w:r w:rsidRPr="006A048F">
        <w:tab/>
        <w:t>Protocol of amendment of 1993</w:t>
      </w:r>
      <w:r w:rsidRPr="006A048F">
        <w:tab/>
      </w:r>
      <w:r w:rsidRPr="006A048F">
        <w:tab/>
        <w:t>1</w:t>
      </w:r>
      <w:r>
        <w:t>1</w:t>
      </w:r>
      <w:r w:rsidRPr="006A048F">
        <w:tab/>
      </w:r>
      <w:r w:rsidR="00805010">
        <w:t>4</w:t>
      </w:r>
    </w:p>
    <w:p w14:paraId="0EFB7BA5" w14:textId="7B429134" w:rsidR="00B0774E" w:rsidRPr="006A048F" w:rsidRDefault="00B0774E" w:rsidP="00B0774E">
      <w:pPr>
        <w:tabs>
          <w:tab w:val="right" w:pos="850"/>
          <w:tab w:val="left" w:pos="1134"/>
          <w:tab w:val="left" w:pos="1559"/>
          <w:tab w:val="left" w:pos="1984"/>
          <w:tab w:val="left" w:leader="dot" w:pos="7654"/>
          <w:tab w:val="right" w:pos="8929"/>
          <w:tab w:val="right" w:pos="9638"/>
        </w:tabs>
        <w:spacing w:before="120" w:after="120"/>
        <w:ind w:left="850"/>
      </w:pPr>
      <w:r>
        <w:tab/>
        <w:t>C.</w:t>
      </w:r>
      <w:r>
        <w:tab/>
        <w:t>Translation of ADR into Arabic</w:t>
      </w:r>
      <w:r>
        <w:tab/>
      </w:r>
      <w:r>
        <w:tab/>
        <w:t>12</w:t>
      </w:r>
      <w:r>
        <w:tab/>
      </w:r>
      <w:r w:rsidR="00805010">
        <w:t>4</w:t>
      </w:r>
    </w:p>
    <w:p w14:paraId="60C3240F" w14:textId="23DD195C" w:rsidR="00B0774E" w:rsidRDefault="00B0774E" w:rsidP="00B0774E">
      <w:pPr>
        <w:tabs>
          <w:tab w:val="right" w:pos="850"/>
          <w:tab w:val="left" w:pos="1134"/>
          <w:tab w:val="left" w:pos="1559"/>
          <w:tab w:val="left" w:pos="1984"/>
          <w:tab w:val="left" w:leader="dot" w:pos="7654"/>
          <w:tab w:val="right" w:pos="8929"/>
          <w:tab w:val="right" w:pos="9638"/>
        </w:tabs>
        <w:spacing w:after="120"/>
        <w:rPr>
          <w:webHidden/>
        </w:rPr>
      </w:pPr>
      <w:r w:rsidRPr="006A048F">
        <w:tab/>
        <w:t>V.</w:t>
      </w:r>
      <w:r w:rsidRPr="006A048F">
        <w:tab/>
        <w:t>Work of the RID/ADR/ADN Joint Meeting (agenda item 4)</w:t>
      </w:r>
      <w:r w:rsidRPr="006A048F">
        <w:rPr>
          <w:webHidden/>
        </w:rPr>
        <w:tab/>
      </w:r>
      <w:r w:rsidRPr="006A048F">
        <w:rPr>
          <w:webHidden/>
        </w:rPr>
        <w:tab/>
        <w:t>1</w:t>
      </w:r>
      <w:r>
        <w:rPr>
          <w:webHidden/>
        </w:rPr>
        <w:t>3</w:t>
      </w:r>
      <w:r w:rsidRPr="006A048F">
        <w:rPr>
          <w:webHidden/>
        </w:rPr>
        <w:t>-</w:t>
      </w:r>
      <w:r>
        <w:rPr>
          <w:webHidden/>
        </w:rPr>
        <w:t>23</w:t>
      </w:r>
      <w:r w:rsidRPr="006A048F">
        <w:rPr>
          <w:webHidden/>
        </w:rPr>
        <w:tab/>
      </w:r>
      <w:r w:rsidR="00805010">
        <w:rPr>
          <w:webHidden/>
        </w:rPr>
        <w:t>4</w:t>
      </w:r>
    </w:p>
    <w:p w14:paraId="394B395A" w14:textId="716E663E" w:rsidR="00B0774E" w:rsidRPr="006A048F" w:rsidRDefault="00B0774E" w:rsidP="00B0774E">
      <w:pPr>
        <w:tabs>
          <w:tab w:val="right" w:pos="850"/>
          <w:tab w:val="left" w:pos="1134"/>
          <w:tab w:val="left" w:pos="1559"/>
          <w:tab w:val="left" w:pos="1984"/>
          <w:tab w:val="left" w:leader="dot" w:pos="7654"/>
          <w:tab w:val="right" w:pos="8929"/>
          <w:tab w:val="right" w:pos="9638"/>
        </w:tabs>
        <w:spacing w:before="120" w:after="120"/>
        <w:ind w:left="850"/>
      </w:pPr>
      <w:r w:rsidRPr="006A048F">
        <w:tab/>
        <w:t>A.</w:t>
      </w:r>
      <w:r w:rsidRPr="006A048F">
        <w:tab/>
      </w:r>
      <w:r>
        <w:t>General</w:t>
      </w:r>
      <w:r w:rsidRPr="006A048F">
        <w:tab/>
      </w:r>
      <w:r w:rsidRPr="006A048F">
        <w:tab/>
        <w:t>1</w:t>
      </w:r>
      <w:r>
        <w:t>3</w:t>
      </w:r>
      <w:r w:rsidRPr="006A048F">
        <w:tab/>
      </w:r>
      <w:r w:rsidR="00805010">
        <w:t>4</w:t>
      </w:r>
    </w:p>
    <w:p w14:paraId="15E40CBC" w14:textId="6D02E043" w:rsidR="00B0774E" w:rsidRDefault="00B0774E" w:rsidP="00B0774E">
      <w:pPr>
        <w:tabs>
          <w:tab w:val="right" w:pos="850"/>
          <w:tab w:val="left" w:pos="1134"/>
          <w:tab w:val="left" w:pos="1559"/>
          <w:tab w:val="left" w:pos="1984"/>
          <w:tab w:val="left" w:leader="dot" w:pos="7654"/>
          <w:tab w:val="right" w:pos="8929"/>
          <w:tab w:val="right" w:pos="9638"/>
        </w:tabs>
        <w:spacing w:before="120" w:after="120"/>
        <w:ind w:left="850"/>
      </w:pPr>
      <w:r w:rsidRPr="006A048F">
        <w:tab/>
        <w:t>B.</w:t>
      </w:r>
      <w:r w:rsidRPr="006A048F">
        <w:tab/>
      </w:r>
      <w:r>
        <w:t>Specific issues</w:t>
      </w:r>
      <w:r w:rsidRPr="006A048F">
        <w:tab/>
      </w:r>
      <w:r w:rsidRPr="006A048F">
        <w:tab/>
        <w:t>1</w:t>
      </w:r>
      <w:r>
        <w:t>4-23</w:t>
      </w:r>
      <w:r w:rsidRPr="006A048F">
        <w:tab/>
      </w:r>
      <w:r w:rsidR="00805010">
        <w:t>4</w:t>
      </w:r>
    </w:p>
    <w:p w14:paraId="68C9565F" w14:textId="329B9F52" w:rsidR="00B0774E" w:rsidRPr="006A048F" w:rsidRDefault="00B0774E" w:rsidP="0083798F">
      <w:pPr>
        <w:tabs>
          <w:tab w:val="right" w:pos="850"/>
          <w:tab w:val="left" w:pos="1134"/>
          <w:tab w:val="left" w:pos="1984"/>
          <w:tab w:val="left" w:leader="dot" w:pos="7654"/>
          <w:tab w:val="right" w:pos="8929"/>
          <w:tab w:val="right" w:pos="9638"/>
        </w:tabs>
        <w:spacing w:before="120" w:after="120"/>
        <w:ind w:left="1985" w:hanging="482"/>
      </w:pPr>
      <w:r w:rsidRPr="006A048F">
        <w:t>1.</w:t>
      </w:r>
      <w:r w:rsidRPr="006A048F">
        <w:tab/>
      </w:r>
      <w:r w:rsidRPr="00E54679">
        <w:rPr>
          <w:lang w:val="en-CA"/>
        </w:rPr>
        <w:t xml:space="preserve">Carriage in bulk of specific categories of wastes containing asbestos </w:t>
      </w:r>
      <w:r>
        <w:rPr>
          <w:lang w:val="en-CA"/>
        </w:rPr>
        <w:br/>
      </w:r>
      <w:r w:rsidRPr="00E54679">
        <w:rPr>
          <w:lang w:val="en-CA"/>
        </w:rPr>
        <w:t>(UN Nos. 2590 and 2212)</w:t>
      </w:r>
      <w:r w:rsidRPr="006A048F">
        <w:tab/>
      </w:r>
      <w:r w:rsidRPr="006A048F">
        <w:tab/>
      </w:r>
      <w:r>
        <w:t>14</w:t>
      </w:r>
      <w:r w:rsidRPr="006A048F">
        <w:tab/>
      </w:r>
      <w:r w:rsidR="00805010">
        <w:t>4</w:t>
      </w:r>
    </w:p>
    <w:p w14:paraId="0F035EB2" w14:textId="0EAFE370"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2.</w:t>
      </w:r>
      <w:r w:rsidRPr="006A048F">
        <w:tab/>
      </w:r>
      <w:r w:rsidRPr="00E54679">
        <w:rPr>
          <w:bCs/>
          <w:lang w:val="en-CA"/>
        </w:rPr>
        <w:t>Transport of waste in inner packagings packed together in an outer packaging</w:t>
      </w:r>
      <w:r w:rsidRPr="006A048F">
        <w:tab/>
      </w:r>
      <w:r>
        <w:t>15</w:t>
      </w:r>
      <w:r w:rsidRPr="006A048F">
        <w:tab/>
      </w:r>
      <w:r w:rsidR="00805010">
        <w:t>5</w:t>
      </w:r>
    </w:p>
    <w:p w14:paraId="0F548086" w14:textId="176DE693"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r>
      <w:r w:rsidRPr="006A048F">
        <w:tab/>
      </w:r>
      <w:r w:rsidRPr="00E54679">
        <w:rPr>
          <w:bCs/>
          <w:lang w:val="en-CA"/>
        </w:rPr>
        <w:t>Pending issues</w:t>
      </w:r>
      <w:r w:rsidRPr="006A048F">
        <w:tab/>
      </w:r>
      <w:r>
        <w:tab/>
        <w:t>16-19</w:t>
      </w:r>
      <w:r>
        <w:tab/>
      </w:r>
      <w:r w:rsidR="00805010">
        <w:t>5</w:t>
      </w:r>
    </w:p>
    <w:p w14:paraId="37D34E73" w14:textId="43F7E973"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r>
      <w:r w:rsidRPr="00E54679">
        <w:rPr>
          <w:bCs/>
          <w:lang w:val="en-CA"/>
        </w:rPr>
        <w:t>Additional editorial amendment</w:t>
      </w:r>
      <w:r w:rsidRPr="006A048F">
        <w:tab/>
      </w:r>
      <w:r w:rsidRPr="006A048F">
        <w:tab/>
        <w:t>2</w:t>
      </w:r>
      <w:r>
        <w:t>0</w:t>
      </w:r>
      <w:r w:rsidRPr="006A048F">
        <w:tab/>
      </w:r>
      <w:r w:rsidR="00805010">
        <w:t>5</w:t>
      </w:r>
    </w:p>
    <w:p w14:paraId="40756D57" w14:textId="6B8AD404"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5.</w:t>
      </w:r>
      <w:r w:rsidRPr="006A048F">
        <w:tab/>
      </w:r>
      <w:r>
        <w:rPr>
          <w:bCs/>
        </w:rPr>
        <w:t>Transport documents: draft amendment to 5.4.0.2</w:t>
      </w:r>
      <w:r w:rsidRPr="006A048F">
        <w:tab/>
      </w:r>
      <w:r w:rsidRPr="006A048F">
        <w:tab/>
        <w:t>2</w:t>
      </w:r>
      <w:r>
        <w:t>1-23</w:t>
      </w:r>
      <w:r w:rsidRPr="006A048F">
        <w:tab/>
      </w:r>
      <w:r w:rsidR="00805010">
        <w:t>5</w:t>
      </w:r>
    </w:p>
    <w:p w14:paraId="73F07B18" w14:textId="26B01E86"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rPr>
          <w:webHidden/>
        </w:rPr>
      </w:pPr>
      <w:r w:rsidRPr="006A048F">
        <w:rPr>
          <w:webHidden/>
        </w:rPr>
        <w:tab/>
        <w:t>VI.</w:t>
      </w:r>
      <w:r w:rsidRPr="006A048F">
        <w:rPr>
          <w:webHidden/>
        </w:rPr>
        <w:tab/>
      </w:r>
      <w:r w:rsidRPr="006A048F">
        <w:t>Proposals for amendments to annexes A and B of ADR (agenda item 5)</w:t>
      </w:r>
      <w:r w:rsidRPr="006A048F">
        <w:rPr>
          <w:webHidden/>
        </w:rPr>
        <w:tab/>
      </w:r>
      <w:r w:rsidRPr="006A048F">
        <w:rPr>
          <w:webHidden/>
        </w:rPr>
        <w:tab/>
        <w:t>2</w:t>
      </w:r>
      <w:r>
        <w:rPr>
          <w:webHidden/>
        </w:rPr>
        <w:t>4</w:t>
      </w:r>
      <w:r w:rsidRPr="006A048F">
        <w:rPr>
          <w:webHidden/>
        </w:rPr>
        <w:t>-</w:t>
      </w:r>
      <w:r>
        <w:rPr>
          <w:webHidden/>
        </w:rPr>
        <w:t>5</w:t>
      </w:r>
      <w:r w:rsidRPr="006A048F">
        <w:rPr>
          <w:webHidden/>
        </w:rPr>
        <w:t>9</w:t>
      </w:r>
      <w:r w:rsidRPr="006A048F">
        <w:rPr>
          <w:webHidden/>
        </w:rPr>
        <w:tab/>
      </w:r>
      <w:r w:rsidR="00805010">
        <w:rPr>
          <w:webHidden/>
        </w:rPr>
        <w:t>6</w:t>
      </w:r>
    </w:p>
    <w:p w14:paraId="6BAF3569" w14:textId="1D04BB9A" w:rsidR="00B0774E" w:rsidRPr="006A048F" w:rsidRDefault="00B0774E" w:rsidP="00B0774E">
      <w:pPr>
        <w:tabs>
          <w:tab w:val="right" w:pos="850"/>
          <w:tab w:val="left" w:pos="1134"/>
          <w:tab w:val="left" w:pos="1559"/>
          <w:tab w:val="left" w:pos="1984"/>
          <w:tab w:val="left" w:leader="dot" w:pos="7654"/>
          <w:tab w:val="right" w:pos="8929"/>
          <w:tab w:val="right" w:pos="9638"/>
        </w:tabs>
        <w:spacing w:before="120" w:after="120"/>
      </w:pPr>
      <w:r w:rsidRPr="006A048F">
        <w:tab/>
      </w:r>
      <w:r w:rsidRPr="006A048F">
        <w:tab/>
        <w:t>A.</w:t>
      </w:r>
      <w:r w:rsidRPr="006A048F">
        <w:tab/>
        <w:t>Construction and approval of vehicles</w:t>
      </w:r>
      <w:r w:rsidRPr="006A048F">
        <w:tab/>
      </w:r>
      <w:r w:rsidRPr="006A048F">
        <w:tab/>
        <w:t>2</w:t>
      </w:r>
      <w:r>
        <w:t>4</w:t>
      </w:r>
      <w:r w:rsidRPr="006A048F">
        <w:t>-</w:t>
      </w:r>
      <w:r>
        <w:t>45</w:t>
      </w:r>
      <w:r w:rsidRPr="006A048F">
        <w:tab/>
      </w:r>
      <w:r w:rsidR="00805010">
        <w:t>6</w:t>
      </w:r>
    </w:p>
    <w:p w14:paraId="3BA0FA5A" w14:textId="13749303"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1.</w:t>
      </w:r>
      <w:r w:rsidRPr="006A048F">
        <w:tab/>
      </w:r>
      <w:r>
        <w:rPr>
          <w:bCs/>
        </w:rPr>
        <w:t>Proposal to amend 9.7.8</w:t>
      </w:r>
      <w:r w:rsidRPr="006A048F">
        <w:tab/>
      </w:r>
      <w:r>
        <w:tab/>
      </w:r>
      <w:r w:rsidRPr="006A048F">
        <w:t>2</w:t>
      </w:r>
      <w:r>
        <w:t>4-25</w:t>
      </w:r>
      <w:r w:rsidRPr="006A048F">
        <w:tab/>
      </w:r>
      <w:r w:rsidR="00805010">
        <w:t>6</w:t>
      </w:r>
    </w:p>
    <w:p w14:paraId="29B11641" w14:textId="6736FE5D" w:rsidR="00B0774E" w:rsidRPr="006A048F"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rsidRPr="006A048F">
        <w:t>2.</w:t>
      </w:r>
      <w:r w:rsidRPr="006A048F">
        <w:tab/>
      </w:r>
      <w:r>
        <w:rPr>
          <w:bCs/>
        </w:rPr>
        <w:t>Section 9.1.3 – Certificate of approval in electronic format</w:t>
      </w:r>
      <w:r>
        <w:tab/>
      </w:r>
      <w:r w:rsidRPr="006A048F">
        <w:tab/>
        <w:t>2</w:t>
      </w:r>
      <w:r>
        <w:t>6</w:t>
      </w:r>
      <w:r w:rsidRPr="006A048F">
        <w:t>-2</w:t>
      </w:r>
      <w:r>
        <w:t>8</w:t>
      </w:r>
      <w:r w:rsidRPr="006A048F">
        <w:tab/>
      </w:r>
      <w:r w:rsidR="00805010">
        <w:t>6</w:t>
      </w:r>
    </w:p>
    <w:p w14:paraId="09AF8100" w14:textId="147D3262"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r>
      <w:r>
        <w:rPr>
          <w:bCs/>
        </w:rPr>
        <w:t>Section 9.7.6 – Rear protection of vehicles</w:t>
      </w:r>
      <w:r w:rsidRPr="006A048F">
        <w:tab/>
      </w:r>
      <w:r w:rsidRPr="006A048F">
        <w:tab/>
        <w:t>2</w:t>
      </w:r>
      <w:r>
        <w:t>9</w:t>
      </w:r>
      <w:r w:rsidRPr="006A048F">
        <w:t>-</w:t>
      </w:r>
      <w:r>
        <w:t>31</w:t>
      </w:r>
      <w:r w:rsidRPr="006A048F">
        <w:tab/>
      </w:r>
      <w:r w:rsidR="00805010">
        <w:t>6</w:t>
      </w:r>
    </w:p>
    <w:p w14:paraId="2CF4981F" w14:textId="5ACD9D30"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r>
      <w:r>
        <w:rPr>
          <w:bCs/>
        </w:rPr>
        <w:t>Amendment to 9.2.2.8</w:t>
      </w:r>
      <w:r w:rsidRPr="006A048F">
        <w:tab/>
      </w:r>
      <w:r w:rsidRPr="006A048F">
        <w:tab/>
      </w:r>
      <w:r>
        <w:t>32</w:t>
      </w:r>
      <w:r w:rsidRPr="006A048F">
        <w:t>-</w:t>
      </w:r>
      <w:r>
        <w:t>33</w:t>
      </w:r>
      <w:r w:rsidRPr="006A048F">
        <w:tab/>
      </w:r>
      <w:r w:rsidR="00805010">
        <w:t>6</w:t>
      </w:r>
    </w:p>
    <w:p w14:paraId="3E7C9CCD" w14:textId="2622C4A5" w:rsidR="00B0774E"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rsidRPr="006A048F">
        <w:lastRenderedPageBreak/>
        <w:t>5.</w:t>
      </w:r>
      <w:r w:rsidRPr="006A048F">
        <w:tab/>
      </w:r>
      <w:r>
        <w:rPr>
          <w:bCs/>
        </w:rPr>
        <w:t>Battery electric vehicles and hydrogen fuelled vehicles</w:t>
      </w:r>
      <w:r>
        <w:tab/>
      </w:r>
      <w:r w:rsidRPr="006A048F">
        <w:tab/>
      </w:r>
      <w:r>
        <w:t>34-36</w:t>
      </w:r>
      <w:r w:rsidRPr="006A048F">
        <w:tab/>
      </w:r>
      <w:r w:rsidR="00805010">
        <w:t>7</w:t>
      </w:r>
    </w:p>
    <w:p w14:paraId="4D983F83" w14:textId="5E30F40D" w:rsidR="00B0774E"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t>6</w:t>
      </w:r>
      <w:r w:rsidRPr="006A048F">
        <w:t>.</w:t>
      </w:r>
      <w:r w:rsidRPr="006A048F">
        <w:tab/>
      </w:r>
      <w:r>
        <w:rPr>
          <w:bCs/>
        </w:rPr>
        <w:t>Regenerative braking system</w:t>
      </w:r>
      <w:r>
        <w:tab/>
      </w:r>
      <w:r>
        <w:tab/>
        <w:t>37-39</w:t>
      </w:r>
      <w:r w:rsidRPr="006A048F">
        <w:tab/>
      </w:r>
      <w:r w:rsidR="00805010">
        <w:t>7</w:t>
      </w:r>
    </w:p>
    <w:p w14:paraId="64C952AA" w14:textId="46DF702A" w:rsidR="00B0774E"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t>7</w:t>
      </w:r>
      <w:r w:rsidRPr="006A048F">
        <w:t>.</w:t>
      </w:r>
      <w:r w:rsidRPr="006A048F">
        <w:tab/>
      </w:r>
      <w:r>
        <w:rPr>
          <w:bCs/>
        </w:rPr>
        <w:t>9.8.4 – Stability of MEMUs</w:t>
      </w:r>
      <w:r w:rsidRPr="006A048F">
        <w:tab/>
      </w:r>
      <w:r>
        <w:tab/>
        <w:t>40</w:t>
      </w:r>
      <w:r w:rsidRPr="006A048F">
        <w:tab/>
      </w:r>
      <w:r w:rsidR="00805010">
        <w:t>7</w:t>
      </w:r>
    </w:p>
    <w:p w14:paraId="1A7527F1" w14:textId="74850789" w:rsidR="00B0774E"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t>8</w:t>
      </w:r>
      <w:r w:rsidRPr="006A048F">
        <w:t>.</w:t>
      </w:r>
      <w:r w:rsidRPr="006A048F">
        <w:tab/>
      </w:r>
      <w:r>
        <w:rPr>
          <w:bCs/>
        </w:rPr>
        <w:t>Issues of interpretation of the table in 9.2.1.1</w:t>
      </w:r>
      <w:r w:rsidRPr="006A048F">
        <w:tab/>
      </w:r>
      <w:r>
        <w:tab/>
        <w:t>41</w:t>
      </w:r>
      <w:r w:rsidRPr="006A048F">
        <w:tab/>
      </w:r>
      <w:r w:rsidR="00805010">
        <w:t>7</w:t>
      </w:r>
    </w:p>
    <w:p w14:paraId="1B89F669" w14:textId="592AAD1B" w:rsidR="00B0774E" w:rsidRDefault="00B0774E" w:rsidP="00B0774E">
      <w:pPr>
        <w:tabs>
          <w:tab w:val="right" w:pos="850"/>
          <w:tab w:val="left" w:pos="1134"/>
          <w:tab w:val="left" w:pos="1560"/>
          <w:tab w:val="left" w:pos="1945"/>
          <w:tab w:val="left" w:pos="1984"/>
          <w:tab w:val="left" w:leader="dot" w:pos="7654"/>
          <w:tab w:val="right" w:pos="8929"/>
          <w:tab w:val="right" w:pos="9638"/>
        </w:tabs>
        <w:spacing w:before="120" w:after="120"/>
        <w:ind w:left="1503"/>
      </w:pPr>
      <w:r>
        <w:t>9</w:t>
      </w:r>
      <w:r w:rsidRPr="006A048F">
        <w:t>.</w:t>
      </w:r>
      <w:r w:rsidRPr="006A048F">
        <w:tab/>
      </w:r>
      <w:r>
        <w:rPr>
          <w:bCs/>
        </w:rPr>
        <w:t>Fire suppression system for engine compartments</w:t>
      </w:r>
      <w:r>
        <w:tab/>
      </w:r>
      <w:r>
        <w:tab/>
        <w:t>42-43</w:t>
      </w:r>
      <w:r w:rsidRPr="006A048F">
        <w:tab/>
      </w:r>
      <w:r w:rsidR="00805010">
        <w:t>7</w:t>
      </w:r>
    </w:p>
    <w:p w14:paraId="16BED3EB" w14:textId="0BB23EC3" w:rsidR="00B0774E" w:rsidRDefault="00B0774E" w:rsidP="00B0774E">
      <w:pPr>
        <w:tabs>
          <w:tab w:val="right" w:pos="850"/>
          <w:tab w:val="left" w:pos="1134"/>
          <w:tab w:val="left" w:pos="1945"/>
          <w:tab w:val="left" w:pos="1985"/>
          <w:tab w:val="left" w:leader="dot" w:pos="7654"/>
          <w:tab w:val="right" w:pos="8929"/>
          <w:tab w:val="right" w:pos="9638"/>
        </w:tabs>
        <w:spacing w:before="120" w:after="120"/>
        <w:ind w:left="1985" w:hanging="482"/>
      </w:pPr>
      <w:r>
        <w:t>10</w:t>
      </w:r>
      <w:r w:rsidRPr="006A048F">
        <w:t>.</w:t>
      </w:r>
      <w:r w:rsidRPr="006A048F">
        <w:tab/>
      </w:r>
      <w:r>
        <w:rPr>
          <w:bCs/>
        </w:rPr>
        <w:t xml:space="preserve">Camera monitor systems on EX/III and FL vehicles (vehicles with battery </w:t>
      </w:r>
      <w:r>
        <w:rPr>
          <w:bCs/>
        </w:rPr>
        <w:br/>
        <w:t>master switches)</w:t>
      </w:r>
      <w:r>
        <w:tab/>
      </w:r>
      <w:r>
        <w:tab/>
        <w:t>44-45</w:t>
      </w:r>
      <w:r w:rsidRPr="006A048F">
        <w:tab/>
      </w:r>
      <w:r w:rsidR="00805010">
        <w:t>8</w:t>
      </w:r>
    </w:p>
    <w:p w14:paraId="31D49392" w14:textId="3B50BC62"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B.</w:t>
      </w:r>
      <w:r w:rsidRPr="006A048F">
        <w:tab/>
        <w:t>Miscellaneous proposals</w:t>
      </w:r>
      <w:r w:rsidRPr="006A048F">
        <w:tab/>
      </w:r>
      <w:r w:rsidRPr="006A048F">
        <w:tab/>
      </w:r>
      <w:r>
        <w:t>46</w:t>
      </w:r>
      <w:r w:rsidRPr="006A048F">
        <w:t>-</w:t>
      </w:r>
      <w:r>
        <w:t>59</w:t>
      </w:r>
      <w:r w:rsidRPr="006A048F">
        <w:tab/>
      </w:r>
      <w:r w:rsidR="00805010">
        <w:t>8</w:t>
      </w:r>
    </w:p>
    <w:p w14:paraId="432E2088" w14:textId="7A1A5370"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1.</w:t>
      </w:r>
      <w:r w:rsidRPr="006A048F">
        <w:tab/>
      </w:r>
      <w:r w:rsidRPr="00E54679">
        <w:rPr>
          <w:lang w:val="en-CA"/>
        </w:rPr>
        <w:t>Modification of texts adopted at the 113th session</w:t>
      </w:r>
      <w:r w:rsidRPr="006A048F">
        <w:tab/>
      </w:r>
      <w:r w:rsidRPr="006A048F">
        <w:tab/>
      </w:r>
      <w:r>
        <w:t>46</w:t>
      </w:r>
      <w:r w:rsidRPr="006A048F">
        <w:tab/>
      </w:r>
      <w:r w:rsidR="00805010">
        <w:t>8</w:t>
      </w:r>
    </w:p>
    <w:p w14:paraId="5BA2C8BD" w14:textId="469D97A4"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5" w:hanging="482"/>
      </w:pPr>
      <w:r w:rsidRPr="006A048F">
        <w:t>2.</w:t>
      </w:r>
      <w:r w:rsidRPr="006A048F">
        <w:tab/>
      </w:r>
      <w:r w:rsidRPr="00E54679">
        <w:rPr>
          <w:lang w:val="en-CA"/>
        </w:rPr>
        <w:t xml:space="preserve">Training obligation of the driver (vehicle crew) transporting </w:t>
      </w:r>
      <w:r>
        <w:rPr>
          <w:lang w:val="en-CA"/>
        </w:rPr>
        <w:br/>
      </w:r>
      <w:r w:rsidR="00B84772" w:rsidRPr="00E54679">
        <w:rPr>
          <w:lang w:val="en-CA"/>
        </w:rPr>
        <w:t xml:space="preserve">dangerous goods </w:t>
      </w:r>
      <w:r w:rsidRPr="00E54679">
        <w:rPr>
          <w:lang w:val="en-CA"/>
        </w:rPr>
        <w:t>packed in limited quantities</w:t>
      </w:r>
      <w:r w:rsidRPr="006A048F">
        <w:tab/>
      </w:r>
      <w:r w:rsidRPr="006A048F">
        <w:tab/>
      </w:r>
      <w:r>
        <w:t>47</w:t>
      </w:r>
      <w:r w:rsidRPr="006A048F">
        <w:tab/>
      </w:r>
      <w:r w:rsidR="00805010">
        <w:t>8</w:t>
      </w:r>
    </w:p>
    <w:p w14:paraId="0EFBD181" w14:textId="50C1DC2A"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r>
      <w:r w:rsidRPr="00E54679">
        <w:rPr>
          <w:lang w:val="en-CA"/>
        </w:rPr>
        <w:t xml:space="preserve">Amendment to 5.4.1.4 </w:t>
      </w:r>
      <w:r>
        <w:rPr>
          <w:lang w:val="en-CA"/>
        </w:rPr>
        <w:t>–</w:t>
      </w:r>
      <w:r w:rsidRPr="00E54679">
        <w:rPr>
          <w:lang w:val="en-CA"/>
        </w:rPr>
        <w:t xml:space="preserve"> Language requirements for the transport </w:t>
      </w:r>
      <w:r>
        <w:rPr>
          <w:lang w:val="en-CA"/>
        </w:rPr>
        <w:br/>
      </w:r>
      <w:r w:rsidR="00B84772" w:rsidRPr="001D0AAE">
        <w:t>document</w:t>
      </w:r>
      <w:r w:rsidR="00B84772" w:rsidRPr="00E54679">
        <w:rPr>
          <w:lang w:val="en-CA"/>
        </w:rPr>
        <w:t xml:space="preserve"> </w:t>
      </w:r>
      <w:r w:rsidRPr="00E54679">
        <w:rPr>
          <w:lang w:val="en-CA"/>
        </w:rPr>
        <w:t>according to ADR</w:t>
      </w:r>
      <w:r w:rsidRPr="006A048F">
        <w:tab/>
      </w:r>
      <w:r w:rsidRPr="006A048F">
        <w:tab/>
      </w:r>
      <w:r>
        <w:t>48</w:t>
      </w:r>
      <w:r w:rsidRPr="006A048F">
        <w:tab/>
      </w:r>
      <w:r w:rsidR="00805010">
        <w:t>8</w:t>
      </w:r>
    </w:p>
    <w:p w14:paraId="6DA10958" w14:textId="011F0437"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r>
      <w:r w:rsidRPr="008B5376">
        <w:t>Combustion heater</w:t>
      </w:r>
      <w:r w:rsidRPr="006A048F">
        <w:tab/>
      </w:r>
      <w:r w:rsidRPr="006A048F">
        <w:tab/>
      </w:r>
      <w:r>
        <w:t>49</w:t>
      </w:r>
      <w:r w:rsidRPr="006A048F">
        <w:tab/>
      </w:r>
      <w:r w:rsidR="00805010">
        <w:t>8</w:t>
      </w:r>
    </w:p>
    <w:p w14:paraId="55F059BF" w14:textId="4FB737B9" w:rsidR="00B0774E"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5.</w:t>
      </w:r>
      <w:r w:rsidRPr="006A048F">
        <w:tab/>
      </w:r>
      <w:r w:rsidRPr="008B5376">
        <w:t>Vehicle documents</w:t>
      </w:r>
      <w:r w:rsidRPr="006A048F">
        <w:tab/>
      </w:r>
      <w:r w:rsidRPr="006A048F">
        <w:tab/>
      </w:r>
      <w:r>
        <w:t>50-51</w:t>
      </w:r>
      <w:r>
        <w:tab/>
      </w:r>
      <w:r w:rsidR="00805010">
        <w:t>8</w:t>
      </w:r>
    </w:p>
    <w:p w14:paraId="00AFDA12" w14:textId="60657754" w:rsidR="00B0774E"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t>6</w:t>
      </w:r>
      <w:r w:rsidRPr="006A048F">
        <w:t>.</w:t>
      </w:r>
      <w:r w:rsidRPr="006A048F">
        <w:tab/>
      </w:r>
      <w:r w:rsidRPr="008B5376">
        <w:t>Definition of a closed vehicle</w:t>
      </w:r>
      <w:r w:rsidRPr="006A048F">
        <w:tab/>
      </w:r>
      <w:r w:rsidRPr="006A048F">
        <w:tab/>
      </w:r>
      <w:r>
        <w:t>52-53</w:t>
      </w:r>
      <w:r w:rsidRPr="006A048F">
        <w:tab/>
      </w:r>
      <w:r w:rsidR="00805010">
        <w:t>9</w:t>
      </w:r>
    </w:p>
    <w:p w14:paraId="754D844E" w14:textId="1B3E5694" w:rsidR="00B0774E"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t>7</w:t>
      </w:r>
      <w:r w:rsidRPr="006A048F">
        <w:t>.</w:t>
      </w:r>
      <w:r w:rsidRPr="006A048F">
        <w:tab/>
      </w:r>
      <w:r w:rsidRPr="008B5376">
        <w:t>Amendments to 7.5.7.5 and 8.3.3</w:t>
      </w:r>
      <w:r w:rsidRPr="006A048F">
        <w:tab/>
      </w:r>
      <w:r w:rsidRPr="006A048F">
        <w:tab/>
      </w:r>
      <w:r>
        <w:t>54-55</w:t>
      </w:r>
      <w:r w:rsidRPr="006A048F">
        <w:tab/>
      </w:r>
      <w:r w:rsidR="00805010">
        <w:t>9</w:t>
      </w:r>
    </w:p>
    <w:p w14:paraId="39D9A524" w14:textId="2876AF2A" w:rsidR="00B0774E" w:rsidRDefault="00B0774E" w:rsidP="00B0774E">
      <w:pPr>
        <w:tabs>
          <w:tab w:val="right" w:pos="850"/>
          <w:tab w:val="left" w:pos="1134"/>
          <w:tab w:val="left" w:pos="1985"/>
          <w:tab w:val="left" w:leader="dot" w:pos="7654"/>
          <w:tab w:val="right" w:pos="8929"/>
          <w:tab w:val="right" w:pos="9638"/>
        </w:tabs>
        <w:spacing w:before="120" w:after="120"/>
        <w:ind w:left="1985" w:hanging="482"/>
      </w:pPr>
      <w:r>
        <w:t>8</w:t>
      </w:r>
      <w:r w:rsidRPr="006A048F">
        <w:t>.</w:t>
      </w:r>
      <w:r w:rsidRPr="006A048F">
        <w:tab/>
      </w:r>
      <w:r>
        <w:rPr>
          <w:bCs/>
        </w:rPr>
        <w:t xml:space="preserve">Actual holding time – tank containers and portable tanks carried </w:t>
      </w:r>
      <w:r>
        <w:rPr>
          <w:bCs/>
        </w:rPr>
        <w:br/>
      </w:r>
      <w:r w:rsidR="00B84772">
        <w:rPr>
          <w:bCs/>
        </w:rPr>
        <w:t xml:space="preserve">on road </w:t>
      </w:r>
      <w:r>
        <w:rPr>
          <w:bCs/>
        </w:rPr>
        <w:t>journeys only</w:t>
      </w:r>
      <w:r w:rsidRPr="006A048F">
        <w:tab/>
      </w:r>
      <w:r w:rsidRPr="006A048F">
        <w:tab/>
      </w:r>
      <w:r>
        <w:t>56-57</w:t>
      </w:r>
      <w:r w:rsidRPr="006A048F">
        <w:tab/>
      </w:r>
      <w:r w:rsidR="00805010">
        <w:t>9</w:t>
      </w:r>
    </w:p>
    <w:p w14:paraId="6DA11E62" w14:textId="1014AC50" w:rsidR="00B0774E"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t>9</w:t>
      </w:r>
      <w:r w:rsidRPr="006A048F">
        <w:t>.</w:t>
      </w:r>
      <w:r w:rsidRPr="006A048F">
        <w:tab/>
      </w:r>
      <w:r>
        <w:rPr>
          <w:bCs/>
        </w:rPr>
        <w:t>Proposal for correction to ADR 2023</w:t>
      </w:r>
      <w:r w:rsidRPr="006A048F">
        <w:tab/>
      </w:r>
      <w:r w:rsidRPr="006A048F">
        <w:tab/>
      </w:r>
      <w:r>
        <w:t>58</w:t>
      </w:r>
      <w:r w:rsidRPr="006A048F">
        <w:tab/>
      </w:r>
      <w:r w:rsidR="00805010">
        <w:t>9</w:t>
      </w:r>
    </w:p>
    <w:p w14:paraId="59177A4E" w14:textId="3291A85A" w:rsidR="00B0774E" w:rsidRDefault="00B0774E" w:rsidP="00B0774E">
      <w:pPr>
        <w:tabs>
          <w:tab w:val="right" w:pos="850"/>
          <w:tab w:val="left" w:pos="1134"/>
          <w:tab w:val="left" w:pos="1985"/>
          <w:tab w:val="left" w:leader="dot" w:pos="7654"/>
          <w:tab w:val="right" w:pos="8929"/>
          <w:tab w:val="right" w:pos="9638"/>
        </w:tabs>
        <w:spacing w:before="120" w:after="120"/>
        <w:ind w:left="1985" w:hanging="482"/>
      </w:pPr>
      <w:r>
        <w:t>10</w:t>
      </w:r>
      <w:r w:rsidRPr="006A048F">
        <w:t>.</w:t>
      </w:r>
      <w:r w:rsidRPr="006A048F">
        <w:tab/>
      </w:r>
      <w:r>
        <w:rPr>
          <w:bCs/>
        </w:rPr>
        <w:t xml:space="preserve">Orange-coloured plate for tank-vehicles carrying UN Nos. 1202, </w:t>
      </w:r>
      <w:r>
        <w:rPr>
          <w:bCs/>
        </w:rPr>
        <w:br/>
      </w:r>
      <w:r w:rsidR="008400AC">
        <w:rPr>
          <w:bCs/>
        </w:rPr>
        <w:t xml:space="preserve">1203 </w:t>
      </w:r>
      <w:r>
        <w:rPr>
          <w:bCs/>
        </w:rPr>
        <w:t>and 3475</w:t>
      </w:r>
      <w:r w:rsidRPr="006A048F">
        <w:tab/>
      </w:r>
      <w:r>
        <w:tab/>
        <w:t>59</w:t>
      </w:r>
      <w:r w:rsidRPr="006A048F">
        <w:tab/>
      </w:r>
      <w:r w:rsidR="00805010">
        <w:t>9</w:t>
      </w:r>
    </w:p>
    <w:p w14:paraId="74BBE0F8" w14:textId="4C1875A6" w:rsidR="00B0774E"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VII.</w:t>
      </w:r>
      <w:r w:rsidRPr="006A048F">
        <w:tab/>
        <w:t>Interpretation of ADR (agenda item 6)</w:t>
      </w:r>
      <w:r w:rsidRPr="006A048F">
        <w:tab/>
      </w:r>
      <w:r w:rsidRPr="006A048F">
        <w:tab/>
      </w:r>
      <w:r>
        <w:t>60-71</w:t>
      </w:r>
      <w:r w:rsidRPr="006A048F">
        <w:tab/>
      </w:r>
      <w:r w:rsidR="00805010">
        <w:t>9</w:t>
      </w:r>
    </w:p>
    <w:p w14:paraId="66B273BE" w14:textId="2CCC2B86"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1.</w:t>
      </w:r>
      <w:r w:rsidRPr="006A048F">
        <w:tab/>
      </w:r>
      <w:r>
        <w:rPr>
          <w:bCs/>
        </w:rPr>
        <w:t>Scope of ADR</w:t>
      </w:r>
      <w:r w:rsidRPr="006A048F">
        <w:tab/>
      </w:r>
      <w:r>
        <w:tab/>
        <w:t>60-63</w:t>
      </w:r>
      <w:r w:rsidRPr="006A048F">
        <w:tab/>
      </w:r>
      <w:r w:rsidR="00805010">
        <w:t>9</w:t>
      </w:r>
    </w:p>
    <w:p w14:paraId="670F1E5B" w14:textId="55FF3E6B"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5" w:hanging="482"/>
      </w:pPr>
      <w:r w:rsidRPr="006A048F">
        <w:t>2</w:t>
      </w:r>
      <w:r w:rsidRPr="006A048F">
        <w:tab/>
      </w:r>
      <w:r>
        <w:rPr>
          <w:bCs/>
        </w:rPr>
        <w:t>Interpretation of 4.1.1.15</w:t>
      </w:r>
      <w:r w:rsidRPr="006A048F">
        <w:tab/>
      </w:r>
      <w:r>
        <w:tab/>
        <w:t>64-66</w:t>
      </w:r>
      <w:r>
        <w:tab/>
        <w:t>1</w:t>
      </w:r>
      <w:r w:rsidR="00805010">
        <w:t>0</w:t>
      </w:r>
    </w:p>
    <w:p w14:paraId="4A0C7D32" w14:textId="793FBEAE"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r>
      <w:r w:rsidRPr="006A048F">
        <w:tab/>
      </w:r>
      <w:r w:rsidRPr="007856AC">
        <w:t>Transport document and related information – goods of each transport unit</w:t>
      </w:r>
      <w:r w:rsidRPr="006A048F">
        <w:tab/>
      </w:r>
      <w:r>
        <w:t>67-69</w:t>
      </w:r>
      <w:r w:rsidRPr="006A048F">
        <w:tab/>
      </w:r>
      <w:r>
        <w:t>1</w:t>
      </w:r>
      <w:r w:rsidR="00805010">
        <w:t>0</w:t>
      </w:r>
    </w:p>
    <w:p w14:paraId="5C2BD5D5" w14:textId="4681AB23" w:rsidR="00B0774E" w:rsidRPr="006A048F" w:rsidRDefault="00B0774E" w:rsidP="00B0774E">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r>
      <w:r w:rsidRPr="007856AC">
        <w:t>Certificates of approval for vehicles</w:t>
      </w:r>
      <w:r w:rsidRPr="006A048F">
        <w:tab/>
      </w:r>
      <w:r w:rsidRPr="006A048F">
        <w:tab/>
      </w:r>
      <w:r>
        <w:t>70-71</w:t>
      </w:r>
      <w:r w:rsidRPr="006A048F">
        <w:tab/>
      </w:r>
      <w:r>
        <w:t>1</w:t>
      </w:r>
      <w:r w:rsidR="00805010">
        <w:t>0</w:t>
      </w:r>
    </w:p>
    <w:p w14:paraId="18B73116" w14:textId="4E21DF70" w:rsidR="00B0774E" w:rsidRDefault="00B0774E" w:rsidP="00B0774E">
      <w:pPr>
        <w:tabs>
          <w:tab w:val="right" w:pos="850"/>
          <w:tab w:val="left" w:pos="1134"/>
          <w:tab w:val="left" w:pos="1559"/>
          <w:tab w:val="left" w:pos="1984"/>
          <w:tab w:val="left" w:leader="dot" w:pos="7654"/>
          <w:tab w:val="right" w:pos="8929"/>
          <w:tab w:val="right" w:pos="9638"/>
        </w:tabs>
        <w:spacing w:after="120"/>
        <w:ind w:left="1134" w:hanging="1134"/>
      </w:pPr>
      <w:r w:rsidRPr="006A048F">
        <w:tab/>
        <w:t>VIII.</w:t>
      </w:r>
      <w:r w:rsidRPr="006A048F">
        <w:tab/>
        <w:t xml:space="preserve">Circular economy, sustainable use of natural resources and </w:t>
      </w:r>
      <w:r>
        <w:br/>
      </w:r>
      <w:r w:rsidRPr="006A048F">
        <w:t>Sustainable Development Goals (agenda item 7)</w:t>
      </w:r>
      <w:r w:rsidRPr="006A048F">
        <w:tab/>
      </w:r>
      <w:r w:rsidRPr="006A048F">
        <w:tab/>
      </w:r>
      <w:r>
        <w:t>72-73</w:t>
      </w:r>
      <w:r w:rsidRPr="006A048F">
        <w:tab/>
      </w:r>
      <w:r>
        <w:t>1</w:t>
      </w:r>
      <w:r w:rsidR="00805010">
        <w:t>1</w:t>
      </w:r>
    </w:p>
    <w:p w14:paraId="46E2D143" w14:textId="146B91E5" w:rsidR="00B0774E"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IX.</w:t>
      </w:r>
      <w:r w:rsidRPr="006A048F">
        <w:tab/>
        <w:t>Programme of work (agenda item 8)</w:t>
      </w:r>
      <w:r w:rsidRPr="006A048F">
        <w:tab/>
      </w:r>
      <w:r w:rsidRPr="006A048F">
        <w:tab/>
      </w:r>
      <w:r>
        <w:t>74-83</w:t>
      </w:r>
      <w:r w:rsidRPr="006A048F">
        <w:tab/>
      </w:r>
      <w:r>
        <w:t>1</w:t>
      </w:r>
      <w:r w:rsidR="00805010">
        <w:t>1</w:t>
      </w:r>
    </w:p>
    <w:p w14:paraId="0682E0FE" w14:textId="15DF0F9C"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ind w:left="1554" w:hanging="420"/>
      </w:pPr>
      <w:r w:rsidRPr="006A048F">
        <w:t>A.</w:t>
      </w:r>
      <w:r w:rsidRPr="006A048F">
        <w:tab/>
      </w:r>
      <w:r w:rsidRPr="006A048F">
        <w:tab/>
      </w:r>
      <w:r w:rsidRPr="00E54679">
        <w:rPr>
          <w:lang w:val="en-CA"/>
        </w:rPr>
        <w:t>115th session</w:t>
      </w:r>
      <w:r w:rsidRPr="006A048F">
        <w:tab/>
      </w:r>
      <w:r>
        <w:tab/>
        <w:t>74-75</w:t>
      </w:r>
      <w:r w:rsidRPr="006A048F">
        <w:tab/>
      </w:r>
      <w:r>
        <w:t>1</w:t>
      </w:r>
      <w:r w:rsidR="00805010">
        <w:t>1</w:t>
      </w:r>
    </w:p>
    <w:p w14:paraId="65FE2818" w14:textId="40B2AA33"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ind w:left="1554" w:hanging="420"/>
      </w:pPr>
      <w:r w:rsidRPr="006A048F">
        <w:t>B.</w:t>
      </w:r>
      <w:r w:rsidRPr="006A048F">
        <w:tab/>
      </w:r>
      <w:r w:rsidRPr="006A048F">
        <w:tab/>
      </w:r>
      <w:r w:rsidRPr="008B5376">
        <w:t>2025 amendments</w:t>
      </w:r>
      <w:r w:rsidRPr="006A048F">
        <w:tab/>
      </w:r>
      <w:r>
        <w:tab/>
        <w:t>76-77</w:t>
      </w:r>
      <w:r>
        <w:tab/>
        <w:t>1</w:t>
      </w:r>
      <w:r w:rsidR="00805010">
        <w:t>1</w:t>
      </w:r>
    </w:p>
    <w:p w14:paraId="625506EB" w14:textId="1BEE0A7A"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ind w:firstLine="1134"/>
      </w:pPr>
      <w:r w:rsidRPr="006A048F">
        <w:t>C.</w:t>
      </w:r>
      <w:r w:rsidRPr="006A048F">
        <w:tab/>
      </w:r>
      <w:r w:rsidRPr="007856AC">
        <w:t>Efficiency and methods of work of the Working Party</w:t>
      </w:r>
      <w:r w:rsidRPr="006A048F">
        <w:tab/>
      </w:r>
      <w:r>
        <w:tab/>
        <w:t>78-83</w:t>
      </w:r>
      <w:r w:rsidRPr="006A048F">
        <w:tab/>
      </w:r>
      <w:r>
        <w:t>1</w:t>
      </w:r>
      <w:r w:rsidR="00805010">
        <w:t>1</w:t>
      </w:r>
    </w:p>
    <w:p w14:paraId="72F75C48" w14:textId="34C4B56E"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X.</w:t>
      </w:r>
      <w:r w:rsidRPr="006A048F">
        <w:tab/>
        <w:t>Any other business (agenda item 9)</w:t>
      </w:r>
      <w:r w:rsidRPr="006A048F">
        <w:tab/>
      </w:r>
      <w:r w:rsidRPr="006A048F">
        <w:tab/>
      </w:r>
      <w:r>
        <w:t>84</w:t>
      </w:r>
      <w:r w:rsidRPr="006A048F">
        <w:tab/>
      </w:r>
      <w:r>
        <w:t>1</w:t>
      </w:r>
      <w:r w:rsidR="00805010">
        <w:t>2</w:t>
      </w:r>
    </w:p>
    <w:p w14:paraId="169C1A1D" w14:textId="0295C75F"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pPr>
      <w:r w:rsidRPr="006A048F">
        <w:tab/>
        <w:t>XI.</w:t>
      </w:r>
      <w:r w:rsidRPr="006A048F">
        <w:tab/>
      </w:r>
      <w:r w:rsidRPr="007856AC">
        <w:t>Election of officers for 2024 (agenda item 10)</w:t>
      </w:r>
      <w:r w:rsidRPr="006A048F">
        <w:tab/>
      </w:r>
      <w:r w:rsidRPr="006A048F">
        <w:tab/>
      </w:r>
      <w:r>
        <w:t>85</w:t>
      </w:r>
      <w:r w:rsidRPr="006A048F">
        <w:tab/>
        <w:t>1</w:t>
      </w:r>
      <w:r w:rsidR="00805010">
        <w:t>2</w:t>
      </w:r>
    </w:p>
    <w:p w14:paraId="7DA289FF" w14:textId="09F3B6D4" w:rsidR="00B0774E" w:rsidRPr="006A048F" w:rsidRDefault="00B0774E" w:rsidP="00B0774E">
      <w:pPr>
        <w:tabs>
          <w:tab w:val="right" w:pos="850"/>
          <w:tab w:val="left" w:pos="1134"/>
          <w:tab w:val="left" w:pos="1559"/>
          <w:tab w:val="left" w:pos="1984"/>
          <w:tab w:val="left" w:leader="dot" w:pos="7654"/>
          <w:tab w:val="right" w:pos="8929"/>
          <w:tab w:val="right" w:pos="9638"/>
        </w:tabs>
        <w:spacing w:after="120"/>
      </w:pPr>
      <w:r>
        <w:tab/>
      </w:r>
      <w:r w:rsidRPr="006A048F">
        <w:t>XI</w:t>
      </w:r>
      <w:r>
        <w:t>I</w:t>
      </w:r>
      <w:r w:rsidRPr="006A048F">
        <w:t>.</w:t>
      </w:r>
      <w:r w:rsidRPr="006A048F">
        <w:tab/>
      </w:r>
      <w:r w:rsidRPr="007856AC">
        <w:t>Adoption of the report (agenda item 11)</w:t>
      </w:r>
      <w:r w:rsidRPr="006A048F">
        <w:tab/>
      </w:r>
      <w:r w:rsidRPr="006A048F">
        <w:tab/>
      </w:r>
      <w:r>
        <w:t>86</w:t>
      </w:r>
      <w:r w:rsidRPr="006A048F">
        <w:tab/>
        <w:t>1</w:t>
      </w:r>
      <w:r w:rsidR="00805010">
        <w:t>2</w:t>
      </w:r>
    </w:p>
    <w:p w14:paraId="47234C9B" w14:textId="40A42340" w:rsidR="006D68C7" w:rsidRPr="006D68C7" w:rsidRDefault="006D68C7" w:rsidP="006D68C7">
      <w:pPr>
        <w:tabs>
          <w:tab w:val="right" w:pos="850"/>
          <w:tab w:val="left" w:leader="dot" w:pos="7654"/>
          <w:tab w:val="right" w:pos="8929"/>
          <w:tab w:val="right" w:pos="9638"/>
        </w:tabs>
        <w:suppressAutoHyphens/>
        <w:spacing w:after="120"/>
        <w:rPr>
          <w:lang w:eastAsia="en-US"/>
        </w:rPr>
      </w:pPr>
      <w:r w:rsidRPr="006D68C7">
        <w:rPr>
          <w:lang w:eastAsia="en-US"/>
        </w:rPr>
        <w:t>Annexes</w:t>
      </w:r>
    </w:p>
    <w:p w14:paraId="303EA44F" w14:textId="19FAA687" w:rsidR="006D68C7" w:rsidRPr="006D68C7" w:rsidRDefault="006D68C7" w:rsidP="006D68C7">
      <w:pPr>
        <w:tabs>
          <w:tab w:val="right" w:pos="850"/>
          <w:tab w:val="left" w:pos="1134"/>
          <w:tab w:val="left" w:pos="1559"/>
          <w:tab w:val="left" w:pos="1984"/>
          <w:tab w:val="left" w:leader="dot" w:pos="7654"/>
          <w:tab w:val="right" w:pos="8929"/>
          <w:tab w:val="right" w:pos="9638"/>
        </w:tabs>
        <w:suppressAutoHyphens/>
        <w:spacing w:after="120"/>
        <w:rPr>
          <w:lang w:eastAsia="en-US"/>
        </w:rPr>
      </w:pPr>
      <w:r w:rsidRPr="006D68C7">
        <w:rPr>
          <w:lang w:eastAsia="en-US"/>
        </w:rPr>
        <w:tab/>
        <w:t>I.</w:t>
      </w:r>
      <w:r w:rsidRPr="006D68C7">
        <w:rPr>
          <w:lang w:eastAsia="en-US"/>
        </w:rPr>
        <w:tab/>
      </w:r>
      <w:r>
        <w:t>Draft revised terms of reference proposed by the Working Party</w:t>
      </w:r>
      <w:r w:rsidRPr="006D68C7">
        <w:rPr>
          <w:webHidden/>
          <w:lang w:eastAsia="en-US"/>
        </w:rPr>
        <w:tab/>
      </w:r>
      <w:r w:rsidRPr="006D68C7">
        <w:rPr>
          <w:webHidden/>
          <w:lang w:eastAsia="en-US"/>
        </w:rPr>
        <w:tab/>
      </w:r>
      <w:r w:rsidRPr="006D68C7">
        <w:rPr>
          <w:webHidden/>
          <w:lang w:eastAsia="en-US"/>
        </w:rPr>
        <w:tab/>
        <w:t>1</w:t>
      </w:r>
      <w:r w:rsidR="00805010">
        <w:rPr>
          <w:webHidden/>
          <w:lang w:eastAsia="en-US"/>
        </w:rPr>
        <w:t>3</w:t>
      </w:r>
    </w:p>
    <w:p w14:paraId="6E3247E8" w14:textId="28A28B03" w:rsidR="006D68C7" w:rsidRDefault="006D68C7" w:rsidP="006D68C7">
      <w:pPr>
        <w:tabs>
          <w:tab w:val="right" w:pos="850"/>
          <w:tab w:val="left" w:pos="1134"/>
          <w:tab w:val="left" w:pos="1559"/>
          <w:tab w:val="left" w:pos="1984"/>
          <w:tab w:val="left" w:leader="dot" w:pos="7654"/>
          <w:tab w:val="right" w:pos="8929"/>
          <w:tab w:val="right" w:pos="9638"/>
        </w:tabs>
        <w:suppressAutoHyphens/>
        <w:spacing w:after="120"/>
        <w:rPr>
          <w:webHidden/>
          <w:lang w:eastAsia="en-US"/>
        </w:rPr>
      </w:pPr>
      <w:r w:rsidRPr="006D68C7">
        <w:rPr>
          <w:lang w:eastAsia="en-US"/>
        </w:rPr>
        <w:tab/>
        <w:t>II</w:t>
      </w:r>
      <w:r w:rsidR="00A47BF3">
        <w:rPr>
          <w:lang w:eastAsia="en-US"/>
        </w:rPr>
        <w:t>.</w:t>
      </w:r>
      <w:r w:rsidRPr="006D68C7">
        <w:rPr>
          <w:webHidden/>
          <w:lang w:eastAsia="en-US"/>
        </w:rPr>
        <w:tab/>
      </w:r>
      <w:r w:rsidR="00A47BF3" w:rsidRPr="006A048F">
        <w:t>Draft amendments to annexes A and B of ADR for entry into force</w:t>
      </w:r>
      <w:r w:rsidR="00A47BF3">
        <w:t xml:space="preserve"> </w:t>
      </w:r>
      <w:r w:rsidR="00A47BF3" w:rsidRPr="006A048F">
        <w:t>on 1 January 2025</w:t>
      </w:r>
      <w:r w:rsidRPr="006D68C7">
        <w:rPr>
          <w:webHidden/>
          <w:lang w:eastAsia="en-US"/>
        </w:rPr>
        <w:tab/>
      </w:r>
      <w:r w:rsidRPr="006D68C7">
        <w:rPr>
          <w:webHidden/>
          <w:lang w:eastAsia="en-US"/>
        </w:rPr>
        <w:tab/>
        <w:t>1</w:t>
      </w:r>
      <w:r w:rsidR="00805010">
        <w:rPr>
          <w:webHidden/>
          <w:lang w:eastAsia="en-US"/>
        </w:rPr>
        <w:t>5</w:t>
      </w:r>
    </w:p>
    <w:p w14:paraId="22F40E22" w14:textId="033835E8" w:rsidR="00A47BF3" w:rsidRDefault="00A47BF3" w:rsidP="00A47BF3">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eastAsia="en-US"/>
        </w:rPr>
      </w:pPr>
      <w:r w:rsidRPr="006D68C7">
        <w:rPr>
          <w:lang w:eastAsia="en-US"/>
        </w:rPr>
        <w:tab/>
        <w:t>II</w:t>
      </w:r>
      <w:r>
        <w:rPr>
          <w:lang w:eastAsia="en-US"/>
        </w:rPr>
        <w:t>I.</w:t>
      </w:r>
      <w:r w:rsidRPr="006D68C7">
        <w:rPr>
          <w:webHidden/>
          <w:lang w:eastAsia="en-US"/>
        </w:rPr>
        <w:tab/>
      </w:r>
      <w:r w:rsidRPr="00BA50A6">
        <w:t>Draft amendments to annexes A and B of ADR for entry into force on 1 January 2025</w:t>
      </w:r>
      <w:r>
        <w:br/>
      </w:r>
      <w:r w:rsidRPr="00BA50A6">
        <w:t>to</w:t>
      </w:r>
      <w:r>
        <w:t xml:space="preserve"> </w:t>
      </w:r>
      <w:r w:rsidRPr="00BA50A6">
        <w:t>be confirmed at the next session</w:t>
      </w:r>
      <w:r w:rsidRPr="006D68C7">
        <w:rPr>
          <w:webHidden/>
          <w:lang w:eastAsia="en-US"/>
        </w:rPr>
        <w:tab/>
      </w:r>
      <w:r>
        <w:rPr>
          <w:webHidden/>
          <w:lang w:eastAsia="en-US"/>
        </w:rPr>
        <w:tab/>
      </w:r>
      <w:r w:rsidRPr="006D68C7">
        <w:rPr>
          <w:webHidden/>
          <w:lang w:eastAsia="en-US"/>
        </w:rPr>
        <w:tab/>
        <w:t>1</w:t>
      </w:r>
      <w:r w:rsidR="00805010">
        <w:rPr>
          <w:webHidden/>
          <w:lang w:eastAsia="en-US"/>
        </w:rPr>
        <w:t>8</w:t>
      </w:r>
    </w:p>
    <w:p w14:paraId="2BBDC729" w14:textId="19A22D27" w:rsidR="00FC2073" w:rsidRDefault="00A47BF3" w:rsidP="00EB6BE1">
      <w:pPr>
        <w:tabs>
          <w:tab w:val="right" w:pos="850"/>
          <w:tab w:val="left" w:pos="1134"/>
          <w:tab w:val="left" w:pos="1559"/>
          <w:tab w:val="left" w:pos="1984"/>
          <w:tab w:val="left" w:leader="dot" w:pos="7654"/>
          <w:tab w:val="right" w:pos="8929"/>
          <w:tab w:val="right" w:pos="9638"/>
        </w:tabs>
        <w:suppressAutoHyphens/>
        <w:spacing w:after="120"/>
        <w:rPr>
          <w:sz w:val="28"/>
          <w:szCs w:val="28"/>
          <w:lang w:eastAsia="en-US"/>
        </w:rPr>
      </w:pPr>
      <w:r w:rsidRPr="006D68C7">
        <w:rPr>
          <w:lang w:eastAsia="en-US"/>
        </w:rPr>
        <w:tab/>
      </w:r>
      <w:r>
        <w:rPr>
          <w:lang w:eastAsia="en-US"/>
        </w:rPr>
        <w:t>IV.</w:t>
      </w:r>
      <w:r w:rsidRPr="006D68C7">
        <w:rPr>
          <w:webHidden/>
          <w:lang w:eastAsia="en-US"/>
        </w:rPr>
        <w:tab/>
      </w:r>
      <w:r w:rsidRPr="000A6875">
        <w:t>Corrections</w:t>
      </w:r>
      <w:r w:rsidRPr="000A6875">
        <w:rPr>
          <w:bCs/>
        </w:rPr>
        <w:t xml:space="preserve"> to the English version of ADR</w:t>
      </w:r>
      <w:r>
        <w:rPr>
          <w:bCs/>
        </w:rPr>
        <w:t xml:space="preserve"> 2023</w:t>
      </w:r>
      <w:r w:rsidRPr="006D68C7">
        <w:rPr>
          <w:webHidden/>
          <w:lang w:eastAsia="en-US"/>
        </w:rPr>
        <w:tab/>
      </w:r>
      <w:r w:rsidRPr="006D68C7">
        <w:rPr>
          <w:webHidden/>
          <w:lang w:eastAsia="en-US"/>
        </w:rPr>
        <w:tab/>
      </w:r>
      <w:r>
        <w:rPr>
          <w:webHidden/>
          <w:lang w:eastAsia="en-US"/>
        </w:rPr>
        <w:tab/>
        <w:t>2</w:t>
      </w:r>
      <w:r w:rsidR="00805010">
        <w:rPr>
          <w:webHidden/>
          <w:lang w:eastAsia="en-US"/>
        </w:rPr>
        <w:t>3</w:t>
      </w:r>
      <w:r w:rsidR="00FC2073">
        <w:rPr>
          <w:sz w:val="28"/>
          <w:szCs w:val="28"/>
          <w:lang w:eastAsia="en-US"/>
        </w:rPr>
        <w:br w:type="page"/>
      </w:r>
    </w:p>
    <w:p w14:paraId="63DFC07D" w14:textId="77777777" w:rsidR="0026628E" w:rsidRPr="00606002" w:rsidRDefault="0026628E" w:rsidP="0026628E">
      <w:pPr>
        <w:pStyle w:val="HChG"/>
      </w:pPr>
      <w:r>
        <w:lastRenderedPageBreak/>
        <w:tab/>
        <w:t>I.</w:t>
      </w:r>
      <w:r>
        <w:tab/>
        <w:t>Attendance</w:t>
      </w:r>
    </w:p>
    <w:p w14:paraId="19E85DB8" w14:textId="77777777" w:rsidR="0026628E" w:rsidRPr="00606002" w:rsidRDefault="0026628E" w:rsidP="0026628E">
      <w:pPr>
        <w:pStyle w:val="SingleTxtG"/>
      </w:pPr>
      <w:r>
        <w:t>1.</w:t>
      </w:r>
      <w:r>
        <w:tab/>
        <w:t>The Working Party on the Transport of Dangerous Goods held its 114th session from 6 to 10 November 2023, with Ms. A. Roumier (France) as Chair.</w:t>
      </w:r>
    </w:p>
    <w:p w14:paraId="02601B50" w14:textId="77777777" w:rsidR="0026628E" w:rsidRPr="00606002" w:rsidRDefault="0026628E" w:rsidP="0026628E">
      <w:pPr>
        <w:pStyle w:val="SingleTxtG"/>
      </w:pPr>
      <w:r>
        <w:t>2.</w:t>
      </w:r>
      <w:r>
        <w:tab/>
        <w:t xml:space="preserve">Representatives from the following countries took part in the session: Austria, Belarus, Belgium, Denmark, Finland, France, Germany, Hungary, Latvia, Luxembourg, Malta, Netherlands, Norway, Portugal, Romania, Russian Federation, Slovakia, Spain, Sweden, Switzerland, </w:t>
      </w:r>
      <w:proofErr w:type="gramStart"/>
      <w:r>
        <w:t>Türkiye</w:t>
      </w:r>
      <w:proofErr w:type="gramEnd"/>
      <w:r>
        <w:t xml:space="preserve"> and United Kingdom.</w:t>
      </w:r>
    </w:p>
    <w:p w14:paraId="3C0479C5" w14:textId="77777777" w:rsidR="0026628E" w:rsidRPr="00606002" w:rsidRDefault="0026628E" w:rsidP="0026628E">
      <w:pPr>
        <w:pStyle w:val="SingleTxtG"/>
      </w:pPr>
      <w:r>
        <w:t>3.</w:t>
      </w:r>
      <w:r>
        <w:tab/>
        <w:t xml:space="preserve">Representatives of Algeria, Egypt, Islamic Republic of Iran, Jordan, Lebanon, </w:t>
      </w:r>
      <w:proofErr w:type="gramStart"/>
      <w:r>
        <w:t>Morocco</w:t>
      </w:r>
      <w:proofErr w:type="gramEnd"/>
      <w:r>
        <w:t xml:space="preserve"> and Saudi Arabia also took part in the session, as provided for in paragraph 11 of the terms of reference of the Economic Commission for Europe. The representative of Morocco took part in the session as a full member in respect of questions relating to the Agreement concerning the International Carriage of Dangerous Goods by Road (ADR), in accordance with rule 1 (b) of the rules of procedure of the Working Party.</w:t>
      </w:r>
    </w:p>
    <w:p w14:paraId="12C04CC5" w14:textId="77777777" w:rsidR="0026628E" w:rsidRPr="00606002" w:rsidRDefault="0026628E" w:rsidP="0026628E">
      <w:pPr>
        <w:pStyle w:val="SingleTxtG"/>
      </w:pPr>
      <w:r>
        <w:t>4.</w:t>
      </w:r>
      <w:r>
        <w:tab/>
        <w:t>The European Union was represented.</w:t>
      </w:r>
    </w:p>
    <w:p w14:paraId="764DCFA5" w14:textId="77777777" w:rsidR="0026628E" w:rsidRPr="00606002" w:rsidRDefault="0026628E" w:rsidP="0026628E">
      <w:pPr>
        <w:pStyle w:val="SingleTxtG"/>
      </w:pPr>
      <w:r>
        <w:t>5.</w:t>
      </w:r>
      <w:r>
        <w:tab/>
        <w:t>The following intergovernmental organization was represented: Intergovernmental Organization for International Carriage by Rail (OTIF).</w:t>
      </w:r>
    </w:p>
    <w:p w14:paraId="2223E1FB" w14:textId="30F1F3FE" w:rsidR="0026628E" w:rsidRPr="00606002" w:rsidRDefault="0026628E" w:rsidP="0026628E">
      <w:pPr>
        <w:pStyle w:val="SingleTxtG"/>
      </w:pPr>
      <w:r>
        <w:t>6.</w:t>
      </w:r>
      <w:r>
        <w:tab/>
        <w:t xml:space="preserve">The following non-governmental organizations were represented: International Association of the Body and Trailer Building Industry (CLCCR), European Confederation of Fuel Distributors (ECFD), European Federation of Waste Management and Environmental Services (FEAD), Fuels Europe, International Association of Dangerous Goods Safety Advisers (IASA), International Organization of Automobile Manufacturers (OICA) and International Road Transport Union (IRU). The </w:t>
      </w:r>
      <w:proofErr w:type="spellStart"/>
      <w:r>
        <w:t>EuroMed</w:t>
      </w:r>
      <w:proofErr w:type="spellEnd"/>
      <w:r>
        <w:t xml:space="preserve"> </w:t>
      </w:r>
      <w:r w:rsidR="00820A75" w:rsidRPr="00820A75">
        <w:t>Transport Support Project (TSP)</w:t>
      </w:r>
      <w:r w:rsidR="00820A75">
        <w:t xml:space="preserve"> </w:t>
      </w:r>
      <w:r>
        <w:t>was also represented.</w:t>
      </w:r>
    </w:p>
    <w:p w14:paraId="55A12988" w14:textId="77777777" w:rsidR="0026628E" w:rsidRPr="00606002" w:rsidRDefault="0026628E" w:rsidP="0026628E">
      <w:pPr>
        <w:pStyle w:val="HChG"/>
      </w:pPr>
      <w:r>
        <w:tab/>
        <w:t>II.</w:t>
      </w:r>
      <w:r>
        <w:tab/>
        <w:t>Adoption of the agenda (agenda item 1)</w:t>
      </w:r>
      <w:bookmarkStart w:id="1" w:name="_Hlk6316889"/>
      <w:bookmarkStart w:id="2" w:name="_Toc499903630"/>
      <w:bookmarkEnd w:id="1"/>
      <w:bookmarkEnd w:id="2"/>
    </w:p>
    <w:p w14:paraId="22C32DF6" w14:textId="77777777" w:rsidR="0026628E" w:rsidRPr="00606002" w:rsidRDefault="0026628E" w:rsidP="0026628E">
      <w:pPr>
        <w:pStyle w:val="SingleTxtG"/>
        <w:keepNext/>
        <w:tabs>
          <w:tab w:val="clear" w:pos="2268"/>
        </w:tabs>
        <w:ind w:left="3402" w:hanging="2268"/>
      </w:pPr>
      <w:r>
        <w:rPr>
          <w:i/>
          <w:iCs/>
        </w:rPr>
        <w:t>Documents</w:t>
      </w:r>
      <w:r>
        <w:t>:</w:t>
      </w:r>
      <w:r>
        <w:tab/>
        <w:t xml:space="preserve">ECE/TRANS/WP.15/263 and </w:t>
      </w:r>
      <w:proofErr w:type="gramStart"/>
      <w:r>
        <w:t>Add</w:t>
      </w:r>
      <w:proofErr w:type="gramEnd"/>
      <w:r>
        <w:t>.1 (Secretariat)</w:t>
      </w:r>
    </w:p>
    <w:p w14:paraId="34C6EAE5" w14:textId="77777777" w:rsidR="0026628E" w:rsidRPr="00606002" w:rsidRDefault="0026628E" w:rsidP="0026628E">
      <w:pPr>
        <w:pStyle w:val="SingleTxtG"/>
        <w:keepNext/>
        <w:ind w:left="3402" w:hanging="2268"/>
      </w:pPr>
      <w:r>
        <w:rPr>
          <w:i/>
          <w:iCs/>
        </w:rPr>
        <w:t>Informal documents</w:t>
      </w:r>
      <w:r>
        <w:t>:</w:t>
      </w:r>
      <w:r>
        <w:tab/>
        <w:t>INF.1, INF.2 and INF.13 (Secretariat)</w:t>
      </w:r>
    </w:p>
    <w:p w14:paraId="4E2E1354" w14:textId="77777777" w:rsidR="0026628E" w:rsidRDefault="0026628E" w:rsidP="0026628E">
      <w:pPr>
        <w:pStyle w:val="SingleTxtG"/>
        <w:keepNext/>
      </w:pPr>
      <w:r>
        <w:t>7.</w:t>
      </w:r>
      <w:r>
        <w:tab/>
        <w:t>The Working Party adopted the provisional agenda prepared by the secretariat, as amended by informal document INF.2 to take account of informal documents INF.1 to INF.26.</w:t>
      </w:r>
    </w:p>
    <w:p w14:paraId="58A869F0" w14:textId="609AFF6D" w:rsidR="0026628E" w:rsidRPr="00606002" w:rsidRDefault="0026628E" w:rsidP="0026628E">
      <w:pPr>
        <w:pStyle w:val="HChG"/>
      </w:pPr>
      <w:r>
        <w:tab/>
        <w:t>III.</w:t>
      </w:r>
      <w:r>
        <w:tab/>
        <w:t>Eighty-fifth session of the Inland Transport Committee (agenda item 2)</w:t>
      </w:r>
    </w:p>
    <w:p w14:paraId="478B761A" w14:textId="052F6C4B" w:rsidR="00F5666F" w:rsidRPr="00E54679" w:rsidRDefault="00F5666F" w:rsidP="00F5666F">
      <w:pPr>
        <w:pStyle w:val="SingleTxtG"/>
        <w:ind w:left="2268" w:hanging="1134"/>
        <w:jc w:val="left"/>
        <w:rPr>
          <w:lang w:val="en-CA"/>
        </w:rPr>
      </w:pPr>
      <w:r w:rsidRPr="00E54679">
        <w:rPr>
          <w:i/>
          <w:iCs/>
          <w:lang w:val="en-CA"/>
        </w:rPr>
        <w:t>Documents</w:t>
      </w:r>
      <w:r w:rsidRPr="00E54679">
        <w:rPr>
          <w:lang w:val="en-CA"/>
        </w:rPr>
        <w:t>:</w:t>
      </w:r>
      <w:r w:rsidRPr="00E54679">
        <w:rPr>
          <w:lang w:val="en-CA"/>
        </w:rPr>
        <w:tab/>
        <w:t>ECE/TRANS/328 and ECE/TRANS/328/Add.1 (Report of the Inland Transport Committee on its eighty-fifth session), ECE/TRANS/2023/4/Rev.1 (</w:t>
      </w:r>
      <w:r w:rsidR="001D1094">
        <w:rPr>
          <w:lang w:val="en-CA"/>
        </w:rPr>
        <w:t>S</w:t>
      </w:r>
      <w:r w:rsidRPr="00E54679">
        <w:rPr>
          <w:lang w:val="en-CA"/>
        </w:rPr>
        <w:t>ecretariat), ECE/TRANS/WP.15/2023/7 (</w:t>
      </w:r>
      <w:r w:rsidR="001D1094">
        <w:rPr>
          <w:lang w:val="en-CA"/>
        </w:rPr>
        <w:t>S</w:t>
      </w:r>
      <w:r w:rsidRPr="00E54679">
        <w:rPr>
          <w:lang w:val="en-CA"/>
        </w:rPr>
        <w:t>ecretariat)</w:t>
      </w:r>
    </w:p>
    <w:p w14:paraId="4C3EA3E1" w14:textId="46D4730C" w:rsidR="00F5666F" w:rsidRPr="00E54679" w:rsidRDefault="00F86AB2" w:rsidP="00F5666F">
      <w:pPr>
        <w:pStyle w:val="SingleTxtG"/>
        <w:rPr>
          <w:lang w:val="en-CA"/>
        </w:rPr>
      </w:pPr>
      <w:r>
        <w:rPr>
          <w:lang w:val="en-CA"/>
        </w:rPr>
        <w:t>8</w:t>
      </w:r>
      <w:r w:rsidR="00F5666F" w:rsidRPr="00E54679">
        <w:rPr>
          <w:lang w:val="en-CA"/>
        </w:rPr>
        <w:t>.</w:t>
      </w:r>
      <w:r w:rsidR="00F5666F" w:rsidRPr="00E54679">
        <w:rPr>
          <w:lang w:val="en-CA"/>
        </w:rPr>
        <w:tab/>
        <w:t xml:space="preserve">The Working Party adopted the proposed revised terms of reference with the text in square brackets and with an addition to refer to cooperation with </w:t>
      </w:r>
      <w:r w:rsidR="00AC42F7">
        <w:rPr>
          <w:lang w:val="en-CA"/>
        </w:rPr>
        <w:t xml:space="preserve">the </w:t>
      </w:r>
      <w:r w:rsidR="00AC42F7" w:rsidRPr="00C66524">
        <w:rPr>
          <w:lang w:eastAsia="zh-CN"/>
        </w:rPr>
        <w:t>Working Party on Intermodal Transport and Logistics</w:t>
      </w:r>
      <w:r w:rsidR="00AC42F7" w:rsidRPr="00E54679">
        <w:rPr>
          <w:lang w:val="en-CA"/>
        </w:rPr>
        <w:t xml:space="preserve"> </w:t>
      </w:r>
      <w:r w:rsidR="00AC42F7">
        <w:rPr>
          <w:lang w:val="en-CA"/>
        </w:rPr>
        <w:t>(</w:t>
      </w:r>
      <w:r w:rsidR="00F5666F" w:rsidRPr="00E54679">
        <w:rPr>
          <w:lang w:val="en-CA"/>
        </w:rPr>
        <w:t>WP.24</w:t>
      </w:r>
      <w:r w:rsidR="00AC42F7">
        <w:rPr>
          <w:lang w:val="en-CA"/>
        </w:rPr>
        <w:t>)</w:t>
      </w:r>
      <w:r w:rsidR="00F5666F" w:rsidRPr="00E54679">
        <w:rPr>
          <w:lang w:val="en-CA"/>
        </w:rPr>
        <w:t xml:space="preserve"> and a correction (see annex </w:t>
      </w:r>
      <w:r w:rsidR="00F72780">
        <w:rPr>
          <w:lang w:val="en-CA"/>
        </w:rPr>
        <w:t>I</w:t>
      </w:r>
      <w:r w:rsidR="00F5666F" w:rsidRPr="00E54679">
        <w:rPr>
          <w:lang w:val="en-CA"/>
        </w:rPr>
        <w:t>).</w:t>
      </w:r>
    </w:p>
    <w:p w14:paraId="1A21CB47" w14:textId="6AAD777D" w:rsidR="00F5666F" w:rsidRPr="00E54679" w:rsidRDefault="00F86AB2" w:rsidP="00F5666F">
      <w:pPr>
        <w:pStyle w:val="SingleTxtG"/>
        <w:rPr>
          <w:lang w:val="en-CA"/>
        </w:rPr>
      </w:pPr>
      <w:r>
        <w:rPr>
          <w:lang w:val="en-CA"/>
        </w:rPr>
        <w:t>9</w:t>
      </w:r>
      <w:r w:rsidR="00F5666F" w:rsidRPr="00E54679">
        <w:rPr>
          <w:lang w:val="en-CA"/>
        </w:rPr>
        <w:t>.</w:t>
      </w:r>
      <w:r w:rsidR="00F5666F" w:rsidRPr="00E54679">
        <w:rPr>
          <w:lang w:val="en-CA"/>
        </w:rPr>
        <w:tab/>
        <w:t>The Working Party asked the secretariat to transmit the proposal to the Inland Transport Committee at its eighty-sixth session for adoption.</w:t>
      </w:r>
    </w:p>
    <w:p w14:paraId="029AE736" w14:textId="77777777" w:rsidR="0026628E" w:rsidRPr="00606002" w:rsidRDefault="0026628E" w:rsidP="0026628E">
      <w:pPr>
        <w:pStyle w:val="HChG"/>
      </w:pPr>
      <w:r>
        <w:lastRenderedPageBreak/>
        <w:tab/>
        <w:t>IV.</w:t>
      </w:r>
      <w:r>
        <w:tab/>
        <w:t>Status of the Agreement concerning the International Carriage of Dangerous Goods by Road (ADR) and related issues (agenda item 3)</w:t>
      </w:r>
    </w:p>
    <w:p w14:paraId="0BA4BAAB" w14:textId="77777777" w:rsidR="0026628E" w:rsidRDefault="0026628E" w:rsidP="0026628E">
      <w:pPr>
        <w:pStyle w:val="H1G"/>
      </w:pPr>
      <w:r>
        <w:tab/>
        <w:t>A.</w:t>
      </w:r>
      <w:r>
        <w:tab/>
        <w:t>Status of the Agreement</w:t>
      </w:r>
    </w:p>
    <w:p w14:paraId="4999E081" w14:textId="2EE16409" w:rsidR="0026628E" w:rsidRPr="00606002" w:rsidRDefault="00F86AB2" w:rsidP="0026628E">
      <w:pPr>
        <w:pStyle w:val="SingleTxtG"/>
      </w:pPr>
      <w:r>
        <w:t>10</w:t>
      </w:r>
      <w:r w:rsidR="0026628E">
        <w:t>.</w:t>
      </w:r>
      <w:r w:rsidR="0026628E">
        <w:tab/>
        <w:t>There were no changes to the status of ADR (54 contracting parties) nor to that of the Protocol of amendment of 1993 (40 contracting parties) since the last session.</w:t>
      </w:r>
    </w:p>
    <w:p w14:paraId="2F46900B" w14:textId="77777777" w:rsidR="0026628E" w:rsidRPr="00606002" w:rsidRDefault="0026628E" w:rsidP="0026628E">
      <w:pPr>
        <w:pStyle w:val="H1G"/>
        <w:rPr>
          <w:rFonts w:eastAsia="Calibri"/>
        </w:rPr>
      </w:pPr>
      <w:r>
        <w:tab/>
        <w:t>B.</w:t>
      </w:r>
      <w:r>
        <w:tab/>
        <w:t>Protocol of amendment of 1993</w:t>
      </w:r>
    </w:p>
    <w:p w14:paraId="4110C2B9" w14:textId="1274D159" w:rsidR="0026628E" w:rsidRPr="00606002" w:rsidRDefault="00F86AB2" w:rsidP="0026628E">
      <w:pPr>
        <w:pStyle w:val="SingleTxtG"/>
      </w:pPr>
      <w:r>
        <w:t>11</w:t>
      </w:r>
      <w:r w:rsidR="0026628E">
        <w:t>.</w:t>
      </w:r>
      <w:r w:rsidR="0026628E">
        <w:tab/>
        <w:t xml:space="preserve">The Working Party encouraged the countries that had not yet deposited the required legal instruments for the Protocol to enter into force (Armenia, Azerbaijan, Belarus, Bosnia and Herzegovina, Croatia, Iceland, Kazakhstan, Montenegro, Morocco, North Macedonia, Nigeria, San Marino, </w:t>
      </w:r>
      <w:proofErr w:type="gramStart"/>
      <w:r w:rsidR="0026628E">
        <w:t>Tajikistan</w:t>
      </w:r>
      <w:proofErr w:type="gramEnd"/>
      <w:r w:rsidR="0026628E">
        <w:t xml:space="preserve"> and Uganda) to take the necessary measures to ratify or accede to it so that it could come into effect.</w:t>
      </w:r>
    </w:p>
    <w:p w14:paraId="3B0B0D0C" w14:textId="77777777" w:rsidR="0026628E" w:rsidRPr="00606002" w:rsidRDefault="0026628E" w:rsidP="0026628E">
      <w:pPr>
        <w:pStyle w:val="H1G"/>
      </w:pPr>
      <w:r>
        <w:tab/>
        <w:t>C.</w:t>
      </w:r>
      <w:r>
        <w:tab/>
        <w:t>Translation of ADR into Arabic</w:t>
      </w:r>
      <w:bookmarkStart w:id="3" w:name="_Hlk95746437"/>
      <w:bookmarkEnd w:id="3"/>
    </w:p>
    <w:p w14:paraId="32005708" w14:textId="07633DA1" w:rsidR="0026628E" w:rsidRDefault="00F86AB2" w:rsidP="0026628E">
      <w:pPr>
        <w:pStyle w:val="SingleTxtG"/>
      </w:pPr>
      <w:r>
        <w:t>12</w:t>
      </w:r>
      <w:r w:rsidR="0026628E">
        <w:t xml:space="preserve">. </w:t>
      </w:r>
      <w:r w:rsidR="0026628E">
        <w:tab/>
        <w:t xml:space="preserve">A representative of </w:t>
      </w:r>
      <w:proofErr w:type="spellStart"/>
      <w:r w:rsidR="0026628E">
        <w:t>Euro</w:t>
      </w:r>
      <w:r w:rsidR="00711B0C">
        <w:t>M</w:t>
      </w:r>
      <w:r w:rsidR="0026628E">
        <w:t>ed</w:t>
      </w:r>
      <w:proofErr w:type="spellEnd"/>
      <w:r w:rsidR="0026628E">
        <w:t xml:space="preserve"> TSP announced that the Arabic translation of ADR 2023 would soon be available. A member of the secretariat confirmed that the relevant United Nations services had been consulted and that discussions were under way to find a permanent solution for the translation of amendments every two years and the publication of the corresponding consolidated amended versions. The Working Party welcomed the progress made.</w:t>
      </w:r>
    </w:p>
    <w:p w14:paraId="3CD9B49C" w14:textId="77777777" w:rsidR="002B7F4B" w:rsidRPr="00E54679" w:rsidRDefault="002B7F4B" w:rsidP="002B7F4B">
      <w:pPr>
        <w:pStyle w:val="HChG"/>
        <w:rPr>
          <w:lang w:val="en-CA"/>
        </w:rPr>
      </w:pPr>
      <w:r w:rsidRPr="00E54679">
        <w:rPr>
          <w:lang w:val="en-CA"/>
        </w:rPr>
        <w:tab/>
        <w:t>V.</w:t>
      </w:r>
      <w:r w:rsidRPr="00E54679">
        <w:rPr>
          <w:lang w:val="en-CA"/>
        </w:rPr>
        <w:tab/>
        <w:t>Work of the RID/ADR/ADN Joint Meeting (agenda item 4)</w:t>
      </w:r>
    </w:p>
    <w:p w14:paraId="06F2A017" w14:textId="1E5241D0" w:rsidR="002B7F4B" w:rsidRPr="00E54679" w:rsidRDefault="002B7F4B" w:rsidP="002B7F4B">
      <w:pPr>
        <w:pStyle w:val="SingleTxtG"/>
        <w:ind w:left="2268" w:hanging="1134"/>
        <w:jc w:val="left"/>
        <w:rPr>
          <w:lang w:val="en-CA"/>
        </w:rPr>
      </w:pPr>
      <w:r w:rsidRPr="00E54679">
        <w:rPr>
          <w:i/>
          <w:iCs/>
          <w:lang w:val="en-CA"/>
        </w:rPr>
        <w:t>Documents</w:t>
      </w:r>
      <w:r w:rsidRPr="00E54679">
        <w:rPr>
          <w:lang w:val="en-CA"/>
        </w:rPr>
        <w:t>:</w:t>
      </w:r>
      <w:r w:rsidRPr="00E54679">
        <w:rPr>
          <w:lang w:val="en-CA"/>
        </w:rPr>
        <w:tab/>
        <w:t>ECE/TRANS/WP.15/AC.1/2023/23/Add.1</w:t>
      </w:r>
      <w:r w:rsidR="00BB21F8">
        <w:rPr>
          <w:lang w:val="en-CA"/>
        </w:rPr>
        <w:t xml:space="preserve"> </w:t>
      </w:r>
      <w:r w:rsidR="00BB21F8" w:rsidRPr="00E54679">
        <w:rPr>
          <w:lang w:val="en-CA"/>
        </w:rPr>
        <w:t>(</w:t>
      </w:r>
      <w:r w:rsidR="00BB21F8">
        <w:rPr>
          <w:lang w:val="en-CA"/>
        </w:rPr>
        <w:t>S</w:t>
      </w:r>
      <w:r w:rsidR="00BB21F8" w:rsidRPr="00E54679">
        <w:rPr>
          <w:lang w:val="en-CA"/>
        </w:rPr>
        <w:t>ecretariat)</w:t>
      </w:r>
      <w:r w:rsidRPr="00E54679">
        <w:rPr>
          <w:lang w:val="en-CA"/>
        </w:rPr>
        <w:t>, ECE/TRANS/WP.15/AC.1/170 and ECE/TRANS/WP.15/AC.1/170/Add.1 (</w:t>
      </w:r>
      <w:r w:rsidR="00436288">
        <w:rPr>
          <w:lang w:val="en-CA"/>
        </w:rPr>
        <w:t>R</w:t>
      </w:r>
      <w:r w:rsidRPr="00E54679">
        <w:rPr>
          <w:lang w:val="en-CA"/>
        </w:rPr>
        <w:t>eport of the Joint Meeting on its autumn 2023 session)</w:t>
      </w:r>
    </w:p>
    <w:p w14:paraId="24F4368C" w14:textId="424E5D1C" w:rsidR="002B7F4B" w:rsidRPr="00E54679" w:rsidRDefault="002B7F4B" w:rsidP="002B7F4B">
      <w:pPr>
        <w:pStyle w:val="SingleTxtG"/>
        <w:rPr>
          <w:i/>
          <w:lang w:val="en-CA"/>
        </w:rPr>
      </w:pPr>
      <w:r w:rsidRPr="00E54679">
        <w:rPr>
          <w:i/>
          <w:iCs/>
          <w:lang w:val="en-CA"/>
        </w:rPr>
        <w:t>Informal document</w:t>
      </w:r>
      <w:r w:rsidRPr="00E54679">
        <w:rPr>
          <w:lang w:val="en-CA"/>
        </w:rPr>
        <w:t>:</w:t>
      </w:r>
      <w:r w:rsidRPr="00E54679">
        <w:rPr>
          <w:lang w:val="en-CA"/>
        </w:rPr>
        <w:tab/>
        <w:t>INF.5/Rev.1 (</w:t>
      </w:r>
      <w:r w:rsidR="00436288">
        <w:rPr>
          <w:lang w:val="en-CA"/>
        </w:rPr>
        <w:t>S</w:t>
      </w:r>
      <w:r w:rsidRPr="00E54679">
        <w:rPr>
          <w:lang w:val="en-CA"/>
        </w:rPr>
        <w:t>ecretariat)</w:t>
      </w:r>
    </w:p>
    <w:p w14:paraId="47DD686F" w14:textId="77777777" w:rsidR="002B7F4B" w:rsidRPr="00E54679" w:rsidRDefault="002B7F4B" w:rsidP="002B7F4B">
      <w:pPr>
        <w:pStyle w:val="H1G"/>
        <w:rPr>
          <w:lang w:val="en-CA"/>
        </w:rPr>
      </w:pPr>
      <w:r w:rsidRPr="00E54679">
        <w:rPr>
          <w:lang w:val="en-CA"/>
        </w:rPr>
        <w:tab/>
        <w:t>A.</w:t>
      </w:r>
      <w:r w:rsidRPr="00E54679">
        <w:rPr>
          <w:lang w:val="en-CA"/>
        </w:rPr>
        <w:tab/>
        <w:t>General</w:t>
      </w:r>
      <w:bookmarkStart w:id="4" w:name="_Hlk95746517"/>
      <w:bookmarkEnd w:id="4"/>
    </w:p>
    <w:p w14:paraId="13FC406B" w14:textId="1DAD5036" w:rsidR="002B7F4B" w:rsidRPr="00E54679" w:rsidRDefault="002B7F4B" w:rsidP="002B7F4B">
      <w:pPr>
        <w:pStyle w:val="SingleTxtG"/>
        <w:rPr>
          <w:lang w:val="en-CA"/>
        </w:rPr>
      </w:pPr>
      <w:r w:rsidRPr="00E54679">
        <w:rPr>
          <w:lang w:val="en-CA"/>
        </w:rPr>
        <w:t>13.</w:t>
      </w:r>
      <w:r w:rsidRPr="00E54679">
        <w:rPr>
          <w:lang w:val="en-CA"/>
        </w:rPr>
        <w:tab/>
        <w:t xml:space="preserve">The Working Party endorsed the amendments adopted by the Joint Meeting with some changes (see annex </w:t>
      </w:r>
      <w:r w:rsidR="00D9574D">
        <w:rPr>
          <w:lang w:val="en-CA"/>
        </w:rPr>
        <w:t>II</w:t>
      </w:r>
      <w:r w:rsidRPr="00E54679">
        <w:rPr>
          <w:lang w:val="en-CA"/>
        </w:rPr>
        <w:t>). The amendment to 6.2.1.5.4 was deleted, as it was not relevant to ADR.</w:t>
      </w:r>
    </w:p>
    <w:p w14:paraId="4F401765" w14:textId="77777777" w:rsidR="002B7F4B" w:rsidRPr="009C26F1" w:rsidRDefault="002B7F4B" w:rsidP="002B7F4B">
      <w:pPr>
        <w:pStyle w:val="H1G"/>
      </w:pPr>
      <w:r w:rsidRPr="00E54679">
        <w:rPr>
          <w:lang w:val="en-CA"/>
        </w:rPr>
        <w:tab/>
        <w:t>B.</w:t>
      </w:r>
      <w:r w:rsidRPr="00E54679">
        <w:rPr>
          <w:lang w:val="en-CA"/>
        </w:rPr>
        <w:tab/>
        <w:t>Specific issues</w:t>
      </w:r>
      <w:bookmarkStart w:id="5" w:name="_Hlk95746532"/>
      <w:bookmarkEnd w:id="5"/>
    </w:p>
    <w:p w14:paraId="68CE6551" w14:textId="77777777" w:rsidR="002B7F4B" w:rsidRPr="00E54679" w:rsidRDefault="002B7F4B" w:rsidP="002B7F4B">
      <w:pPr>
        <w:pStyle w:val="H23G"/>
        <w:rPr>
          <w:lang w:val="en-CA"/>
        </w:rPr>
      </w:pPr>
      <w:r w:rsidRPr="00E54679">
        <w:rPr>
          <w:lang w:val="en-CA"/>
        </w:rPr>
        <w:tab/>
        <w:t>1.</w:t>
      </w:r>
      <w:r w:rsidRPr="00E54679">
        <w:rPr>
          <w:lang w:val="en-CA"/>
        </w:rPr>
        <w:tab/>
        <w:t>Carriage in bulk of specific categories of wastes containing asbestos (UN Nos. 2590 and 2212)</w:t>
      </w:r>
    </w:p>
    <w:p w14:paraId="5111B648" w14:textId="199327C1" w:rsidR="002B7F4B" w:rsidRPr="00E54679" w:rsidRDefault="002B7F4B" w:rsidP="002B7F4B">
      <w:pPr>
        <w:pStyle w:val="SingleTxtG"/>
        <w:tabs>
          <w:tab w:val="clear" w:pos="1701"/>
          <w:tab w:val="clear" w:pos="2268"/>
          <w:tab w:val="left" w:pos="2977"/>
        </w:tabs>
        <w:ind w:left="1701" w:hanging="567"/>
        <w:rPr>
          <w:lang w:val="en-CA"/>
        </w:rPr>
      </w:pPr>
      <w:r w:rsidRPr="00E54679">
        <w:rPr>
          <w:i/>
          <w:iCs/>
          <w:lang w:val="en-CA"/>
        </w:rPr>
        <w:t>Informal documents</w:t>
      </w:r>
      <w:r w:rsidRPr="00E54679">
        <w:rPr>
          <w:lang w:val="en-CA"/>
        </w:rPr>
        <w:t>:</w:t>
      </w:r>
      <w:r w:rsidRPr="00E54679">
        <w:rPr>
          <w:lang w:val="en-CA"/>
        </w:rPr>
        <w:tab/>
        <w:t xml:space="preserve">INF.5/Rev.1, </w:t>
      </w:r>
      <w:r>
        <w:rPr>
          <w:lang w:val="en-CA"/>
        </w:rPr>
        <w:t>part</w:t>
      </w:r>
      <w:r w:rsidRPr="00E54679">
        <w:rPr>
          <w:lang w:val="en-CA"/>
        </w:rPr>
        <w:t xml:space="preserve"> II (</w:t>
      </w:r>
      <w:r w:rsidR="00115729">
        <w:rPr>
          <w:lang w:val="en-CA"/>
        </w:rPr>
        <w:t>S</w:t>
      </w:r>
      <w:r w:rsidRPr="00E54679">
        <w:rPr>
          <w:lang w:val="en-CA"/>
        </w:rPr>
        <w:t>ecretariat), INF.7 (France)</w:t>
      </w:r>
    </w:p>
    <w:p w14:paraId="2F8ACA8A" w14:textId="4C0EE609" w:rsidR="002B7F4B" w:rsidRPr="00E54679" w:rsidRDefault="002B7F4B" w:rsidP="002B7F4B">
      <w:pPr>
        <w:pStyle w:val="SingleTxtG"/>
        <w:rPr>
          <w:lang w:val="en-CA"/>
        </w:rPr>
      </w:pPr>
      <w:r w:rsidRPr="00E54679">
        <w:rPr>
          <w:lang w:val="en-CA"/>
        </w:rPr>
        <w:t>14.</w:t>
      </w:r>
      <w:r w:rsidRPr="00E54679">
        <w:rPr>
          <w:lang w:val="en-CA"/>
        </w:rPr>
        <w:tab/>
        <w:t xml:space="preserve">The Working Party adopted the texts relating to the transport of asbestos-containing waste with editorial changes and </w:t>
      </w:r>
      <w:proofErr w:type="gramStart"/>
      <w:r w:rsidRPr="00E54679">
        <w:rPr>
          <w:lang w:val="en-CA"/>
        </w:rPr>
        <w:t>taking into account</w:t>
      </w:r>
      <w:proofErr w:type="gramEnd"/>
      <w:r w:rsidRPr="00E54679">
        <w:rPr>
          <w:lang w:val="en-CA"/>
        </w:rPr>
        <w:t xml:space="preserve"> the modifications proposed in informal document INF.7 aimed at replacing the term </w:t>
      </w:r>
      <w:r>
        <w:rPr>
          <w:lang w:val="en-CA"/>
        </w:rPr>
        <w:t>“</w:t>
      </w:r>
      <w:r w:rsidRPr="00E54679">
        <w:rPr>
          <w:lang w:val="en-CA"/>
        </w:rPr>
        <w:t>skip</w:t>
      </w:r>
      <w:r>
        <w:rPr>
          <w:lang w:val="en-CA"/>
        </w:rPr>
        <w:t>”</w:t>
      </w:r>
      <w:r w:rsidRPr="00E54679">
        <w:rPr>
          <w:lang w:val="en-CA"/>
        </w:rPr>
        <w:t xml:space="preserve"> by </w:t>
      </w:r>
      <w:r>
        <w:rPr>
          <w:lang w:val="en-CA"/>
        </w:rPr>
        <w:t>“</w:t>
      </w:r>
      <w:r w:rsidRPr="00E54679">
        <w:rPr>
          <w:lang w:val="en-CA"/>
        </w:rPr>
        <w:t>load</w:t>
      </w:r>
      <w:r w:rsidR="00044957">
        <w:rPr>
          <w:lang w:val="en-CA"/>
        </w:rPr>
        <w:t>ing</w:t>
      </w:r>
      <w:r w:rsidRPr="00E54679">
        <w:rPr>
          <w:lang w:val="en-CA"/>
        </w:rPr>
        <w:t xml:space="preserve"> compartment</w:t>
      </w:r>
      <w:r>
        <w:rPr>
          <w:lang w:val="en-CA"/>
        </w:rPr>
        <w:t>”</w:t>
      </w:r>
      <w:r w:rsidRPr="00E54679">
        <w:rPr>
          <w:lang w:val="en-CA"/>
        </w:rPr>
        <w:t xml:space="preserve"> in provisions CV38 and AP12 (see annex</w:t>
      </w:r>
      <w:r>
        <w:rPr>
          <w:lang w:val="en-CA"/>
        </w:rPr>
        <w:t xml:space="preserve"> </w:t>
      </w:r>
      <w:r w:rsidR="00115729">
        <w:rPr>
          <w:lang w:val="en-CA"/>
        </w:rPr>
        <w:t>II</w:t>
      </w:r>
      <w:r w:rsidRPr="00E54679">
        <w:rPr>
          <w:lang w:val="en-CA"/>
        </w:rPr>
        <w:t xml:space="preserve">). The term </w:t>
      </w:r>
      <w:r>
        <w:rPr>
          <w:lang w:val="en-CA"/>
        </w:rPr>
        <w:t>“</w:t>
      </w:r>
      <w:r w:rsidRPr="00E54679">
        <w:rPr>
          <w:lang w:val="en-CA"/>
        </w:rPr>
        <w:t>load compartment</w:t>
      </w:r>
      <w:r>
        <w:rPr>
          <w:lang w:val="en-CA"/>
        </w:rPr>
        <w:t>”</w:t>
      </w:r>
      <w:r w:rsidRPr="00E54679">
        <w:rPr>
          <w:lang w:val="en-CA"/>
        </w:rPr>
        <w:t xml:space="preserve"> was agreed on for the English version.</w:t>
      </w:r>
    </w:p>
    <w:p w14:paraId="7A88D690" w14:textId="77777777" w:rsidR="002B7F4B" w:rsidRPr="00E54679" w:rsidRDefault="002B7F4B" w:rsidP="001C4AB9">
      <w:pPr>
        <w:pStyle w:val="H23G"/>
        <w:rPr>
          <w:lang w:val="en-CA"/>
        </w:rPr>
      </w:pPr>
      <w:r w:rsidRPr="00E54679">
        <w:rPr>
          <w:bCs/>
          <w:lang w:val="en-CA"/>
        </w:rPr>
        <w:lastRenderedPageBreak/>
        <w:tab/>
        <w:t>2.</w:t>
      </w:r>
      <w:r w:rsidRPr="00E54679">
        <w:rPr>
          <w:lang w:val="en-CA"/>
        </w:rPr>
        <w:tab/>
      </w:r>
      <w:r w:rsidRPr="00E54679">
        <w:rPr>
          <w:bCs/>
          <w:lang w:val="en-CA"/>
        </w:rPr>
        <w:t>Transport of waste in inner packagings packed together in an outer packaging</w:t>
      </w:r>
    </w:p>
    <w:p w14:paraId="6E9C489F" w14:textId="78B4B09E" w:rsidR="002B7F4B" w:rsidRPr="00E54679" w:rsidRDefault="002B7F4B" w:rsidP="001C4AB9">
      <w:pPr>
        <w:pStyle w:val="SingleTxtG"/>
        <w:keepNext/>
        <w:keepLines/>
        <w:ind w:left="3119" w:hanging="1985"/>
        <w:jc w:val="left"/>
        <w:rPr>
          <w:lang w:val="en-CA"/>
        </w:rPr>
      </w:pPr>
      <w:r w:rsidRPr="00E54679">
        <w:rPr>
          <w:i/>
          <w:iCs/>
          <w:lang w:val="en-CA"/>
        </w:rPr>
        <w:t>Informal document</w:t>
      </w:r>
      <w:r w:rsidR="000E48F5">
        <w:rPr>
          <w:i/>
          <w:iCs/>
          <w:lang w:val="en-CA"/>
        </w:rPr>
        <w:t>s</w:t>
      </w:r>
      <w:r w:rsidRPr="00E54679">
        <w:rPr>
          <w:lang w:val="en-CA"/>
        </w:rPr>
        <w:t>:</w:t>
      </w:r>
      <w:r w:rsidRPr="00E54679">
        <w:rPr>
          <w:lang w:val="en-CA"/>
        </w:rPr>
        <w:tab/>
        <w:t xml:space="preserve">INF.5/Rev.1, </w:t>
      </w:r>
      <w:r>
        <w:rPr>
          <w:lang w:val="en-CA"/>
        </w:rPr>
        <w:t>part</w:t>
      </w:r>
      <w:r w:rsidRPr="00E54679">
        <w:rPr>
          <w:lang w:val="en-CA"/>
        </w:rPr>
        <w:t xml:space="preserve"> II (</w:t>
      </w:r>
      <w:r w:rsidR="00947511">
        <w:rPr>
          <w:lang w:val="en-CA"/>
        </w:rPr>
        <w:t>S</w:t>
      </w:r>
      <w:r w:rsidRPr="00E54679">
        <w:rPr>
          <w:lang w:val="en-CA"/>
        </w:rPr>
        <w:t>ecretariat), INF.14 (FEAD)</w:t>
      </w:r>
    </w:p>
    <w:p w14:paraId="7C9AF4C4" w14:textId="4BC8481B" w:rsidR="002B7F4B" w:rsidRPr="00E54679" w:rsidRDefault="002B7F4B" w:rsidP="001C4AB9">
      <w:pPr>
        <w:pStyle w:val="SingleTxtG"/>
        <w:keepNext/>
        <w:keepLines/>
        <w:rPr>
          <w:lang w:val="en-CA"/>
        </w:rPr>
      </w:pPr>
      <w:r w:rsidRPr="00E54679">
        <w:rPr>
          <w:lang w:val="en-CA"/>
        </w:rPr>
        <w:t>15.</w:t>
      </w:r>
      <w:r w:rsidRPr="00E54679">
        <w:rPr>
          <w:lang w:val="en-CA"/>
        </w:rPr>
        <w:tab/>
        <w:t>The Working Party adopted the texts relating to the transport of waste proposed by the Joint Meeting with the addition proposed by FEAD in document INF.14 and editorial changes (see annex</w:t>
      </w:r>
      <w:r>
        <w:rPr>
          <w:lang w:val="en-CA"/>
        </w:rPr>
        <w:t xml:space="preserve"> </w:t>
      </w:r>
      <w:r w:rsidR="00947511">
        <w:rPr>
          <w:lang w:val="en-CA"/>
        </w:rPr>
        <w:t>II</w:t>
      </w:r>
      <w:r w:rsidRPr="00E54679">
        <w:rPr>
          <w:lang w:val="en-CA"/>
        </w:rPr>
        <w:t>).</w:t>
      </w:r>
    </w:p>
    <w:p w14:paraId="5FAD10E4" w14:textId="77777777" w:rsidR="002B7F4B" w:rsidRPr="00E54679" w:rsidRDefault="002B7F4B" w:rsidP="002B7F4B">
      <w:pPr>
        <w:pStyle w:val="H23G"/>
        <w:rPr>
          <w:lang w:val="en-CA"/>
        </w:rPr>
      </w:pPr>
      <w:r w:rsidRPr="00E54679">
        <w:rPr>
          <w:bCs/>
          <w:lang w:val="en-CA"/>
        </w:rPr>
        <w:tab/>
        <w:t>3.</w:t>
      </w:r>
      <w:r w:rsidRPr="00E54679">
        <w:rPr>
          <w:lang w:val="en-CA"/>
        </w:rPr>
        <w:tab/>
      </w:r>
      <w:r w:rsidRPr="00E54679">
        <w:rPr>
          <w:bCs/>
          <w:lang w:val="en-CA"/>
        </w:rPr>
        <w:t>Pending issues</w:t>
      </w:r>
      <w:bookmarkStart w:id="6" w:name="_Hlk95746539"/>
      <w:bookmarkEnd w:id="6"/>
    </w:p>
    <w:p w14:paraId="0D6DE741" w14:textId="7DC23654" w:rsidR="002B7F4B" w:rsidRPr="00E54679" w:rsidRDefault="002B7F4B" w:rsidP="002B7F4B">
      <w:pPr>
        <w:pStyle w:val="SingleTxtG"/>
        <w:ind w:left="3119" w:hanging="1985"/>
        <w:jc w:val="left"/>
        <w:rPr>
          <w:lang w:val="en-CA"/>
        </w:rPr>
      </w:pPr>
      <w:r w:rsidRPr="00E54679">
        <w:rPr>
          <w:i/>
          <w:iCs/>
          <w:lang w:val="en-CA"/>
        </w:rPr>
        <w:t>Informal document</w:t>
      </w:r>
      <w:r w:rsidRPr="00E54679">
        <w:rPr>
          <w:lang w:val="en-CA"/>
        </w:rPr>
        <w:t>:</w:t>
      </w:r>
      <w:r w:rsidRPr="00E54679">
        <w:rPr>
          <w:lang w:val="en-CA"/>
        </w:rPr>
        <w:tab/>
        <w:t xml:space="preserve">INF.5/Rev.1, </w:t>
      </w:r>
      <w:r>
        <w:rPr>
          <w:lang w:val="en-CA"/>
        </w:rPr>
        <w:t>part</w:t>
      </w:r>
      <w:r w:rsidRPr="00E54679">
        <w:rPr>
          <w:lang w:val="en-CA"/>
        </w:rPr>
        <w:t xml:space="preserve"> I</w:t>
      </w:r>
      <w:r>
        <w:rPr>
          <w:lang w:val="en-CA"/>
        </w:rPr>
        <w:t xml:space="preserve"> </w:t>
      </w:r>
      <w:r w:rsidRPr="00E54679">
        <w:rPr>
          <w:lang w:val="en-CA"/>
        </w:rPr>
        <w:t>(</w:t>
      </w:r>
      <w:r w:rsidR="00947511" w:rsidRPr="00E54679">
        <w:rPr>
          <w:lang w:val="en-CA"/>
        </w:rPr>
        <w:t>Secretariat</w:t>
      </w:r>
      <w:r w:rsidRPr="00E54679">
        <w:rPr>
          <w:lang w:val="en-CA"/>
        </w:rPr>
        <w:t>)</w:t>
      </w:r>
    </w:p>
    <w:p w14:paraId="4C4D55B8" w14:textId="5C824113" w:rsidR="002B7F4B" w:rsidRPr="00E54679" w:rsidRDefault="002B7F4B" w:rsidP="002B7F4B">
      <w:pPr>
        <w:pStyle w:val="SingleTxtG"/>
        <w:rPr>
          <w:lang w:val="en-CA"/>
        </w:rPr>
      </w:pPr>
      <w:r w:rsidRPr="00E54679">
        <w:rPr>
          <w:lang w:val="en-CA"/>
        </w:rPr>
        <w:t>16.</w:t>
      </w:r>
      <w:r w:rsidRPr="00E54679">
        <w:rPr>
          <w:lang w:val="en-CA"/>
        </w:rPr>
        <w:tab/>
        <w:t>The Working Party noted that the Sub-Committee of Experts on the Transport of Dangerous Goods would be discussing a proposal from the ad hoc working group on harmonization of the Joint Meeting, conveyed by the secretariat, to include a reference to sodium</w:t>
      </w:r>
      <w:r w:rsidR="007E3B90">
        <w:rPr>
          <w:lang w:val="en-CA"/>
        </w:rPr>
        <w:t xml:space="preserve"> </w:t>
      </w:r>
      <w:r w:rsidRPr="00E54679">
        <w:rPr>
          <w:lang w:val="en-CA"/>
        </w:rPr>
        <w:t>ion cells and batteries in 2.0.5.2 (2.1.5.2 of ADR) and in packing instructions P006 and LP03 (see ST/SG/AC.10/C.3/2023/57). The Working Party indicated that it would be prepared to take the changes into account at its next session if they were adopted.</w:t>
      </w:r>
    </w:p>
    <w:p w14:paraId="4DDE5B05" w14:textId="080B66D8" w:rsidR="002B7F4B" w:rsidRPr="00E54679" w:rsidRDefault="002B7F4B" w:rsidP="002B7F4B">
      <w:pPr>
        <w:pStyle w:val="SingleTxtG"/>
        <w:ind w:left="3119" w:hanging="1985"/>
        <w:jc w:val="left"/>
        <w:rPr>
          <w:lang w:val="en-CA"/>
        </w:rPr>
      </w:pPr>
      <w:r w:rsidRPr="00E54679">
        <w:rPr>
          <w:i/>
          <w:iCs/>
          <w:lang w:val="en-CA"/>
        </w:rPr>
        <w:t>Informal document</w:t>
      </w:r>
      <w:r w:rsidRPr="00E54679">
        <w:rPr>
          <w:lang w:val="en-CA"/>
        </w:rPr>
        <w:t>:</w:t>
      </w:r>
      <w:r w:rsidRPr="00E54679">
        <w:rPr>
          <w:lang w:val="en-CA"/>
        </w:rPr>
        <w:tab/>
        <w:t xml:space="preserve">INF.5/Rev.1, </w:t>
      </w:r>
      <w:r>
        <w:rPr>
          <w:lang w:val="en-CA"/>
        </w:rPr>
        <w:t>part</w:t>
      </w:r>
      <w:r w:rsidRPr="00E54679">
        <w:rPr>
          <w:lang w:val="en-CA"/>
        </w:rPr>
        <w:t xml:space="preserve"> III</w:t>
      </w:r>
      <w:r>
        <w:rPr>
          <w:lang w:val="en-CA"/>
        </w:rPr>
        <w:t xml:space="preserve"> </w:t>
      </w:r>
      <w:r w:rsidRPr="00E54679">
        <w:rPr>
          <w:lang w:val="en-CA"/>
        </w:rPr>
        <w:t>(</w:t>
      </w:r>
      <w:r w:rsidR="00947511" w:rsidRPr="00E54679">
        <w:rPr>
          <w:lang w:val="en-CA"/>
        </w:rPr>
        <w:t>Secretariat</w:t>
      </w:r>
      <w:r w:rsidRPr="00E54679">
        <w:rPr>
          <w:lang w:val="en-CA"/>
        </w:rPr>
        <w:t>)</w:t>
      </w:r>
    </w:p>
    <w:p w14:paraId="6656AD39" w14:textId="2015831B" w:rsidR="002B7F4B" w:rsidRPr="00E54679" w:rsidRDefault="002B7F4B" w:rsidP="002B7F4B">
      <w:pPr>
        <w:pStyle w:val="SingleTxtG"/>
        <w:rPr>
          <w:lang w:val="en-CA"/>
        </w:rPr>
      </w:pPr>
      <w:r w:rsidRPr="00E54679">
        <w:rPr>
          <w:lang w:val="en-CA"/>
        </w:rPr>
        <w:t>17.</w:t>
      </w:r>
      <w:r w:rsidRPr="00E54679">
        <w:rPr>
          <w:lang w:val="en-CA"/>
        </w:rPr>
        <w:tab/>
        <w:t xml:space="preserve">The Working Party provisionally adopted the amendments to chapter 1.8 adopted in square brackets by the Joint Meeting and reproduced in </w:t>
      </w:r>
      <w:r>
        <w:rPr>
          <w:lang w:val="en-CA"/>
        </w:rPr>
        <w:t>part</w:t>
      </w:r>
      <w:r w:rsidRPr="00E54679">
        <w:rPr>
          <w:lang w:val="en-CA"/>
        </w:rPr>
        <w:t xml:space="preserve"> III of informal document INF.5</w:t>
      </w:r>
      <w:r>
        <w:rPr>
          <w:lang w:val="en-CA"/>
        </w:rPr>
        <w:t>/Rev.1</w:t>
      </w:r>
      <w:r w:rsidRPr="00E54679">
        <w:rPr>
          <w:lang w:val="en-CA"/>
        </w:rPr>
        <w:t xml:space="preserve"> (see annex </w:t>
      </w:r>
      <w:r w:rsidR="00CE232C">
        <w:rPr>
          <w:lang w:val="en-CA"/>
        </w:rPr>
        <w:t>III</w:t>
      </w:r>
      <w:r w:rsidRPr="00E54679">
        <w:rPr>
          <w:lang w:val="en-CA"/>
        </w:rPr>
        <w:t>). These amendments will be definitively adopted at the next session of the Working Party after confirmation by the Joint Meeting at its spring 2024 session.</w:t>
      </w:r>
    </w:p>
    <w:p w14:paraId="26405ED1" w14:textId="06AF7F9B" w:rsidR="002B7F4B" w:rsidRPr="00E54679" w:rsidRDefault="002B7F4B" w:rsidP="002B7F4B">
      <w:pPr>
        <w:pStyle w:val="SingleTxtG"/>
        <w:rPr>
          <w:lang w:val="en-CA"/>
        </w:rPr>
      </w:pPr>
      <w:r w:rsidRPr="00E54679">
        <w:rPr>
          <w:lang w:val="en-CA"/>
        </w:rPr>
        <w:t>18.</w:t>
      </w:r>
      <w:r w:rsidRPr="00E54679">
        <w:rPr>
          <w:lang w:val="en-CA"/>
        </w:rPr>
        <w:tab/>
        <w:t>The Working Party adopted the amendments to reference EN 14025:2023 in ADR, as this standard had been approved by the European Committee for Standardization (CEN) prior to the session</w:t>
      </w:r>
      <w:r w:rsidR="00CE232C">
        <w:rPr>
          <w:lang w:val="en-CA"/>
        </w:rPr>
        <w:t xml:space="preserve"> (see annex II)</w:t>
      </w:r>
      <w:r w:rsidRPr="00E54679">
        <w:rPr>
          <w:lang w:val="en-CA"/>
        </w:rPr>
        <w:t>.</w:t>
      </w:r>
    </w:p>
    <w:p w14:paraId="0E823C1D" w14:textId="7B1DF552" w:rsidR="002B7F4B" w:rsidRPr="00E54679" w:rsidRDefault="002B7F4B" w:rsidP="002B7F4B">
      <w:pPr>
        <w:pStyle w:val="SingleTxtG"/>
        <w:rPr>
          <w:lang w:val="en-CA"/>
        </w:rPr>
      </w:pPr>
      <w:r w:rsidRPr="00E54679">
        <w:rPr>
          <w:lang w:val="en-CA"/>
        </w:rPr>
        <w:t>19.</w:t>
      </w:r>
      <w:r w:rsidRPr="00E54679">
        <w:rPr>
          <w:lang w:val="en-CA"/>
        </w:rPr>
        <w:tab/>
        <w:t xml:space="preserve">In respect of the other amendments in </w:t>
      </w:r>
      <w:r>
        <w:rPr>
          <w:lang w:val="en-CA"/>
        </w:rPr>
        <w:t>part</w:t>
      </w:r>
      <w:r w:rsidRPr="00E54679">
        <w:rPr>
          <w:lang w:val="en-CA"/>
        </w:rPr>
        <w:t xml:space="preserve"> III, the Working Party noted that the dates of some of the standards adopted for reference by the Joint Meeting were placed in square brackets because the standards had not yet been published. It provisionally adopted the amendments relating to those standards, subject to </w:t>
      </w:r>
      <w:r>
        <w:rPr>
          <w:lang w:val="en-CA"/>
        </w:rPr>
        <w:t xml:space="preserve">their </w:t>
      </w:r>
      <w:r w:rsidRPr="00E54679">
        <w:rPr>
          <w:lang w:val="en-CA"/>
        </w:rPr>
        <w:t xml:space="preserve">publication before May 2024 (see annex </w:t>
      </w:r>
      <w:r w:rsidR="00375D76">
        <w:rPr>
          <w:lang w:val="en-CA"/>
        </w:rPr>
        <w:t>III</w:t>
      </w:r>
      <w:r w:rsidRPr="00E54679">
        <w:rPr>
          <w:lang w:val="en-CA"/>
        </w:rPr>
        <w:t xml:space="preserve">). </w:t>
      </w:r>
    </w:p>
    <w:p w14:paraId="3548E340" w14:textId="77777777" w:rsidR="002B7F4B" w:rsidRPr="00E54679" w:rsidRDefault="002B7F4B" w:rsidP="002B7F4B">
      <w:pPr>
        <w:pStyle w:val="H23G"/>
        <w:rPr>
          <w:lang w:val="en-CA"/>
        </w:rPr>
      </w:pPr>
      <w:r w:rsidRPr="00E54679">
        <w:rPr>
          <w:bCs/>
          <w:lang w:val="en-CA"/>
        </w:rPr>
        <w:tab/>
        <w:t>4.</w:t>
      </w:r>
      <w:r w:rsidRPr="00E54679">
        <w:rPr>
          <w:lang w:val="en-CA"/>
        </w:rPr>
        <w:tab/>
      </w:r>
      <w:r w:rsidRPr="00E54679">
        <w:rPr>
          <w:bCs/>
          <w:lang w:val="en-CA"/>
        </w:rPr>
        <w:t>Additional editorial amendment</w:t>
      </w:r>
    </w:p>
    <w:p w14:paraId="4842E95D" w14:textId="77777777" w:rsidR="002B7F4B" w:rsidRPr="00E54679" w:rsidRDefault="002B7F4B" w:rsidP="002B7F4B">
      <w:pPr>
        <w:pStyle w:val="SingleTxtG"/>
        <w:ind w:left="3119" w:hanging="1985"/>
        <w:jc w:val="left"/>
        <w:rPr>
          <w:lang w:val="en-CA"/>
        </w:rPr>
      </w:pPr>
      <w:r w:rsidRPr="00E54679">
        <w:rPr>
          <w:i/>
          <w:iCs/>
          <w:lang w:val="en-CA"/>
        </w:rPr>
        <w:t>Informal document</w:t>
      </w:r>
      <w:r w:rsidRPr="00E54679">
        <w:rPr>
          <w:lang w:val="en-CA"/>
        </w:rPr>
        <w:t>:</w:t>
      </w:r>
      <w:r w:rsidRPr="00E54679">
        <w:rPr>
          <w:lang w:val="en-CA"/>
        </w:rPr>
        <w:tab/>
        <w:t>INF.19 (OTIF</w:t>
      </w:r>
      <w:r>
        <w:rPr>
          <w:lang w:val="en-CA"/>
        </w:rPr>
        <w:t xml:space="preserve"> secretariat</w:t>
      </w:r>
      <w:r w:rsidRPr="00E54679">
        <w:rPr>
          <w:lang w:val="en-CA"/>
        </w:rPr>
        <w:t>)</w:t>
      </w:r>
    </w:p>
    <w:p w14:paraId="49FF69D4" w14:textId="5C6E3500" w:rsidR="002B7F4B" w:rsidRPr="00E54679" w:rsidRDefault="002B7F4B" w:rsidP="002B7F4B">
      <w:pPr>
        <w:pStyle w:val="SingleTxtG"/>
        <w:rPr>
          <w:lang w:val="en-CA"/>
        </w:rPr>
      </w:pPr>
      <w:r w:rsidRPr="00E54679">
        <w:rPr>
          <w:lang w:val="en-CA"/>
        </w:rPr>
        <w:t>20.</w:t>
      </w:r>
      <w:r w:rsidRPr="00E54679">
        <w:rPr>
          <w:lang w:val="en-CA"/>
        </w:rPr>
        <w:tab/>
        <w:t xml:space="preserve">The Working Party adopted the proposed change to 1.8.3.11 (b) (see annex </w:t>
      </w:r>
      <w:r w:rsidR="006969EB">
        <w:rPr>
          <w:lang w:val="en-CA"/>
        </w:rPr>
        <w:t>II</w:t>
      </w:r>
      <w:r w:rsidRPr="00E54679">
        <w:rPr>
          <w:lang w:val="en-CA"/>
        </w:rPr>
        <w:t>).</w:t>
      </w:r>
    </w:p>
    <w:p w14:paraId="1AB42CA9" w14:textId="77777777" w:rsidR="00936024" w:rsidRPr="008D73DC" w:rsidRDefault="00936024" w:rsidP="00936024">
      <w:pPr>
        <w:pStyle w:val="H23G"/>
        <w:rPr>
          <w:lang w:val="en-CA"/>
        </w:rPr>
      </w:pPr>
      <w:r>
        <w:rPr>
          <w:bCs/>
        </w:rPr>
        <w:tab/>
        <w:t>5.</w:t>
      </w:r>
      <w:r>
        <w:tab/>
      </w:r>
      <w:r>
        <w:rPr>
          <w:bCs/>
        </w:rPr>
        <w:t>Transport documents: draft amendment to 5.4.0.2</w:t>
      </w:r>
    </w:p>
    <w:p w14:paraId="0D222052" w14:textId="77777777" w:rsidR="00936024" w:rsidRPr="007F21DA" w:rsidRDefault="00936024" w:rsidP="00936024">
      <w:pPr>
        <w:pStyle w:val="SingleTxtG"/>
        <w:ind w:left="3119" w:hanging="1985"/>
        <w:jc w:val="left"/>
      </w:pPr>
      <w:r w:rsidRPr="008D73DC">
        <w:rPr>
          <w:i/>
          <w:iCs/>
        </w:rPr>
        <w:t>Document</w:t>
      </w:r>
      <w:r w:rsidRPr="008D73DC">
        <w:t>:</w:t>
      </w:r>
      <w:r w:rsidRPr="008D73DC">
        <w:tab/>
        <w:t>ECE/TRANS/WP.15/2023/10 (IRU)</w:t>
      </w:r>
    </w:p>
    <w:p w14:paraId="713EA3DB" w14:textId="0E986647" w:rsidR="00936024" w:rsidRPr="008D73DC" w:rsidRDefault="00936024" w:rsidP="00936024">
      <w:pPr>
        <w:pStyle w:val="SingleTxtG"/>
        <w:ind w:left="2835" w:hanging="1701"/>
        <w:jc w:val="left"/>
        <w:rPr>
          <w:lang w:val="en-CA"/>
        </w:rPr>
      </w:pPr>
      <w:r>
        <w:rPr>
          <w:i/>
          <w:iCs/>
        </w:rPr>
        <w:t>Informal documents</w:t>
      </w:r>
      <w:r>
        <w:t>:</w:t>
      </w:r>
      <w:r>
        <w:tab/>
        <w:t>INF.5/Rev.1, part I (</w:t>
      </w:r>
      <w:r w:rsidR="003D576F">
        <w:t>Secretariat</w:t>
      </w:r>
      <w:r>
        <w:t>), INF.24 (Sweden)</w:t>
      </w:r>
    </w:p>
    <w:p w14:paraId="0B20FFFF" w14:textId="37E16C46" w:rsidR="00936024" w:rsidRPr="008D73DC" w:rsidRDefault="00F86AB2" w:rsidP="00936024">
      <w:pPr>
        <w:pStyle w:val="SingleTxtG"/>
        <w:rPr>
          <w:lang w:val="en-CA"/>
        </w:rPr>
      </w:pPr>
      <w:r>
        <w:t>21</w:t>
      </w:r>
      <w:r w:rsidR="00936024">
        <w:t>.</w:t>
      </w:r>
      <w:r w:rsidR="00936024">
        <w:tab/>
        <w:t xml:space="preserve">Most of the delegations that spoke were not in favour of the alternative proposal by Sweden which would require identification of goods for the whole transport unit rather than according to the vehicle in which they were located. </w:t>
      </w:r>
    </w:p>
    <w:p w14:paraId="0C09A1CC" w14:textId="14EBD88F" w:rsidR="00936024" w:rsidRPr="008D73DC" w:rsidRDefault="00F86AB2" w:rsidP="00936024">
      <w:pPr>
        <w:pStyle w:val="SingleTxtG"/>
        <w:rPr>
          <w:lang w:val="en-CA"/>
        </w:rPr>
      </w:pPr>
      <w:r>
        <w:t>22</w:t>
      </w:r>
      <w:r w:rsidR="00936024">
        <w:t>.</w:t>
      </w:r>
      <w:r w:rsidR="00936024">
        <w:tab/>
        <w:t>The Working Party confirmed that it was taking up the proposed amendment to 5.4.0.2 adopted by the Joint Meeting and set out in informal document INF.5/Rev.1</w:t>
      </w:r>
      <w:r w:rsidR="003D576F">
        <w:t xml:space="preserve"> (see annex II)</w:t>
      </w:r>
      <w:r w:rsidR="00936024">
        <w:t xml:space="preserve">. It noted that the amendment corresponded to option 1 in document ECE/TRANS/WP.15/2023/10. </w:t>
      </w:r>
    </w:p>
    <w:p w14:paraId="6890BF83" w14:textId="36DFB4D9" w:rsidR="00936024" w:rsidRPr="008D73DC" w:rsidRDefault="00F86AB2" w:rsidP="00936024">
      <w:pPr>
        <w:pStyle w:val="SingleTxtG"/>
        <w:rPr>
          <w:lang w:val="en-CA"/>
        </w:rPr>
      </w:pPr>
      <w:r>
        <w:t>23</w:t>
      </w:r>
      <w:r w:rsidR="00936024">
        <w:t>.</w:t>
      </w:r>
      <w:r w:rsidR="00936024">
        <w:tab/>
        <w:t>Some delegations considered that the Working Party lacked the necessary objectivity on the use of electronic documentation to allow it to determine whether the new provisions were likely to pose any problem at the point of implementation</w:t>
      </w:r>
      <w:r w:rsidR="003D576F">
        <w:t>.</w:t>
      </w:r>
    </w:p>
    <w:p w14:paraId="668BCA12" w14:textId="77777777" w:rsidR="002B7F4B" w:rsidRPr="00E54679" w:rsidRDefault="002B7F4B" w:rsidP="002B7F4B">
      <w:pPr>
        <w:pStyle w:val="HChG"/>
        <w:rPr>
          <w:lang w:val="en-CA"/>
        </w:rPr>
      </w:pPr>
      <w:r w:rsidRPr="00E54679">
        <w:rPr>
          <w:lang w:val="en-CA"/>
        </w:rPr>
        <w:lastRenderedPageBreak/>
        <w:tab/>
        <w:t>VI.</w:t>
      </w:r>
      <w:r w:rsidRPr="00E54679">
        <w:rPr>
          <w:lang w:val="en-CA"/>
        </w:rPr>
        <w:tab/>
        <w:t>Proposals for amendments to annexes A and B of ADR (agenda item 5)</w:t>
      </w:r>
    </w:p>
    <w:p w14:paraId="1BD40F80" w14:textId="48CC2C81" w:rsidR="002B7F4B" w:rsidRPr="00E54679" w:rsidRDefault="002B7F4B" w:rsidP="002B7F4B">
      <w:pPr>
        <w:pStyle w:val="H1G"/>
        <w:rPr>
          <w:lang w:val="en-CA"/>
        </w:rPr>
      </w:pPr>
      <w:r w:rsidRPr="00E54679">
        <w:rPr>
          <w:lang w:val="en-CA"/>
        </w:rPr>
        <w:tab/>
        <w:t>A.</w:t>
      </w:r>
      <w:r w:rsidRPr="00E54679">
        <w:rPr>
          <w:lang w:val="en-CA"/>
        </w:rPr>
        <w:tab/>
        <w:t>Construction and approval of vehicles</w:t>
      </w:r>
    </w:p>
    <w:p w14:paraId="5C7632D6" w14:textId="77777777" w:rsidR="00747151" w:rsidRPr="00D353F7" w:rsidRDefault="00747151" w:rsidP="00747151">
      <w:pPr>
        <w:pStyle w:val="H23G"/>
        <w:rPr>
          <w:lang w:val="en-CA"/>
        </w:rPr>
      </w:pPr>
      <w:r>
        <w:rPr>
          <w:bCs/>
        </w:rPr>
        <w:tab/>
        <w:t>1.</w:t>
      </w:r>
      <w:r>
        <w:tab/>
      </w:r>
      <w:r>
        <w:rPr>
          <w:bCs/>
        </w:rPr>
        <w:t>Proposal to amend 9.7.8</w:t>
      </w:r>
    </w:p>
    <w:p w14:paraId="3D89295D" w14:textId="77777777" w:rsidR="00747151" w:rsidRPr="00D353F7" w:rsidRDefault="00747151" w:rsidP="00747151">
      <w:pPr>
        <w:pStyle w:val="SingleTxtG"/>
        <w:ind w:left="3119" w:hanging="1985"/>
        <w:jc w:val="left"/>
        <w:rPr>
          <w:lang w:val="en-CA"/>
        </w:rPr>
      </w:pPr>
      <w:r>
        <w:rPr>
          <w:i/>
          <w:iCs/>
        </w:rPr>
        <w:t>Document</w:t>
      </w:r>
      <w:r>
        <w:t>:</w:t>
      </w:r>
      <w:r>
        <w:tab/>
        <w:t>ECE/TRANS/WP.15/2023/8 (Russian Federation)</w:t>
      </w:r>
    </w:p>
    <w:p w14:paraId="5204A4A8" w14:textId="1D447A1B" w:rsidR="00747151" w:rsidRPr="00D353F7" w:rsidRDefault="00F86AB2" w:rsidP="00747151">
      <w:pPr>
        <w:pStyle w:val="SingleTxtG"/>
        <w:rPr>
          <w:lang w:val="en-CA"/>
        </w:rPr>
      </w:pPr>
      <w:r>
        <w:t>24</w:t>
      </w:r>
      <w:r w:rsidR="00747151">
        <w:t>.</w:t>
      </w:r>
      <w:r w:rsidR="00747151">
        <w:tab/>
        <w:t>The Working Party adopted the amendments proposed in ECE/TRANS/WP.15/2023/8</w:t>
      </w:r>
      <w:r w:rsidR="00BA2533">
        <w:t xml:space="preserve"> (see annex II)</w:t>
      </w:r>
      <w:r w:rsidR="00747151">
        <w:t>.</w:t>
      </w:r>
    </w:p>
    <w:p w14:paraId="172DB300" w14:textId="5AB818FB" w:rsidR="00747151" w:rsidRPr="00D353F7" w:rsidRDefault="00F86AB2" w:rsidP="00747151">
      <w:pPr>
        <w:pStyle w:val="SingleTxtG"/>
        <w:rPr>
          <w:lang w:val="en-CA"/>
        </w:rPr>
      </w:pPr>
      <w:r>
        <w:t>25</w:t>
      </w:r>
      <w:r w:rsidR="00747151">
        <w:t>.</w:t>
      </w:r>
      <w:r w:rsidR="00747151">
        <w:tab/>
        <w:t xml:space="preserve">The Working Party noted that additional changes might be required to 9.7.8.1 </w:t>
      </w:r>
      <w:proofErr w:type="gramStart"/>
      <w:r w:rsidR="00747151">
        <w:t>as a consequence of</w:t>
      </w:r>
      <w:proofErr w:type="gramEnd"/>
      <w:r w:rsidR="00747151">
        <w:t xml:space="preserve"> changes planned to </w:t>
      </w:r>
      <w:r w:rsidR="000B305B">
        <w:t>c</w:t>
      </w:r>
      <w:r w:rsidR="00747151">
        <w:t>hapter 9.2.</w:t>
      </w:r>
    </w:p>
    <w:p w14:paraId="4F38C50A" w14:textId="77777777" w:rsidR="00747151" w:rsidRPr="00D353F7" w:rsidRDefault="00747151" w:rsidP="00747151">
      <w:pPr>
        <w:pStyle w:val="H23G"/>
        <w:rPr>
          <w:lang w:val="en-CA"/>
        </w:rPr>
      </w:pPr>
      <w:r>
        <w:rPr>
          <w:bCs/>
        </w:rPr>
        <w:tab/>
        <w:t>2.</w:t>
      </w:r>
      <w:r>
        <w:tab/>
      </w:r>
      <w:r>
        <w:rPr>
          <w:bCs/>
        </w:rPr>
        <w:t>Section 9.1.3 – Certificate of approval in electronic format</w:t>
      </w:r>
    </w:p>
    <w:p w14:paraId="4FEBF9C2" w14:textId="77777777" w:rsidR="00747151" w:rsidRPr="00D353F7" w:rsidRDefault="00747151" w:rsidP="00747151">
      <w:pPr>
        <w:pStyle w:val="SingleTxtG"/>
        <w:ind w:left="3119" w:hanging="1985"/>
        <w:jc w:val="left"/>
        <w:rPr>
          <w:lang w:val="en-CA"/>
        </w:rPr>
      </w:pPr>
      <w:r>
        <w:rPr>
          <w:i/>
          <w:iCs/>
        </w:rPr>
        <w:t>Document</w:t>
      </w:r>
      <w:r>
        <w:t>:</w:t>
      </w:r>
      <w:r>
        <w:tab/>
        <w:t>ECE/TRANS/WP.15/2023/12 (United Kingdom)</w:t>
      </w:r>
    </w:p>
    <w:p w14:paraId="2AD95B3F" w14:textId="0B339CD6" w:rsidR="00747151" w:rsidRPr="00D353F7" w:rsidRDefault="00F86AB2" w:rsidP="00747151">
      <w:pPr>
        <w:pStyle w:val="SingleTxtG"/>
        <w:rPr>
          <w:lang w:val="en-CA"/>
        </w:rPr>
      </w:pPr>
      <w:r>
        <w:t>26</w:t>
      </w:r>
      <w:r w:rsidR="00747151">
        <w:t>.</w:t>
      </w:r>
      <w:r w:rsidR="00747151">
        <w:tab/>
        <w:t xml:space="preserve">The delegations that spoke were in favour of the principle of introducing provisions to allow for the dematerialization of certificates of approval for vehicles. </w:t>
      </w:r>
    </w:p>
    <w:p w14:paraId="6F8E5C92" w14:textId="121AAB91" w:rsidR="00747151" w:rsidRPr="00D353F7" w:rsidRDefault="00F86AB2" w:rsidP="00747151">
      <w:pPr>
        <w:pStyle w:val="SingleTxtG"/>
        <w:rPr>
          <w:lang w:val="en-CA"/>
        </w:rPr>
      </w:pPr>
      <w:r>
        <w:t>27</w:t>
      </w:r>
      <w:r w:rsidR="00747151">
        <w:t>.</w:t>
      </w:r>
      <w:r w:rsidR="00747151">
        <w:tab/>
        <w:t>Several delegations were of the view that the proposal from the United Kingdom required further development, particularly in respect of the provisions concerning access to and authentication of digital certificates, and appropriate security arrangements for the storage and processing of electronic data.</w:t>
      </w:r>
    </w:p>
    <w:p w14:paraId="43824154" w14:textId="530A770E" w:rsidR="00747151" w:rsidRPr="00D353F7" w:rsidRDefault="00F86AB2" w:rsidP="00747151">
      <w:pPr>
        <w:pStyle w:val="SingleTxtG"/>
        <w:rPr>
          <w:lang w:val="en-CA"/>
        </w:rPr>
      </w:pPr>
      <w:r>
        <w:t>28</w:t>
      </w:r>
      <w:r w:rsidR="00747151">
        <w:t>.</w:t>
      </w:r>
      <w:r w:rsidR="00747151">
        <w:tab/>
        <w:t xml:space="preserve">The Working Party invited the United Kingdom to continue work on the topic. </w:t>
      </w:r>
    </w:p>
    <w:p w14:paraId="771109C1" w14:textId="77777777" w:rsidR="00747151" w:rsidRPr="00D353F7" w:rsidRDefault="00747151" w:rsidP="00747151">
      <w:pPr>
        <w:pStyle w:val="H23G"/>
        <w:rPr>
          <w:lang w:val="en-CA"/>
        </w:rPr>
      </w:pPr>
      <w:r>
        <w:rPr>
          <w:bCs/>
        </w:rPr>
        <w:tab/>
        <w:t>3.</w:t>
      </w:r>
      <w:r>
        <w:tab/>
      </w:r>
      <w:r>
        <w:rPr>
          <w:bCs/>
        </w:rPr>
        <w:t>Section 9.7.6 – Rear protection of vehicles</w:t>
      </w:r>
    </w:p>
    <w:p w14:paraId="63B033F0" w14:textId="77777777" w:rsidR="00747151" w:rsidRPr="00D353F7" w:rsidRDefault="00747151" w:rsidP="00747151">
      <w:pPr>
        <w:pStyle w:val="SingleTxtG"/>
        <w:ind w:left="3119" w:hanging="1985"/>
        <w:jc w:val="left"/>
        <w:rPr>
          <w:lang w:val="en-CA"/>
        </w:rPr>
      </w:pPr>
      <w:r>
        <w:rPr>
          <w:i/>
          <w:iCs/>
        </w:rPr>
        <w:t>Document</w:t>
      </w:r>
      <w:r>
        <w:t>:</w:t>
      </w:r>
      <w:r>
        <w:tab/>
        <w:t>ECE/TRANS/WP.15/2023/13 (United Kingdom)</w:t>
      </w:r>
    </w:p>
    <w:p w14:paraId="79C55DB8" w14:textId="77777777" w:rsidR="00747151" w:rsidRPr="00D353F7" w:rsidRDefault="00747151" w:rsidP="00747151">
      <w:pPr>
        <w:pStyle w:val="SingleTxtG"/>
        <w:ind w:left="3119" w:hanging="1985"/>
        <w:jc w:val="left"/>
        <w:rPr>
          <w:lang w:val="en-CA"/>
        </w:rPr>
      </w:pPr>
      <w:r>
        <w:rPr>
          <w:i/>
          <w:iCs/>
        </w:rPr>
        <w:t>Informal document</w:t>
      </w:r>
      <w:r>
        <w:t>:</w:t>
      </w:r>
      <w:r>
        <w:tab/>
        <w:t>INF.22 (CLCCR)</w:t>
      </w:r>
    </w:p>
    <w:p w14:paraId="23A94C63" w14:textId="670199A3" w:rsidR="00747151" w:rsidRPr="00D353F7" w:rsidRDefault="00F86AB2" w:rsidP="00747151">
      <w:pPr>
        <w:pStyle w:val="SingleTxtG"/>
        <w:rPr>
          <w:lang w:val="en-CA"/>
        </w:rPr>
      </w:pPr>
      <w:r>
        <w:t>29</w:t>
      </w:r>
      <w:r w:rsidR="00747151">
        <w:t>.</w:t>
      </w:r>
      <w:r w:rsidR="00747151">
        <w:tab/>
        <w:t xml:space="preserve">Several delegations were of the view that the alternative proposal in informal document INF.22 clarified certain outstanding issues, but that further work was needed to finalize the proposed texts. </w:t>
      </w:r>
      <w:proofErr w:type="gramStart"/>
      <w:r w:rsidR="00747151">
        <w:t>Being a late informal document, several delegations</w:t>
      </w:r>
      <w:proofErr w:type="gramEnd"/>
      <w:r w:rsidR="00747151">
        <w:t xml:space="preserve"> indicated that they would need more time to consult their experts and stakeholders.</w:t>
      </w:r>
    </w:p>
    <w:p w14:paraId="30E44536" w14:textId="500E3444" w:rsidR="00747151" w:rsidRPr="00D353F7" w:rsidRDefault="00F86AB2" w:rsidP="00747151">
      <w:pPr>
        <w:pStyle w:val="SingleTxtG"/>
        <w:rPr>
          <w:lang w:val="en-CA"/>
        </w:rPr>
      </w:pPr>
      <w:r>
        <w:t>30</w:t>
      </w:r>
      <w:r w:rsidR="00747151">
        <w:t>.</w:t>
      </w:r>
      <w:r w:rsidR="00747151">
        <w:tab/>
        <w:t xml:space="preserve">The Working Party noted that the United Kingdom was prepared to continue to work on the topic. </w:t>
      </w:r>
    </w:p>
    <w:p w14:paraId="403FFAE4" w14:textId="4972B2FD" w:rsidR="00747151" w:rsidRPr="00D353F7" w:rsidRDefault="00F86AB2" w:rsidP="00747151">
      <w:pPr>
        <w:pStyle w:val="SingleTxtG"/>
        <w:rPr>
          <w:lang w:val="en-CA"/>
        </w:rPr>
      </w:pPr>
      <w:r>
        <w:t>31</w:t>
      </w:r>
      <w:r w:rsidR="00747151">
        <w:t>.</w:t>
      </w:r>
      <w:r w:rsidR="00747151">
        <w:tab/>
        <w:t xml:space="preserve">Opinions were divided between the option of having the same minimum distance required between the tank and the bumper bar for all </w:t>
      </w:r>
      <w:proofErr w:type="gramStart"/>
      <w:r w:rsidR="00747151">
        <w:t>tanks, or</w:t>
      </w:r>
      <w:proofErr w:type="gramEnd"/>
      <w:r w:rsidR="00747151">
        <w:t xml:space="preserve"> having different provisions for certain types of tank</w:t>
      </w:r>
      <w:r w:rsidR="003B3B59">
        <w:t>s</w:t>
      </w:r>
      <w:r w:rsidR="00747151">
        <w:t xml:space="preserve"> depending on materials and construction criteria. The Working Party invited the representative of the United Kingdom to consider these two options in a revised proposal and invited delegations wishing to do so to send him their comments. </w:t>
      </w:r>
    </w:p>
    <w:p w14:paraId="02851794" w14:textId="77777777" w:rsidR="00415880" w:rsidRPr="003F4D7D" w:rsidRDefault="00415880" w:rsidP="00415880">
      <w:pPr>
        <w:pStyle w:val="H23G"/>
      </w:pPr>
      <w:r>
        <w:rPr>
          <w:bCs/>
        </w:rPr>
        <w:tab/>
        <w:t>4.</w:t>
      </w:r>
      <w:r>
        <w:tab/>
      </w:r>
      <w:r>
        <w:rPr>
          <w:bCs/>
        </w:rPr>
        <w:t>Amendment to 9.2.2.8</w:t>
      </w:r>
    </w:p>
    <w:p w14:paraId="46E62CBB" w14:textId="77777777" w:rsidR="00415880" w:rsidRPr="003F4D7D" w:rsidRDefault="00415880" w:rsidP="00415880">
      <w:pPr>
        <w:pStyle w:val="SingleTxtG"/>
        <w:ind w:left="3119" w:hanging="1985"/>
        <w:jc w:val="left"/>
      </w:pPr>
      <w:r>
        <w:rPr>
          <w:i/>
          <w:iCs/>
        </w:rPr>
        <w:t>Document</w:t>
      </w:r>
      <w:r>
        <w:t>:</w:t>
      </w:r>
      <w:r>
        <w:tab/>
        <w:t>ECE/TRANS/WP.15/262 (Secretariat)</w:t>
      </w:r>
    </w:p>
    <w:p w14:paraId="074EE2F9" w14:textId="2D2C7096" w:rsidR="00415880" w:rsidRPr="003F4D7D" w:rsidRDefault="00415880" w:rsidP="00415880">
      <w:pPr>
        <w:pStyle w:val="SingleTxtG"/>
      </w:pPr>
      <w:r>
        <w:rPr>
          <w:i/>
          <w:iCs/>
        </w:rPr>
        <w:t>Informal document</w:t>
      </w:r>
      <w:r w:rsidR="000E48F5">
        <w:rPr>
          <w:i/>
          <w:iCs/>
        </w:rPr>
        <w:t>s</w:t>
      </w:r>
      <w:r>
        <w:t>:</w:t>
      </w:r>
      <w:r>
        <w:tab/>
        <w:t>INF.5/Rev.1, part I (Secretariat), INF.25 (OICA)</w:t>
      </w:r>
    </w:p>
    <w:p w14:paraId="78661730" w14:textId="6CCD64CD" w:rsidR="00415880" w:rsidRPr="003F4D7D" w:rsidRDefault="00F86AB2" w:rsidP="00415880">
      <w:pPr>
        <w:pStyle w:val="SingleTxtG"/>
      </w:pPr>
      <w:r>
        <w:t>32</w:t>
      </w:r>
      <w:r w:rsidR="00415880">
        <w:t>.</w:t>
      </w:r>
      <w:r w:rsidR="00415880">
        <w:tab/>
        <w:t>At its 113th session, the Working Party adopted the draft amendments proposed in ECE/TRANS/WP.15/2023/4. It considered that the wording of the note under 9.2.2.8 could be improved. The note was thus kept in square brackets, to be reviewed at the 114th session.</w:t>
      </w:r>
    </w:p>
    <w:p w14:paraId="7F947722" w14:textId="67DC50E6" w:rsidR="00415880" w:rsidRPr="003F4D7D" w:rsidRDefault="00F86AB2" w:rsidP="00415880">
      <w:pPr>
        <w:pStyle w:val="SingleTxtG"/>
      </w:pPr>
      <w:r>
        <w:t>33</w:t>
      </w:r>
      <w:r w:rsidR="00415880">
        <w:t>.</w:t>
      </w:r>
      <w:r w:rsidR="00415880">
        <w:tab/>
        <w:t xml:space="preserve">The Working Party adopted a revised version of the note </w:t>
      </w:r>
      <w:proofErr w:type="gramStart"/>
      <w:r w:rsidR="00415880">
        <w:t>on the basis of</w:t>
      </w:r>
      <w:proofErr w:type="gramEnd"/>
      <w:r w:rsidR="00415880">
        <w:t xml:space="preserve"> an oral proposal and agreed that the text should be placed in 9.2.2.8.3 rather than in a note at the beginning of the subsection (see annex </w:t>
      </w:r>
      <w:r w:rsidR="0098582D">
        <w:t>II</w:t>
      </w:r>
      <w:r w:rsidR="00415880">
        <w:t>).</w:t>
      </w:r>
    </w:p>
    <w:p w14:paraId="7DAB465D" w14:textId="77777777" w:rsidR="00415880" w:rsidRPr="003F4D7D" w:rsidRDefault="00415880" w:rsidP="00415880">
      <w:pPr>
        <w:pStyle w:val="H23G"/>
      </w:pPr>
      <w:r>
        <w:rPr>
          <w:bCs/>
        </w:rPr>
        <w:lastRenderedPageBreak/>
        <w:tab/>
        <w:t>5.</w:t>
      </w:r>
      <w:r>
        <w:tab/>
      </w:r>
      <w:r>
        <w:rPr>
          <w:bCs/>
        </w:rPr>
        <w:t>Battery electric vehicles and hydrogen fuelled vehicles</w:t>
      </w:r>
    </w:p>
    <w:p w14:paraId="2EB75718" w14:textId="77777777" w:rsidR="00415880" w:rsidRPr="003F4D7D" w:rsidRDefault="00415880" w:rsidP="00415880">
      <w:pPr>
        <w:pStyle w:val="SingleTxtG"/>
        <w:ind w:left="2268" w:hanging="1134"/>
        <w:jc w:val="left"/>
      </w:pPr>
      <w:r>
        <w:rPr>
          <w:i/>
          <w:iCs/>
        </w:rPr>
        <w:t>Document</w:t>
      </w:r>
      <w:r>
        <w:t>:</w:t>
      </w:r>
      <w:r>
        <w:tab/>
        <w:t>ECE/TRANS/WP.15/2023/14 (Netherlands, on behalf of the informal working group on electrified vehicles)</w:t>
      </w:r>
    </w:p>
    <w:p w14:paraId="4A95108E" w14:textId="77777777" w:rsidR="00415880" w:rsidRPr="003F4D7D" w:rsidRDefault="00415880" w:rsidP="00415880">
      <w:pPr>
        <w:pStyle w:val="SingleTxtG"/>
        <w:ind w:left="2835" w:hanging="1701"/>
      </w:pPr>
      <w:r>
        <w:rPr>
          <w:i/>
          <w:iCs/>
        </w:rPr>
        <w:t>Informal documents</w:t>
      </w:r>
      <w:r>
        <w:t>:</w:t>
      </w:r>
      <w:r>
        <w:tab/>
        <w:t>INF.3 (Netherlands, on behalf of the informal working group on electrified vehicles), INF.15 (Netherlands, on behalf of the informal working group on electrified vehicles)</w:t>
      </w:r>
    </w:p>
    <w:p w14:paraId="53A8F372" w14:textId="04486083" w:rsidR="00415880" w:rsidRPr="003F4D7D" w:rsidRDefault="00F86AB2" w:rsidP="00415880">
      <w:pPr>
        <w:pStyle w:val="SingleTxtG"/>
      </w:pPr>
      <w:r>
        <w:t>34</w:t>
      </w:r>
      <w:r w:rsidR="00415880">
        <w:t>.</w:t>
      </w:r>
      <w:r w:rsidR="00415880">
        <w:tab/>
        <w:t xml:space="preserve">The Working Party adopted, with some modifications, the amendments in document ECE/TRANS/WP.15/2023/14 aimed at adding, in the 2025 edition of ADR, battery electric vehicles to category FL, hydrogen fuel cell vehicles to categories AT and FL, and vehicles equipped with an internal combustion engine using hydrogen as a fuel to categories AT and FL (see annex </w:t>
      </w:r>
      <w:r w:rsidR="0098582D">
        <w:t>III</w:t>
      </w:r>
      <w:r w:rsidR="00415880">
        <w:t xml:space="preserve">). </w:t>
      </w:r>
    </w:p>
    <w:p w14:paraId="139050C8" w14:textId="66FE9F3C" w:rsidR="00415880" w:rsidRPr="003F4D7D" w:rsidRDefault="00F86AB2" w:rsidP="00415880">
      <w:pPr>
        <w:pStyle w:val="SingleTxtG"/>
      </w:pPr>
      <w:r>
        <w:t>35</w:t>
      </w:r>
      <w:r w:rsidR="00415880">
        <w:t>.</w:t>
      </w:r>
      <w:r w:rsidR="00415880">
        <w:tab/>
        <w:t>Some points were kept in square brackets, to be confirmed at the 115th session.</w:t>
      </w:r>
    </w:p>
    <w:p w14:paraId="2277BF82" w14:textId="0637D0EA" w:rsidR="00415880" w:rsidRPr="003F4D7D" w:rsidRDefault="00F86AB2" w:rsidP="00415880">
      <w:pPr>
        <w:pStyle w:val="SingleTxtG"/>
      </w:pPr>
      <w:r>
        <w:t>36</w:t>
      </w:r>
      <w:r w:rsidR="00415880">
        <w:t>.</w:t>
      </w:r>
      <w:r w:rsidR="00415880">
        <w:tab/>
        <w:t xml:space="preserve">The Working Party thanked the informal working group on electrified vehicles and the representative of the Netherlands for their work. The Working Party supported the informal group's proposal to remain active until the proposals relating to AT and FL vehicles had been adopted, and then for the group to be put on standby for a year, while unforeseen problems were assessed and dealt with, if necessary. The Working Party noted that, during that period, the industry, organized </w:t>
      </w:r>
      <w:r w:rsidR="00C84FE7">
        <w:t>with</w:t>
      </w:r>
      <w:r w:rsidR="00415880">
        <w:t>in OICA and CLCCR, would keep it informed of new developments and the need to consider updates, as appropriate.</w:t>
      </w:r>
    </w:p>
    <w:p w14:paraId="66FA9034" w14:textId="77777777" w:rsidR="00415880" w:rsidRPr="003F4D7D" w:rsidRDefault="00415880" w:rsidP="00415880">
      <w:pPr>
        <w:pStyle w:val="H23G"/>
      </w:pPr>
      <w:r>
        <w:rPr>
          <w:bCs/>
        </w:rPr>
        <w:tab/>
        <w:t>6.</w:t>
      </w:r>
      <w:r>
        <w:tab/>
      </w:r>
      <w:r>
        <w:rPr>
          <w:bCs/>
        </w:rPr>
        <w:t>Regenerative braking system</w:t>
      </w:r>
    </w:p>
    <w:p w14:paraId="357AFAA6" w14:textId="08237620" w:rsidR="00415880" w:rsidRPr="003F4D7D" w:rsidRDefault="00415880" w:rsidP="00415880">
      <w:pPr>
        <w:pStyle w:val="SingleTxtG"/>
      </w:pPr>
      <w:r>
        <w:rPr>
          <w:i/>
          <w:iCs/>
        </w:rPr>
        <w:t>Informal document</w:t>
      </w:r>
      <w:r>
        <w:t>:</w:t>
      </w:r>
      <w:r>
        <w:tab/>
        <w:t>INF.12 (Netherlands)</w:t>
      </w:r>
    </w:p>
    <w:p w14:paraId="49EE9163" w14:textId="75232AE5" w:rsidR="00415880" w:rsidRPr="003F4D7D" w:rsidRDefault="00F86AB2" w:rsidP="00415880">
      <w:pPr>
        <w:pStyle w:val="SingleTxtG"/>
      </w:pPr>
      <w:r>
        <w:t>37</w:t>
      </w:r>
      <w:r w:rsidR="00415880">
        <w:t>.</w:t>
      </w:r>
      <w:r w:rsidR="00415880">
        <w:tab/>
        <w:t xml:space="preserve">The Working Party noted that the special requirements for endurance braking incorporating regenerative braking systems adopted by the World Forum for Harmonization of Vehicle Regulations (WP.29) (Supplement 18 to the 11 series of amendments to UN Regulation No. 13) were based on two systems, one with a route planning system, anticipating the state of charge of the battery for future descents, and the other without such a system. </w:t>
      </w:r>
    </w:p>
    <w:p w14:paraId="604C700F" w14:textId="621457E7" w:rsidR="00415880" w:rsidRPr="003F4D7D" w:rsidRDefault="00F86AB2" w:rsidP="00415880">
      <w:pPr>
        <w:pStyle w:val="SingleTxtG"/>
      </w:pPr>
      <w:r>
        <w:t>38</w:t>
      </w:r>
      <w:r w:rsidR="00415880">
        <w:t>.</w:t>
      </w:r>
      <w:r w:rsidR="00415880">
        <w:tab/>
        <w:t>The proposal of the Netherlands in informal document INF.12 was aimed at retaining the route planning system for dangerous goods vehicles.</w:t>
      </w:r>
    </w:p>
    <w:p w14:paraId="6F73DB45" w14:textId="2F5FA41A" w:rsidR="00415880" w:rsidRPr="003F4D7D" w:rsidRDefault="00F86AB2" w:rsidP="00415880">
      <w:pPr>
        <w:pStyle w:val="SingleTxtG"/>
      </w:pPr>
      <w:r>
        <w:t>39</w:t>
      </w:r>
      <w:r w:rsidR="00415880">
        <w:t>.</w:t>
      </w:r>
      <w:r w:rsidR="00415880">
        <w:tab/>
        <w:t xml:space="preserve">The representative of the Netherlands indicated that he would present a revised proposal, </w:t>
      </w:r>
      <w:proofErr w:type="gramStart"/>
      <w:r w:rsidR="00415880">
        <w:t>taking into account</w:t>
      </w:r>
      <w:proofErr w:type="gramEnd"/>
      <w:r w:rsidR="00415880">
        <w:t xml:space="preserve"> the comments received, at the next session.</w:t>
      </w:r>
    </w:p>
    <w:p w14:paraId="4AAFCE84" w14:textId="77777777" w:rsidR="00415880" w:rsidRPr="003F4D7D" w:rsidRDefault="00415880" w:rsidP="00415880">
      <w:pPr>
        <w:pStyle w:val="H23G"/>
      </w:pPr>
      <w:r>
        <w:rPr>
          <w:bCs/>
        </w:rPr>
        <w:tab/>
        <w:t>7.</w:t>
      </w:r>
      <w:r>
        <w:tab/>
      </w:r>
      <w:r>
        <w:rPr>
          <w:bCs/>
        </w:rPr>
        <w:t>9.8.4 – Stability of MEMUs</w:t>
      </w:r>
    </w:p>
    <w:p w14:paraId="55927FE2" w14:textId="77777777" w:rsidR="00415880" w:rsidRPr="003F4D7D" w:rsidRDefault="00415880" w:rsidP="00415880">
      <w:pPr>
        <w:pStyle w:val="SingleTxtG"/>
        <w:ind w:left="3119" w:hanging="1985"/>
        <w:jc w:val="left"/>
      </w:pPr>
      <w:r>
        <w:rPr>
          <w:i/>
          <w:iCs/>
        </w:rPr>
        <w:t>Informal document</w:t>
      </w:r>
      <w:r>
        <w:t>:</w:t>
      </w:r>
      <w:r>
        <w:tab/>
        <w:t>INF.4 (Finland)</w:t>
      </w:r>
    </w:p>
    <w:p w14:paraId="7040EA73" w14:textId="5CFE7DC8" w:rsidR="00415880" w:rsidRPr="003F4D7D" w:rsidRDefault="00F86AB2" w:rsidP="00415880">
      <w:pPr>
        <w:pStyle w:val="SingleTxtG"/>
      </w:pPr>
      <w:r>
        <w:t>40</w:t>
      </w:r>
      <w:r w:rsidR="00415880">
        <w:t>.</w:t>
      </w:r>
      <w:r w:rsidR="00415880">
        <w:tab/>
        <w:t xml:space="preserve">The Working Party adopted the proposed amendment to 9.8.4 (see annex </w:t>
      </w:r>
      <w:r w:rsidR="008425EA">
        <w:t>II</w:t>
      </w:r>
      <w:r w:rsidR="00415880">
        <w:t>).</w:t>
      </w:r>
    </w:p>
    <w:p w14:paraId="056F2675" w14:textId="77777777" w:rsidR="00415880" w:rsidRPr="003F4D7D" w:rsidRDefault="00415880" w:rsidP="00415880">
      <w:pPr>
        <w:pStyle w:val="H23G"/>
      </w:pPr>
      <w:r>
        <w:rPr>
          <w:bCs/>
        </w:rPr>
        <w:tab/>
        <w:t>8.</w:t>
      </w:r>
      <w:r>
        <w:tab/>
      </w:r>
      <w:r>
        <w:rPr>
          <w:bCs/>
        </w:rPr>
        <w:t>Issues of interpretation of the table in 9.2.1.1</w:t>
      </w:r>
    </w:p>
    <w:p w14:paraId="1423008B" w14:textId="77777777" w:rsidR="00415880" w:rsidRPr="003F4D7D" w:rsidRDefault="00415880" w:rsidP="00415880">
      <w:pPr>
        <w:pStyle w:val="SingleTxtG"/>
        <w:ind w:left="3119" w:hanging="1985"/>
        <w:jc w:val="left"/>
      </w:pPr>
      <w:r>
        <w:rPr>
          <w:i/>
          <w:iCs/>
        </w:rPr>
        <w:t>Informal document</w:t>
      </w:r>
      <w:r>
        <w:t>:</w:t>
      </w:r>
      <w:r>
        <w:tab/>
        <w:t>INF.10 (Netherlands)</w:t>
      </w:r>
    </w:p>
    <w:p w14:paraId="1DD88427" w14:textId="16E172FE" w:rsidR="00415880" w:rsidRPr="003F4D7D" w:rsidRDefault="00F86AB2" w:rsidP="00415880">
      <w:pPr>
        <w:pStyle w:val="SingleTxtG"/>
      </w:pPr>
      <w:r>
        <w:t>41</w:t>
      </w:r>
      <w:r w:rsidR="00415880">
        <w:t>.</w:t>
      </w:r>
      <w:r w:rsidR="00415880">
        <w:tab/>
        <w:t xml:space="preserve">The Working Party confirmed that the question could be discussed by the informal working group on electrified vehicles at its next </w:t>
      </w:r>
      <w:r w:rsidR="00734D20">
        <w:t>meeting</w:t>
      </w:r>
      <w:r w:rsidR="00415880">
        <w:t xml:space="preserve">. </w:t>
      </w:r>
    </w:p>
    <w:p w14:paraId="165293BA" w14:textId="77777777" w:rsidR="00415880" w:rsidRPr="003F4D7D" w:rsidRDefault="00415880" w:rsidP="00415880">
      <w:pPr>
        <w:pStyle w:val="H23G"/>
      </w:pPr>
      <w:r>
        <w:rPr>
          <w:bCs/>
        </w:rPr>
        <w:tab/>
        <w:t>9.</w:t>
      </w:r>
      <w:r>
        <w:tab/>
      </w:r>
      <w:r>
        <w:rPr>
          <w:bCs/>
        </w:rPr>
        <w:t>Fire suppression system for engine compartments</w:t>
      </w:r>
    </w:p>
    <w:p w14:paraId="78FA0BF3" w14:textId="77777777" w:rsidR="00415880" w:rsidRPr="003F4D7D" w:rsidRDefault="00415880" w:rsidP="00415880">
      <w:pPr>
        <w:pStyle w:val="SingleTxtG"/>
        <w:ind w:left="2835" w:hanging="1701"/>
      </w:pPr>
      <w:r>
        <w:rPr>
          <w:i/>
          <w:iCs/>
        </w:rPr>
        <w:t>Informal document</w:t>
      </w:r>
      <w:r>
        <w:t>:</w:t>
      </w:r>
      <w:r>
        <w:tab/>
        <w:t>INF.17 (Spain and Netherlands, on behalf of the informal working group on the reduction of the risk of a BLEVE)</w:t>
      </w:r>
    </w:p>
    <w:p w14:paraId="2BA97120" w14:textId="50519EA3" w:rsidR="00415880" w:rsidRPr="003F4D7D" w:rsidRDefault="00F86AB2" w:rsidP="00415880">
      <w:pPr>
        <w:pStyle w:val="SingleTxtG"/>
      </w:pPr>
      <w:r>
        <w:t>42</w:t>
      </w:r>
      <w:r w:rsidR="00415880">
        <w:t>.</w:t>
      </w:r>
      <w:r w:rsidR="00415880">
        <w:tab/>
        <w:t>The Working Party confirmed that the technical requirements for fire-suppression systems installed in the engine compartment could be introduced into ADR as a first step, with a subsequent proposal to WP.29 to adapt UN Regulation 107 accordingly.</w:t>
      </w:r>
    </w:p>
    <w:p w14:paraId="1E65983E" w14:textId="675BF9A7" w:rsidR="00415880" w:rsidRPr="003F4D7D" w:rsidRDefault="00F86AB2" w:rsidP="00415880">
      <w:pPr>
        <w:pStyle w:val="SingleTxtG"/>
      </w:pPr>
      <w:r>
        <w:t>43</w:t>
      </w:r>
      <w:r w:rsidR="00415880">
        <w:t>.</w:t>
      </w:r>
      <w:r w:rsidR="00415880">
        <w:tab/>
        <w:t xml:space="preserve">The representative of Spain invited </w:t>
      </w:r>
      <w:r w:rsidR="007B628E">
        <w:t xml:space="preserve">new </w:t>
      </w:r>
      <w:r w:rsidR="00415880">
        <w:t>delegations interested in participating in the work of the informal group to contact her.</w:t>
      </w:r>
    </w:p>
    <w:p w14:paraId="3A8E3E2B" w14:textId="77777777" w:rsidR="00415880" w:rsidRPr="003F4D7D" w:rsidRDefault="00415880" w:rsidP="00415880">
      <w:pPr>
        <w:pStyle w:val="H23G"/>
      </w:pPr>
      <w:r>
        <w:rPr>
          <w:bCs/>
        </w:rPr>
        <w:lastRenderedPageBreak/>
        <w:tab/>
        <w:t>10.</w:t>
      </w:r>
      <w:r>
        <w:tab/>
      </w:r>
      <w:r>
        <w:rPr>
          <w:bCs/>
        </w:rPr>
        <w:t>Camera monitor systems on EX/III and FL vehicles (vehicles with battery master switches)</w:t>
      </w:r>
    </w:p>
    <w:p w14:paraId="7DF3C192" w14:textId="77777777" w:rsidR="00415880" w:rsidRPr="003F4D7D" w:rsidRDefault="00415880" w:rsidP="00415880">
      <w:pPr>
        <w:pStyle w:val="SingleTxtG"/>
      </w:pPr>
      <w:r>
        <w:rPr>
          <w:i/>
          <w:iCs/>
        </w:rPr>
        <w:t>Informal document</w:t>
      </w:r>
      <w:r>
        <w:t>:</w:t>
      </w:r>
      <w:r>
        <w:tab/>
        <w:t>INF.18 (Germany)</w:t>
      </w:r>
    </w:p>
    <w:p w14:paraId="0B5608F6" w14:textId="12DA32AD" w:rsidR="00415880" w:rsidRPr="003F4D7D" w:rsidRDefault="00F86AB2" w:rsidP="00415880">
      <w:pPr>
        <w:pStyle w:val="SingleTxtG"/>
      </w:pPr>
      <w:r>
        <w:t>44</w:t>
      </w:r>
      <w:r w:rsidR="00415880">
        <w:t>.</w:t>
      </w:r>
      <w:r w:rsidR="00415880">
        <w:tab/>
        <w:t>The Working Party noted that problems could arise during the approval of EX/III and FL vehicles fitted with a camera monitor system in compliance with the requirements of UN Regulation No. 46.</w:t>
      </w:r>
    </w:p>
    <w:p w14:paraId="7EA26FD9" w14:textId="49E327FD" w:rsidR="00415880" w:rsidRPr="003F4D7D" w:rsidRDefault="00F86AB2" w:rsidP="00415880">
      <w:pPr>
        <w:pStyle w:val="SingleTxtG"/>
      </w:pPr>
      <w:r>
        <w:t>45</w:t>
      </w:r>
      <w:r w:rsidR="00415880">
        <w:t>.</w:t>
      </w:r>
      <w:r w:rsidR="00415880">
        <w:tab/>
        <w:t xml:space="preserve">The Working Party invited Germany to draw the attention of WP.29 to that point and invited delegations to inform their counterparts in charge of vehicle construction provisions of those problems, </w:t>
      </w:r>
      <w:proofErr w:type="gramStart"/>
      <w:r w:rsidR="00415880">
        <w:t>on the basis of</w:t>
      </w:r>
      <w:proofErr w:type="gramEnd"/>
      <w:r w:rsidR="00415880">
        <w:t xml:space="preserve"> the information provided in informal document INF.18.</w:t>
      </w:r>
    </w:p>
    <w:p w14:paraId="316357C0" w14:textId="77777777" w:rsidR="002B7F4B" w:rsidRPr="00E54679" w:rsidRDefault="002B7F4B" w:rsidP="002B7F4B">
      <w:pPr>
        <w:pStyle w:val="H1G"/>
        <w:rPr>
          <w:lang w:val="en-CA"/>
        </w:rPr>
      </w:pPr>
      <w:r w:rsidRPr="00E54679">
        <w:rPr>
          <w:lang w:val="en-CA"/>
        </w:rPr>
        <w:tab/>
        <w:t>B.</w:t>
      </w:r>
      <w:r w:rsidRPr="00E54679">
        <w:rPr>
          <w:lang w:val="en-CA"/>
        </w:rPr>
        <w:tab/>
        <w:t>Miscellaneous proposals</w:t>
      </w:r>
    </w:p>
    <w:p w14:paraId="4B2A27B5" w14:textId="77777777" w:rsidR="002B7F4B" w:rsidRPr="00E54679" w:rsidRDefault="002B7F4B" w:rsidP="002B7F4B">
      <w:pPr>
        <w:pStyle w:val="H23G"/>
        <w:rPr>
          <w:lang w:val="en-CA"/>
        </w:rPr>
      </w:pPr>
      <w:r w:rsidRPr="00E54679">
        <w:rPr>
          <w:lang w:val="en-CA"/>
        </w:rPr>
        <w:tab/>
        <w:t>1.</w:t>
      </w:r>
      <w:r w:rsidRPr="00E54679">
        <w:rPr>
          <w:lang w:val="en-CA"/>
        </w:rPr>
        <w:tab/>
        <w:t>Modification of texts adopted at the 113th session</w:t>
      </w:r>
    </w:p>
    <w:p w14:paraId="2B42251E" w14:textId="5904EF28" w:rsidR="002B7F4B" w:rsidRPr="00E54679" w:rsidRDefault="002B7F4B" w:rsidP="002B7F4B">
      <w:pPr>
        <w:pStyle w:val="SingleTxtG"/>
        <w:ind w:left="2268" w:hanging="1134"/>
        <w:jc w:val="left"/>
        <w:rPr>
          <w:lang w:val="en-CA"/>
        </w:rPr>
      </w:pPr>
      <w:r w:rsidRPr="00E54679">
        <w:rPr>
          <w:i/>
          <w:iCs/>
          <w:lang w:val="en-CA"/>
        </w:rPr>
        <w:t>Document</w:t>
      </w:r>
      <w:r w:rsidRPr="00E54679">
        <w:rPr>
          <w:lang w:val="en-CA"/>
        </w:rPr>
        <w:t>:</w:t>
      </w:r>
      <w:r w:rsidRPr="00E54679">
        <w:rPr>
          <w:lang w:val="en-CA"/>
        </w:rPr>
        <w:tab/>
        <w:t>ECE/TRANS/WP.15/262 (</w:t>
      </w:r>
      <w:r w:rsidR="00970F31">
        <w:rPr>
          <w:lang w:val="en-CA"/>
        </w:rPr>
        <w:t>R</w:t>
      </w:r>
      <w:r w:rsidRPr="00E54679">
        <w:rPr>
          <w:lang w:val="en-CA"/>
        </w:rPr>
        <w:t>eport of the Working Party on its 113</w:t>
      </w:r>
      <w:r>
        <w:rPr>
          <w:lang w:val="en-CA"/>
        </w:rPr>
        <w:t>th</w:t>
      </w:r>
      <w:r w:rsidRPr="00E54679">
        <w:rPr>
          <w:lang w:val="en-CA"/>
        </w:rPr>
        <w:t xml:space="preserve"> session)</w:t>
      </w:r>
    </w:p>
    <w:p w14:paraId="2396CBFD" w14:textId="4F54F568" w:rsidR="002B7F4B" w:rsidRPr="00E54679" w:rsidRDefault="002B7F4B" w:rsidP="002B7F4B">
      <w:pPr>
        <w:pStyle w:val="SingleTxtG"/>
        <w:ind w:left="3119" w:hanging="1985"/>
        <w:jc w:val="left"/>
        <w:rPr>
          <w:lang w:val="en-CA"/>
        </w:rPr>
      </w:pPr>
      <w:r w:rsidRPr="00E54679">
        <w:rPr>
          <w:i/>
          <w:iCs/>
          <w:lang w:val="en-CA"/>
        </w:rPr>
        <w:t>Informal document</w:t>
      </w:r>
      <w:r w:rsidRPr="00E54679">
        <w:rPr>
          <w:lang w:val="en-CA"/>
        </w:rPr>
        <w:t>: INF.5/Rev.1</w:t>
      </w:r>
      <w:r w:rsidR="00E454EB">
        <w:rPr>
          <w:lang w:val="en-CA"/>
        </w:rPr>
        <w:t>, part I</w:t>
      </w:r>
      <w:r w:rsidRPr="00E54679">
        <w:rPr>
          <w:lang w:val="en-CA"/>
        </w:rPr>
        <w:t xml:space="preserve"> (</w:t>
      </w:r>
      <w:r w:rsidR="00970F31">
        <w:rPr>
          <w:lang w:val="en-CA"/>
        </w:rPr>
        <w:t>S</w:t>
      </w:r>
      <w:r w:rsidRPr="00E54679">
        <w:rPr>
          <w:lang w:val="en-CA"/>
        </w:rPr>
        <w:t>ecretariat)</w:t>
      </w:r>
    </w:p>
    <w:p w14:paraId="6B1C6573" w14:textId="5CFD5B64" w:rsidR="002B7F4B" w:rsidRPr="00E54679" w:rsidRDefault="00F86AB2" w:rsidP="002B7F4B">
      <w:pPr>
        <w:pStyle w:val="SingleTxtG"/>
        <w:rPr>
          <w:lang w:val="en-CA"/>
        </w:rPr>
      </w:pPr>
      <w:r>
        <w:rPr>
          <w:lang w:val="en-CA"/>
        </w:rPr>
        <w:t>46</w:t>
      </w:r>
      <w:r w:rsidR="002B7F4B" w:rsidRPr="00E54679">
        <w:rPr>
          <w:lang w:val="en-CA"/>
        </w:rPr>
        <w:t>.</w:t>
      </w:r>
      <w:r w:rsidR="002B7F4B" w:rsidRPr="00E54679">
        <w:rPr>
          <w:lang w:val="en-CA"/>
        </w:rPr>
        <w:tab/>
        <w:t xml:space="preserve">The Working Party adopted editorial changes to the text of new provision AP11 of 7.3.3.2.7 adopted at its previous session and reproduced in </w:t>
      </w:r>
      <w:r w:rsidR="002B7F4B">
        <w:rPr>
          <w:lang w:val="en-CA"/>
        </w:rPr>
        <w:t>part</w:t>
      </w:r>
      <w:r w:rsidR="002B7F4B" w:rsidRPr="00E54679">
        <w:rPr>
          <w:lang w:val="en-CA"/>
        </w:rPr>
        <w:t xml:space="preserve"> I of informal document INF.5/Rev.1 (see annex</w:t>
      </w:r>
      <w:r w:rsidR="002B7F4B">
        <w:rPr>
          <w:lang w:val="en-CA"/>
        </w:rPr>
        <w:t xml:space="preserve"> </w:t>
      </w:r>
      <w:r w:rsidR="00BB189A">
        <w:rPr>
          <w:lang w:val="en-CA"/>
        </w:rPr>
        <w:t>II</w:t>
      </w:r>
      <w:r w:rsidR="002B7F4B" w:rsidRPr="00E54679">
        <w:rPr>
          <w:lang w:val="en-CA"/>
        </w:rPr>
        <w:t>).</w:t>
      </w:r>
    </w:p>
    <w:p w14:paraId="3B6CE3FD" w14:textId="77777777" w:rsidR="002B7F4B" w:rsidRPr="00E54679" w:rsidRDefault="002B7F4B" w:rsidP="002B7F4B">
      <w:pPr>
        <w:pStyle w:val="H23G"/>
        <w:rPr>
          <w:lang w:val="en-CA"/>
        </w:rPr>
      </w:pPr>
      <w:r w:rsidRPr="00E54679">
        <w:rPr>
          <w:lang w:val="en-CA"/>
        </w:rPr>
        <w:tab/>
        <w:t>2.</w:t>
      </w:r>
      <w:r w:rsidRPr="00E54679">
        <w:rPr>
          <w:lang w:val="en-CA"/>
        </w:rPr>
        <w:tab/>
        <w:t>Training obligation of the driver (vehicle crew) transporting dangerous goods packed in limited quantities</w:t>
      </w:r>
    </w:p>
    <w:p w14:paraId="5B733A73" w14:textId="77777777" w:rsidR="002B7F4B" w:rsidRPr="00E54679" w:rsidRDefault="002B7F4B" w:rsidP="002B7F4B">
      <w:pPr>
        <w:pStyle w:val="SingleTxtG"/>
        <w:ind w:left="3119" w:hanging="1985"/>
        <w:jc w:val="left"/>
        <w:rPr>
          <w:lang w:val="en-CA"/>
        </w:rPr>
      </w:pPr>
      <w:r w:rsidRPr="00E54679">
        <w:rPr>
          <w:i/>
          <w:iCs/>
          <w:lang w:val="en-CA"/>
        </w:rPr>
        <w:t>Document</w:t>
      </w:r>
      <w:r w:rsidRPr="00E54679">
        <w:rPr>
          <w:lang w:val="en-CA"/>
        </w:rPr>
        <w:t>:</w:t>
      </w:r>
      <w:r w:rsidRPr="00E54679">
        <w:rPr>
          <w:lang w:val="en-CA"/>
        </w:rPr>
        <w:tab/>
        <w:t>ECE/TRANS/WP.15/2023/16 (IASA)</w:t>
      </w:r>
    </w:p>
    <w:p w14:paraId="6E9629F0" w14:textId="79EF694A" w:rsidR="002B7F4B" w:rsidRPr="00E54679" w:rsidRDefault="00F86AB2" w:rsidP="002B7F4B">
      <w:pPr>
        <w:pStyle w:val="SingleTxtG"/>
        <w:rPr>
          <w:lang w:val="en-CA"/>
        </w:rPr>
      </w:pPr>
      <w:r>
        <w:rPr>
          <w:lang w:val="en-CA"/>
        </w:rPr>
        <w:t>47</w:t>
      </w:r>
      <w:r w:rsidR="002B7F4B" w:rsidRPr="00E54679">
        <w:rPr>
          <w:lang w:val="en-CA"/>
        </w:rPr>
        <w:t>.</w:t>
      </w:r>
      <w:r w:rsidR="002B7F4B" w:rsidRPr="00E54679">
        <w:rPr>
          <w:lang w:val="en-CA"/>
        </w:rPr>
        <w:tab/>
        <w:t>The proposed amendment to 3.4.1 (h) was adopted with an additional amendment to refer to part 8 (see annex</w:t>
      </w:r>
      <w:r w:rsidR="002B7F4B">
        <w:rPr>
          <w:lang w:val="en-CA"/>
        </w:rPr>
        <w:t xml:space="preserve"> </w:t>
      </w:r>
      <w:r w:rsidR="00BB189A">
        <w:rPr>
          <w:lang w:val="en-CA"/>
        </w:rPr>
        <w:t>II</w:t>
      </w:r>
      <w:r w:rsidR="002B7F4B" w:rsidRPr="00E54679">
        <w:rPr>
          <w:lang w:val="en-CA"/>
        </w:rPr>
        <w:t>).</w:t>
      </w:r>
    </w:p>
    <w:p w14:paraId="11D3C610" w14:textId="77777777" w:rsidR="002B7F4B" w:rsidRPr="00E54679" w:rsidRDefault="002B7F4B" w:rsidP="002B7F4B">
      <w:pPr>
        <w:pStyle w:val="H23G"/>
        <w:rPr>
          <w:lang w:val="en-CA"/>
        </w:rPr>
      </w:pPr>
      <w:r w:rsidRPr="00E54679">
        <w:rPr>
          <w:lang w:val="en-CA"/>
        </w:rPr>
        <w:tab/>
        <w:t>3.</w:t>
      </w:r>
      <w:r w:rsidRPr="00E54679">
        <w:rPr>
          <w:lang w:val="en-CA"/>
        </w:rPr>
        <w:tab/>
        <w:t xml:space="preserve">Amendment to 5.4.1.4 </w:t>
      </w:r>
      <w:r>
        <w:rPr>
          <w:lang w:val="en-CA"/>
        </w:rPr>
        <w:t>–</w:t>
      </w:r>
      <w:r w:rsidRPr="00E54679">
        <w:rPr>
          <w:lang w:val="en-CA"/>
        </w:rPr>
        <w:t xml:space="preserve"> Language requirements for the transport </w:t>
      </w:r>
      <w:r w:rsidRPr="001D0AAE">
        <w:t>document</w:t>
      </w:r>
      <w:r w:rsidRPr="00E54679">
        <w:rPr>
          <w:lang w:val="en-CA"/>
        </w:rPr>
        <w:t xml:space="preserve"> according to ADR</w:t>
      </w:r>
    </w:p>
    <w:p w14:paraId="0462209E" w14:textId="77777777" w:rsidR="002B7F4B" w:rsidRPr="00E54679" w:rsidRDefault="002B7F4B" w:rsidP="002B7F4B">
      <w:pPr>
        <w:pStyle w:val="SingleTxtG"/>
        <w:ind w:left="3119" w:hanging="1985"/>
        <w:jc w:val="left"/>
        <w:rPr>
          <w:lang w:val="en-CA"/>
        </w:rPr>
      </w:pPr>
      <w:r w:rsidRPr="00E54679">
        <w:rPr>
          <w:i/>
          <w:iCs/>
          <w:lang w:val="en-CA"/>
        </w:rPr>
        <w:t>Document</w:t>
      </w:r>
      <w:r w:rsidRPr="00E54679">
        <w:rPr>
          <w:lang w:val="en-CA"/>
        </w:rPr>
        <w:t>:</w:t>
      </w:r>
      <w:r w:rsidRPr="00E54679">
        <w:rPr>
          <w:lang w:val="en-CA"/>
        </w:rPr>
        <w:tab/>
        <w:t>ECE/TRANS/WP.15/2023/17 (IASA)</w:t>
      </w:r>
    </w:p>
    <w:p w14:paraId="438A07D8" w14:textId="7B684073" w:rsidR="002B7F4B" w:rsidRPr="00E54679" w:rsidRDefault="00F86AB2" w:rsidP="002B7F4B">
      <w:pPr>
        <w:pStyle w:val="SingleTxtG"/>
        <w:rPr>
          <w:lang w:val="en-CA"/>
        </w:rPr>
      </w:pPr>
      <w:r>
        <w:rPr>
          <w:lang w:val="en-CA"/>
        </w:rPr>
        <w:t>48</w:t>
      </w:r>
      <w:r w:rsidR="002B7F4B" w:rsidRPr="00E54679">
        <w:rPr>
          <w:lang w:val="en-CA"/>
        </w:rPr>
        <w:t>.</w:t>
      </w:r>
      <w:r w:rsidR="002B7F4B" w:rsidRPr="00E54679">
        <w:rPr>
          <w:lang w:val="en-CA"/>
        </w:rPr>
        <w:tab/>
        <w:t>Most of the delegations that took the floor were not in favour of the proposal from IASA to delete the reference to the official language of the consigning country in the requirements for the transport document. The proposal was withdrawn.</w:t>
      </w:r>
    </w:p>
    <w:p w14:paraId="7ACD035D" w14:textId="77777777" w:rsidR="009E5851" w:rsidRPr="008B5376" w:rsidRDefault="009E5851" w:rsidP="009E5851">
      <w:pPr>
        <w:pStyle w:val="H23G"/>
      </w:pPr>
      <w:r w:rsidRPr="008B5376">
        <w:tab/>
        <w:t>4.</w:t>
      </w:r>
      <w:r w:rsidRPr="008B5376">
        <w:tab/>
        <w:t>Combustion heater</w:t>
      </w:r>
    </w:p>
    <w:p w14:paraId="26070B8F" w14:textId="77777777" w:rsidR="009E5851" w:rsidRPr="008B5376" w:rsidRDefault="009E5851" w:rsidP="009E5851">
      <w:pPr>
        <w:pStyle w:val="SingleTxtG"/>
      </w:pPr>
      <w:r w:rsidRPr="008B5376">
        <w:rPr>
          <w:i/>
          <w:iCs/>
        </w:rPr>
        <w:t>Document</w:t>
      </w:r>
      <w:r w:rsidRPr="008B5376">
        <w:t>:</w:t>
      </w:r>
      <w:r w:rsidRPr="008B5376">
        <w:tab/>
        <w:t>ECE/TRANS/WP.15/2023/9 (Russian Federation)</w:t>
      </w:r>
    </w:p>
    <w:p w14:paraId="775341B1" w14:textId="454A62D1" w:rsidR="009E5851" w:rsidRDefault="00F86AB2" w:rsidP="009E5851">
      <w:pPr>
        <w:pStyle w:val="SingleTxtG"/>
      </w:pPr>
      <w:r>
        <w:t>49</w:t>
      </w:r>
      <w:r w:rsidR="009E5851" w:rsidRPr="008B5376">
        <w:t>.</w:t>
      </w:r>
      <w:r w:rsidR="009E5851" w:rsidRPr="008B5376">
        <w:tab/>
        <w:t xml:space="preserve">Opinions were divided as to whether to maintain the definition of combustion heater in 1.2.1. Several delegations felt that it would be appropriate in all cases to specify the applicable provisions in part 9, particularly in respect of the preheating of the engine compartment. The representative of the Russian Federation would submit a revised proposal at </w:t>
      </w:r>
      <w:r w:rsidR="007A2701">
        <w:t>a</w:t>
      </w:r>
      <w:r w:rsidR="009E5851" w:rsidRPr="008B5376">
        <w:t xml:space="preserve"> next session </w:t>
      </w:r>
      <w:proofErr w:type="gramStart"/>
      <w:r w:rsidR="009E5851" w:rsidRPr="008B5376">
        <w:t>taking into account</w:t>
      </w:r>
      <w:proofErr w:type="gramEnd"/>
      <w:r w:rsidR="009E5851" w:rsidRPr="008B5376">
        <w:t xml:space="preserve"> the comments received.</w:t>
      </w:r>
    </w:p>
    <w:p w14:paraId="500C0DD9" w14:textId="77777777" w:rsidR="009E5851" w:rsidRPr="008B5376" w:rsidRDefault="009E5851" w:rsidP="009E5851">
      <w:pPr>
        <w:pStyle w:val="H23G"/>
      </w:pPr>
      <w:r w:rsidRPr="008B5376">
        <w:tab/>
        <w:t>5.</w:t>
      </w:r>
      <w:r w:rsidRPr="008B5376">
        <w:tab/>
        <w:t>Vehicle documents</w:t>
      </w:r>
    </w:p>
    <w:p w14:paraId="797C230F" w14:textId="77777777" w:rsidR="009E5851" w:rsidRPr="008B5376" w:rsidRDefault="009E5851" w:rsidP="009E5851">
      <w:pPr>
        <w:pStyle w:val="SingleTxtG"/>
      </w:pPr>
      <w:r w:rsidRPr="008B5376">
        <w:rPr>
          <w:i/>
          <w:iCs/>
        </w:rPr>
        <w:t>Document</w:t>
      </w:r>
      <w:r w:rsidRPr="008B5376">
        <w:t>:</w:t>
      </w:r>
      <w:r w:rsidRPr="008B5376">
        <w:tab/>
        <w:t>ECE/TRANS/WP.15/2023/11 (Netherlands)</w:t>
      </w:r>
    </w:p>
    <w:p w14:paraId="2A59DF80" w14:textId="5E662BFE" w:rsidR="009E5851" w:rsidRPr="008B5376" w:rsidRDefault="00F86AB2" w:rsidP="009E5851">
      <w:pPr>
        <w:pStyle w:val="SingleTxtG"/>
      </w:pPr>
      <w:r>
        <w:t>50</w:t>
      </w:r>
      <w:r w:rsidR="009E5851" w:rsidRPr="008B5376">
        <w:t>.</w:t>
      </w:r>
      <w:r w:rsidR="009E5851" w:rsidRPr="008B5376">
        <w:tab/>
      </w:r>
      <w:proofErr w:type="gramStart"/>
      <w:r w:rsidR="009E5851" w:rsidRPr="008B5376">
        <w:t>The majority of</w:t>
      </w:r>
      <w:proofErr w:type="gramEnd"/>
      <w:r w:rsidR="009E5851" w:rsidRPr="008B5376">
        <w:t xml:space="preserve"> delegations felt that the vehicle documents listed in 8.1.2 should be kept in the driver</w:t>
      </w:r>
      <w:r w:rsidR="009E5851">
        <w:t>’</w:t>
      </w:r>
      <w:r w:rsidR="009E5851" w:rsidRPr="008B5376">
        <w:t>s cab. The Working Party adopted an alternative proposal to modify the texts of 8.1.2.1 and 8.1.2.2, instead of the title of 8.1.2, to reflect that principle (see annex</w:t>
      </w:r>
      <w:r w:rsidR="009E5851">
        <w:t xml:space="preserve"> </w:t>
      </w:r>
      <w:r w:rsidR="00A14E21">
        <w:t>II</w:t>
      </w:r>
      <w:r w:rsidR="009E5851" w:rsidRPr="008B5376">
        <w:t>).</w:t>
      </w:r>
    </w:p>
    <w:p w14:paraId="54DFFE73" w14:textId="4B48DACF" w:rsidR="009E5851" w:rsidRPr="008B5376" w:rsidRDefault="00F86AB2" w:rsidP="009E5851">
      <w:pPr>
        <w:pStyle w:val="SingleTxtG"/>
      </w:pPr>
      <w:r>
        <w:t>51</w:t>
      </w:r>
      <w:r w:rsidR="009E5851" w:rsidRPr="008B5376">
        <w:t>.</w:t>
      </w:r>
      <w:r w:rsidR="009E5851" w:rsidRPr="008B5376">
        <w:tab/>
        <w:t>The Working Party noted that it might be necessary to clarify the text in the future to specify that all vehicle documents must be kept readily available, as already mentioned for instructions in writing, in 8.1.2.3.</w:t>
      </w:r>
    </w:p>
    <w:p w14:paraId="30317086" w14:textId="77777777" w:rsidR="009E5851" w:rsidRPr="008B5376" w:rsidRDefault="009E5851" w:rsidP="009E5851">
      <w:pPr>
        <w:pStyle w:val="H23G"/>
      </w:pPr>
      <w:r w:rsidRPr="008B5376">
        <w:lastRenderedPageBreak/>
        <w:tab/>
        <w:t>6.</w:t>
      </w:r>
      <w:r w:rsidRPr="008B5376">
        <w:tab/>
        <w:t>Definition of a closed vehicle</w:t>
      </w:r>
    </w:p>
    <w:p w14:paraId="73B689FC" w14:textId="77777777" w:rsidR="009E5851" w:rsidRPr="008B5376" w:rsidRDefault="009E5851" w:rsidP="009E5851">
      <w:pPr>
        <w:pStyle w:val="SingleTxtG"/>
      </w:pPr>
      <w:r w:rsidRPr="008B5376">
        <w:rPr>
          <w:i/>
          <w:iCs/>
        </w:rPr>
        <w:t>Informal document</w:t>
      </w:r>
      <w:r w:rsidRPr="008B5376">
        <w:t>:</w:t>
      </w:r>
      <w:r w:rsidRPr="008B5376">
        <w:tab/>
        <w:t>INF.8 (Netherlands)</w:t>
      </w:r>
    </w:p>
    <w:p w14:paraId="3CD8896D" w14:textId="027417CE" w:rsidR="009E5851" w:rsidRPr="008B5376" w:rsidRDefault="00F86AB2" w:rsidP="009E5851">
      <w:pPr>
        <w:pStyle w:val="SingleTxtG"/>
      </w:pPr>
      <w:r>
        <w:t>52</w:t>
      </w:r>
      <w:r w:rsidR="009E5851" w:rsidRPr="008B5376">
        <w:t>.</w:t>
      </w:r>
      <w:r w:rsidR="009E5851" w:rsidRPr="008B5376">
        <w:tab/>
        <w:t>The Working Group agreed that the current definitions could lead to confusion as to the types of vehicles they covered and that the amendments proposed by the representative of the Netherlands should be discussed at the Joint Meeting, also taking into consideration the definitions of closed and sheeted wagons. The representative of the Netherlands would present a revised proposal to the Joint Meeting in the light of the comments received.</w:t>
      </w:r>
    </w:p>
    <w:p w14:paraId="5A1CDE42" w14:textId="5595ECB7" w:rsidR="009E5851" w:rsidRPr="008B5376" w:rsidRDefault="00F86AB2" w:rsidP="009E5851">
      <w:pPr>
        <w:pStyle w:val="SingleTxtG"/>
      </w:pPr>
      <w:r>
        <w:t>53</w:t>
      </w:r>
      <w:r w:rsidR="009E5851" w:rsidRPr="008B5376">
        <w:t>.</w:t>
      </w:r>
      <w:r w:rsidR="009E5851" w:rsidRPr="008B5376">
        <w:tab/>
        <w:t xml:space="preserve">The Working Party adopted an amendment to the French version of ADR to correct an error in the translation of the term </w:t>
      </w:r>
      <w:r w:rsidR="009E5851">
        <w:t>“</w:t>
      </w:r>
      <w:r w:rsidR="009E5851" w:rsidRPr="008B5376">
        <w:t>closed vehicle</w:t>
      </w:r>
      <w:r w:rsidR="009E5851">
        <w:t>”</w:t>
      </w:r>
      <w:r w:rsidR="009E5851" w:rsidRPr="008B5376">
        <w:t xml:space="preserve"> in 7.1.7.2 (see annex</w:t>
      </w:r>
      <w:r w:rsidR="009E5851">
        <w:t xml:space="preserve"> </w:t>
      </w:r>
      <w:r w:rsidR="00A14E21">
        <w:t>II</w:t>
      </w:r>
      <w:r w:rsidR="009E5851" w:rsidRPr="008B5376">
        <w:t>).</w:t>
      </w:r>
    </w:p>
    <w:p w14:paraId="208764A4" w14:textId="77777777" w:rsidR="009E5851" w:rsidRPr="008B5376" w:rsidRDefault="009E5851" w:rsidP="009E5851">
      <w:pPr>
        <w:pStyle w:val="H23G"/>
      </w:pPr>
      <w:r w:rsidRPr="008B5376">
        <w:tab/>
        <w:t>7.</w:t>
      </w:r>
      <w:r w:rsidRPr="008B5376">
        <w:tab/>
        <w:t>Amendments to 7.5.7.5 and 8.3.3</w:t>
      </w:r>
    </w:p>
    <w:p w14:paraId="052CB92E" w14:textId="77777777" w:rsidR="009E5851" w:rsidRPr="008B5376" w:rsidRDefault="009E5851" w:rsidP="009E5851">
      <w:pPr>
        <w:pStyle w:val="SingleTxtG"/>
      </w:pPr>
      <w:r w:rsidRPr="008B5376">
        <w:rPr>
          <w:i/>
          <w:iCs/>
        </w:rPr>
        <w:t>Informal document</w:t>
      </w:r>
      <w:r w:rsidRPr="008B5376">
        <w:t>:</w:t>
      </w:r>
      <w:r w:rsidRPr="008B5376">
        <w:tab/>
        <w:t>INF.9 (Netherlands)</w:t>
      </w:r>
    </w:p>
    <w:p w14:paraId="1FC8C5C5" w14:textId="766690BD" w:rsidR="009E5851" w:rsidRPr="008B5376" w:rsidRDefault="00F86AB2" w:rsidP="009E5851">
      <w:pPr>
        <w:pStyle w:val="SingleTxtG"/>
      </w:pPr>
      <w:r>
        <w:t>54</w:t>
      </w:r>
      <w:r w:rsidR="009E5851" w:rsidRPr="008B5376">
        <w:t>.</w:t>
      </w:r>
      <w:r w:rsidR="009E5851" w:rsidRPr="008B5376">
        <w:tab/>
        <w:t>The delegations which expressed their views considered that the proposal of the Netherlands ran counter to the general principle that crew members were prohibited from opening packages containing dangerous goods during operations falling within the scope of ADR and that the derogations adopted in national regulations to cover certain specific cases at the beginning and end of transport were sufficient.</w:t>
      </w:r>
      <w:r w:rsidR="009E5851">
        <w:t xml:space="preserve"> It was also pointed out that crew members </w:t>
      </w:r>
      <w:r w:rsidR="00432500">
        <w:t>could</w:t>
      </w:r>
      <w:r w:rsidR="009E5851">
        <w:t xml:space="preserve"> be charged with tasks of other parties in the transport chain.</w:t>
      </w:r>
    </w:p>
    <w:p w14:paraId="7457E8E9" w14:textId="511B97DB" w:rsidR="009E5851" w:rsidRPr="008B5376" w:rsidRDefault="00F86AB2" w:rsidP="009E5851">
      <w:pPr>
        <w:pStyle w:val="SingleTxtG"/>
      </w:pPr>
      <w:r>
        <w:t>55</w:t>
      </w:r>
      <w:r w:rsidR="009E5851" w:rsidRPr="008B5376">
        <w:t>.</w:t>
      </w:r>
      <w:r w:rsidR="009E5851" w:rsidRPr="008B5376">
        <w:tab/>
        <w:t>The representative of the Netherlands withdrew the proposal.</w:t>
      </w:r>
    </w:p>
    <w:p w14:paraId="62F4CE67" w14:textId="77777777" w:rsidR="00B32AE4" w:rsidRPr="008D73DC" w:rsidRDefault="00B32AE4" w:rsidP="00B32AE4">
      <w:pPr>
        <w:pStyle w:val="H23G"/>
        <w:rPr>
          <w:lang w:val="en-CA"/>
        </w:rPr>
      </w:pPr>
      <w:r>
        <w:rPr>
          <w:bCs/>
        </w:rPr>
        <w:tab/>
        <w:t>8.</w:t>
      </w:r>
      <w:r>
        <w:tab/>
      </w:r>
      <w:r>
        <w:rPr>
          <w:bCs/>
        </w:rPr>
        <w:t>Actual holding time – tank containers and portable tanks carried on road journeys only</w:t>
      </w:r>
    </w:p>
    <w:p w14:paraId="649F26AC" w14:textId="77777777" w:rsidR="00B32AE4" w:rsidRPr="008D73DC" w:rsidRDefault="00B32AE4" w:rsidP="00B32AE4">
      <w:pPr>
        <w:pStyle w:val="SingleTxtG"/>
        <w:ind w:left="2835" w:hanging="1701"/>
        <w:jc w:val="left"/>
        <w:rPr>
          <w:lang w:val="en-CA"/>
        </w:rPr>
      </w:pPr>
      <w:r>
        <w:rPr>
          <w:i/>
          <w:iCs/>
        </w:rPr>
        <w:t>Informal document</w:t>
      </w:r>
      <w:r>
        <w:t>:</w:t>
      </w:r>
      <w:r>
        <w:tab/>
        <w:t>INF.16 (Netherlands)</w:t>
      </w:r>
    </w:p>
    <w:p w14:paraId="489B8BD8" w14:textId="59922593" w:rsidR="00B32AE4" w:rsidRPr="008D73DC" w:rsidRDefault="00F86AB2" w:rsidP="00B32AE4">
      <w:pPr>
        <w:pStyle w:val="SingleTxtG"/>
        <w:rPr>
          <w:lang w:val="en-CA"/>
        </w:rPr>
      </w:pPr>
      <w:r>
        <w:t>56</w:t>
      </w:r>
      <w:r w:rsidR="00B32AE4">
        <w:t>.</w:t>
      </w:r>
      <w:r w:rsidR="00B32AE4">
        <w:tab/>
        <w:t xml:space="preserve">The Working Party noted that, at the spring 2024 session of the Joint Meeting, the representative of the Netherlands would present a proposed amendment aimed at exempting portable tanks and tank-containers used for road transport only from the calculation of holding time. </w:t>
      </w:r>
    </w:p>
    <w:p w14:paraId="1250C4DF" w14:textId="36BBD78F" w:rsidR="00B32AE4" w:rsidRPr="008D73DC" w:rsidRDefault="00F86AB2" w:rsidP="00B32AE4">
      <w:pPr>
        <w:pStyle w:val="SingleTxtG"/>
        <w:rPr>
          <w:lang w:val="en-CA"/>
        </w:rPr>
      </w:pPr>
      <w:r>
        <w:t>57</w:t>
      </w:r>
      <w:r w:rsidR="00B32AE4">
        <w:t xml:space="preserve">. </w:t>
      </w:r>
      <w:r w:rsidR="00B32AE4">
        <w:tab/>
        <w:t xml:space="preserve">As the subject was specific to road transport, the Working Party agreed that it could still adopt a proposed amendment for entry into force on 1 January 2025 at its next session, depending on the outcome of the discussions on the matter in the Joint Meeting. </w:t>
      </w:r>
    </w:p>
    <w:p w14:paraId="3F9D6BF7" w14:textId="77777777" w:rsidR="00B32AE4" w:rsidRPr="008D73DC" w:rsidRDefault="00B32AE4" w:rsidP="00B32AE4">
      <w:pPr>
        <w:pStyle w:val="H23G"/>
        <w:rPr>
          <w:lang w:val="en-CA"/>
        </w:rPr>
      </w:pPr>
      <w:r>
        <w:rPr>
          <w:bCs/>
          <w:lang w:val="en-CA"/>
        </w:rPr>
        <w:tab/>
      </w:r>
      <w:r>
        <w:rPr>
          <w:bCs/>
        </w:rPr>
        <w:t>9.</w:t>
      </w:r>
      <w:r>
        <w:tab/>
      </w:r>
      <w:r>
        <w:rPr>
          <w:bCs/>
        </w:rPr>
        <w:t>Proposal for correction to ADR 2023</w:t>
      </w:r>
    </w:p>
    <w:p w14:paraId="1543AB1D" w14:textId="77777777" w:rsidR="00B32AE4" w:rsidRPr="008D73DC" w:rsidRDefault="00B32AE4" w:rsidP="00B32AE4">
      <w:pPr>
        <w:pStyle w:val="SingleTxtG"/>
        <w:ind w:left="2835" w:hanging="1701"/>
        <w:jc w:val="left"/>
        <w:rPr>
          <w:lang w:val="en-CA"/>
        </w:rPr>
      </w:pPr>
      <w:r>
        <w:rPr>
          <w:i/>
          <w:iCs/>
        </w:rPr>
        <w:t>Informal document</w:t>
      </w:r>
      <w:r>
        <w:t>:</w:t>
      </w:r>
      <w:r>
        <w:tab/>
        <w:t>INF.21 (Hungary)</w:t>
      </w:r>
    </w:p>
    <w:p w14:paraId="60083CD8" w14:textId="3D6A1B6A" w:rsidR="00B32AE4" w:rsidRPr="008D73DC" w:rsidRDefault="00F86AB2" w:rsidP="00B32AE4">
      <w:pPr>
        <w:pStyle w:val="SingleTxtG"/>
        <w:rPr>
          <w:lang w:val="en-CA"/>
        </w:rPr>
      </w:pPr>
      <w:r>
        <w:t>58</w:t>
      </w:r>
      <w:r w:rsidR="00B32AE4">
        <w:t xml:space="preserve">. </w:t>
      </w:r>
      <w:r w:rsidR="00B32AE4">
        <w:tab/>
        <w:t xml:space="preserve">The Working Party confirmed that the error identified in informal document INF.21 in respect of the English version of ADR should be corrected </w:t>
      </w:r>
      <w:r w:rsidR="00B32AE4" w:rsidRPr="00C52957">
        <w:t xml:space="preserve">(see annex </w:t>
      </w:r>
      <w:r w:rsidR="00EF6A7C">
        <w:t>IV</w:t>
      </w:r>
      <w:r w:rsidR="00B32AE4" w:rsidRPr="00C52957">
        <w:t>).</w:t>
      </w:r>
    </w:p>
    <w:p w14:paraId="6125ECC3" w14:textId="77777777" w:rsidR="004603AE" w:rsidRPr="003F4D7D" w:rsidRDefault="004603AE" w:rsidP="004603AE">
      <w:pPr>
        <w:pStyle w:val="H23G"/>
      </w:pPr>
      <w:r>
        <w:rPr>
          <w:bCs/>
        </w:rPr>
        <w:tab/>
        <w:t>10.</w:t>
      </w:r>
      <w:r>
        <w:tab/>
      </w:r>
      <w:r>
        <w:rPr>
          <w:bCs/>
        </w:rPr>
        <w:t>Orange-coloured plate for tank-vehicles carrying UN Nos. 1202, 1203 and 3475</w:t>
      </w:r>
    </w:p>
    <w:p w14:paraId="06F8E16A" w14:textId="77777777" w:rsidR="004603AE" w:rsidRPr="003F4D7D" w:rsidRDefault="004603AE" w:rsidP="004603AE">
      <w:pPr>
        <w:pStyle w:val="SingleTxtG"/>
      </w:pPr>
      <w:r>
        <w:rPr>
          <w:i/>
          <w:iCs/>
        </w:rPr>
        <w:t>Informal document</w:t>
      </w:r>
      <w:r>
        <w:t>:</w:t>
      </w:r>
      <w:r>
        <w:tab/>
        <w:t>INF.11 (</w:t>
      </w:r>
      <w:proofErr w:type="spellStart"/>
      <w:r>
        <w:t>FuelsEurope</w:t>
      </w:r>
      <w:proofErr w:type="spellEnd"/>
      <w:r>
        <w:t>)</w:t>
      </w:r>
    </w:p>
    <w:p w14:paraId="14EC5A8E" w14:textId="0DC1F673" w:rsidR="004603AE" w:rsidRPr="003F4D7D" w:rsidRDefault="00F86AB2" w:rsidP="004603AE">
      <w:pPr>
        <w:pStyle w:val="SingleTxtG"/>
      </w:pPr>
      <w:r>
        <w:t>59</w:t>
      </w:r>
      <w:r w:rsidR="004603AE">
        <w:t>.</w:t>
      </w:r>
      <w:r w:rsidR="004603AE">
        <w:tab/>
        <w:t xml:space="preserve">Several delegations wished to consult their fire and rescue services before taking a position. The representative of </w:t>
      </w:r>
      <w:proofErr w:type="spellStart"/>
      <w:r w:rsidR="004603AE">
        <w:t>FuelsEurope</w:t>
      </w:r>
      <w:proofErr w:type="spellEnd"/>
      <w:r w:rsidR="004603AE">
        <w:t xml:space="preserve"> indicated that he would present a revised proposal, </w:t>
      </w:r>
      <w:proofErr w:type="gramStart"/>
      <w:r w:rsidR="004603AE">
        <w:t>taking into account</w:t>
      </w:r>
      <w:proofErr w:type="gramEnd"/>
      <w:r w:rsidR="004603AE">
        <w:t xml:space="preserve"> the comments received, at the next session.</w:t>
      </w:r>
    </w:p>
    <w:p w14:paraId="614ACF34" w14:textId="77777777" w:rsidR="00F97CF9" w:rsidRPr="008D73DC" w:rsidRDefault="00F97CF9" w:rsidP="00F97CF9">
      <w:pPr>
        <w:pStyle w:val="HChG"/>
        <w:rPr>
          <w:lang w:val="en-CA"/>
        </w:rPr>
      </w:pPr>
      <w:r>
        <w:tab/>
        <w:t>VII.</w:t>
      </w:r>
      <w:r>
        <w:tab/>
        <w:t>Interpretation of ADR (agenda item 6)</w:t>
      </w:r>
    </w:p>
    <w:p w14:paraId="0DFBDACE" w14:textId="77777777" w:rsidR="00F97CF9" w:rsidRPr="008D73DC" w:rsidRDefault="00F97CF9" w:rsidP="00F97CF9">
      <w:pPr>
        <w:pStyle w:val="H23G"/>
        <w:rPr>
          <w:lang w:val="en-CA"/>
        </w:rPr>
      </w:pPr>
      <w:r>
        <w:rPr>
          <w:bCs/>
        </w:rPr>
        <w:tab/>
        <w:t>1.</w:t>
      </w:r>
      <w:r>
        <w:tab/>
      </w:r>
      <w:r>
        <w:rPr>
          <w:bCs/>
        </w:rPr>
        <w:t>Scope of ADR</w:t>
      </w:r>
    </w:p>
    <w:p w14:paraId="1205CD4E" w14:textId="7BA7C99C" w:rsidR="00F97CF9" w:rsidRPr="008D73DC" w:rsidRDefault="00F97CF9" w:rsidP="00F97CF9">
      <w:pPr>
        <w:pStyle w:val="SingleTxtG"/>
        <w:ind w:left="3119" w:hanging="1985"/>
        <w:jc w:val="left"/>
        <w:rPr>
          <w:lang w:val="en-CA"/>
        </w:rPr>
      </w:pPr>
      <w:r>
        <w:rPr>
          <w:i/>
          <w:iCs/>
        </w:rPr>
        <w:t>Document</w:t>
      </w:r>
      <w:r>
        <w:t>:</w:t>
      </w:r>
      <w:r>
        <w:tab/>
        <w:t>ECE/TRANS/WP.15/2023/5/Rev.1 (</w:t>
      </w:r>
      <w:r w:rsidR="004538DC">
        <w:t>Secretariat</w:t>
      </w:r>
      <w:r>
        <w:t>)</w:t>
      </w:r>
    </w:p>
    <w:p w14:paraId="03A1F338" w14:textId="05B340A8" w:rsidR="00F97CF9" w:rsidRPr="008D73DC" w:rsidRDefault="00F86AB2" w:rsidP="00F97CF9">
      <w:pPr>
        <w:pStyle w:val="SingleTxtG"/>
        <w:rPr>
          <w:lang w:val="en-CA"/>
        </w:rPr>
      </w:pPr>
      <w:r>
        <w:t>60</w:t>
      </w:r>
      <w:r w:rsidR="00F97CF9">
        <w:t>.</w:t>
      </w:r>
      <w:r w:rsidR="00F97CF9">
        <w:tab/>
        <w:t>The Working Party confirmed the interpretations and information contained in document ECE/TRANS/WP.15/2023/5/Rev.1.</w:t>
      </w:r>
    </w:p>
    <w:p w14:paraId="76FC6290" w14:textId="056CB5BC" w:rsidR="00F97CF9" w:rsidRPr="008D73DC" w:rsidRDefault="00F86AB2" w:rsidP="00F97CF9">
      <w:pPr>
        <w:pStyle w:val="SingleTxtG"/>
        <w:rPr>
          <w:lang w:val="en-CA"/>
        </w:rPr>
      </w:pPr>
      <w:r>
        <w:t>61</w:t>
      </w:r>
      <w:r w:rsidR="00F97CF9">
        <w:t>.</w:t>
      </w:r>
      <w:r w:rsidR="00F97CF9">
        <w:tab/>
        <w:t xml:space="preserve">Several delegations explained how and in what way the transport of dangerous goods by bicycle or other vehicles not covered by ADR was regulated in their countries. The </w:t>
      </w:r>
      <w:r w:rsidR="00F97CF9">
        <w:lastRenderedPageBreak/>
        <w:t>Working Party invited delegations that had not yet done so to transmit that information in writing to the secretariat with a reference to the applicable national laws, where appropriate.</w:t>
      </w:r>
    </w:p>
    <w:p w14:paraId="4B5E297F" w14:textId="2A9216CB" w:rsidR="00F97CF9" w:rsidRPr="008D73DC" w:rsidRDefault="00F86AB2" w:rsidP="00F97CF9">
      <w:pPr>
        <w:pStyle w:val="SingleTxtG"/>
        <w:rPr>
          <w:lang w:val="en-CA"/>
        </w:rPr>
      </w:pPr>
      <w:r>
        <w:t>6</w:t>
      </w:r>
      <w:r w:rsidR="00F97CF9">
        <w:t>2.</w:t>
      </w:r>
      <w:r w:rsidR="00F97CF9">
        <w:tab/>
        <w:t>The Working Party noted that similar discussions had taken place within the International Civil Aviation Organization (ICAO) with regard to deliveries by remote</w:t>
      </w:r>
      <w:r w:rsidR="00F97CF9">
        <w:noBreakHyphen/>
        <w:t xml:space="preserve">controlled aircraft (drones): in December 2020, ICAO had published a new model regulation to help countries establish and refine their national guidelines for the operation of unmanned </w:t>
      </w:r>
      <w:r w:rsidR="007512F4">
        <w:t>aircraft</w:t>
      </w:r>
      <w:r w:rsidR="00F97CF9">
        <w:t xml:space="preserve"> </w:t>
      </w:r>
      <w:r w:rsidR="00CA69FD">
        <w:t>systems</w:t>
      </w:r>
      <w:r w:rsidR="00F97CF9">
        <w:t xml:space="preserve"> (UA</w:t>
      </w:r>
      <w:r w:rsidR="007512F4">
        <w:t>S</w:t>
      </w:r>
      <w:r w:rsidR="00F97CF9">
        <w:t xml:space="preserve">), and developed an advisory circular to provide guidance to its member States on the transport of dangerous goods by </w:t>
      </w:r>
      <w:r w:rsidR="007512F4">
        <w:t>UAS</w:t>
      </w:r>
      <w:r w:rsidR="00F97CF9">
        <w:t>. That document included information on packaging and marking.</w:t>
      </w:r>
      <w:r w:rsidR="00F97CF9">
        <w:rPr>
          <w:rStyle w:val="FootnoteReference"/>
        </w:rPr>
        <w:footnoteReference w:id="2"/>
      </w:r>
    </w:p>
    <w:p w14:paraId="766AB849" w14:textId="39BB5BCC" w:rsidR="00F97CF9" w:rsidRPr="008D73DC" w:rsidRDefault="00F86AB2" w:rsidP="00F97CF9">
      <w:pPr>
        <w:pStyle w:val="SingleTxtG"/>
        <w:rPr>
          <w:lang w:val="en-CA"/>
        </w:rPr>
      </w:pPr>
      <w:r>
        <w:t>6</w:t>
      </w:r>
      <w:r w:rsidR="00F97CF9">
        <w:t>3.</w:t>
      </w:r>
      <w:r w:rsidR="00F97CF9">
        <w:tab/>
        <w:t xml:space="preserve">The Working Party agreed to work on developing provisions for the transport of dangerous goods by road using vehicles or bicycles not currently regulated under ADR, </w:t>
      </w:r>
      <w:proofErr w:type="gramStart"/>
      <w:r w:rsidR="00F97CF9">
        <w:t>in order to</w:t>
      </w:r>
      <w:proofErr w:type="gramEnd"/>
      <w:r w:rsidR="00F97CF9">
        <w:t xml:space="preserve"> facilitate harmonization of the requirements applicable to such means of transport. That decision was in line with its proposed revised mandate (see paragraph </w:t>
      </w:r>
      <w:r w:rsidR="009D0114">
        <w:t>8</w:t>
      </w:r>
      <w:r w:rsidR="00F97CF9">
        <w:t>).</w:t>
      </w:r>
    </w:p>
    <w:p w14:paraId="772CCFD6" w14:textId="77777777" w:rsidR="00F97CF9" w:rsidRPr="008D73DC" w:rsidRDefault="00F97CF9" w:rsidP="00F97CF9">
      <w:pPr>
        <w:pStyle w:val="H23G"/>
        <w:rPr>
          <w:lang w:val="en-CA"/>
        </w:rPr>
      </w:pPr>
      <w:r>
        <w:rPr>
          <w:bCs/>
        </w:rPr>
        <w:tab/>
        <w:t>2.</w:t>
      </w:r>
      <w:r>
        <w:tab/>
      </w:r>
      <w:r>
        <w:rPr>
          <w:bCs/>
        </w:rPr>
        <w:t>Interpretation of 4.1.1.15</w:t>
      </w:r>
    </w:p>
    <w:p w14:paraId="0D2E46BF" w14:textId="77777777" w:rsidR="00F97CF9" w:rsidRPr="008D73DC" w:rsidRDefault="00F97CF9" w:rsidP="00F97CF9">
      <w:pPr>
        <w:pStyle w:val="SingleTxtG"/>
        <w:ind w:left="2835" w:hanging="1701"/>
        <w:jc w:val="left"/>
        <w:rPr>
          <w:lang w:val="en-CA"/>
        </w:rPr>
      </w:pPr>
      <w:r>
        <w:rPr>
          <w:i/>
          <w:iCs/>
        </w:rPr>
        <w:t>Informal document</w:t>
      </w:r>
      <w:r>
        <w:t>:</w:t>
      </w:r>
      <w:r>
        <w:tab/>
        <w:t>INF.20 (Hungary)</w:t>
      </w:r>
    </w:p>
    <w:p w14:paraId="435CC68F" w14:textId="16FBD7A8" w:rsidR="00F97CF9" w:rsidRPr="008D73DC" w:rsidRDefault="00F86AB2" w:rsidP="00F97CF9">
      <w:pPr>
        <w:pStyle w:val="SingleTxtG"/>
        <w:rPr>
          <w:lang w:val="en-CA"/>
        </w:rPr>
      </w:pPr>
      <w:r>
        <w:t>6</w:t>
      </w:r>
      <w:r w:rsidR="00F97CF9">
        <w:t>4.</w:t>
      </w:r>
      <w:r w:rsidR="00F97CF9">
        <w:tab/>
        <w:t>The delegations that took part confirmed that a period of use of less than five years could be provided for in the type approvals for plastic drums, plastic jerricans, rigid plastic IBCs and composite IBCs with a plastic inner receptacle if such a shorter period of use was prescribed in ADR, for example in the packing instructions.</w:t>
      </w:r>
    </w:p>
    <w:p w14:paraId="593A2621" w14:textId="7948FF84" w:rsidR="00F97CF9" w:rsidRPr="008D73DC" w:rsidRDefault="00F86AB2" w:rsidP="00F97CF9">
      <w:pPr>
        <w:pStyle w:val="SingleTxtG"/>
        <w:rPr>
          <w:rFonts w:ascii="TimesNewRomanPSMT" w:hAnsi="TimesNewRomanPSMT" w:cs="TimesNewRomanPSMT"/>
          <w:lang w:val="en-CA"/>
        </w:rPr>
      </w:pPr>
      <w:r>
        <w:t>6</w:t>
      </w:r>
      <w:r w:rsidR="00F97CF9">
        <w:t>5.</w:t>
      </w:r>
      <w:r w:rsidR="00F97CF9">
        <w:tab/>
        <w:t>Some delegations confirmed that derogations for use beyond five years in accordance with 4.1.1.15 had been granted by the competent authorities that issued the type approvals</w:t>
      </w:r>
      <w:r w:rsidR="00F97CF9" w:rsidRPr="00A00F62">
        <w:t xml:space="preserve"> </w:t>
      </w:r>
      <w:r w:rsidR="00F97CF9">
        <w:t>in their countries, subject to certain conditions. Other delegations indicated that they didn’t grant such derogations.</w:t>
      </w:r>
    </w:p>
    <w:p w14:paraId="26D59316" w14:textId="3338EF8A" w:rsidR="00F97CF9" w:rsidRPr="008D73DC" w:rsidRDefault="00F86AB2" w:rsidP="00F97CF9">
      <w:pPr>
        <w:pStyle w:val="SingleTxtG"/>
        <w:rPr>
          <w:rFonts w:ascii="TimesNewRomanPSMT" w:hAnsi="TimesNewRomanPSMT" w:cs="TimesNewRomanPSMT"/>
          <w:lang w:val="en-CA"/>
        </w:rPr>
      </w:pPr>
      <w:r>
        <w:t>6</w:t>
      </w:r>
      <w:r w:rsidR="00F97CF9">
        <w:t>6.</w:t>
      </w:r>
      <w:r w:rsidR="00F97CF9">
        <w:tab/>
        <w:t xml:space="preserve">The question arose as to whether such derogations were the responsibility of the competent authority in the country where the </w:t>
      </w:r>
      <w:proofErr w:type="gramStart"/>
      <w:r w:rsidR="00F97CF9">
        <w:t>type</w:t>
      </w:r>
      <w:proofErr w:type="gramEnd"/>
      <w:r w:rsidR="00F97CF9">
        <w:t xml:space="preserve"> approval had been issued, or that in the country of use. The representative of Switzerland recalled that the matter would be discussed by the Joint Meeting’s informal working group on references to competent authorities. She invited delegations interested in participating in the work of the informal group to contact her. </w:t>
      </w:r>
    </w:p>
    <w:p w14:paraId="638AEA1D" w14:textId="77777777" w:rsidR="0055306C" w:rsidRPr="007856AC" w:rsidRDefault="0055306C" w:rsidP="0055306C">
      <w:pPr>
        <w:pStyle w:val="H23G"/>
      </w:pPr>
      <w:r w:rsidRPr="007856AC">
        <w:tab/>
        <w:t>3.</w:t>
      </w:r>
      <w:r w:rsidRPr="007856AC">
        <w:tab/>
        <w:t>Transport document and related information – goods of each transport unit</w:t>
      </w:r>
    </w:p>
    <w:p w14:paraId="63444BE6" w14:textId="77777777" w:rsidR="0055306C" w:rsidRPr="007856AC" w:rsidRDefault="0055306C" w:rsidP="0055306C">
      <w:pPr>
        <w:pStyle w:val="SingleTxtG"/>
      </w:pPr>
      <w:r w:rsidRPr="007856AC">
        <w:rPr>
          <w:i/>
          <w:iCs/>
        </w:rPr>
        <w:t>Informal document</w:t>
      </w:r>
      <w:r w:rsidRPr="007856AC">
        <w:t>:</w:t>
      </w:r>
      <w:r w:rsidRPr="007856AC">
        <w:tab/>
        <w:t>INF.23 (Finland)</w:t>
      </w:r>
    </w:p>
    <w:p w14:paraId="4E20AFF0" w14:textId="7D3BBFF7" w:rsidR="0055306C" w:rsidRPr="007856AC" w:rsidRDefault="00F86AB2" w:rsidP="0055306C">
      <w:pPr>
        <w:pStyle w:val="SingleTxtG"/>
      </w:pPr>
      <w:r>
        <w:t>67</w:t>
      </w:r>
      <w:r w:rsidR="0055306C" w:rsidRPr="007856AC">
        <w:t>.</w:t>
      </w:r>
      <w:r w:rsidR="0055306C" w:rsidRPr="007856AC">
        <w:tab/>
        <w:t xml:space="preserve">The Working Party noted that the provisions of 5.4.1.4.2 were already found in the editions of ADR prior to restructuring, in marginal 2002 (4), under </w:t>
      </w:r>
      <w:r w:rsidR="0055306C">
        <w:t>“</w:t>
      </w:r>
      <w:r w:rsidR="0055306C" w:rsidRPr="007856AC">
        <w:t>Definitions and general requirements</w:t>
      </w:r>
      <w:r w:rsidR="0055306C">
        <w:t>”</w:t>
      </w:r>
      <w:r w:rsidR="0055306C" w:rsidRPr="007856AC">
        <w:t xml:space="preserve">. </w:t>
      </w:r>
    </w:p>
    <w:p w14:paraId="570A6DEA" w14:textId="4801EE07" w:rsidR="0055306C" w:rsidRPr="007856AC" w:rsidRDefault="00F86AB2" w:rsidP="0055306C">
      <w:pPr>
        <w:pStyle w:val="SingleTxtG"/>
      </w:pPr>
      <w:r>
        <w:t>68</w:t>
      </w:r>
      <w:r w:rsidR="0055306C" w:rsidRPr="007856AC">
        <w:t>.</w:t>
      </w:r>
      <w:r w:rsidR="0055306C" w:rsidRPr="007856AC">
        <w:tab/>
        <w:t xml:space="preserve">The Working Party agreed that it would be appropriate to check whether the provisions of the first sentence of 5.4.1.4.2 were still being used, and in what cases. It noted that they could be appropriate for transport units carried in convoys, particularly for the transport of explosives. </w:t>
      </w:r>
    </w:p>
    <w:p w14:paraId="4627A125" w14:textId="00D8C96E" w:rsidR="0055306C" w:rsidRPr="007856AC" w:rsidRDefault="00F86AB2" w:rsidP="0055306C">
      <w:pPr>
        <w:pStyle w:val="SingleTxtG"/>
      </w:pPr>
      <w:r>
        <w:t>69</w:t>
      </w:r>
      <w:r w:rsidR="0055306C" w:rsidRPr="007856AC">
        <w:t>.</w:t>
      </w:r>
      <w:r w:rsidR="0055306C" w:rsidRPr="007856AC">
        <w:tab/>
        <w:t xml:space="preserve">The representative of Finland would present a revised proposal at an upcoming session. The representative of IRU indicated that he would </w:t>
      </w:r>
      <w:proofErr w:type="gramStart"/>
      <w:r w:rsidR="0055306C" w:rsidRPr="007856AC">
        <w:t>look into</w:t>
      </w:r>
      <w:proofErr w:type="gramEnd"/>
      <w:r w:rsidR="0055306C" w:rsidRPr="007856AC">
        <w:t xml:space="preserve"> the application of the provisions by its members. </w:t>
      </w:r>
    </w:p>
    <w:p w14:paraId="795DDAEF" w14:textId="77777777" w:rsidR="0055306C" w:rsidRPr="007856AC" w:rsidRDefault="0055306C" w:rsidP="0055306C">
      <w:pPr>
        <w:pStyle w:val="H23G"/>
      </w:pPr>
      <w:r w:rsidRPr="007856AC">
        <w:tab/>
        <w:t>4.</w:t>
      </w:r>
      <w:r w:rsidRPr="007856AC">
        <w:tab/>
        <w:t>Certificates of approval for vehicles</w:t>
      </w:r>
    </w:p>
    <w:p w14:paraId="20A50281" w14:textId="77777777" w:rsidR="0055306C" w:rsidRPr="007856AC" w:rsidRDefault="0055306C" w:rsidP="0055306C">
      <w:pPr>
        <w:pStyle w:val="SingleTxtG"/>
      </w:pPr>
      <w:r w:rsidRPr="007856AC">
        <w:rPr>
          <w:i/>
          <w:iCs/>
        </w:rPr>
        <w:t>Informal document</w:t>
      </w:r>
      <w:r w:rsidRPr="007856AC">
        <w:t>:</w:t>
      </w:r>
      <w:r w:rsidRPr="007856AC">
        <w:tab/>
        <w:t>INF.26 (Malta)</w:t>
      </w:r>
    </w:p>
    <w:p w14:paraId="755DD61E" w14:textId="0167DF53" w:rsidR="0055306C" w:rsidRPr="007856AC" w:rsidRDefault="00F86AB2" w:rsidP="0055306C">
      <w:pPr>
        <w:pStyle w:val="SingleTxtG"/>
      </w:pPr>
      <w:r>
        <w:t>70</w:t>
      </w:r>
      <w:r w:rsidR="0055306C" w:rsidRPr="007856AC">
        <w:t>.</w:t>
      </w:r>
      <w:r w:rsidR="0055306C" w:rsidRPr="007856AC">
        <w:tab/>
        <w:t xml:space="preserve">The Chair of the Working Party clarified that the provisions of 9.1.3.2 concerned the acceptance of certificates issued by the competent authorities of other contracting parties </w:t>
      </w:r>
      <w:r w:rsidR="0055306C" w:rsidRPr="007856AC">
        <w:lastRenderedPageBreak/>
        <w:t xml:space="preserve">during international transport operations, and not in connection with the transfer of ownership of a used vehicle. </w:t>
      </w:r>
    </w:p>
    <w:p w14:paraId="2BEC3323" w14:textId="5196B911" w:rsidR="0055306C" w:rsidRPr="007856AC" w:rsidRDefault="0055306C" w:rsidP="0055306C">
      <w:pPr>
        <w:pStyle w:val="SingleTxtG"/>
      </w:pPr>
      <w:r w:rsidRPr="007856AC">
        <w:t>7</w:t>
      </w:r>
      <w:r w:rsidR="00F86AB2">
        <w:t>1</w:t>
      </w:r>
      <w:r w:rsidRPr="007856AC">
        <w:t>.</w:t>
      </w:r>
      <w:r>
        <w:tab/>
        <w:t>The</w:t>
      </w:r>
      <w:r w:rsidRPr="007856AC">
        <w:t xml:space="preserve"> delegations </w:t>
      </w:r>
      <w:r>
        <w:t xml:space="preserve">that spoke </w:t>
      </w:r>
      <w:r w:rsidRPr="007856AC">
        <w:t xml:space="preserve">confirmed that when a </w:t>
      </w:r>
      <w:r w:rsidR="00961644" w:rsidRPr="007856AC">
        <w:t xml:space="preserve">used </w:t>
      </w:r>
      <w:r w:rsidRPr="007856AC">
        <w:t>approved vehicle was imported, the vehicle had to be re-registered, and therefore, in accordance with 9.1.3.1, the competent authority of the new country of registration had to issue a new certificate of approval to the new owner.</w:t>
      </w:r>
    </w:p>
    <w:p w14:paraId="4696B6A1" w14:textId="77777777" w:rsidR="00FE0224" w:rsidRPr="007856AC" w:rsidRDefault="00FE0224" w:rsidP="00FE0224">
      <w:pPr>
        <w:pStyle w:val="HChG"/>
      </w:pPr>
      <w:r w:rsidRPr="007856AC">
        <w:tab/>
        <w:t>VIII.</w:t>
      </w:r>
      <w:r w:rsidRPr="007856AC">
        <w:tab/>
        <w:t>Circular economy, sustainable use of natural resources and Sustainable Development Goals (agenda item 7)</w:t>
      </w:r>
    </w:p>
    <w:p w14:paraId="1EE90BBE" w14:textId="3F4B3222" w:rsidR="00FE0224" w:rsidRPr="007856AC" w:rsidRDefault="00FE0224" w:rsidP="00FE0224">
      <w:pPr>
        <w:pStyle w:val="SingleTxtG"/>
      </w:pPr>
      <w:r w:rsidRPr="007856AC">
        <w:t>7</w:t>
      </w:r>
      <w:r w:rsidR="00F86AB2">
        <w:t>2</w:t>
      </w:r>
      <w:r w:rsidRPr="007856AC">
        <w:t>.</w:t>
      </w:r>
      <w:r>
        <w:tab/>
      </w:r>
      <w:r w:rsidRPr="007856AC">
        <w:t xml:space="preserve">The Working Party adopted an amendment to its </w:t>
      </w:r>
      <w:r w:rsidR="00D77E2A">
        <w:t>“</w:t>
      </w:r>
      <w:r w:rsidRPr="007856AC">
        <w:t>Rules concerning documents to be submitted to the Working Party</w:t>
      </w:r>
      <w:r w:rsidR="00D77E2A">
        <w:t>”</w:t>
      </w:r>
      <w:r w:rsidRPr="007856AC">
        <w:t xml:space="preserve"> </w:t>
      </w:r>
      <w:proofErr w:type="gramStart"/>
      <w:r w:rsidRPr="007856AC">
        <w:t>so as to</w:t>
      </w:r>
      <w:proofErr w:type="gramEnd"/>
      <w:r w:rsidRPr="007856AC">
        <w:t xml:space="preserve"> take account of its recent decision to invite delegations to specify in the section of their future proposals entitled </w:t>
      </w:r>
      <w:r>
        <w:t>“</w:t>
      </w:r>
      <w:r w:rsidRPr="007856AC">
        <w:t>Justification</w:t>
      </w:r>
      <w:r>
        <w:t>”</w:t>
      </w:r>
      <w:r w:rsidRPr="007856AC">
        <w:t xml:space="preserve"> the possible link with Sustainable Development Goals and the circular economy (see paragraph</w:t>
      </w:r>
      <w:r>
        <w:t> 80</w:t>
      </w:r>
      <w:r w:rsidRPr="007856AC">
        <w:t>).</w:t>
      </w:r>
    </w:p>
    <w:p w14:paraId="6D7435E9" w14:textId="1E2A8043" w:rsidR="00FE0224" w:rsidRPr="007856AC" w:rsidRDefault="00FE0224" w:rsidP="00FE0224">
      <w:pPr>
        <w:pStyle w:val="SingleTxtG"/>
      </w:pPr>
      <w:r w:rsidRPr="007856AC">
        <w:t>7</w:t>
      </w:r>
      <w:r w:rsidR="00F86AB2">
        <w:t>3</w:t>
      </w:r>
      <w:r w:rsidRPr="007856AC">
        <w:t>.</w:t>
      </w:r>
      <w:r w:rsidRPr="007856AC">
        <w:tab/>
        <w:t xml:space="preserve">The Working Party noted that, at its 114th session, its work was guided </w:t>
      </w:r>
      <w:proofErr w:type="gramStart"/>
      <w:r w:rsidRPr="007856AC">
        <w:t>in particular by</w:t>
      </w:r>
      <w:proofErr w:type="gramEnd"/>
      <w:r w:rsidRPr="007856AC">
        <w:t xml:space="preserve"> United Nations Sustainable Development Goals 3 (Ensure healthy lives and promote well-being for all at all ages), 11 (Make cities and human settlements inclusive, safe, resilient and sustainable) and 13 (Take urgent action to combat climate change and its impacts).</w:t>
      </w:r>
    </w:p>
    <w:p w14:paraId="63E762D5" w14:textId="77777777" w:rsidR="002B7F4B" w:rsidRPr="00E54679" w:rsidRDefault="002B7F4B" w:rsidP="002B7F4B">
      <w:pPr>
        <w:pStyle w:val="HChG"/>
        <w:rPr>
          <w:lang w:val="en-CA"/>
        </w:rPr>
      </w:pPr>
      <w:r w:rsidRPr="00E54679">
        <w:rPr>
          <w:lang w:val="en-CA"/>
        </w:rPr>
        <w:tab/>
        <w:t>IX.</w:t>
      </w:r>
      <w:r w:rsidRPr="00E54679">
        <w:rPr>
          <w:lang w:val="en-CA"/>
        </w:rPr>
        <w:tab/>
        <w:t>Programme of work (agenda item 8)</w:t>
      </w:r>
    </w:p>
    <w:p w14:paraId="3EC762E4" w14:textId="77777777" w:rsidR="002B7F4B" w:rsidRPr="00E54679" w:rsidRDefault="002B7F4B" w:rsidP="002B7F4B">
      <w:pPr>
        <w:pStyle w:val="H1G"/>
        <w:rPr>
          <w:lang w:val="en-CA"/>
        </w:rPr>
      </w:pPr>
      <w:r w:rsidRPr="00E54679">
        <w:rPr>
          <w:lang w:val="en-CA"/>
        </w:rPr>
        <w:tab/>
        <w:t>A.</w:t>
      </w:r>
      <w:r w:rsidRPr="00E54679">
        <w:rPr>
          <w:lang w:val="en-CA"/>
        </w:rPr>
        <w:tab/>
        <w:t>115th session</w:t>
      </w:r>
    </w:p>
    <w:p w14:paraId="022992AF" w14:textId="46F70E4C" w:rsidR="002B7F4B" w:rsidRPr="00E54679" w:rsidRDefault="002B7F4B" w:rsidP="002B7F4B">
      <w:pPr>
        <w:pStyle w:val="SingleTxtG"/>
        <w:ind w:left="3119" w:hanging="1985"/>
        <w:jc w:val="left"/>
        <w:rPr>
          <w:lang w:val="en-CA"/>
        </w:rPr>
      </w:pPr>
      <w:r w:rsidRPr="00E54679">
        <w:rPr>
          <w:i/>
          <w:iCs/>
          <w:lang w:val="en-CA"/>
        </w:rPr>
        <w:t>Informal document</w:t>
      </w:r>
      <w:r w:rsidRPr="00E54679">
        <w:rPr>
          <w:lang w:val="en-CA"/>
        </w:rPr>
        <w:t>:</w:t>
      </w:r>
      <w:r w:rsidRPr="00E54679">
        <w:rPr>
          <w:lang w:val="en-CA"/>
        </w:rPr>
        <w:tab/>
        <w:t>INF.6 (</w:t>
      </w:r>
      <w:r w:rsidR="007F4C95" w:rsidRPr="00E54679">
        <w:rPr>
          <w:lang w:val="en-CA"/>
        </w:rPr>
        <w:t>Secretariat</w:t>
      </w:r>
      <w:r w:rsidRPr="00E54679">
        <w:rPr>
          <w:lang w:val="en-CA"/>
        </w:rPr>
        <w:t>)</w:t>
      </w:r>
    </w:p>
    <w:p w14:paraId="0FECEC7D" w14:textId="638BFEE3" w:rsidR="002B7F4B" w:rsidRPr="00E54679" w:rsidRDefault="00F86AB2" w:rsidP="002B7F4B">
      <w:pPr>
        <w:pStyle w:val="SingleTxtG"/>
        <w:rPr>
          <w:lang w:val="en-CA"/>
        </w:rPr>
      </w:pPr>
      <w:r>
        <w:rPr>
          <w:lang w:val="en-CA"/>
        </w:rPr>
        <w:t>7</w:t>
      </w:r>
      <w:r w:rsidR="002B7F4B" w:rsidRPr="00E54679">
        <w:rPr>
          <w:lang w:val="en-CA"/>
        </w:rPr>
        <w:t>4.</w:t>
      </w:r>
      <w:r w:rsidR="002B7F4B" w:rsidRPr="00E54679">
        <w:rPr>
          <w:lang w:val="en-CA"/>
        </w:rPr>
        <w:tab/>
        <w:t>The agenda items for the next session (scheduled for 2–5 April 2024) will be as follows: Adoption of the agenda; Eighty-sixth session of the Inland Transport Committee; Status of the Agreement concerning the International Carriage of Dangerous Goods by Road (ADR) and related issues; Work of the RID/ADR/ADN Joint Meeting; Proposals for amendments to annexes A and B of ADR; Interpretation of ADR; Circular economy, sustainable use of natural resources and Sustainable Development Goals; Programme of work; Any other business; Adoption of the report.</w:t>
      </w:r>
    </w:p>
    <w:p w14:paraId="0F3931A3" w14:textId="78F8EE2C" w:rsidR="002B7F4B" w:rsidRDefault="00F86AB2" w:rsidP="002B7F4B">
      <w:pPr>
        <w:pStyle w:val="SingleTxtG"/>
        <w:rPr>
          <w:lang w:val="en-CA"/>
        </w:rPr>
      </w:pPr>
      <w:r>
        <w:rPr>
          <w:lang w:val="en-CA"/>
        </w:rPr>
        <w:t>7</w:t>
      </w:r>
      <w:r w:rsidR="002B7F4B" w:rsidRPr="00E54679">
        <w:rPr>
          <w:lang w:val="en-CA"/>
        </w:rPr>
        <w:t>5.</w:t>
      </w:r>
      <w:r w:rsidR="002B7F4B" w:rsidRPr="00E54679">
        <w:rPr>
          <w:lang w:val="en-CA"/>
        </w:rPr>
        <w:tab/>
        <w:t>The deadline for submission of official documents for that session is 9 January 2024.</w:t>
      </w:r>
    </w:p>
    <w:p w14:paraId="5EBD7E44" w14:textId="77777777" w:rsidR="00D07CE2" w:rsidRPr="008B5376" w:rsidRDefault="00D07CE2" w:rsidP="00D07CE2">
      <w:pPr>
        <w:pStyle w:val="H1G"/>
      </w:pPr>
      <w:r w:rsidRPr="008B5376">
        <w:tab/>
        <w:t>B.</w:t>
      </w:r>
      <w:r w:rsidRPr="008B5376">
        <w:tab/>
        <w:t>2025 amendments</w:t>
      </w:r>
      <w:bookmarkStart w:id="7" w:name="_Hlk95747041"/>
      <w:bookmarkEnd w:id="7"/>
    </w:p>
    <w:p w14:paraId="26A1DA82" w14:textId="027151E7" w:rsidR="00D07CE2" w:rsidRDefault="00F86AB2" w:rsidP="00D07CE2">
      <w:pPr>
        <w:pStyle w:val="SingleTxtG"/>
      </w:pPr>
      <w:r>
        <w:t>76</w:t>
      </w:r>
      <w:r w:rsidR="00D07CE2" w:rsidRPr="008B5376">
        <w:t>.</w:t>
      </w:r>
      <w:r w:rsidR="00D07CE2" w:rsidRPr="008B5376">
        <w:tab/>
        <w:t>The Working Party requested the secretariat to prepare a consolidated list of all the amendments that it had adopted for entry into force on 1 January 2025 so that they could be made the subject of an official proposal, in accordance with the procedure set out in article</w:t>
      </w:r>
      <w:r w:rsidR="00D07CE2">
        <w:t> </w:t>
      </w:r>
      <w:r w:rsidR="00D07CE2" w:rsidRPr="008B5376">
        <w:t>14 of ADR, and which, following usual practice, the Chair would be responsible for transmitting to the depositary through her Government. The notification would have to be issued no later than 1 July 2024, with a reference to 1 January 2025 as the scheduled date of entry into force. The document would be circulated under the symbol ECE/TRANS/WP.15/265.</w:t>
      </w:r>
    </w:p>
    <w:p w14:paraId="2A4884F8" w14:textId="2C72B2AC" w:rsidR="00D07CE2" w:rsidRDefault="00F86AB2" w:rsidP="00D07CE2">
      <w:pPr>
        <w:pStyle w:val="SingleTxtG"/>
      </w:pPr>
      <w:r>
        <w:t>77</w:t>
      </w:r>
      <w:r w:rsidR="00D07CE2" w:rsidRPr="008B5376">
        <w:t>.</w:t>
      </w:r>
      <w:r w:rsidR="00D07CE2" w:rsidRPr="008B5376">
        <w:tab/>
        <w:t>The Working Party also requested the secretariat to publish the consolidated text of ADR as it would be amended on 1 January 2025 sufficiently in advance to prepare for its effective implementation before the entry into force of the amendments in question.</w:t>
      </w:r>
    </w:p>
    <w:p w14:paraId="4AECC725" w14:textId="77777777" w:rsidR="001A2462" w:rsidRPr="007856AC" w:rsidRDefault="001A2462" w:rsidP="001A2462">
      <w:pPr>
        <w:pStyle w:val="H1G"/>
      </w:pPr>
      <w:r w:rsidRPr="007856AC">
        <w:tab/>
        <w:t>C.</w:t>
      </w:r>
      <w:r w:rsidRPr="007856AC">
        <w:tab/>
        <w:t>Efficiency and methods of work of the Working Party</w:t>
      </w:r>
    </w:p>
    <w:p w14:paraId="78A0AD94" w14:textId="77777777" w:rsidR="001A2462" w:rsidRPr="007856AC" w:rsidRDefault="001A2462" w:rsidP="001A2462">
      <w:pPr>
        <w:pStyle w:val="SingleTxtG"/>
      </w:pPr>
      <w:r w:rsidRPr="007856AC">
        <w:rPr>
          <w:i/>
          <w:iCs/>
        </w:rPr>
        <w:t>Document</w:t>
      </w:r>
      <w:r w:rsidRPr="007856AC">
        <w:t>:</w:t>
      </w:r>
      <w:r w:rsidRPr="007856AC">
        <w:tab/>
        <w:t>ECE/TRANS/WP.15/2023/15 (Secretariat)</w:t>
      </w:r>
    </w:p>
    <w:p w14:paraId="4730107C" w14:textId="14A40BFA" w:rsidR="001A2462" w:rsidRPr="007856AC" w:rsidRDefault="001A2462" w:rsidP="001A2462">
      <w:pPr>
        <w:pStyle w:val="SingleTxtG"/>
      </w:pPr>
      <w:r w:rsidRPr="007856AC">
        <w:t>7</w:t>
      </w:r>
      <w:r w:rsidR="00F86AB2">
        <w:t>8</w:t>
      </w:r>
      <w:r w:rsidRPr="007856AC">
        <w:t>.</w:t>
      </w:r>
      <w:r w:rsidRPr="007856AC">
        <w:tab/>
        <w:t>The Working Party adopted Proposal 1 of document ECE/TRANS/WP.15/2023/15 (revised rules concerning the agenda for the last session of an amendment period).</w:t>
      </w:r>
    </w:p>
    <w:p w14:paraId="19F5397E" w14:textId="7311CA72" w:rsidR="001A2462" w:rsidRPr="007856AC" w:rsidRDefault="001A2462" w:rsidP="001A2462">
      <w:pPr>
        <w:pStyle w:val="SingleTxtG"/>
      </w:pPr>
      <w:r w:rsidRPr="007856AC">
        <w:lastRenderedPageBreak/>
        <w:t>7</w:t>
      </w:r>
      <w:r w:rsidR="00F86AB2">
        <w:t>9</w:t>
      </w:r>
      <w:r w:rsidRPr="007856AC">
        <w:t>.</w:t>
      </w:r>
      <w:r w:rsidRPr="007856AC">
        <w:tab/>
        <w:t>With regard to its schedule of meetings, the Working Party confirmed that it wished for the time being to maintain the schedule of its sessions and the number of its meetings, in view of the future work envisaged, particularly with regard to the dematerialization of documents and information; the monitoring of the implementation of the new amendments concerning battery electric vehicles, fuel cell vehicles and hydrogen vehicles; and the drafting of provisions concerning the carriage of dangerous goods by road with vehicles or cycles not currently regulated in ADR.</w:t>
      </w:r>
    </w:p>
    <w:p w14:paraId="6FAB6572" w14:textId="40002C5B" w:rsidR="001A2462" w:rsidRPr="007856AC" w:rsidRDefault="00F86AB2" w:rsidP="001A2462">
      <w:pPr>
        <w:pStyle w:val="SingleTxtG"/>
      </w:pPr>
      <w:r>
        <w:t>80</w:t>
      </w:r>
      <w:r w:rsidR="001A2462" w:rsidRPr="007856AC">
        <w:t>.</w:t>
      </w:r>
      <w:r w:rsidR="001A2462" w:rsidRPr="007856AC">
        <w:tab/>
        <w:t xml:space="preserve">The Working Party adopted Proposal 3 of document ECE/TRANS/WP.15/2023/15 to amend the </w:t>
      </w:r>
      <w:r w:rsidR="000D00CC">
        <w:t>r</w:t>
      </w:r>
      <w:r w:rsidR="001A2462" w:rsidRPr="007856AC">
        <w:t>ules concerning documents to be submitted to the Working Party, with the correction of a typing error in the English version.</w:t>
      </w:r>
    </w:p>
    <w:p w14:paraId="1D5FBBFB" w14:textId="613824EE" w:rsidR="001A2462" w:rsidRPr="007856AC" w:rsidRDefault="001A2462" w:rsidP="001A2462">
      <w:pPr>
        <w:pStyle w:val="SingleTxtG"/>
      </w:pPr>
      <w:r w:rsidRPr="007856AC">
        <w:t>8</w:t>
      </w:r>
      <w:r w:rsidR="00F86AB2">
        <w:t>1</w:t>
      </w:r>
      <w:r w:rsidRPr="007856AC">
        <w:t>.</w:t>
      </w:r>
      <w:r w:rsidRPr="007856AC">
        <w:tab/>
        <w:t>The Working Party amended its rules concerning the submission of informal documents, to read as follows:</w:t>
      </w:r>
    </w:p>
    <w:p w14:paraId="7CBB3F82" w14:textId="77777777" w:rsidR="001A2462" w:rsidRPr="007856AC" w:rsidRDefault="001A2462" w:rsidP="001A2462">
      <w:pPr>
        <w:pStyle w:val="SingleTxtG"/>
      </w:pPr>
      <w:r>
        <w:tab/>
        <w:t>“</w:t>
      </w:r>
      <w:r w:rsidRPr="007856AC">
        <w:t>Informal documents may be submitted for consideration at a session provided:</w:t>
      </w:r>
    </w:p>
    <w:p w14:paraId="36804853" w14:textId="3C45499D" w:rsidR="001A2462" w:rsidRPr="007856AC" w:rsidRDefault="001A2462" w:rsidP="001A2462">
      <w:pPr>
        <w:pStyle w:val="SingleTxtG"/>
        <w:ind w:left="1701" w:hanging="567"/>
      </w:pPr>
      <w:r>
        <w:tab/>
      </w:r>
      <w:r w:rsidRPr="007856AC">
        <w:t>(a)</w:t>
      </w:r>
      <w:r w:rsidRPr="007856AC">
        <w:tab/>
        <w:t xml:space="preserve">That they contain specific commentaries or additional information concerning a new document included in the provisional agenda and that it has not therefore been possible to submit them in </w:t>
      </w:r>
      <w:proofErr w:type="gramStart"/>
      <w:r w:rsidRPr="007856AC">
        <w:t>time;</w:t>
      </w:r>
      <w:proofErr w:type="gramEnd"/>
    </w:p>
    <w:p w14:paraId="726379C8" w14:textId="4925D40A" w:rsidR="001A2462" w:rsidRPr="007856AC" w:rsidRDefault="001A2462" w:rsidP="001A2462">
      <w:pPr>
        <w:pStyle w:val="SingleTxtG"/>
        <w:ind w:left="1701" w:hanging="567"/>
      </w:pPr>
      <w:r>
        <w:tab/>
      </w:r>
      <w:r w:rsidRPr="007856AC">
        <w:t>(b)</w:t>
      </w:r>
      <w:r w:rsidRPr="007856AC">
        <w:tab/>
        <w:t xml:space="preserve">That they are submitted solely for information purposes and require no decision from the Working </w:t>
      </w:r>
      <w:proofErr w:type="gramStart"/>
      <w:r w:rsidRPr="007856AC">
        <w:t>Party;</w:t>
      </w:r>
      <w:proofErr w:type="gramEnd"/>
    </w:p>
    <w:p w14:paraId="6D43E17E" w14:textId="4B4472D3" w:rsidR="001A2462" w:rsidRPr="007856AC" w:rsidRDefault="001A2462" w:rsidP="001A2462">
      <w:pPr>
        <w:pStyle w:val="SingleTxtG"/>
        <w:ind w:left="1701" w:hanging="567"/>
      </w:pPr>
      <w:r>
        <w:tab/>
      </w:r>
      <w:r w:rsidRPr="007856AC">
        <w:t>(c)</w:t>
      </w:r>
      <w:r w:rsidRPr="007856AC">
        <w:tab/>
        <w:t xml:space="preserve">That they are intended to correct flagrant errors in existing </w:t>
      </w:r>
      <w:proofErr w:type="gramStart"/>
      <w:r w:rsidRPr="007856AC">
        <w:t>texts;</w:t>
      </w:r>
      <w:proofErr w:type="gramEnd"/>
      <w:r w:rsidRPr="007856AC">
        <w:t xml:space="preserve"> </w:t>
      </w:r>
    </w:p>
    <w:p w14:paraId="602E9815" w14:textId="1BF5F7C6" w:rsidR="001A2462" w:rsidRPr="007856AC" w:rsidRDefault="001A2462" w:rsidP="001A2462">
      <w:pPr>
        <w:pStyle w:val="SingleTxtG"/>
        <w:ind w:left="1701" w:hanging="567"/>
      </w:pPr>
      <w:r>
        <w:tab/>
      </w:r>
      <w:r w:rsidRPr="007856AC">
        <w:t>(d)</w:t>
      </w:r>
      <w:r w:rsidRPr="007856AC">
        <w:tab/>
        <w:t xml:space="preserve">That they call for an initial opinion about the interpretation of existing </w:t>
      </w:r>
      <w:proofErr w:type="gramStart"/>
      <w:r w:rsidRPr="007856AC">
        <w:t>texts;</w:t>
      </w:r>
      <w:proofErr w:type="gramEnd"/>
      <w:r w:rsidRPr="007856AC">
        <w:t xml:space="preserve"> </w:t>
      </w:r>
    </w:p>
    <w:p w14:paraId="768D3A76" w14:textId="462F28B7" w:rsidR="001A2462" w:rsidRPr="007856AC" w:rsidRDefault="001A2462" w:rsidP="001A2462">
      <w:pPr>
        <w:pStyle w:val="SingleTxtG"/>
        <w:ind w:left="1701" w:hanging="567"/>
      </w:pPr>
      <w:r>
        <w:tab/>
      </w:r>
      <w:r w:rsidRPr="007856AC">
        <w:t>(e)</w:t>
      </w:r>
      <w:r w:rsidRPr="007856AC">
        <w:tab/>
        <w:t>That they contain the report of an informal working group.</w:t>
      </w:r>
      <w:r>
        <w:t>”</w:t>
      </w:r>
      <w:r w:rsidRPr="007856AC">
        <w:t xml:space="preserve"> </w:t>
      </w:r>
    </w:p>
    <w:p w14:paraId="2308C318" w14:textId="5673AB8D" w:rsidR="001A2462" w:rsidRPr="007856AC" w:rsidRDefault="001A2462" w:rsidP="001A2462">
      <w:pPr>
        <w:pStyle w:val="SingleTxtG"/>
      </w:pPr>
      <w:r w:rsidRPr="007856AC">
        <w:t>8</w:t>
      </w:r>
      <w:r w:rsidR="00F86AB2">
        <w:t>2</w:t>
      </w:r>
      <w:r w:rsidRPr="007856AC">
        <w:t>.</w:t>
      </w:r>
      <w:r w:rsidRPr="007856AC">
        <w:tab/>
        <w:t>The Working Party noted that there was no rule concerning the language of informal documents and invited delegations to submit their informal documents in several of the Group</w:t>
      </w:r>
      <w:r>
        <w:t>’</w:t>
      </w:r>
      <w:r w:rsidRPr="007856AC">
        <w:t>s working languages whenever possible.</w:t>
      </w:r>
    </w:p>
    <w:p w14:paraId="22313DDF" w14:textId="60AD7BF6" w:rsidR="001A2462" w:rsidRPr="007856AC" w:rsidRDefault="001A2462" w:rsidP="001A2462">
      <w:pPr>
        <w:pStyle w:val="SingleTxtG"/>
      </w:pPr>
      <w:r w:rsidRPr="007856AC">
        <w:t>8</w:t>
      </w:r>
      <w:r w:rsidR="00F86AB2">
        <w:t>3</w:t>
      </w:r>
      <w:r w:rsidRPr="007856AC">
        <w:t>.</w:t>
      </w:r>
      <w:r w:rsidRPr="007856AC">
        <w:tab/>
        <w:t>The Working Party requested the secretariat to prepare a document for the next session setting out its terms of reference, rules of procedure and working methods, as revised.</w:t>
      </w:r>
    </w:p>
    <w:p w14:paraId="561F58CB" w14:textId="77777777" w:rsidR="001A2462" w:rsidRPr="007856AC" w:rsidRDefault="001A2462" w:rsidP="001A2462">
      <w:pPr>
        <w:pStyle w:val="HChG"/>
      </w:pPr>
      <w:r w:rsidRPr="007856AC">
        <w:tab/>
        <w:t>X.</w:t>
      </w:r>
      <w:r w:rsidRPr="007856AC">
        <w:tab/>
        <w:t>Any other business (agenda item 9)</w:t>
      </w:r>
    </w:p>
    <w:p w14:paraId="0B9E5A36" w14:textId="1F55854A" w:rsidR="001A2462" w:rsidRPr="007856AC" w:rsidRDefault="001A2462" w:rsidP="001A2462">
      <w:pPr>
        <w:pStyle w:val="SingleTxtG"/>
      </w:pPr>
      <w:r w:rsidRPr="007856AC">
        <w:t>8</w:t>
      </w:r>
      <w:r w:rsidR="00F86AB2">
        <w:t>4</w:t>
      </w:r>
      <w:r w:rsidRPr="007856AC">
        <w:t>.</w:t>
      </w:r>
      <w:r w:rsidRPr="007856AC">
        <w:tab/>
        <w:t>A representative of the World Bicycle Industry Association (WBIA) and the Confederation of the European Bicycle Industry (CONEBI) presented the groups</w:t>
      </w:r>
      <w:r>
        <w:t>’</w:t>
      </w:r>
      <w:r w:rsidRPr="007856AC">
        <w:t xml:space="preserve"> activities and indicated their interest in participating in sessions of the Working Party. She indicated that she had sent the secretariat the documentation required for an application for consultative status. The secretariat was asked to submit the request as an official document, at the next session.</w:t>
      </w:r>
    </w:p>
    <w:p w14:paraId="54F783C3" w14:textId="77777777" w:rsidR="001A2462" w:rsidRPr="007856AC" w:rsidRDefault="001A2462" w:rsidP="001A2462">
      <w:pPr>
        <w:pStyle w:val="HChG"/>
      </w:pPr>
      <w:r w:rsidRPr="007856AC">
        <w:tab/>
        <w:t>XI.</w:t>
      </w:r>
      <w:r w:rsidRPr="007856AC">
        <w:tab/>
        <w:t>Election of officers for 2024 (agenda item 10)</w:t>
      </w:r>
    </w:p>
    <w:p w14:paraId="3686A7E2" w14:textId="74E8D4E2" w:rsidR="001A2462" w:rsidRPr="007856AC" w:rsidRDefault="001A2462" w:rsidP="001A2462">
      <w:pPr>
        <w:pStyle w:val="SingleTxtG"/>
      </w:pPr>
      <w:r w:rsidRPr="007856AC">
        <w:t>8</w:t>
      </w:r>
      <w:r w:rsidR="00F86AB2">
        <w:t>5</w:t>
      </w:r>
      <w:r w:rsidRPr="007856AC">
        <w:t>.</w:t>
      </w:r>
      <w:r w:rsidRPr="007856AC">
        <w:tab/>
        <w:t>On a proposal from the representative of Luxembourg, seconded by the representatives of Germany and the Netherlands, the Working Party elected Ms. Ariane Roumier (France) as Chair and Mr. Alfonso Simoni (Italy) as Vice-Chair for 2024.</w:t>
      </w:r>
    </w:p>
    <w:p w14:paraId="66E34CFC" w14:textId="77777777" w:rsidR="001A2462" w:rsidRPr="007856AC" w:rsidRDefault="001A2462" w:rsidP="001A2462">
      <w:pPr>
        <w:pStyle w:val="HChG"/>
      </w:pPr>
      <w:r w:rsidRPr="007856AC">
        <w:tab/>
        <w:t>XII.</w:t>
      </w:r>
      <w:r w:rsidRPr="007856AC">
        <w:tab/>
        <w:t>Adoption of the report (agenda item 11)</w:t>
      </w:r>
    </w:p>
    <w:p w14:paraId="390D4F1E" w14:textId="6F0D0EB8" w:rsidR="001A2462" w:rsidRDefault="001A2462" w:rsidP="001A2462">
      <w:pPr>
        <w:pStyle w:val="SingleTxtG"/>
      </w:pPr>
      <w:r w:rsidRPr="007856AC">
        <w:t>8</w:t>
      </w:r>
      <w:r w:rsidR="00F86AB2">
        <w:t>6</w:t>
      </w:r>
      <w:r w:rsidRPr="007856AC">
        <w:t>.</w:t>
      </w:r>
      <w:r w:rsidRPr="007856AC">
        <w:tab/>
        <w:t xml:space="preserve">The Working Party adopted the report on its 114th session and its annexes </w:t>
      </w:r>
      <w:proofErr w:type="gramStart"/>
      <w:r w:rsidRPr="007856AC">
        <w:t>on the basis of</w:t>
      </w:r>
      <w:proofErr w:type="gramEnd"/>
      <w:r w:rsidRPr="007856AC">
        <w:t xml:space="preserve"> a draft prepared by the secretariat.</w:t>
      </w:r>
    </w:p>
    <w:p w14:paraId="03AE25CC" w14:textId="01A57441" w:rsidR="00573864" w:rsidRDefault="00573864">
      <w:r>
        <w:br w:type="page"/>
      </w:r>
    </w:p>
    <w:p w14:paraId="2E18CE6A" w14:textId="77777777" w:rsidR="00C27755" w:rsidRDefault="00C27755" w:rsidP="00C27755">
      <w:pPr>
        <w:pStyle w:val="HChG"/>
      </w:pPr>
      <w:r>
        <w:lastRenderedPageBreak/>
        <w:t>Annex I</w:t>
      </w:r>
    </w:p>
    <w:p w14:paraId="08B3726E" w14:textId="78F7FA4E" w:rsidR="00C27755" w:rsidRDefault="00C27755" w:rsidP="00C27755">
      <w:pPr>
        <w:pStyle w:val="HChG"/>
      </w:pPr>
      <w:r w:rsidRPr="00DF5ACD">
        <w:tab/>
      </w:r>
      <w:r w:rsidRPr="00DF5ACD">
        <w:tab/>
      </w:r>
      <w:r>
        <w:t xml:space="preserve">Draft revised </w:t>
      </w:r>
      <w:r w:rsidR="000C2188">
        <w:t>t</w:t>
      </w:r>
      <w:r>
        <w:t>erms of reference proposed by the Working Party</w:t>
      </w:r>
    </w:p>
    <w:p w14:paraId="6739A918" w14:textId="77777777" w:rsidR="00C27755" w:rsidRPr="008056C0" w:rsidRDefault="00C27755" w:rsidP="00C27755">
      <w:pPr>
        <w:pStyle w:val="SingleTxtG"/>
        <w:rPr>
          <w:i/>
          <w:iCs/>
        </w:rPr>
      </w:pPr>
      <w:r w:rsidRPr="008056C0">
        <w:rPr>
          <w:i/>
          <w:iCs/>
        </w:rPr>
        <w:t xml:space="preserve">Note by the secretariat: </w:t>
      </w:r>
      <w:r>
        <w:rPr>
          <w:i/>
          <w:iCs/>
        </w:rPr>
        <w:t>In paragraph 3, t</w:t>
      </w:r>
      <w:r w:rsidRPr="008056C0">
        <w:rPr>
          <w:i/>
          <w:iCs/>
        </w:rPr>
        <w:t xml:space="preserve">he order of the </w:t>
      </w:r>
      <w:r>
        <w:rPr>
          <w:i/>
          <w:iCs/>
        </w:rPr>
        <w:t>sub-</w:t>
      </w:r>
      <w:r w:rsidRPr="008056C0">
        <w:rPr>
          <w:i/>
          <w:iCs/>
        </w:rPr>
        <w:t>paragraphs has been changed for editorial reasons.</w:t>
      </w:r>
    </w:p>
    <w:p w14:paraId="2A18F455" w14:textId="77777777" w:rsidR="00C27755" w:rsidRDefault="00C27755" w:rsidP="00C27755">
      <w:pPr>
        <w:pStyle w:val="SingleTxtG"/>
      </w:pPr>
      <w:r>
        <w:t>1.</w:t>
      </w:r>
      <w:r>
        <w:tab/>
        <w:t xml:space="preserve">The Working Party </w:t>
      </w:r>
      <w:r>
        <w:rPr>
          <w:lang w:eastAsia="zh-CN"/>
        </w:rPr>
        <w:t xml:space="preserve">on the Transport of Dangerous Goods (hereinafter referred to as WP.15) </w:t>
      </w:r>
      <w:r>
        <w:t xml:space="preserve">will act within the framework of the policies of the United Nations and the Economic Commission for Europe (hereafter ECE) and under the general supervision of its parent body, the Inland Transport Committee (hereafter ITC) and in conformity with the Terms of Reference of ECE (E/ECE/778/Rev.5) and ITC (E/RES/2022/2 and ECE/TRANS/316/Add.2). </w:t>
      </w:r>
    </w:p>
    <w:p w14:paraId="1A6228F6" w14:textId="77777777" w:rsidR="00C27755" w:rsidRDefault="00C27755" w:rsidP="00C27755">
      <w:pPr>
        <w:pStyle w:val="SingleTxtG"/>
      </w:pPr>
      <w:r>
        <w:t>2.</w:t>
      </w:r>
      <w:r>
        <w:tab/>
        <w:t>WP.15 will operate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p w14:paraId="42CA352A" w14:textId="77777777" w:rsidR="00C27755" w:rsidRDefault="00C27755" w:rsidP="00C27755">
      <w:pPr>
        <w:pStyle w:val="SingleTxtG"/>
      </w:pPr>
      <w:r>
        <w:t>3.</w:t>
      </w:r>
      <w:r>
        <w:tab/>
        <w:t>WP.15 will:</w:t>
      </w:r>
    </w:p>
    <w:p w14:paraId="62667741" w14:textId="58267FF2" w:rsidR="00C27755" w:rsidRDefault="00C27755" w:rsidP="00C27755">
      <w:pPr>
        <w:pStyle w:val="SingleTxtG"/>
        <w:rPr>
          <w:lang w:eastAsia="zh-CN"/>
        </w:rPr>
      </w:pPr>
      <w:r>
        <w:rPr>
          <w:lang w:eastAsia="zh-CN"/>
        </w:rPr>
        <w:t>(a)</w:t>
      </w:r>
      <w:r>
        <w:rPr>
          <w:lang w:eastAsia="zh-CN"/>
        </w:rPr>
        <w:tab/>
        <w:t xml:space="preserve">Develop and update the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w:t>
      </w:r>
      <w:proofErr w:type="gramStart"/>
      <w:r>
        <w:rPr>
          <w:lang w:eastAsia="zh-CN"/>
        </w:rPr>
        <w:t>administering;</w:t>
      </w:r>
      <w:proofErr w:type="gramEnd"/>
      <w:r>
        <w:rPr>
          <w:lang w:eastAsia="zh-CN"/>
        </w:rPr>
        <w:t xml:space="preserve"> </w:t>
      </w:r>
    </w:p>
    <w:p w14:paraId="0FF9E124" w14:textId="77777777" w:rsidR="00C27755" w:rsidRDefault="00C27755" w:rsidP="00C27755">
      <w:pPr>
        <w:pStyle w:val="SingleTxtG"/>
        <w:rPr>
          <w:lang w:eastAsia="zh-CN"/>
        </w:rPr>
      </w:pPr>
      <w:r>
        <w:rPr>
          <w:lang w:eastAsia="zh-CN"/>
        </w:rPr>
        <w:t>(b)</w:t>
      </w:r>
      <w:r>
        <w:rPr>
          <w:lang w:eastAsia="zh-CN"/>
        </w:rPr>
        <w:tab/>
        <w:t>Initiate and pursue actions aimed at enhancing the safety and security of the inland transport of dangerous goods and protecting the environment during such transport, including the development of</w:t>
      </w:r>
      <w:r w:rsidRPr="00FC5927">
        <w:rPr>
          <w:lang w:eastAsia="zh-CN"/>
        </w:rPr>
        <w:t xml:space="preserve"> standards, recommended practices and guidance material</w:t>
      </w:r>
      <w:r>
        <w:rPr>
          <w:lang w:eastAsia="zh-CN"/>
        </w:rPr>
        <w:t xml:space="preserve"> for transports not falling within the scope of RID, ADR and </w:t>
      </w:r>
      <w:proofErr w:type="gramStart"/>
      <w:r>
        <w:rPr>
          <w:lang w:eastAsia="zh-CN"/>
        </w:rPr>
        <w:t>ADN;</w:t>
      </w:r>
      <w:proofErr w:type="gramEnd"/>
    </w:p>
    <w:p w14:paraId="003EE478" w14:textId="699E9AFB" w:rsidR="00C27755" w:rsidRDefault="00C27755" w:rsidP="00C27755">
      <w:pPr>
        <w:pStyle w:val="SingleTxtG"/>
        <w:rPr>
          <w:lang w:eastAsia="zh-CN"/>
        </w:rPr>
      </w:pPr>
      <w:r>
        <w:rPr>
          <w:lang w:eastAsia="zh-CN"/>
        </w:rPr>
        <w:t>(c)</w:t>
      </w:r>
      <w:r>
        <w:rPr>
          <w:lang w:eastAsia="zh-CN"/>
        </w:rPr>
        <w:tab/>
        <w:t xml:space="preserve">Promote the facilitation of international transport of dangerous goods by harmonizing the relevant regulations and rules and the administrative procedures and documentation requirements to which this transport is </w:t>
      </w:r>
      <w:proofErr w:type="gramStart"/>
      <w:r>
        <w:rPr>
          <w:lang w:eastAsia="zh-CN"/>
        </w:rPr>
        <w:t>subject;</w:t>
      </w:r>
      <w:proofErr w:type="gramEnd"/>
    </w:p>
    <w:p w14:paraId="3E825F9C" w14:textId="4583D54E" w:rsidR="00C27755" w:rsidRDefault="00C27755" w:rsidP="00933BFC">
      <w:pPr>
        <w:pStyle w:val="SingleTxtG"/>
        <w:rPr>
          <w:lang w:eastAsia="zh-CN"/>
        </w:rPr>
      </w:pPr>
      <w:r>
        <w:rPr>
          <w:lang w:eastAsia="zh-CN"/>
        </w:rPr>
        <w:t>(d)</w:t>
      </w:r>
      <w:r>
        <w:rPr>
          <w:lang w:eastAsia="zh-CN"/>
        </w:rPr>
        <w:tab/>
        <w:t xml:space="preserve">Encourage the accession of new countries to the Agreements mentioned </w:t>
      </w:r>
      <w:proofErr w:type="gramStart"/>
      <w:r>
        <w:rPr>
          <w:lang w:eastAsia="zh-CN"/>
        </w:rPr>
        <w:t>above;</w:t>
      </w:r>
      <w:proofErr w:type="gramEnd"/>
    </w:p>
    <w:p w14:paraId="2A9ABE1A" w14:textId="6D9AF6B6" w:rsidR="00C27755" w:rsidRDefault="00C27755" w:rsidP="00C27755">
      <w:pPr>
        <w:pStyle w:val="SingleTxtG"/>
        <w:rPr>
          <w:lang w:eastAsia="zh-CN"/>
        </w:rPr>
      </w:pPr>
      <w:r>
        <w:rPr>
          <w:lang w:eastAsia="zh-CN"/>
        </w:rPr>
        <w:t>(e)</w:t>
      </w:r>
      <w:r>
        <w:rPr>
          <w:lang w:eastAsia="zh-CN"/>
        </w:rPr>
        <w:tab/>
        <w:t xml:space="preserve">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w:t>
      </w:r>
      <w:proofErr w:type="gramStart"/>
      <w:r>
        <w:rPr>
          <w:lang w:eastAsia="zh-CN"/>
        </w:rPr>
        <w:t>Council;</w:t>
      </w:r>
      <w:proofErr w:type="gramEnd"/>
    </w:p>
    <w:p w14:paraId="0D7BBF38" w14:textId="6CF79B1A" w:rsidR="00C27755" w:rsidRDefault="00C27755" w:rsidP="00C27755">
      <w:pPr>
        <w:pStyle w:val="SingleTxtG"/>
        <w:rPr>
          <w:lang w:eastAsia="zh-CN"/>
        </w:rPr>
      </w:pPr>
      <w:r>
        <w:rPr>
          <w:lang w:eastAsia="zh-CN"/>
        </w:rPr>
        <w:t>(f)</w:t>
      </w:r>
      <w:r>
        <w:rPr>
          <w:lang w:eastAsia="zh-CN"/>
        </w:rPr>
        <w:tab/>
        <w:t>Encourage participation in its activities by fostering cooperation and collaboration with countries, the European Commission, international governmental and non-governmental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p w14:paraId="5F637DAA" w14:textId="72061F5E" w:rsidR="00C27755" w:rsidRDefault="00C27755" w:rsidP="00C27755">
      <w:pPr>
        <w:pStyle w:val="SingleTxtG"/>
        <w:rPr>
          <w:lang w:eastAsia="zh-CN"/>
        </w:rPr>
      </w:pPr>
      <w:r>
        <w:rPr>
          <w:lang w:eastAsia="zh-CN"/>
        </w:rPr>
        <w:t>(g)</w:t>
      </w:r>
      <w:r>
        <w:rPr>
          <w:lang w:eastAsia="zh-CN"/>
        </w:rPr>
        <w:tab/>
        <w:t xml:space="preserve">Collaborate closely with the other subsidiary bodies of ITC, particularly the World Forum for Harmonization of Vehicle Regulations (WP.29), the Working Party on Road Transport (SC.1), the Working Party on Road Traffic Safety (WP.1), the Working Party on Inland Water Transport (SC.3), the Working Party on Transport Statistics (WP.6), </w:t>
      </w:r>
      <w:r w:rsidRPr="00C66524">
        <w:rPr>
          <w:lang w:eastAsia="zh-CN"/>
        </w:rPr>
        <w:t>Working Party on Intermodal Transport and Logistics</w:t>
      </w:r>
      <w:r>
        <w:rPr>
          <w:lang w:eastAsia="zh-CN"/>
        </w:rPr>
        <w:t xml:space="preserve"> (WP.24) and any other relevant ECE body on matters of common interest relating to the transport of dangerous goods;</w:t>
      </w:r>
    </w:p>
    <w:p w14:paraId="06D8D70D" w14:textId="6FEE3AC7" w:rsidR="00C27755" w:rsidRDefault="00C27755" w:rsidP="00C27755">
      <w:pPr>
        <w:pStyle w:val="SingleTxtG"/>
        <w:rPr>
          <w:lang w:eastAsia="zh-CN"/>
        </w:rPr>
      </w:pPr>
      <w:r>
        <w:rPr>
          <w:lang w:eastAsia="zh-CN"/>
        </w:rPr>
        <w:t>(h)</w:t>
      </w:r>
      <w:r>
        <w:rPr>
          <w:lang w:eastAsia="zh-CN"/>
        </w:rPr>
        <w:tab/>
        <w:t xml:space="preserve">Draw up and implement a programme of work relating to its </w:t>
      </w:r>
      <w:proofErr w:type="gramStart"/>
      <w:r>
        <w:rPr>
          <w:lang w:eastAsia="zh-CN"/>
        </w:rPr>
        <w:t>activities;</w:t>
      </w:r>
      <w:proofErr w:type="gramEnd"/>
    </w:p>
    <w:p w14:paraId="47BEBD9A" w14:textId="2151D836" w:rsidR="00C27755" w:rsidRDefault="00C27755" w:rsidP="00C27755">
      <w:pPr>
        <w:pStyle w:val="SingleTxtG"/>
        <w:rPr>
          <w:lang w:eastAsia="zh-CN"/>
        </w:rPr>
      </w:pPr>
      <w:r>
        <w:rPr>
          <w:lang w:eastAsia="zh-CN"/>
        </w:rPr>
        <w:lastRenderedPageBreak/>
        <w:t>(i)</w:t>
      </w:r>
      <w:r>
        <w:rPr>
          <w:lang w:eastAsia="zh-CN"/>
        </w:rPr>
        <w:tab/>
        <w:t xml:space="preserve">Create a working environment that facilitates fulfilment by the Contracting Parties of the obligations set forth in the legal instruments concerned by the activities of the Working Party, and an exchange of views on the interpretation of these instruments or the resolution of problems connected with their </w:t>
      </w:r>
      <w:proofErr w:type="gramStart"/>
      <w:r>
        <w:rPr>
          <w:lang w:eastAsia="zh-CN"/>
        </w:rPr>
        <w:t>enforcement;</w:t>
      </w:r>
      <w:proofErr w:type="gramEnd"/>
    </w:p>
    <w:p w14:paraId="7B7C9967" w14:textId="0C69BD4C" w:rsidR="00C27755" w:rsidRDefault="00C27755" w:rsidP="00C27755">
      <w:pPr>
        <w:pStyle w:val="SingleTxtG"/>
        <w:rPr>
          <w:lang w:eastAsia="zh-CN"/>
        </w:rPr>
      </w:pPr>
      <w:r>
        <w:rPr>
          <w:lang w:eastAsia="zh-CN"/>
        </w:rPr>
        <w:t>(j)</w:t>
      </w:r>
      <w:r>
        <w:rPr>
          <w:lang w:eastAsia="zh-CN"/>
        </w:rPr>
        <w:tab/>
        <w:t>Ensure openness and transparency during its meetings.</w:t>
      </w:r>
    </w:p>
    <w:p w14:paraId="76160A29" w14:textId="77777777" w:rsidR="00C27755" w:rsidRDefault="00C27755" w:rsidP="00C27755">
      <w:pPr>
        <w:pStyle w:val="SingleTxtG"/>
        <w:rPr>
          <w:lang w:eastAsia="zh-CN"/>
        </w:rPr>
      </w:pPr>
      <w:r>
        <w:rPr>
          <w:lang w:eastAsia="zh-CN"/>
        </w:rPr>
        <w:t>4.</w:t>
      </w:r>
      <w:r>
        <w:rPr>
          <w:lang w:eastAsia="zh-CN"/>
        </w:rPr>
        <w:tab/>
        <w:t>These Terms of Reference and the Rules of Procedure apply to WP.15 and do not modify the provisions of the relevant legal instruments.</w:t>
      </w:r>
    </w:p>
    <w:p w14:paraId="7F003DC0" w14:textId="77777777" w:rsidR="002B5562" w:rsidRDefault="002B5562">
      <w:pPr>
        <w:rPr>
          <w:b/>
          <w:sz w:val="28"/>
        </w:rPr>
      </w:pPr>
      <w:r>
        <w:br w:type="page"/>
      </w:r>
    </w:p>
    <w:p w14:paraId="4690CFF0" w14:textId="498B45C4" w:rsidR="00C27755" w:rsidRDefault="00C27755" w:rsidP="00C27755">
      <w:pPr>
        <w:pStyle w:val="HChG"/>
      </w:pPr>
      <w:r>
        <w:lastRenderedPageBreak/>
        <w:t xml:space="preserve">Annex </w:t>
      </w:r>
      <w:r w:rsidRPr="00DF5ACD">
        <w:tab/>
      </w:r>
      <w:r>
        <w:t>II</w:t>
      </w:r>
    </w:p>
    <w:p w14:paraId="3C860C92" w14:textId="77777777" w:rsidR="00C27755" w:rsidRDefault="00C27755" w:rsidP="00C27755">
      <w:pPr>
        <w:pStyle w:val="HChG"/>
      </w:pPr>
      <w:r>
        <w:tab/>
      </w:r>
      <w:r w:rsidRPr="00DF5ACD">
        <w:tab/>
        <w:t>Draft amendments to annexes A and B of ADR for entry into force on 1 January 2025</w:t>
      </w:r>
    </w:p>
    <w:p w14:paraId="7D9D0378" w14:textId="77777777" w:rsidR="00C27755" w:rsidRDefault="00C27755" w:rsidP="00C27755">
      <w:pPr>
        <w:pStyle w:val="H23G"/>
      </w:pPr>
      <w:r>
        <w:tab/>
      </w:r>
      <w:r>
        <w:tab/>
        <w:t>Chapter 3.4</w:t>
      </w:r>
    </w:p>
    <w:p w14:paraId="0B9B08E9" w14:textId="77777777" w:rsidR="00C27755" w:rsidRDefault="00C27755" w:rsidP="00C27755">
      <w:pPr>
        <w:pStyle w:val="SingleTxtG"/>
        <w:ind w:left="2268" w:hanging="1134"/>
        <w:rPr>
          <w:lang w:val="en-US"/>
        </w:rPr>
      </w:pPr>
      <w:r>
        <w:t>3.4.1</w:t>
      </w:r>
      <w:r>
        <w:tab/>
        <w:t>In (h), at the beginning, add “Part 8, 8.2.3,”.</w:t>
      </w:r>
    </w:p>
    <w:p w14:paraId="55B17EED" w14:textId="77777777" w:rsidR="00C27755" w:rsidRPr="0073778C" w:rsidRDefault="00C27755" w:rsidP="00C27755">
      <w:pPr>
        <w:pStyle w:val="SingleTxtG"/>
        <w:rPr>
          <w:i/>
          <w:iCs/>
        </w:rPr>
      </w:pPr>
      <w:r>
        <w:rPr>
          <w:i/>
          <w:iCs/>
        </w:rPr>
        <w:t>(Reference document: ECE/TRANS/WP.15/2023/16, as amended)</w:t>
      </w:r>
    </w:p>
    <w:p w14:paraId="155F315A" w14:textId="77777777" w:rsidR="00C27755" w:rsidRDefault="00C27755" w:rsidP="00C27755">
      <w:pPr>
        <w:pStyle w:val="H23G"/>
      </w:pPr>
      <w:r>
        <w:tab/>
      </w:r>
      <w:r>
        <w:tab/>
        <w:t>Chapter 6.8</w:t>
      </w:r>
    </w:p>
    <w:p w14:paraId="7FF508B5" w14:textId="77777777" w:rsidR="00C27755" w:rsidRPr="00200D9B" w:rsidRDefault="00C27755" w:rsidP="00C27755">
      <w:pPr>
        <w:spacing w:after="120"/>
        <w:ind w:left="1134" w:right="1134"/>
        <w:jc w:val="both"/>
        <w:rPr>
          <w:rFonts w:cs="Arial"/>
          <w:bCs/>
        </w:rPr>
      </w:pPr>
      <w:r w:rsidRPr="00200D9B">
        <w:rPr>
          <w:rFonts w:cs="Arial"/>
          <w:bCs/>
        </w:rPr>
        <w:t>6.8.2.6.1</w:t>
      </w:r>
      <w:r w:rsidRPr="00200D9B">
        <w:rPr>
          <w:rFonts w:cs="Arial"/>
          <w:bCs/>
        </w:rPr>
        <w:tab/>
      </w:r>
      <w:r w:rsidRPr="00200D9B">
        <w:rPr>
          <w:bCs/>
        </w:rPr>
        <w:t>In the table, under “</w:t>
      </w:r>
      <w:r w:rsidRPr="00200D9B">
        <w:rPr>
          <w:bCs/>
          <w:i/>
          <w:iCs/>
        </w:rPr>
        <w:t>For design and construction of tanks</w:t>
      </w:r>
      <w:r w:rsidRPr="00200D9B">
        <w:rPr>
          <w:bCs/>
        </w:rPr>
        <w:t>”</w:t>
      </w:r>
      <w:r w:rsidRPr="00200D9B">
        <w:rPr>
          <w:rFonts w:cs="Arial"/>
          <w:bCs/>
        </w:rPr>
        <w:t>:</w:t>
      </w:r>
    </w:p>
    <w:p w14:paraId="765BFEBD" w14:textId="77777777" w:rsidR="00C27755" w:rsidRPr="00200D9B" w:rsidRDefault="00C27755" w:rsidP="00C27755">
      <w:pPr>
        <w:spacing w:after="120"/>
        <w:ind w:left="2268" w:right="1134"/>
        <w:jc w:val="both"/>
        <w:rPr>
          <w:rFonts w:cs="Arial"/>
        </w:rPr>
      </w:pPr>
      <w:r w:rsidRPr="00200D9B">
        <w:tab/>
        <w:t>In the row for EN </w:t>
      </w:r>
      <w:r w:rsidRPr="00200D9B">
        <w:rPr>
          <w:bCs/>
        </w:rPr>
        <w:t>14025:2018 + AC:2020</w:t>
      </w:r>
      <w:r w:rsidRPr="00200D9B">
        <w:t>, in column (4), replace “</w:t>
      </w:r>
      <w:r w:rsidRPr="00200D9B">
        <w:rPr>
          <w:bCs/>
        </w:rPr>
        <w:t>Until further notice” by “Between 1 January 2021 and 31 December 2026”.</w:t>
      </w:r>
      <w:r w:rsidRPr="00200D9B">
        <w:t xml:space="preserve"> Add a new row beneath this row as follows</w:t>
      </w:r>
      <w:r w:rsidRPr="00200D9B">
        <w:rPr>
          <w:rFonts w:cs="Arial"/>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C27755" w:rsidRPr="00200D9B" w14:paraId="6DA2E95B" w14:textId="77777777" w:rsidTr="00FD6B4E">
        <w:tc>
          <w:tcPr>
            <w:tcW w:w="2002" w:type="dxa"/>
            <w:tcBorders>
              <w:top w:val="single" w:sz="4" w:space="0" w:color="auto"/>
              <w:left w:val="single" w:sz="4" w:space="0" w:color="auto"/>
              <w:bottom w:val="single" w:sz="4" w:space="0" w:color="auto"/>
              <w:right w:val="single" w:sz="4" w:space="0" w:color="auto"/>
            </w:tcBorders>
            <w:vAlign w:val="center"/>
            <w:hideMark/>
          </w:tcPr>
          <w:p w14:paraId="42488395" w14:textId="77777777" w:rsidR="00C27755" w:rsidRPr="00200D9B" w:rsidRDefault="00C27755" w:rsidP="00FD6B4E">
            <w:pPr>
              <w:widowControl w:val="0"/>
              <w:tabs>
                <w:tab w:val="left" w:pos="720"/>
              </w:tabs>
              <w:rPr>
                <w:rFonts w:cs="Arial"/>
              </w:rPr>
            </w:pPr>
            <w:r w:rsidRPr="00200D9B">
              <w:t xml:space="preserve">EN </w:t>
            </w:r>
            <w:r w:rsidRPr="00200D9B">
              <w:rPr>
                <w:bCs/>
              </w:rPr>
              <w:t>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2ECCCC2" w14:textId="77777777" w:rsidR="00C27755" w:rsidRPr="00200D9B" w:rsidRDefault="00C27755" w:rsidP="00FD6B4E">
            <w:pPr>
              <w:widowControl w:val="0"/>
              <w:tabs>
                <w:tab w:val="left" w:pos="599"/>
              </w:tabs>
              <w:jc w:val="both"/>
              <w:rPr>
                <w:bCs/>
              </w:rPr>
            </w:pPr>
            <w:r w:rsidRPr="00200D9B">
              <w:rPr>
                <w:bCs/>
              </w:rPr>
              <w:t>Tanks for the transport of dangerous goods – Metallic pressure tanks – Design and construction</w:t>
            </w:r>
          </w:p>
          <w:p w14:paraId="01782252" w14:textId="77777777" w:rsidR="00C27755" w:rsidRPr="00200D9B" w:rsidRDefault="00C27755" w:rsidP="00FD6B4E">
            <w:pPr>
              <w:widowControl w:val="0"/>
              <w:tabs>
                <w:tab w:val="left" w:pos="446"/>
              </w:tabs>
              <w:jc w:val="both"/>
              <w:rPr>
                <w:rFonts w:cs="Arial"/>
                <w:bCs/>
                <w:i/>
              </w:rPr>
            </w:pPr>
            <w:r w:rsidRPr="00200D9B">
              <w:rPr>
                <w:rFonts w:cs="Arial"/>
                <w:b/>
                <w:bCs/>
                <w:i/>
              </w:rPr>
              <w:t>NOTE:</w:t>
            </w:r>
            <w:r w:rsidRPr="00200D9B">
              <w:rPr>
                <w:rFonts w:cs="Arial"/>
                <w:b/>
                <w:bCs/>
                <w:i/>
              </w:rPr>
              <w:tab/>
            </w:r>
            <w:r w:rsidRPr="00200D9B">
              <w:rPr>
                <w:i/>
              </w:rPr>
              <w:t>Materials of shells shall at least be attested by a type 3.1 certificate issued in accordance with standard EN 10204</w:t>
            </w:r>
            <w:r w:rsidRPr="00200D9B">
              <w:rPr>
                <w:rFonts w:ascii="TimesNewRomanPS-ItalicMT" w:hAnsi="TimesNewRomanPS-ItalicMT" w:cs="TimesNewRomanPS-ItalicMT"/>
                <w:i/>
                <w:sz w:val="18"/>
                <w:szCs w:val="18"/>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8C9505E" w14:textId="77777777" w:rsidR="00C27755" w:rsidRPr="00200D9B" w:rsidRDefault="00C27755" w:rsidP="00FD6B4E">
            <w:pPr>
              <w:widowControl w:val="0"/>
              <w:tabs>
                <w:tab w:val="left" w:pos="720"/>
              </w:tabs>
              <w:rPr>
                <w:rFonts w:cs="Arial"/>
              </w:rPr>
            </w:pPr>
            <w:r w:rsidRPr="00200D9B">
              <w:rPr>
                <w:rFonts w:cs="Arial"/>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E1D2946" w14:textId="77777777" w:rsidR="00C27755" w:rsidRPr="00200D9B" w:rsidRDefault="00C27755" w:rsidP="00FD6B4E">
            <w:pPr>
              <w:widowControl w:val="0"/>
              <w:tabs>
                <w:tab w:val="left" w:pos="720"/>
              </w:tabs>
              <w:jc w:val="center"/>
              <w:rPr>
                <w:rFonts w:cs="Arial"/>
              </w:rPr>
            </w:pPr>
            <w:r w:rsidRPr="00200D9B">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1FC542DD" w14:textId="77777777" w:rsidR="00C27755" w:rsidRPr="00200D9B" w:rsidRDefault="00C27755" w:rsidP="00FD6B4E">
            <w:pPr>
              <w:widowControl w:val="0"/>
              <w:tabs>
                <w:tab w:val="left" w:pos="720"/>
              </w:tabs>
              <w:rPr>
                <w:rFonts w:cs="Arial"/>
              </w:rPr>
            </w:pPr>
          </w:p>
        </w:tc>
      </w:tr>
    </w:tbl>
    <w:p w14:paraId="1DDF366E" w14:textId="77777777" w:rsidR="00C27755" w:rsidRPr="00200D9B" w:rsidRDefault="00C27755" w:rsidP="00C27755">
      <w:pPr>
        <w:spacing w:after="120"/>
        <w:ind w:left="1134" w:right="1134"/>
        <w:jc w:val="both"/>
        <w:rPr>
          <w:i/>
          <w:iCs/>
        </w:rPr>
      </w:pPr>
      <w:r w:rsidRPr="00200D9B">
        <w:rPr>
          <w:i/>
          <w:iCs/>
        </w:rPr>
        <w:t>(Reference document: ECE/TRANS/WP.15/260, annex)</w:t>
      </w:r>
    </w:p>
    <w:p w14:paraId="1737E2DE" w14:textId="0E541264" w:rsidR="00C27755" w:rsidRPr="00200D9B" w:rsidRDefault="00C27755" w:rsidP="00C27755">
      <w:pPr>
        <w:spacing w:after="120"/>
        <w:ind w:left="2268" w:right="850" w:hanging="1134"/>
        <w:jc w:val="both"/>
      </w:pPr>
      <w:r w:rsidRPr="00200D9B">
        <w:rPr>
          <w:bCs/>
        </w:rPr>
        <w:t>6.8.4 (d), TT11</w:t>
      </w:r>
      <w:r w:rsidRPr="00200D9B">
        <w:tab/>
        <w:t xml:space="preserve">In the </w:t>
      </w:r>
      <w:r w:rsidR="00EB7A7D">
        <w:t xml:space="preserve">first </w:t>
      </w:r>
      <w:r w:rsidRPr="00200D9B">
        <w:t>paragraph after the table, replace “EN 14025:2018” by “EN 14025:2023”.</w:t>
      </w:r>
    </w:p>
    <w:p w14:paraId="56072E5F" w14:textId="77777777" w:rsidR="00C27755" w:rsidRPr="00200D9B" w:rsidRDefault="00C27755" w:rsidP="00C27755">
      <w:pPr>
        <w:spacing w:after="120"/>
        <w:ind w:left="1134" w:right="1134"/>
        <w:jc w:val="both"/>
        <w:rPr>
          <w:i/>
          <w:iCs/>
        </w:rPr>
      </w:pPr>
      <w:r w:rsidRPr="00200D9B">
        <w:rPr>
          <w:i/>
          <w:iCs/>
        </w:rPr>
        <w:t>(Reference document: ECE/TRANS/WP.15/260, annex)</w:t>
      </w:r>
    </w:p>
    <w:p w14:paraId="6C8AD68A" w14:textId="77777777" w:rsidR="00C27755" w:rsidRDefault="00C27755" w:rsidP="00C27755">
      <w:pPr>
        <w:pStyle w:val="H23G"/>
      </w:pPr>
      <w:r>
        <w:tab/>
      </w:r>
      <w:r>
        <w:tab/>
        <w:t>Chapter 7.1</w:t>
      </w:r>
    </w:p>
    <w:p w14:paraId="255558C8" w14:textId="4A523C6C" w:rsidR="00C27755" w:rsidRDefault="00C27755" w:rsidP="00C27755">
      <w:pPr>
        <w:pStyle w:val="SingleTxtG"/>
        <w:keepNext/>
        <w:ind w:left="2268" w:hanging="1134"/>
        <w:rPr>
          <w:lang w:val="en-US"/>
        </w:rPr>
      </w:pPr>
      <w:r>
        <w:t>7.1.7.2</w:t>
      </w:r>
      <w:r>
        <w:tab/>
      </w:r>
      <w:r w:rsidR="00EB7A7D">
        <w:tab/>
      </w:r>
      <w:r>
        <w:rPr>
          <w:lang w:val="en-US"/>
        </w:rPr>
        <w:t>The amendment does not apply to the English version.</w:t>
      </w:r>
    </w:p>
    <w:p w14:paraId="563BB2D1" w14:textId="77777777" w:rsidR="00C27755" w:rsidRPr="0073778C" w:rsidRDefault="00C27755" w:rsidP="00C27755">
      <w:pPr>
        <w:pStyle w:val="SingleTxtG"/>
        <w:rPr>
          <w:i/>
          <w:iCs/>
        </w:rPr>
      </w:pPr>
      <w:r>
        <w:rPr>
          <w:i/>
          <w:iCs/>
        </w:rPr>
        <w:t>(Amendment identified during in-session discussion of informal document INF.8)</w:t>
      </w:r>
    </w:p>
    <w:p w14:paraId="4B47E4AD" w14:textId="77777777" w:rsidR="00C27755" w:rsidRDefault="00C27755" w:rsidP="00C27755">
      <w:pPr>
        <w:pStyle w:val="H23G"/>
      </w:pPr>
      <w:r>
        <w:tab/>
      </w:r>
      <w:r>
        <w:tab/>
        <w:t>Chapter 8.1</w:t>
      </w:r>
    </w:p>
    <w:p w14:paraId="201C9824" w14:textId="6116F5B6" w:rsidR="00C27755" w:rsidRDefault="00C27755" w:rsidP="00C27755">
      <w:pPr>
        <w:pStyle w:val="SingleTxtG"/>
        <w:ind w:left="2268" w:hanging="1134"/>
        <w:rPr>
          <w:lang w:val="en-US"/>
        </w:rPr>
      </w:pPr>
      <w:r>
        <w:t>8.1.2.1</w:t>
      </w:r>
      <w:r w:rsidR="00C348B8">
        <w:tab/>
      </w:r>
      <w:r>
        <w:tab/>
        <w:t>In the first sentence, replace “on the transport unit” by “on the driver’s cab of the transport unit”.</w:t>
      </w:r>
    </w:p>
    <w:p w14:paraId="04056803" w14:textId="77777777" w:rsidR="00C27755" w:rsidRPr="0073778C" w:rsidRDefault="00C27755" w:rsidP="00C27755">
      <w:pPr>
        <w:pStyle w:val="SingleTxtG"/>
        <w:rPr>
          <w:i/>
          <w:iCs/>
        </w:rPr>
      </w:pPr>
      <w:r>
        <w:rPr>
          <w:i/>
          <w:iCs/>
        </w:rPr>
        <w:t>(Reference document: ECE/TRANS/WP.15/2023/11, as amended)</w:t>
      </w:r>
    </w:p>
    <w:p w14:paraId="5E73E0C7" w14:textId="48DD2B72" w:rsidR="00C27755" w:rsidRDefault="00C27755" w:rsidP="00C27755">
      <w:pPr>
        <w:pStyle w:val="SingleTxtG"/>
        <w:ind w:left="2268" w:hanging="1134"/>
        <w:rPr>
          <w:lang w:val="en-US"/>
        </w:rPr>
      </w:pPr>
      <w:r>
        <w:t>8.1.2.2</w:t>
      </w:r>
      <w:r>
        <w:tab/>
      </w:r>
      <w:r w:rsidR="00C348B8">
        <w:tab/>
      </w:r>
      <w:r>
        <w:t>In the first sentence, replace “on the transport unit” by “on the driver’s cab of the transport unit”.</w:t>
      </w:r>
    </w:p>
    <w:p w14:paraId="1E831A25" w14:textId="77777777" w:rsidR="00C27755" w:rsidRPr="0073778C" w:rsidRDefault="00C27755" w:rsidP="00C27755">
      <w:pPr>
        <w:pStyle w:val="SingleTxtG"/>
        <w:rPr>
          <w:i/>
          <w:iCs/>
        </w:rPr>
      </w:pPr>
      <w:r>
        <w:rPr>
          <w:i/>
          <w:iCs/>
        </w:rPr>
        <w:t>(Reference document: ECE/TRANS/WP.15/2023/11, as amended)</w:t>
      </w:r>
    </w:p>
    <w:p w14:paraId="268ECDD7" w14:textId="77777777" w:rsidR="00C27755" w:rsidRDefault="00C27755" w:rsidP="00C27755">
      <w:pPr>
        <w:pStyle w:val="H23G"/>
      </w:pPr>
      <w:r>
        <w:tab/>
      </w:r>
      <w:r>
        <w:tab/>
        <w:t>Chapter 9.7</w:t>
      </w:r>
    </w:p>
    <w:p w14:paraId="4F7B871F" w14:textId="77777777" w:rsidR="00C27755" w:rsidRPr="000C280A" w:rsidRDefault="00C27755" w:rsidP="005E6F00">
      <w:pPr>
        <w:pStyle w:val="SingleTxtG"/>
        <w:tabs>
          <w:tab w:val="clear" w:pos="1701"/>
        </w:tabs>
        <w:ind w:left="2268" w:hanging="1134"/>
        <w:rPr>
          <w:b/>
          <w:bCs/>
        </w:rPr>
      </w:pPr>
      <w:r>
        <w:t>9.7.8</w:t>
      </w:r>
      <w:r>
        <w:tab/>
        <w:t>At the end of the heading, add “</w:t>
      </w:r>
      <w:r w:rsidRPr="00266914">
        <w:rPr>
          <w:b/>
          <w:bCs/>
        </w:rPr>
        <w:t>on FL vehicles</w:t>
      </w:r>
      <w:r>
        <w:t>”.</w:t>
      </w:r>
    </w:p>
    <w:p w14:paraId="50FB9E2E" w14:textId="77777777" w:rsidR="00C27755" w:rsidRPr="00092B8F" w:rsidRDefault="00C27755" w:rsidP="00C27755">
      <w:pPr>
        <w:pStyle w:val="SingleTxtG"/>
        <w:rPr>
          <w:i/>
          <w:iCs/>
        </w:rPr>
      </w:pPr>
      <w:r>
        <w:rPr>
          <w:i/>
          <w:iCs/>
        </w:rPr>
        <w:t>(Reference document: ECE/TRANS/WP.15/2023/8)</w:t>
      </w:r>
    </w:p>
    <w:p w14:paraId="5FF03675" w14:textId="52099D4D" w:rsidR="00C27755" w:rsidRPr="000C280A" w:rsidRDefault="00C27755" w:rsidP="00C27755">
      <w:pPr>
        <w:pStyle w:val="SingleTxtG"/>
        <w:ind w:left="2268" w:hanging="1134"/>
        <w:rPr>
          <w:b/>
          <w:bCs/>
        </w:rPr>
      </w:pPr>
      <w:r>
        <w:t>9.7.8.3</w:t>
      </w:r>
      <w:r>
        <w:tab/>
      </w:r>
      <w:r w:rsidR="005E6F00">
        <w:tab/>
      </w:r>
      <w:r>
        <w:t>In the first sentence, after the first instance of “electrical equipment”, add “on FL vehicles”.</w:t>
      </w:r>
    </w:p>
    <w:p w14:paraId="1D6607FD" w14:textId="77777777" w:rsidR="00C27755" w:rsidRPr="00092B8F" w:rsidRDefault="00C27755" w:rsidP="00C27755">
      <w:pPr>
        <w:pStyle w:val="SingleTxtG"/>
        <w:rPr>
          <w:i/>
          <w:iCs/>
        </w:rPr>
      </w:pPr>
      <w:r>
        <w:rPr>
          <w:i/>
          <w:iCs/>
        </w:rPr>
        <w:t>(Reference document: ECE/TRANS/WP.15/2023/8)</w:t>
      </w:r>
    </w:p>
    <w:p w14:paraId="6E4D3472" w14:textId="77777777" w:rsidR="00C27755" w:rsidRDefault="00C27755" w:rsidP="00C27755">
      <w:pPr>
        <w:pStyle w:val="H23G"/>
      </w:pPr>
      <w:r>
        <w:tab/>
      </w:r>
      <w:r>
        <w:tab/>
        <w:t>Chapter 9.8</w:t>
      </w:r>
    </w:p>
    <w:p w14:paraId="22E1FAD1" w14:textId="77777777" w:rsidR="00C27755" w:rsidRDefault="00C27755" w:rsidP="00C27755">
      <w:pPr>
        <w:pStyle w:val="SingleTxtG"/>
        <w:ind w:left="2268" w:hanging="1134"/>
      </w:pPr>
      <w:r w:rsidRPr="009704DB">
        <w:t>9.8.4</w:t>
      </w:r>
      <w:r w:rsidRPr="009704DB">
        <w:tab/>
      </w:r>
      <w:r w:rsidRPr="009704DB">
        <w:tab/>
        <w:t>In the first sentence, after the phrase in parentheses, insert “of the axle with greatest width”.</w:t>
      </w:r>
    </w:p>
    <w:p w14:paraId="525FF213" w14:textId="77777777" w:rsidR="00C27755" w:rsidRPr="00092B8F" w:rsidRDefault="00C27755" w:rsidP="00C27755">
      <w:pPr>
        <w:pStyle w:val="SingleTxtG"/>
        <w:rPr>
          <w:i/>
          <w:iCs/>
        </w:rPr>
      </w:pPr>
      <w:r>
        <w:rPr>
          <w:i/>
          <w:iCs/>
        </w:rPr>
        <w:lastRenderedPageBreak/>
        <w:t>(Reference document: informal document INF.4)</w:t>
      </w:r>
    </w:p>
    <w:p w14:paraId="45D6AE0D" w14:textId="77777777" w:rsidR="00C27755" w:rsidRPr="005E0E09" w:rsidRDefault="00C27755" w:rsidP="00C27755">
      <w:pPr>
        <w:pStyle w:val="SingleTxtG"/>
        <w:rPr>
          <w:b/>
          <w:bCs/>
        </w:rPr>
      </w:pPr>
      <w:r w:rsidRPr="005E0E09">
        <w:rPr>
          <w:b/>
          <w:bCs/>
        </w:rPr>
        <w:t>Informal document INF.5/Rev.1</w:t>
      </w:r>
      <w:r>
        <w:rPr>
          <w:b/>
          <w:bCs/>
        </w:rPr>
        <w:t>,</w:t>
      </w:r>
      <w:r w:rsidRPr="005E0E09">
        <w:rPr>
          <w:b/>
          <w:bCs/>
        </w:rPr>
        <w:t xml:space="preserve"> </w:t>
      </w:r>
      <w:r>
        <w:rPr>
          <w:b/>
          <w:bCs/>
        </w:rPr>
        <w:t xml:space="preserve">part </w:t>
      </w:r>
      <w:r w:rsidRPr="005E0E09">
        <w:rPr>
          <w:b/>
          <w:bCs/>
        </w:rPr>
        <w:t>I, adopted with the following modifications:</w:t>
      </w:r>
    </w:p>
    <w:p w14:paraId="57DFF8D2" w14:textId="77777777" w:rsidR="00C27755" w:rsidRDefault="00C27755" w:rsidP="00C27755">
      <w:pPr>
        <w:pStyle w:val="SingleTxtG"/>
        <w:ind w:left="2268" w:hanging="1134"/>
      </w:pPr>
      <w:r>
        <w:t>Remove all square brackets and strikethrough text.</w:t>
      </w:r>
    </w:p>
    <w:p w14:paraId="465970CC" w14:textId="4999A7E2" w:rsidR="00C27755" w:rsidRDefault="00C27755" w:rsidP="00C27755">
      <w:pPr>
        <w:pStyle w:val="SingleTxtG"/>
        <w:ind w:left="2268" w:hanging="1134"/>
        <w:rPr>
          <w:lang w:val="en-US"/>
        </w:rPr>
      </w:pPr>
      <w:r w:rsidRPr="002C7DFD">
        <w:t>1.1.3.1</w:t>
      </w:r>
      <w:r>
        <w:tab/>
      </w:r>
      <w:r w:rsidR="005E7BBE">
        <w:tab/>
      </w:r>
      <w:r>
        <w:t xml:space="preserve">In </w:t>
      </w:r>
      <w:r>
        <w:rPr>
          <w:lang w:val="en-US"/>
        </w:rPr>
        <w:t>(ii), at the end, replace “carriage conditions” by “conditions of carriage”.</w:t>
      </w:r>
    </w:p>
    <w:p w14:paraId="70491A26" w14:textId="77777777" w:rsidR="00C27755" w:rsidRDefault="00C27755" w:rsidP="00C27755">
      <w:pPr>
        <w:pStyle w:val="SingleTxtG"/>
        <w:ind w:left="2268" w:hanging="1134"/>
        <w:rPr>
          <w:lang w:val="en-US"/>
        </w:rPr>
      </w:pPr>
      <w:r>
        <w:rPr>
          <w:lang w:val="en-US"/>
        </w:rPr>
        <w:t>1.6.1.55</w:t>
      </w:r>
      <w:r>
        <w:rPr>
          <w:lang w:val="en-US"/>
        </w:rPr>
        <w:tab/>
        <w:t>After “3560”, delete the comma.</w:t>
      </w:r>
    </w:p>
    <w:p w14:paraId="3F7D0E0E" w14:textId="77777777" w:rsidR="00C27755" w:rsidRDefault="00C27755" w:rsidP="00C27755">
      <w:pPr>
        <w:pStyle w:val="SingleTxtG"/>
        <w:ind w:left="2268" w:hanging="1134"/>
        <w:rPr>
          <w:lang w:val="en-US"/>
        </w:rPr>
      </w:pPr>
      <w:r>
        <w:rPr>
          <w:lang w:val="en-US"/>
        </w:rPr>
        <w:t>1.6.1.56</w:t>
      </w:r>
      <w:r>
        <w:rPr>
          <w:lang w:val="en-US"/>
        </w:rPr>
        <w:tab/>
        <w:t>After “3423”, delete the comma.</w:t>
      </w:r>
    </w:p>
    <w:p w14:paraId="3B90F871" w14:textId="77777777" w:rsidR="00C27755" w:rsidRDefault="00C27755" w:rsidP="00C27755">
      <w:pPr>
        <w:pStyle w:val="SingleTxtG"/>
        <w:ind w:left="2268" w:hanging="1134"/>
        <w:rPr>
          <w:lang w:val="en-US"/>
        </w:rPr>
      </w:pPr>
      <w:r>
        <w:rPr>
          <w:lang w:val="en-US"/>
        </w:rPr>
        <w:t>1.6.3.61</w:t>
      </w:r>
      <w:r>
        <w:rPr>
          <w:lang w:val="en-US"/>
        </w:rPr>
        <w:tab/>
        <w:t>After “1 January 2025”, insert a comma.</w:t>
      </w:r>
    </w:p>
    <w:p w14:paraId="4397DA39" w14:textId="77777777" w:rsidR="00C27755" w:rsidRPr="003F5849" w:rsidRDefault="00C27755" w:rsidP="00C27755">
      <w:pPr>
        <w:pStyle w:val="SingleTxtG"/>
        <w:ind w:left="2268" w:hanging="1134"/>
        <w:rPr>
          <w:lang w:val="en-US"/>
        </w:rPr>
      </w:pPr>
      <w:r>
        <w:rPr>
          <w:lang w:val="en-US"/>
        </w:rPr>
        <w:t>1.6.4.59</w:t>
      </w:r>
      <w:r>
        <w:rPr>
          <w:lang w:val="en-US"/>
        </w:rPr>
        <w:tab/>
        <w:t xml:space="preserve">Delete the commas around “may still be used”. </w:t>
      </w:r>
    </w:p>
    <w:p w14:paraId="339B8803" w14:textId="77777777" w:rsidR="00C27755" w:rsidRDefault="00C27755" w:rsidP="00C27755">
      <w:pPr>
        <w:pStyle w:val="SingleTxtG"/>
        <w:ind w:left="2268" w:hanging="1134"/>
        <w:rPr>
          <w:lang w:val="en-US"/>
        </w:rPr>
      </w:pPr>
      <w:r>
        <w:rPr>
          <w:lang w:val="en-US"/>
        </w:rPr>
        <w:t>1.6.4.65</w:t>
      </w:r>
      <w:r>
        <w:rPr>
          <w:lang w:val="en-US"/>
        </w:rPr>
        <w:tab/>
        <w:t>After “1 January 2025”, insert a comma.</w:t>
      </w:r>
    </w:p>
    <w:p w14:paraId="70BDA39E" w14:textId="77777777" w:rsidR="00C27755" w:rsidRDefault="00C27755" w:rsidP="00C27755">
      <w:pPr>
        <w:pStyle w:val="SingleTxtG"/>
        <w:ind w:left="2268" w:hanging="1134"/>
        <w:rPr>
          <w:lang w:val="en-US"/>
        </w:rPr>
      </w:pPr>
      <w:r>
        <w:rPr>
          <w:lang w:val="en-US"/>
        </w:rPr>
        <w:t>1.8.3.11</w:t>
      </w:r>
      <w:r>
        <w:rPr>
          <w:lang w:val="en-US"/>
        </w:rPr>
        <w:tab/>
        <w:t>In the amendment to 1.8.3.11, add the following: “</w:t>
      </w:r>
      <w:r w:rsidRPr="006621EC">
        <w:rPr>
          <w:lang w:val="en-US"/>
        </w:rPr>
        <w:t xml:space="preserve">In (b), </w:t>
      </w:r>
      <w:r>
        <w:rPr>
          <w:lang w:val="en-US"/>
        </w:rPr>
        <w:t>second</w:t>
      </w:r>
      <w:r w:rsidRPr="006621EC">
        <w:rPr>
          <w:lang w:val="en-US"/>
        </w:rPr>
        <w:t xml:space="preserve"> indent, </w:t>
      </w:r>
      <w:r>
        <w:rPr>
          <w:lang w:val="en-US"/>
        </w:rPr>
        <w:t>delete</w:t>
      </w:r>
      <w:r w:rsidRPr="006621EC">
        <w:rPr>
          <w:lang w:val="en-US"/>
        </w:rPr>
        <w:t xml:space="preserve"> “</w:t>
      </w:r>
      <w:r>
        <w:rPr>
          <w:lang w:val="en-US"/>
        </w:rPr>
        <w:t>and tank-containers</w:t>
      </w:r>
      <w:r w:rsidRPr="006621EC">
        <w:rPr>
          <w:lang w:val="en-US"/>
        </w:rPr>
        <w:t>”.</w:t>
      </w:r>
      <w:r>
        <w:rPr>
          <w:lang w:val="en-US"/>
        </w:rPr>
        <w:t>”.</w:t>
      </w:r>
    </w:p>
    <w:p w14:paraId="363ADE02" w14:textId="77777777" w:rsidR="00C27755" w:rsidRPr="0073778C" w:rsidRDefault="00C27755" w:rsidP="00C27755">
      <w:pPr>
        <w:pStyle w:val="SingleTxtG"/>
        <w:rPr>
          <w:i/>
          <w:iCs/>
        </w:rPr>
      </w:pPr>
      <w:r>
        <w:rPr>
          <w:i/>
          <w:iCs/>
        </w:rPr>
        <w:t>(Reference document: informal document INF.19)</w:t>
      </w:r>
    </w:p>
    <w:p w14:paraId="0B63C514" w14:textId="2D1194B3" w:rsidR="00C27755" w:rsidRDefault="00C27755" w:rsidP="00C27755">
      <w:pPr>
        <w:pStyle w:val="SingleTxtG"/>
        <w:ind w:left="2268" w:hanging="1134"/>
        <w:rPr>
          <w:lang w:val="en-US"/>
        </w:rPr>
      </w:pPr>
      <w:r>
        <w:rPr>
          <w:lang w:val="en-US"/>
        </w:rPr>
        <w:t>2.2.1.4</w:t>
      </w:r>
      <w:r>
        <w:rPr>
          <w:lang w:val="en-US"/>
        </w:rPr>
        <w:tab/>
      </w:r>
      <w:r w:rsidR="001909D7">
        <w:rPr>
          <w:lang w:val="en-US"/>
        </w:rPr>
        <w:tab/>
      </w:r>
      <w:r>
        <w:rPr>
          <w:lang w:val="en-US"/>
        </w:rPr>
        <w:t>After “DEVICES”, add “</w:t>
      </w:r>
      <w:r w:rsidRPr="00A06ED5">
        <w:rPr>
          <w:lang w:val="en-US"/>
        </w:rPr>
        <w:t>: UN No. 0514</w:t>
      </w:r>
      <w:r>
        <w:rPr>
          <w:lang w:val="en-US"/>
        </w:rPr>
        <w:t>”.</w:t>
      </w:r>
    </w:p>
    <w:p w14:paraId="0D8C3549" w14:textId="77777777" w:rsidR="00C27755" w:rsidRDefault="00C27755" w:rsidP="00C27755">
      <w:pPr>
        <w:pStyle w:val="SingleTxtG"/>
        <w:ind w:left="2268" w:hanging="1134"/>
        <w:rPr>
          <w:lang w:val="en-US"/>
        </w:rPr>
      </w:pPr>
      <w:r>
        <w:rPr>
          <w:lang w:val="en-US"/>
        </w:rPr>
        <w:t>3.3, SP 388</w:t>
      </w:r>
      <w:r>
        <w:rPr>
          <w:lang w:val="en-US"/>
        </w:rPr>
        <w:tab/>
        <w:t>The modification does not apply to the English version.</w:t>
      </w:r>
    </w:p>
    <w:p w14:paraId="56E4DAA7" w14:textId="77777777" w:rsidR="00C27755" w:rsidRDefault="00C27755" w:rsidP="00C27755">
      <w:pPr>
        <w:pStyle w:val="SingleTxtG"/>
        <w:ind w:left="2268" w:hanging="1134"/>
        <w:rPr>
          <w:lang w:val="en-US"/>
        </w:rPr>
      </w:pPr>
      <w:r>
        <w:rPr>
          <w:lang w:val="en-US"/>
        </w:rPr>
        <w:t>4.1.4.1, P303</w:t>
      </w:r>
      <w:r w:rsidRPr="00311C55">
        <w:rPr>
          <w:lang w:val="en-US"/>
        </w:rPr>
        <w:t xml:space="preserve"> </w:t>
      </w:r>
      <w:r>
        <w:rPr>
          <w:lang w:val="en-US"/>
        </w:rPr>
        <w:tab/>
        <w:t>The modification does not apply to the English version.</w:t>
      </w:r>
    </w:p>
    <w:p w14:paraId="24A52E28" w14:textId="77777777" w:rsidR="00C27755" w:rsidRDefault="00C27755" w:rsidP="00C27755">
      <w:pPr>
        <w:pStyle w:val="SingleTxtG"/>
        <w:ind w:left="2268" w:hanging="1134"/>
        <w:rPr>
          <w:lang w:val="en-US"/>
        </w:rPr>
      </w:pPr>
      <w:r>
        <w:rPr>
          <w:lang w:val="en-US"/>
        </w:rPr>
        <w:t>4.3.4.1.2</w:t>
      </w:r>
      <w:r>
        <w:rPr>
          <w:lang w:val="en-US"/>
        </w:rPr>
        <w:tab/>
        <w:t>In the amendment concerning L10DH, replace “packing groups II, III” by “packing group I”.</w:t>
      </w:r>
    </w:p>
    <w:p w14:paraId="6FE8872D" w14:textId="77777777" w:rsidR="00C27755" w:rsidRDefault="00C27755" w:rsidP="00C27755">
      <w:pPr>
        <w:pStyle w:val="SingleTxtG"/>
        <w:ind w:left="2268" w:hanging="1134"/>
        <w:rPr>
          <w:lang w:val="en-US"/>
        </w:rPr>
      </w:pPr>
      <w:r>
        <w:rPr>
          <w:lang w:val="en-US"/>
        </w:rPr>
        <w:t>5.4.1.1.3.2</w:t>
      </w:r>
      <w:r>
        <w:rPr>
          <w:lang w:val="en-US"/>
        </w:rPr>
        <w:tab/>
        <w:t>After “3291”, delete the comma.</w:t>
      </w:r>
    </w:p>
    <w:p w14:paraId="4696B099" w14:textId="77777777" w:rsidR="00C27755" w:rsidRDefault="00C27755" w:rsidP="00C27755">
      <w:pPr>
        <w:pStyle w:val="SingleTxtG"/>
        <w:ind w:left="2268" w:hanging="1134"/>
        <w:rPr>
          <w:lang w:val="en-US"/>
        </w:rPr>
      </w:pPr>
      <w:r>
        <w:rPr>
          <w:lang w:val="en-US"/>
        </w:rPr>
        <w:t>6.2.1.5.4</w:t>
      </w:r>
      <w:r>
        <w:rPr>
          <w:lang w:val="en-US"/>
        </w:rPr>
        <w:tab/>
        <w:t>Delete the amendment.</w:t>
      </w:r>
    </w:p>
    <w:p w14:paraId="1E01C31D" w14:textId="77777777" w:rsidR="00C27755" w:rsidRDefault="00C27755" w:rsidP="00C27755">
      <w:pPr>
        <w:pStyle w:val="SingleTxtG"/>
        <w:ind w:left="2268" w:hanging="1134"/>
        <w:rPr>
          <w:lang w:val="en-US"/>
        </w:rPr>
      </w:pPr>
      <w:r>
        <w:rPr>
          <w:lang w:val="en-US"/>
        </w:rPr>
        <w:t>7.3.3.2.7, AP11</w:t>
      </w:r>
      <w:r>
        <w:rPr>
          <w:lang w:val="en-US"/>
        </w:rPr>
        <w:tab/>
        <w:t xml:space="preserve">In 1.3 and in 2, replace “security” by “safety”. In 3, fifth paragraph, replace “resist against” by “withstand”. In 3, last paragraph, replace “vats </w:t>
      </w:r>
      <w:proofErr w:type="gramStart"/>
      <w:r>
        <w:rPr>
          <w:lang w:val="en-US"/>
        </w:rPr>
        <w:t>covers</w:t>
      </w:r>
      <w:proofErr w:type="gramEnd"/>
      <w:r>
        <w:rPr>
          <w:lang w:val="en-US"/>
        </w:rPr>
        <w:t>” by “vat covers”. In 4, first paragraph, second sentence, replace “test” by “tests”. In 4.5, last sentence, “respecting the” by “taking into account”.</w:t>
      </w:r>
    </w:p>
    <w:p w14:paraId="44A6E7BB" w14:textId="77777777" w:rsidR="00C27755" w:rsidRDefault="00C27755" w:rsidP="008971E2">
      <w:pPr>
        <w:pStyle w:val="SingleTxtG"/>
        <w:tabs>
          <w:tab w:val="clear" w:pos="1701"/>
        </w:tabs>
        <w:ind w:left="2268" w:hanging="1134"/>
        <w:rPr>
          <w:lang w:val="en-US"/>
        </w:rPr>
      </w:pPr>
      <w:r>
        <w:rPr>
          <w:lang w:val="en-US"/>
        </w:rPr>
        <w:t>7.5.11</w:t>
      </w:r>
      <w:r>
        <w:rPr>
          <w:lang w:val="en-US"/>
        </w:rPr>
        <w:tab/>
        <w:t>After the new CV29, add a new amendment to read: “</w:t>
      </w:r>
      <w:r w:rsidRPr="00D40A8C">
        <w:rPr>
          <w:lang w:val="en-US"/>
        </w:rPr>
        <w:t xml:space="preserve">Replace </w:t>
      </w:r>
      <w:r>
        <w:rPr>
          <w:lang w:val="en-US"/>
        </w:rPr>
        <w:t>“</w:t>
      </w:r>
      <w:r w:rsidRPr="00D40A8C">
        <w:rPr>
          <w:lang w:val="en-US"/>
        </w:rPr>
        <w:t>CV29 to CV32</w:t>
      </w:r>
      <w:r>
        <w:rPr>
          <w:lang w:val="en-US"/>
        </w:rPr>
        <w:t>”</w:t>
      </w:r>
      <w:r w:rsidRPr="00D40A8C">
        <w:rPr>
          <w:lang w:val="en-US"/>
        </w:rPr>
        <w:t xml:space="preserve"> </w:t>
      </w:r>
      <w:r w:rsidRPr="00D40A8C">
        <w:rPr>
          <w:i/>
          <w:iCs/>
          <w:lang w:val="en-US"/>
        </w:rPr>
        <w:t>(Reserved)</w:t>
      </w:r>
      <w:r w:rsidRPr="00D40A8C">
        <w:rPr>
          <w:lang w:val="en-US"/>
        </w:rPr>
        <w:t xml:space="preserve"> by </w:t>
      </w:r>
      <w:r>
        <w:rPr>
          <w:lang w:val="en-US"/>
        </w:rPr>
        <w:t>“</w:t>
      </w:r>
      <w:r w:rsidRPr="00D40A8C">
        <w:rPr>
          <w:lang w:val="en-US"/>
        </w:rPr>
        <w:t>CV30 to CV32</w:t>
      </w:r>
      <w:r>
        <w:rPr>
          <w:lang w:val="en-US"/>
        </w:rPr>
        <w:t>”</w:t>
      </w:r>
      <w:r w:rsidRPr="00D40A8C">
        <w:rPr>
          <w:lang w:val="en-US"/>
        </w:rPr>
        <w:t xml:space="preserve"> </w:t>
      </w:r>
      <w:r w:rsidRPr="00D40A8C">
        <w:rPr>
          <w:i/>
          <w:iCs/>
          <w:lang w:val="en-US"/>
        </w:rPr>
        <w:t>(Reserved)</w:t>
      </w:r>
      <w:r w:rsidRPr="00D40A8C">
        <w:rPr>
          <w:lang w:val="en-US"/>
        </w:rPr>
        <w:t>.</w:t>
      </w:r>
      <w:r>
        <w:rPr>
          <w:lang w:val="en-US"/>
        </w:rPr>
        <w:t>”.</w:t>
      </w:r>
    </w:p>
    <w:p w14:paraId="5214D39D" w14:textId="77777777" w:rsidR="00C27755" w:rsidRPr="00CD05D5" w:rsidRDefault="00C27755" w:rsidP="008971E2">
      <w:pPr>
        <w:pStyle w:val="SingleTxtG"/>
        <w:tabs>
          <w:tab w:val="clear" w:pos="1701"/>
        </w:tabs>
        <w:ind w:left="2268" w:hanging="1134"/>
        <w:rPr>
          <w:lang w:val="en-US"/>
        </w:rPr>
      </w:pPr>
      <w:r>
        <w:rPr>
          <w:lang w:val="en-US"/>
        </w:rPr>
        <w:t>9.2.2.8</w:t>
      </w:r>
      <w:r>
        <w:rPr>
          <w:lang w:val="en-US"/>
        </w:rPr>
        <w:tab/>
        <w:t>Delete the note under the heading.</w:t>
      </w:r>
    </w:p>
    <w:p w14:paraId="04071058" w14:textId="77777777" w:rsidR="00C27755" w:rsidRPr="009A2838" w:rsidRDefault="00C27755" w:rsidP="00C27755">
      <w:pPr>
        <w:pStyle w:val="SingleTxtG"/>
        <w:ind w:left="2268" w:hanging="1134"/>
      </w:pPr>
      <w:r w:rsidRPr="009A2838">
        <w:t>9.2.2.8.3</w:t>
      </w:r>
      <w:r w:rsidRPr="009A2838">
        <w:tab/>
        <w:t>At the beginning, add the following new sentence: “Features to enable the de-energization of the electrical circuits shall be designed so that they can be operated when the vehicle is stationary.”.</w:t>
      </w:r>
    </w:p>
    <w:p w14:paraId="1E0ABF6F" w14:textId="77777777" w:rsidR="00C27755" w:rsidRPr="001B142C" w:rsidRDefault="00C27755" w:rsidP="00C27755">
      <w:pPr>
        <w:pStyle w:val="SingleTxtG"/>
        <w:rPr>
          <w:i/>
          <w:iCs/>
        </w:rPr>
      </w:pPr>
      <w:r w:rsidRPr="009A2838">
        <w:rPr>
          <w:i/>
          <w:iCs/>
        </w:rPr>
        <w:t>(Reference document: informal document INF.25, as amended)</w:t>
      </w:r>
    </w:p>
    <w:p w14:paraId="1D5ED965" w14:textId="77777777" w:rsidR="00C27755" w:rsidRPr="005E0E09" w:rsidRDefault="00C27755" w:rsidP="00C27755">
      <w:pPr>
        <w:pStyle w:val="SingleTxtG"/>
        <w:rPr>
          <w:b/>
          <w:bCs/>
        </w:rPr>
      </w:pPr>
      <w:r w:rsidRPr="005E0E09">
        <w:rPr>
          <w:b/>
          <w:bCs/>
        </w:rPr>
        <w:t>Informal document INF.5/Rev.1</w:t>
      </w:r>
      <w:r>
        <w:rPr>
          <w:b/>
          <w:bCs/>
        </w:rPr>
        <w:t>,</w:t>
      </w:r>
      <w:r w:rsidRPr="005E0E09">
        <w:rPr>
          <w:b/>
          <w:bCs/>
        </w:rPr>
        <w:t xml:space="preserve"> </w:t>
      </w:r>
      <w:r>
        <w:rPr>
          <w:b/>
          <w:bCs/>
        </w:rPr>
        <w:t xml:space="preserve">part </w:t>
      </w:r>
      <w:r w:rsidRPr="005E0E09">
        <w:rPr>
          <w:b/>
          <w:bCs/>
        </w:rPr>
        <w:t>II, adopted with the following modifications:</w:t>
      </w:r>
    </w:p>
    <w:p w14:paraId="5AC6C9E3" w14:textId="77777777" w:rsidR="00C27755" w:rsidRDefault="00C27755" w:rsidP="00C27755">
      <w:pPr>
        <w:pStyle w:val="SingleTxtG"/>
        <w:ind w:left="2268" w:hanging="1134"/>
      </w:pPr>
      <w:r>
        <w:t>Remove all square brackets.</w:t>
      </w:r>
    </w:p>
    <w:p w14:paraId="173BED46" w14:textId="77777777" w:rsidR="00C27755" w:rsidRDefault="00C27755" w:rsidP="00C27755">
      <w:pPr>
        <w:pStyle w:val="SingleTxtG"/>
        <w:ind w:left="2268" w:hanging="1134"/>
        <w:rPr>
          <w:lang w:val="en-US"/>
        </w:rPr>
      </w:pPr>
      <w:r>
        <w:t>4.1.1.5.3</w:t>
      </w:r>
      <w:r>
        <w:tab/>
        <w:t xml:space="preserve">In </w:t>
      </w:r>
      <w:r>
        <w:rPr>
          <w:lang w:val="en-US"/>
        </w:rPr>
        <w:t>(b), replace “[</w:t>
      </w:r>
      <w:proofErr w:type="spellStart"/>
      <w:r>
        <w:rPr>
          <w:lang w:val="en-US"/>
        </w:rPr>
        <w:t>xxxx</w:t>
      </w:r>
      <w:proofErr w:type="spellEnd"/>
      <w:r>
        <w:rPr>
          <w:lang w:val="en-US"/>
        </w:rPr>
        <w:t>]” by “</w:t>
      </w:r>
      <w:r w:rsidRPr="001929F0">
        <w:rPr>
          <w:lang w:val="en-US"/>
        </w:rPr>
        <w:t>4.1.1.5, 4.1.1.5.1, 4.1.1.5.2, 4.1.1.21, 4.1.3.1 to 4.1.3.5, 4.1.3.7, 4.1.4, 6.1.5.2.1, 6.5.6.1.2 and 6.6.5.2.1</w:t>
      </w:r>
      <w:r>
        <w:rPr>
          <w:lang w:val="en-US"/>
        </w:rPr>
        <w:t>”. In (b) (iv), replace “transport” by “carriage”.</w:t>
      </w:r>
      <w:r w:rsidRPr="005B3CFF">
        <w:rPr>
          <w:lang w:val="en-US"/>
        </w:rPr>
        <w:t xml:space="preserve"> </w:t>
      </w:r>
      <w:r>
        <w:rPr>
          <w:lang w:val="en-US"/>
        </w:rPr>
        <w:t>In (b) (v), replace “non-leak-proof” by “non-leakproof” and “retainment” by “retention”. In (d), second sentence, replace “In derogation of” by “By derogation from”.</w:t>
      </w:r>
    </w:p>
    <w:p w14:paraId="710A47CE" w14:textId="77777777" w:rsidR="00C27755" w:rsidRPr="0073778C" w:rsidRDefault="00C27755" w:rsidP="00C27755">
      <w:pPr>
        <w:pStyle w:val="SingleTxtG"/>
        <w:rPr>
          <w:i/>
          <w:iCs/>
        </w:rPr>
      </w:pPr>
      <w:r>
        <w:rPr>
          <w:i/>
          <w:iCs/>
        </w:rPr>
        <w:t>(Reference document: informal document INF.14)</w:t>
      </w:r>
    </w:p>
    <w:p w14:paraId="32719E93" w14:textId="77777777" w:rsidR="00C27755" w:rsidRDefault="00C27755" w:rsidP="00C27755">
      <w:pPr>
        <w:pStyle w:val="SingleTxtG"/>
        <w:ind w:left="2268" w:hanging="1134"/>
        <w:rPr>
          <w:lang w:val="en-US"/>
        </w:rPr>
      </w:pPr>
      <w:r>
        <w:rPr>
          <w:lang w:val="en-US"/>
        </w:rPr>
        <w:t>5.4.1.1.3.3</w:t>
      </w:r>
      <w:r>
        <w:rPr>
          <w:lang w:val="en-US"/>
        </w:rPr>
        <w:tab/>
        <w:t>In the third paragraph, after “1993”, delete the comma.</w:t>
      </w:r>
    </w:p>
    <w:p w14:paraId="4BDD473E" w14:textId="77777777" w:rsidR="00C27755" w:rsidRDefault="00C27755" w:rsidP="00C27755">
      <w:pPr>
        <w:pStyle w:val="SingleTxtG"/>
        <w:ind w:left="2268" w:hanging="1134"/>
        <w:rPr>
          <w:lang w:val="en-US"/>
        </w:rPr>
      </w:pPr>
      <w:r>
        <w:rPr>
          <w:lang w:val="en-US"/>
        </w:rPr>
        <w:t>5.4.1.1.4</w:t>
      </w:r>
      <w:r>
        <w:rPr>
          <w:lang w:val="en-US"/>
        </w:rPr>
        <w:tab/>
        <w:t>In the first paragraph, replace “</w:t>
      </w:r>
      <w:r w:rsidRPr="00766A6A">
        <w:rPr>
          <w:lang w:val="en-US"/>
        </w:rPr>
        <w:t>the transport document shall be marked</w:t>
      </w:r>
      <w:r>
        <w:rPr>
          <w:lang w:val="en-US"/>
        </w:rPr>
        <w:t>” by “</w:t>
      </w:r>
      <w:r w:rsidRPr="008D60CA">
        <w:rPr>
          <w:lang w:val="en-US"/>
        </w:rPr>
        <w:t>the following statement shall be included in the transport document</w:t>
      </w:r>
      <w:r>
        <w:rPr>
          <w:lang w:val="en-US"/>
        </w:rPr>
        <w:t>:”. In the second paragraph, replace “</w:t>
      </w:r>
      <w:r w:rsidRPr="00EA1B74">
        <w:rPr>
          <w:lang w:val="en-US"/>
        </w:rPr>
        <w:t>sub-paragraphs (b) (i), (ii), (iii), (iv) and (v)</w:t>
      </w:r>
      <w:r>
        <w:rPr>
          <w:lang w:val="en-US"/>
        </w:rPr>
        <w:t xml:space="preserve"> of special provision 678” by “special provision 678</w:t>
      </w:r>
      <w:r w:rsidRPr="00EA1B74">
        <w:rPr>
          <w:lang w:val="en-US"/>
        </w:rPr>
        <w:t xml:space="preserve"> (b)</w:t>
      </w:r>
      <w:r>
        <w:rPr>
          <w:lang w:val="en-US"/>
        </w:rPr>
        <w:t>”. The third modification does not apply to the English version.</w:t>
      </w:r>
    </w:p>
    <w:p w14:paraId="0302E733" w14:textId="77777777" w:rsidR="00C27755" w:rsidRPr="003D6C26" w:rsidRDefault="00C27755" w:rsidP="00C27755">
      <w:pPr>
        <w:pStyle w:val="SingleTxtG"/>
        <w:ind w:left="2268" w:hanging="1134"/>
        <w:rPr>
          <w:lang w:val="en-US"/>
        </w:rPr>
      </w:pPr>
      <w:r w:rsidRPr="003D6C26">
        <w:rPr>
          <w:lang w:val="en-US"/>
        </w:rPr>
        <w:lastRenderedPageBreak/>
        <w:t>7.3.3.2.7, AP12</w:t>
      </w:r>
      <w:r w:rsidRPr="003D6C26">
        <w:rPr>
          <w:lang w:val="en-US"/>
        </w:rPr>
        <w:tab/>
        <w:t xml:space="preserve">In the first paragraph, replace “loading compartment” by “load compartment”. </w:t>
      </w:r>
      <w:r>
        <w:rPr>
          <w:lang w:val="en-US"/>
        </w:rPr>
        <w:t xml:space="preserve">In the second paragraph, replace </w:t>
      </w:r>
      <w:r w:rsidRPr="003D6C26">
        <w:rPr>
          <w:lang w:val="en-US"/>
        </w:rPr>
        <w:t>“loading compartment” by “load compartment”</w:t>
      </w:r>
      <w:r>
        <w:rPr>
          <w:lang w:val="en-US"/>
        </w:rPr>
        <w:t xml:space="preserve">. </w:t>
      </w:r>
      <w:r w:rsidRPr="003D6C26">
        <w:rPr>
          <w:lang w:val="en-US"/>
        </w:rPr>
        <w:t>In the fifth paragraph, replace “skip” by “load compartment”. In the paragraph after (b), second sentence, replace “must” by “shall”.</w:t>
      </w:r>
    </w:p>
    <w:p w14:paraId="216C428E" w14:textId="52CC968B" w:rsidR="00C27755" w:rsidRPr="003D6C26" w:rsidRDefault="00C27755" w:rsidP="00C27755">
      <w:pPr>
        <w:pStyle w:val="SingleTxtG"/>
        <w:rPr>
          <w:i/>
          <w:iCs/>
        </w:rPr>
      </w:pPr>
      <w:r w:rsidRPr="003D6C26">
        <w:rPr>
          <w:i/>
          <w:iCs/>
        </w:rPr>
        <w:t>(Reference document: informal document INF.7, as amended</w:t>
      </w:r>
      <w:r w:rsidR="00626BEF" w:rsidRPr="00626BEF">
        <w:rPr>
          <w:i/>
          <w:iCs/>
        </w:rPr>
        <w:t xml:space="preserve"> </w:t>
      </w:r>
      <w:r w:rsidR="00626BEF">
        <w:rPr>
          <w:i/>
          <w:iCs/>
        </w:rPr>
        <w:t>for the English version</w:t>
      </w:r>
      <w:r w:rsidRPr="003D6C26">
        <w:rPr>
          <w:i/>
          <w:iCs/>
        </w:rPr>
        <w:t>)</w:t>
      </w:r>
    </w:p>
    <w:p w14:paraId="51420FD0" w14:textId="77777777" w:rsidR="00C27755" w:rsidRPr="004C6B6C" w:rsidRDefault="00C27755" w:rsidP="00C27755">
      <w:pPr>
        <w:pStyle w:val="SingleTxtG"/>
        <w:ind w:left="2268" w:hanging="1134"/>
        <w:rPr>
          <w:lang w:val="en-US"/>
        </w:rPr>
      </w:pPr>
      <w:r w:rsidRPr="00F43DC8">
        <w:rPr>
          <w:lang w:val="en-US"/>
        </w:rPr>
        <w:t>7.5.11, CV38</w:t>
      </w:r>
      <w:r w:rsidRPr="00F43DC8">
        <w:rPr>
          <w:lang w:val="en-US"/>
        </w:rPr>
        <w:tab/>
        <w:t xml:space="preserve">In the first paragraph, second sentence, replace “Skips” by </w:t>
      </w:r>
      <w:proofErr w:type="gramStart"/>
      <w:r w:rsidRPr="00F43DC8">
        <w:rPr>
          <w:lang w:val="en-US"/>
        </w:rPr>
        <w:t>“They”</w:t>
      </w:r>
      <w:proofErr w:type="gramEnd"/>
      <w:r w:rsidRPr="00F43DC8">
        <w:rPr>
          <w:lang w:val="en-US"/>
        </w:rPr>
        <w:t>. In the fifth paragraph, replace “skip” by “latter placed</w:t>
      </w:r>
      <w:r w:rsidRPr="0060506F">
        <w:rPr>
          <w:lang w:val="en-US"/>
        </w:rPr>
        <w:t>”</w:t>
      </w:r>
      <w:r>
        <w:rPr>
          <w:lang w:val="en-US"/>
        </w:rPr>
        <w:t xml:space="preserve">. In all other instances, replace </w:t>
      </w:r>
      <w:r w:rsidRPr="00F43DC8">
        <w:rPr>
          <w:lang w:val="en-US"/>
        </w:rPr>
        <w:t>“</w:t>
      </w:r>
      <w:r>
        <w:rPr>
          <w:lang w:val="en-US"/>
        </w:rPr>
        <w:t>skip</w:t>
      </w:r>
      <w:r w:rsidRPr="00F43DC8">
        <w:rPr>
          <w:lang w:val="en-US"/>
        </w:rPr>
        <w:t xml:space="preserve">” by “load compartment” </w:t>
      </w:r>
      <w:r>
        <w:rPr>
          <w:lang w:val="en-US"/>
        </w:rPr>
        <w:t xml:space="preserve">and “skips” by “load compartments” </w:t>
      </w:r>
      <w:r w:rsidRPr="00F43DC8">
        <w:rPr>
          <w:lang w:val="en-US"/>
        </w:rPr>
        <w:t>(</w:t>
      </w:r>
      <w:r>
        <w:rPr>
          <w:lang w:val="en-US"/>
        </w:rPr>
        <w:t>seven</w:t>
      </w:r>
      <w:r w:rsidRPr="00F43DC8">
        <w:rPr>
          <w:lang w:val="en-US"/>
        </w:rPr>
        <w:t xml:space="preserve"> times</w:t>
      </w:r>
      <w:r>
        <w:rPr>
          <w:lang w:val="en-US"/>
        </w:rPr>
        <w:t xml:space="preserve"> in total</w:t>
      </w:r>
      <w:r w:rsidRPr="00F43DC8">
        <w:rPr>
          <w:lang w:val="en-US"/>
        </w:rPr>
        <w:t>).</w:t>
      </w:r>
    </w:p>
    <w:p w14:paraId="6E658151" w14:textId="3319B9B8" w:rsidR="00C27755" w:rsidRPr="00B42BDB" w:rsidRDefault="00C27755" w:rsidP="00C27755">
      <w:pPr>
        <w:pStyle w:val="SingleTxtG"/>
      </w:pPr>
      <w:r>
        <w:rPr>
          <w:i/>
          <w:iCs/>
        </w:rPr>
        <w:t>(Reference document: informal document INF.7, as amended</w:t>
      </w:r>
      <w:r w:rsidR="00626BEF">
        <w:rPr>
          <w:i/>
          <w:iCs/>
        </w:rPr>
        <w:t xml:space="preserve"> for the English version</w:t>
      </w:r>
      <w:r>
        <w:rPr>
          <w:i/>
          <w:iCs/>
        </w:rPr>
        <w:t>)</w:t>
      </w:r>
    </w:p>
    <w:p w14:paraId="56DA9D2E" w14:textId="77777777" w:rsidR="008067CA" w:rsidRDefault="008067CA">
      <w:pPr>
        <w:rPr>
          <w:b/>
          <w:sz w:val="28"/>
        </w:rPr>
      </w:pPr>
      <w:r>
        <w:br w:type="page"/>
      </w:r>
    </w:p>
    <w:p w14:paraId="471EE9B3" w14:textId="4FAA6467" w:rsidR="00C27755" w:rsidRDefault="00C27755" w:rsidP="00C27755">
      <w:pPr>
        <w:pStyle w:val="HChG"/>
      </w:pPr>
      <w:r>
        <w:lastRenderedPageBreak/>
        <w:t xml:space="preserve">Annex </w:t>
      </w:r>
      <w:r>
        <w:tab/>
      </w:r>
      <w:r w:rsidRPr="00BA50A6">
        <w:t>II</w:t>
      </w:r>
      <w:r>
        <w:t>I</w:t>
      </w:r>
    </w:p>
    <w:p w14:paraId="07F859D0" w14:textId="77777777" w:rsidR="00C27755" w:rsidRDefault="00C27755" w:rsidP="00C27755">
      <w:pPr>
        <w:pStyle w:val="HChG"/>
      </w:pPr>
      <w:r>
        <w:tab/>
      </w:r>
      <w:r>
        <w:tab/>
      </w:r>
      <w:r w:rsidRPr="00BA50A6">
        <w:t xml:space="preserve">Draft amendments to annexes A and B of ADR for entry into force on 1 January 2025 to be confirmed at the next </w:t>
      </w:r>
      <w:proofErr w:type="gramStart"/>
      <w:r w:rsidRPr="00BA50A6">
        <w:t>session</w:t>
      </w:r>
      <w:proofErr w:type="gramEnd"/>
    </w:p>
    <w:p w14:paraId="5D9A359C" w14:textId="77777777" w:rsidR="00C27755" w:rsidRDefault="00C27755" w:rsidP="00C27755">
      <w:pPr>
        <w:pStyle w:val="H23G"/>
      </w:pPr>
      <w:r>
        <w:tab/>
      </w:r>
      <w:r>
        <w:tab/>
        <w:t>Chapter 1.6</w:t>
      </w:r>
    </w:p>
    <w:p w14:paraId="00079298" w14:textId="77777777" w:rsidR="00C27755" w:rsidRDefault="00C27755" w:rsidP="00626BEF">
      <w:pPr>
        <w:pStyle w:val="SingleTxtG"/>
        <w:tabs>
          <w:tab w:val="clear" w:pos="1701"/>
        </w:tabs>
        <w:ind w:left="2268" w:hanging="1134"/>
      </w:pPr>
      <w:r>
        <w:t>1.6.5</w:t>
      </w:r>
      <w:r>
        <w:tab/>
        <w:t>Add the following transitional measures:</w:t>
      </w:r>
    </w:p>
    <w:p w14:paraId="3D8F7A6E" w14:textId="77777777" w:rsidR="00C27755" w:rsidRDefault="00C27755" w:rsidP="00C27755">
      <w:pPr>
        <w:pStyle w:val="SingleTxtG"/>
        <w:ind w:left="2268" w:hanging="1134"/>
      </w:pPr>
      <w:r w:rsidRPr="000764C4">
        <w:t>“1.6.5.</w:t>
      </w:r>
      <w:r>
        <w:t>26</w:t>
      </w:r>
      <w:r w:rsidRPr="000764C4">
        <w:tab/>
        <w:t xml:space="preserve">Vehicles first registered (or which entered into service if registration is not mandatory) before </w:t>
      </w:r>
      <w:r>
        <w:t>[</w:t>
      </w:r>
      <w:r w:rsidRPr="000764C4">
        <w:t>1 April 2026</w:t>
      </w:r>
      <w:r>
        <w:t>]</w:t>
      </w:r>
      <w:r w:rsidRPr="000764C4">
        <w:t>, approved as AT vehicle not in compliance with the provisions of 9.2.4.2 concerning fuel tanks may continue to be used.”</w:t>
      </w:r>
    </w:p>
    <w:p w14:paraId="4458A40E" w14:textId="77777777" w:rsidR="00C27755" w:rsidRDefault="00C27755" w:rsidP="00C27755">
      <w:pPr>
        <w:pStyle w:val="SingleTxtG"/>
        <w:ind w:left="2268" w:hanging="1134"/>
      </w:pPr>
      <w:r w:rsidRPr="000764C4">
        <w:t>“1.6.5.</w:t>
      </w:r>
      <w:r>
        <w:t>27</w:t>
      </w:r>
      <w:r w:rsidRPr="000764C4">
        <w:tab/>
        <w:t xml:space="preserve">Vehicles first registered (or which entered into service if registration is not mandatory) before </w:t>
      </w:r>
      <w:r>
        <w:t>[</w:t>
      </w:r>
      <w:r w:rsidRPr="000764C4">
        <w:t>1 April 2026</w:t>
      </w:r>
      <w:r>
        <w:t>]</w:t>
      </w:r>
      <w:r w:rsidRPr="000764C4">
        <w:t>, approved as AT vehicle not in compliance with the provisions of 9.2.4.4.2 concerning the evaluation of the REESS may continue to be used.”</w:t>
      </w:r>
    </w:p>
    <w:p w14:paraId="179A8940" w14:textId="77777777" w:rsidR="00C27755" w:rsidRPr="00092B8F" w:rsidRDefault="00C27755" w:rsidP="00C27755">
      <w:pPr>
        <w:pStyle w:val="SingleTxtG"/>
        <w:rPr>
          <w:i/>
          <w:iCs/>
        </w:rPr>
      </w:pPr>
      <w:r>
        <w:rPr>
          <w:i/>
          <w:iCs/>
        </w:rPr>
        <w:t>(Reference document: ECE/TRANS/WP.15/2023/14, proposal 22, as amended)</w:t>
      </w:r>
    </w:p>
    <w:p w14:paraId="1E901FC3" w14:textId="77777777" w:rsidR="00C27755" w:rsidRPr="00200D9B" w:rsidRDefault="00C27755" w:rsidP="00C27755">
      <w:pPr>
        <w:pStyle w:val="H23G"/>
      </w:pPr>
      <w:r w:rsidRPr="00200D9B">
        <w:tab/>
      </w:r>
      <w:r w:rsidRPr="00200D9B">
        <w:tab/>
        <w:t>Chapter 1.8</w:t>
      </w:r>
    </w:p>
    <w:p w14:paraId="1A1F4892" w14:textId="77777777" w:rsidR="00C27755" w:rsidRPr="00200D9B" w:rsidRDefault="00C27755" w:rsidP="00C27755">
      <w:pPr>
        <w:pStyle w:val="SingleTxtG"/>
        <w:ind w:left="2268" w:right="850" w:hanging="1134"/>
      </w:pPr>
      <w:r w:rsidRPr="00200D9B">
        <w:t>[1.8.6.2.1</w:t>
      </w:r>
      <w:r w:rsidRPr="00200D9B">
        <w:tab/>
        <w:t>In the last sentence, after “approve”, add “, recognize or designate”.]</w:t>
      </w:r>
    </w:p>
    <w:p w14:paraId="3D2FBC84" w14:textId="77777777" w:rsidR="00C27755" w:rsidRPr="00200D9B" w:rsidRDefault="00C27755" w:rsidP="00C27755">
      <w:pPr>
        <w:snapToGrid w:val="0"/>
        <w:spacing w:before="120" w:after="120"/>
        <w:ind w:left="1134"/>
        <w:rPr>
          <w:i/>
          <w:iCs/>
        </w:rPr>
      </w:pPr>
      <w:r w:rsidRPr="00200D9B">
        <w:rPr>
          <w:i/>
          <w:iCs/>
        </w:rPr>
        <w:t>(Reference document: ECE/TRANS/WP.15/AC.1/170, annex II) (pending confirmation by the Joint Meeting at its Spring 2024 session)</w:t>
      </w:r>
    </w:p>
    <w:p w14:paraId="6B5FE59F" w14:textId="77777777" w:rsidR="00C27755" w:rsidRPr="00200D9B" w:rsidRDefault="00C27755" w:rsidP="00C27755">
      <w:pPr>
        <w:pStyle w:val="SingleTxtG"/>
        <w:ind w:left="2268" w:right="850" w:hanging="1134"/>
      </w:pPr>
      <w:r w:rsidRPr="00200D9B">
        <w:t>[1.8.6.3.1</w:t>
      </w:r>
      <w:r w:rsidRPr="00200D9B">
        <w:tab/>
        <w:t>Amend the last sentence to read: “The requirements above are deemed to be met in the case of accreditation according to the standard EN ISO/IEC 17020:2012 (except clause 8.1.3).”]</w:t>
      </w:r>
    </w:p>
    <w:p w14:paraId="58F90483" w14:textId="77777777" w:rsidR="00C27755" w:rsidRPr="00200D9B" w:rsidRDefault="00C27755" w:rsidP="00C27755">
      <w:pPr>
        <w:snapToGrid w:val="0"/>
        <w:spacing w:before="120" w:after="120"/>
        <w:ind w:left="1134"/>
        <w:rPr>
          <w:i/>
          <w:iCs/>
        </w:rPr>
      </w:pPr>
      <w:r w:rsidRPr="00200D9B">
        <w:rPr>
          <w:i/>
          <w:iCs/>
        </w:rPr>
        <w:t>(Reference document: ECE/TRANS/WP.15/AC.1/170, annex II) (pending confirmation by the Joint Meeting at its Spring 2024 session)</w:t>
      </w:r>
    </w:p>
    <w:p w14:paraId="642F0A40" w14:textId="77777777" w:rsidR="00C27755" w:rsidRPr="00200D9B" w:rsidRDefault="00C27755" w:rsidP="00C27755">
      <w:pPr>
        <w:pStyle w:val="H23G"/>
      </w:pPr>
      <w:r w:rsidRPr="00200D9B">
        <w:tab/>
      </w:r>
      <w:r w:rsidRPr="00200D9B">
        <w:tab/>
        <w:t>Chapter 6.2</w:t>
      </w:r>
    </w:p>
    <w:p w14:paraId="7BA93255" w14:textId="77777777" w:rsidR="00C27755" w:rsidRPr="00200D9B" w:rsidRDefault="00C27755" w:rsidP="00C27755">
      <w:pPr>
        <w:kinsoku w:val="0"/>
        <w:overflowPunct w:val="0"/>
        <w:autoSpaceDE w:val="0"/>
        <w:autoSpaceDN w:val="0"/>
        <w:adjustRightInd w:val="0"/>
        <w:snapToGrid w:val="0"/>
        <w:spacing w:after="120"/>
        <w:ind w:left="2268" w:right="1134" w:hanging="1134"/>
        <w:jc w:val="both"/>
        <w:rPr>
          <w:rFonts w:eastAsia="SimSun"/>
          <w:lang w:eastAsia="zh-CN"/>
        </w:rPr>
      </w:pPr>
      <w:r w:rsidRPr="00200D9B">
        <w:rPr>
          <w:rFonts w:eastAsia="SimSun"/>
          <w:lang w:eastAsia="zh-CN"/>
        </w:rPr>
        <w:t>6.2.4.1</w:t>
      </w:r>
      <w:r w:rsidRPr="00200D9B">
        <w:rPr>
          <w:rFonts w:eastAsia="SimSun"/>
          <w:lang w:eastAsia="zh-CN"/>
        </w:rPr>
        <w:tab/>
        <w:t>In the table, under “</w:t>
      </w:r>
      <w:r w:rsidRPr="00200D9B">
        <w:rPr>
          <w:rFonts w:eastAsia="SimSun"/>
          <w:i/>
          <w:iCs/>
          <w:lang w:eastAsia="zh-CN"/>
        </w:rPr>
        <w:t>for design and construction of closures</w:t>
      </w:r>
      <w:r w:rsidRPr="00200D9B">
        <w:rPr>
          <w:rFonts w:eastAsia="SimSun"/>
          <w:lang w:eastAsia="zh-CN"/>
        </w:rPr>
        <w:t>”:</w:t>
      </w:r>
    </w:p>
    <w:p w14:paraId="24FCD51A" w14:textId="77777777" w:rsidR="00C27755" w:rsidRPr="00200D9B" w:rsidRDefault="00C27755" w:rsidP="00C27755">
      <w:pPr>
        <w:kinsoku w:val="0"/>
        <w:overflowPunct w:val="0"/>
        <w:autoSpaceDE w:val="0"/>
        <w:autoSpaceDN w:val="0"/>
        <w:adjustRightInd w:val="0"/>
        <w:snapToGrid w:val="0"/>
        <w:spacing w:after="120"/>
        <w:ind w:left="2268" w:right="1134" w:hanging="1134"/>
        <w:jc w:val="both"/>
      </w:pPr>
      <w:r w:rsidRPr="00200D9B">
        <w:tab/>
        <w:t xml:space="preserve">In the row for EN 1626:2008 (except valve category B), in column (4), </w:t>
      </w:r>
      <w:r w:rsidRPr="00200D9B">
        <w:rPr>
          <w:rFonts w:eastAsia="SimSun"/>
          <w:lang w:eastAsia="zh-CN"/>
        </w:rPr>
        <w:t>replace</w:t>
      </w:r>
      <w:r w:rsidRPr="00200D9B">
        <w:t xml:space="preserv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1555"/>
        <w:gridCol w:w="3491"/>
        <w:gridCol w:w="966"/>
        <w:gridCol w:w="961"/>
        <w:gridCol w:w="397"/>
      </w:tblGrid>
      <w:tr w:rsidR="00C27755" w:rsidRPr="00200D9B" w14:paraId="7321C721" w14:textId="77777777" w:rsidTr="00FD6B4E">
        <w:tc>
          <w:tcPr>
            <w:tcW w:w="1555" w:type="dxa"/>
            <w:shd w:val="clear" w:color="auto" w:fill="auto"/>
          </w:tcPr>
          <w:p w14:paraId="1288016B" w14:textId="77777777" w:rsidR="00C27755" w:rsidRPr="00200D9B" w:rsidRDefault="00C27755" w:rsidP="00FD6B4E">
            <w:pPr>
              <w:spacing w:after="120"/>
              <w:jc w:val="center"/>
            </w:pPr>
            <w:bookmarkStart w:id="8" w:name="_Hlk126658985"/>
            <w:r w:rsidRPr="00200D9B">
              <w:rPr>
                <w:bCs/>
                <w:iCs/>
              </w:rPr>
              <w:t>EN ISO 21011</w:t>
            </w:r>
            <w:r w:rsidRPr="00200D9B">
              <w:t>: [2023]</w:t>
            </w:r>
          </w:p>
        </w:tc>
        <w:tc>
          <w:tcPr>
            <w:tcW w:w="3491" w:type="dxa"/>
          </w:tcPr>
          <w:p w14:paraId="06AB177A" w14:textId="77777777" w:rsidR="00C27755" w:rsidRPr="00200D9B" w:rsidRDefault="00C27755" w:rsidP="00FD6B4E">
            <w:pPr>
              <w:ind w:left="144"/>
              <w:rPr>
                <w:bCs/>
              </w:rPr>
            </w:pPr>
            <w:r w:rsidRPr="00200D9B">
              <w:rPr>
                <w:bCs/>
                <w:iCs/>
              </w:rPr>
              <w:t>Cryogenic vessels – Valves for cryogenic service</w:t>
            </w:r>
          </w:p>
        </w:tc>
        <w:tc>
          <w:tcPr>
            <w:tcW w:w="966" w:type="dxa"/>
          </w:tcPr>
          <w:p w14:paraId="6CB0603C" w14:textId="77777777" w:rsidR="00C27755" w:rsidRPr="00200D9B" w:rsidRDefault="00C27755" w:rsidP="00FD6B4E">
            <w:pPr>
              <w:jc w:val="both"/>
            </w:pPr>
            <w:r w:rsidRPr="00200D9B">
              <w:t>6.2.3.1, 6.2.3.3 and 6.2.3.4</w:t>
            </w:r>
          </w:p>
        </w:tc>
        <w:tc>
          <w:tcPr>
            <w:tcW w:w="961" w:type="dxa"/>
          </w:tcPr>
          <w:p w14:paraId="4568D17C" w14:textId="77777777" w:rsidR="00C27755" w:rsidRPr="00200D9B" w:rsidRDefault="00C27755" w:rsidP="00FD6B4E">
            <w:pPr>
              <w:spacing w:after="120"/>
              <w:jc w:val="center"/>
            </w:pPr>
            <w:r w:rsidRPr="00200D9B">
              <w:t>Until further notice</w:t>
            </w:r>
          </w:p>
        </w:tc>
        <w:tc>
          <w:tcPr>
            <w:tcW w:w="397" w:type="dxa"/>
          </w:tcPr>
          <w:p w14:paraId="61396D44" w14:textId="77777777" w:rsidR="00C27755" w:rsidRPr="00200D9B" w:rsidRDefault="00C27755" w:rsidP="00FD6B4E"/>
        </w:tc>
      </w:tr>
    </w:tbl>
    <w:bookmarkEnd w:id="8"/>
    <w:p w14:paraId="71E13FBC" w14:textId="77777777" w:rsidR="00C27755" w:rsidRPr="00200D9B" w:rsidRDefault="00C27755" w:rsidP="00C27755">
      <w:pPr>
        <w:snapToGrid w:val="0"/>
        <w:spacing w:before="120" w:after="120"/>
        <w:ind w:left="1134"/>
        <w:rPr>
          <w:i/>
          <w:iCs/>
        </w:rPr>
      </w:pPr>
      <w:r w:rsidRPr="00200D9B">
        <w:rPr>
          <w:i/>
          <w:iCs/>
        </w:rPr>
        <w:t>(Reference document: ECE/TRANS/WP.15/AC.1/170, annex II) (pending publication of standard)</w:t>
      </w:r>
    </w:p>
    <w:p w14:paraId="69570E26" w14:textId="6E62CCDB" w:rsidR="00C27755" w:rsidRPr="00200D9B" w:rsidRDefault="00C27755" w:rsidP="00C27755">
      <w:pPr>
        <w:pStyle w:val="SingleTxtG"/>
        <w:ind w:left="2268" w:hanging="1134"/>
      </w:pPr>
      <w:r w:rsidRPr="00200D9B">
        <w:tab/>
      </w:r>
      <w:r w:rsidR="00CE58F2">
        <w:tab/>
      </w:r>
      <w:r w:rsidRPr="00200D9B">
        <w:t xml:space="preserve">In the row for standard EN 14129:2014, in column (4), replace “Until further notice” by </w:t>
      </w:r>
      <w:r w:rsidRPr="00200D9B">
        <w:rPr>
          <w:rFonts w:cs="Arial"/>
          <w:szCs w:val="22"/>
        </w:rPr>
        <w:t>“</w:t>
      </w:r>
      <w:r w:rsidRPr="00200D9B">
        <w:t>Between 1 January 2021 and 31 December 2026</w:t>
      </w:r>
      <w:r w:rsidRPr="00200D9B">
        <w:rPr>
          <w:rFonts w:cs="Arial"/>
          <w:szCs w:val="22"/>
        </w:rPr>
        <w:t>”.</w:t>
      </w:r>
      <w:r w:rsidRPr="00200D9B">
        <w:t xml:space="preserve">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086"/>
        <w:gridCol w:w="1117"/>
        <w:gridCol w:w="1225"/>
        <w:gridCol w:w="450"/>
      </w:tblGrid>
      <w:tr w:rsidR="00C27755" w:rsidRPr="00200D9B" w14:paraId="1A641621" w14:textId="77777777" w:rsidTr="00FD6B4E">
        <w:tc>
          <w:tcPr>
            <w:tcW w:w="1622" w:type="dxa"/>
            <w:tcBorders>
              <w:top w:val="single" w:sz="4" w:space="0" w:color="auto"/>
              <w:left w:val="single" w:sz="4" w:space="0" w:color="auto"/>
              <w:bottom w:val="single" w:sz="4" w:space="0" w:color="auto"/>
              <w:right w:val="single" w:sz="4" w:space="0" w:color="auto"/>
            </w:tcBorders>
            <w:vAlign w:val="center"/>
            <w:hideMark/>
          </w:tcPr>
          <w:p w14:paraId="4FD78A72" w14:textId="77777777" w:rsidR="00C27755" w:rsidRPr="00CE58F2" w:rsidRDefault="00C27755" w:rsidP="00FD6B4E">
            <w:pPr>
              <w:spacing w:before="120" w:after="120"/>
              <w:rPr>
                <w:bCs/>
                <w:iCs/>
              </w:rPr>
            </w:pPr>
            <w:r w:rsidRPr="00CE58F2">
              <w:rPr>
                <w:bCs/>
                <w:iCs/>
              </w:rPr>
              <w:t>EN </w:t>
            </w:r>
            <w:proofErr w:type="gramStart"/>
            <w:r w:rsidRPr="00CE58F2">
              <w:rPr>
                <w:bCs/>
                <w:iCs/>
              </w:rPr>
              <w:t>14129</w:t>
            </w:r>
            <w:r w:rsidRPr="00CE58F2">
              <w:rPr>
                <w:bCs/>
              </w:rPr>
              <w:t>:[</w:t>
            </w:r>
            <w:proofErr w:type="gramEnd"/>
            <w:r w:rsidRPr="00CE58F2">
              <w:rPr>
                <w:bCs/>
              </w:rPr>
              <w:t>2023]</w:t>
            </w:r>
          </w:p>
        </w:tc>
        <w:tc>
          <w:tcPr>
            <w:tcW w:w="4086" w:type="dxa"/>
            <w:tcBorders>
              <w:top w:val="single" w:sz="4" w:space="0" w:color="auto"/>
              <w:left w:val="single" w:sz="4" w:space="0" w:color="auto"/>
              <w:bottom w:val="single" w:sz="4" w:space="0" w:color="auto"/>
              <w:right w:val="single" w:sz="4" w:space="0" w:color="auto"/>
            </w:tcBorders>
            <w:hideMark/>
          </w:tcPr>
          <w:p w14:paraId="1AE7087D" w14:textId="77777777" w:rsidR="00C27755" w:rsidRPr="00200D9B" w:rsidRDefault="00C27755" w:rsidP="00FD6B4E">
            <w:pPr>
              <w:rPr>
                <w:bCs/>
                <w:iCs/>
              </w:rPr>
            </w:pPr>
            <w:r w:rsidRPr="00200D9B">
              <w:rPr>
                <w:bCs/>
                <w:iCs/>
              </w:rPr>
              <w:t>LPG Equipment and accessories – Pressure relief valves for LPG pressure vessels</w:t>
            </w:r>
          </w:p>
          <w:p w14:paraId="2C3D6B6B" w14:textId="77777777" w:rsidR="00C27755" w:rsidRPr="00200D9B" w:rsidRDefault="00C27755" w:rsidP="00FD6B4E">
            <w:pPr>
              <w:spacing w:before="120" w:after="120"/>
              <w:rPr>
                <w:iCs/>
              </w:rPr>
            </w:pPr>
            <w:r w:rsidRPr="00200D9B">
              <w:rPr>
                <w:b/>
                <w:i/>
              </w:rPr>
              <w:t xml:space="preserve">NOTE: </w:t>
            </w:r>
            <w:r w:rsidRPr="00200D9B">
              <w:rPr>
                <w:bCs/>
                <w:i/>
              </w:rPr>
              <w:t>This standard is applicable to pressure drums.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B4EB0B3" w14:textId="77777777" w:rsidR="00C27755" w:rsidRPr="00200D9B" w:rsidRDefault="00C27755" w:rsidP="00FD6B4E">
            <w:pPr>
              <w:spacing w:before="120" w:after="120"/>
              <w:rPr>
                <w:iCs/>
              </w:rPr>
            </w:pPr>
            <w:r w:rsidRPr="00200D9B">
              <w:t>6.2.3.1, 6.2.3.3 and 6.2.3.4</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4DDB226" w14:textId="77777777" w:rsidR="00C27755" w:rsidRPr="00200D9B" w:rsidRDefault="00C27755" w:rsidP="00FD6B4E">
            <w:pPr>
              <w:spacing w:before="120" w:after="120"/>
              <w:jc w:val="center"/>
              <w:rPr>
                <w:iCs/>
              </w:rPr>
            </w:pPr>
            <w:r w:rsidRPr="00200D9B">
              <w:t>Until further notice</w:t>
            </w:r>
          </w:p>
        </w:tc>
        <w:tc>
          <w:tcPr>
            <w:tcW w:w="450" w:type="dxa"/>
            <w:tcBorders>
              <w:top w:val="single" w:sz="4" w:space="0" w:color="auto"/>
              <w:left w:val="single" w:sz="4" w:space="0" w:color="auto"/>
              <w:bottom w:val="single" w:sz="4" w:space="0" w:color="auto"/>
              <w:right w:val="single" w:sz="4" w:space="0" w:color="auto"/>
            </w:tcBorders>
          </w:tcPr>
          <w:p w14:paraId="68081D97" w14:textId="77777777" w:rsidR="00C27755" w:rsidRPr="00200D9B" w:rsidRDefault="00C27755" w:rsidP="00FD6B4E">
            <w:pPr>
              <w:spacing w:before="120" w:after="120"/>
            </w:pPr>
          </w:p>
        </w:tc>
      </w:tr>
    </w:tbl>
    <w:p w14:paraId="0CB1B586" w14:textId="77777777" w:rsidR="00C27755" w:rsidRPr="00200D9B" w:rsidRDefault="00C27755" w:rsidP="00C27755">
      <w:pPr>
        <w:spacing w:after="120"/>
        <w:ind w:left="1134" w:right="1134"/>
        <w:jc w:val="both"/>
        <w:rPr>
          <w:i/>
          <w:iCs/>
        </w:rPr>
      </w:pPr>
      <w:r w:rsidRPr="00200D9B">
        <w:rPr>
          <w:i/>
          <w:iCs/>
        </w:rPr>
        <w:t>(Reference document: ECE/TRANS/WP.15/262, annex) (pending publication of standard)</w:t>
      </w:r>
    </w:p>
    <w:p w14:paraId="188D9EBD" w14:textId="77777777" w:rsidR="00C27755" w:rsidRPr="00200D9B" w:rsidRDefault="00C27755" w:rsidP="00C27755">
      <w:pPr>
        <w:pStyle w:val="H23G"/>
      </w:pPr>
      <w:r w:rsidRPr="00200D9B">
        <w:tab/>
      </w:r>
      <w:r w:rsidRPr="00200D9B">
        <w:tab/>
        <w:t>Chapter 6.8</w:t>
      </w:r>
    </w:p>
    <w:p w14:paraId="0C0F6FF6" w14:textId="77777777" w:rsidR="00C27755" w:rsidRPr="00200D9B" w:rsidRDefault="00C27755" w:rsidP="00C27755">
      <w:pPr>
        <w:pStyle w:val="SingleTxtG"/>
        <w:ind w:left="2268" w:right="850" w:hanging="1134"/>
      </w:pPr>
      <w:r>
        <w:t>6.8.2.6.1</w:t>
      </w:r>
      <w:r w:rsidRPr="00200D9B">
        <w:tab/>
        <w:t>In the table, under “</w:t>
      </w:r>
      <w:r w:rsidRPr="00200D9B">
        <w:rPr>
          <w:i/>
          <w:iCs/>
        </w:rPr>
        <w:t>For equipment</w:t>
      </w:r>
      <w:r w:rsidRPr="00200D9B">
        <w:t>”:</w:t>
      </w:r>
    </w:p>
    <w:p w14:paraId="687B54DC" w14:textId="77777777" w:rsidR="007D3BE7" w:rsidRPr="00200D9B" w:rsidRDefault="007D3BE7" w:rsidP="007D3BE7">
      <w:pPr>
        <w:spacing w:after="120"/>
        <w:ind w:left="2268" w:right="1134"/>
        <w:jc w:val="both"/>
      </w:pPr>
      <w:r w:rsidRPr="00200D9B">
        <w:lastRenderedPageBreak/>
        <w:t xml:space="preserve">In the row for </w:t>
      </w:r>
      <w:r w:rsidRPr="00200D9B">
        <w:rPr>
          <w:rFonts w:eastAsia="SimSun"/>
          <w:lang w:eastAsia="zh-CN"/>
        </w:rPr>
        <w:t>EN</w:t>
      </w:r>
      <w:r w:rsidRPr="00200D9B">
        <w:t xml:space="preserve"> 1626:2008 (except valve category B), in column (4), replace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961"/>
        <w:gridCol w:w="4073"/>
        <w:gridCol w:w="980"/>
        <w:gridCol w:w="960"/>
        <w:gridCol w:w="396"/>
      </w:tblGrid>
      <w:tr w:rsidR="007D3BE7" w:rsidRPr="00200D9B" w14:paraId="4C62ED5F" w14:textId="77777777" w:rsidTr="00FD6B4E">
        <w:tc>
          <w:tcPr>
            <w:tcW w:w="993" w:type="dxa"/>
          </w:tcPr>
          <w:p w14:paraId="5E737AD9" w14:textId="77777777" w:rsidR="007D3BE7" w:rsidRPr="00200D9B" w:rsidRDefault="007D3BE7" w:rsidP="00FD6B4E">
            <w:pPr>
              <w:spacing w:after="120"/>
              <w:jc w:val="center"/>
            </w:pPr>
            <w:r w:rsidRPr="00200D9B">
              <w:rPr>
                <w:bCs/>
                <w:iCs/>
              </w:rPr>
              <w:t>EN ISO 21011</w:t>
            </w:r>
            <w:r w:rsidRPr="00200D9B">
              <w:t>: [2023]</w:t>
            </w:r>
          </w:p>
        </w:tc>
        <w:tc>
          <w:tcPr>
            <w:tcW w:w="4394" w:type="dxa"/>
          </w:tcPr>
          <w:p w14:paraId="0F3CCB80" w14:textId="77777777" w:rsidR="007D3BE7" w:rsidRPr="00200D9B" w:rsidRDefault="007D3BE7" w:rsidP="00FD6B4E">
            <w:pPr>
              <w:ind w:left="144"/>
              <w:rPr>
                <w:bCs/>
                <w:iCs/>
              </w:rPr>
            </w:pPr>
            <w:r w:rsidRPr="00200D9B">
              <w:rPr>
                <w:bCs/>
                <w:iCs/>
              </w:rPr>
              <w:t>Cryogenic vessels – Valves for cryogenic service</w:t>
            </w:r>
          </w:p>
        </w:tc>
        <w:tc>
          <w:tcPr>
            <w:tcW w:w="992" w:type="dxa"/>
          </w:tcPr>
          <w:p w14:paraId="2A5799DC" w14:textId="77777777" w:rsidR="007D3BE7" w:rsidRPr="00200D9B" w:rsidRDefault="007D3BE7" w:rsidP="00FD6B4E">
            <w:pPr>
              <w:jc w:val="both"/>
            </w:pPr>
            <w:r w:rsidRPr="00200D9B">
              <w:t>6.8.2.2.1, 6.8.2.4 and 6.8.3.4</w:t>
            </w:r>
          </w:p>
        </w:tc>
        <w:tc>
          <w:tcPr>
            <w:tcW w:w="992" w:type="dxa"/>
          </w:tcPr>
          <w:p w14:paraId="7DB654C6" w14:textId="77777777" w:rsidR="007D3BE7" w:rsidRPr="00200D9B" w:rsidRDefault="007D3BE7" w:rsidP="00FD6B4E">
            <w:pPr>
              <w:spacing w:after="120"/>
              <w:jc w:val="center"/>
            </w:pPr>
            <w:r w:rsidRPr="00200D9B">
              <w:t>Until further notice</w:t>
            </w:r>
          </w:p>
        </w:tc>
        <w:tc>
          <w:tcPr>
            <w:tcW w:w="426" w:type="dxa"/>
          </w:tcPr>
          <w:p w14:paraId="56DF378D" w14:textId="77777777" w:rsidR="007D3BE7" w:rsidRPr="00200D9B" w:rsidRDefault="007D3BE7" w:rsidP="00FD6B4E"/>
        </w:tc>
      </w:tr>
    </w:tbl>
    <w:p w14:paraId="0A39247D" w14:textId="77777777" w:rsidR="007D3BE7" w:rsidRPr="00200D9B" w:rsidRDefault="007D3BE7" w:rsidP="007D3BE7">
      <w:pPr>
        <w:snapToGrid w:val="0"/>
        <w:spacing w:before="120" w:after="120"/>
        <w:ind w:left="1134"/>
        <w:rPr>
          <w:i/>
          <w:iCs/>
        </w:rPr>
      </w:pPr>
      <w:r w:rsidRPr="00200D9B">
        <w:rPr>
          <w:i/>
          <w:iCs/>
        </w:rPr>
        <w:t>(Reference document: ECE/TRANS/WP.15/AC.1/170, annex II) (pending publication of standard)</w:t>
      </w:r>
    </w:p>
    <w:p w14:paraId="4746E5CA" w14:textId="77777777" w:rsidR="00C27755" w:rsidRPr="00200D9B" w:rsidRDefault="00C27755" w:rsidP="00C27755">
      <w:pPr>
        <w:spacing w:after="120"/>
        <w:ind w:left="2268" w:right="1134"/>
        <w:jc w:val="both"/>
      </w:pPr>
      <w:r w:rsidRPr="00200D9B">
        <w:t>In the row for standard EN 14129:2014, in column (4), replace “Until further notice” by “Between 1 January 2015 and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C27755" w:rsidRPr="00200D9B" w14:paraId="0D36814E" w14:textId="77777777" w:rsidTr="00FD6B4E">
        <w:tc>
          <w:tcPr>
            <w:tcW w:w="1413" w:type="dxa"/>
            <w:tcBorders>
              <w:top w:val="single" w:sz="4" w:space="0" w:color="auto"/>
              <w:left w:val="single" w:sz="4" w:space="0" w:color="auto"/>
              <w:bottom w:val="single" w:sz="4" w:space="0" w:color="auto"/>
              <w:right w:val="single" w:sz="4" w:space="0" w:color="auto"/>
            </w:tcBorders>
            <w:vAlign w:val="center"/>
            <w:hideMark/>
          </w:tcPr>
          <w:p w14:paraId="36A81633" w14:textId="77777777" w:rsidR="00C27755" w:rsidRPr="00200D9B" w:rsidRDefault="00C27755" w:rsidP="00FD6B4E">
            <w:pPr>
              <w:spacing w:before="120" w:after="120"/>
              <w:rPr>
                <w:bCs/>
                <w:iCs/>
              </w:rPr>
            </w:pPr>
            <w:r w:rsidRPr="00200D9B">
              <w:rPr>
                <w:bCs/>
                <w:iCs/>
              </w:rPr>
              <w:t xml:space="preserve">EN </w:t>
            </w:r>
            <w:proofErr w:type="gramStart"/>
            <w:r w:rsidRPr="00200D9B">
              <w:rPr>
                <w:bCs/>
                <w:iCs/>
              </w:rPr>
              <w:t>14129</w:t>
            </w:r>
            <w:r w:rsidRPr="00200D9B">
              <w:rPr>
                <w:bCs/>
              </w:rPr>
              <w:t>:[</w:t>
            </w:r>
            <w:proofErr w:type="gramEnd"/>
            <w:r w:rsidRPr="00200D9B">
              <w:rPr>
                <w:bCs/>
              </w:rPr>
              <w:t>2023]</w:t>
            </w:r>
          </w:p>
        </w:tc>
        <w:tc>
          <w:tcPr>
            <w:tcW w:w="4252" w:type="dxa"/>
            <w:tcBorders>
              <w:top w:val="single" w:sz="4" w:space="0" w:color="auto"/>
              <w:left w:val="single" w:sz="4" w:space="0" w:color="auto"/>
              <w:bottom w:val="single" w:sz="4" w:space="0" w:color="auto"/>
              <w:right w:val="single" w:sz="4" w:space="0" w:color="auto"/>
            </w:tcBorders>
            <w:hideMark/>
          </w:tcPr>
          <w:p w14:paraId="696885E1" w14:textId="77777777" w:rsidR="00C27755" w:rsidRPr="00200D9B" w:rsidRDefault="00C27755" w:rsidP="00FD6B4E">
            <w:pPr>
              <w:spacing w:before="120" w:after="120"/>
              <w:rPr>
                <w:iCs/>
              </w:rPr>
            </w:pPr>
            <w:r w:rsidRPr="00200D9B">
              <w:rPr>
                <w:bCs/>
                <w:iCs/>
              </w:rPr>
              <w:t>LPG Equipment and accessories – Pressure relief valves for LPG pressure vessels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50365" w14:textId="77777777" w:rsidR="00C27755" w:rsidRPr="00200D9B" w:rsidRDefault="00C27755" w:rsidP="00FD6B4E">
            <w:pPr>
              <w:spacing w:before="120" w:after="120"/>
              <w:rPr>
                <w:iCs/>
              </w:rPr>
            </w:pPr>
            <w:r w:rsidRPr="00200D9B">
              <w:t>6.8.2.1.1 and 6.8.3.2.9</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1C020CC" w14:textId="77777777" w:rsidR="00C27755" w:rsidRPr="00200D9B" w:rsidRDefault="00C27755" w:rsidP="00FD6B4E">
            <w:pPr>
              <w:spacing w:before="120" w:after="120"/>
              <w:jc w:val="center"/>
              <w:rPr>
                <w:iCs/>
              </w:rPr>
            </w:pPr>
            <w:r w:rsidRPr="00200D9B">
              <w:t>Until further notice</w:t>
            </w:r>
          </w:p>
        </w:tc>
        <w:tc>
          <w:tcPr>
            <w:tcW w:w="450" w:type="dxa"/>
            <w:tcBorders>
              <w:top w:val="single" w:sz="4" w:space="0" w:color="auto"/>
              <w:left w:val="single" w:sz="4" w:space="0" w:color="auto"/>
              <w:bottom w:val="single" w:sz="4" w:space="0" w:color="auto"/>
              <w:right w:val="single" w:sz="4" w:space="0" w:color="auto"/>
            </w:tcBorders>
          </w:tcPr>
          <w:p w14:paraId="12B6E331" w14:textId="77777777" w:rsidR="00C27755" w:rsidRPr="00200D9B" w:rsidRDefault="00C27755" w:rsidP="00FD6B4E">
            <w:pPr>
              <w:spacing w:before="120" w:after="120"/>
            </w:pPr>
          </w:p>
        </w:tc>
      </w:tr>
    </w:tbl>
    <w:p w14:paraId="7F0B5124" w14:textId="77777777" w:rsidR="00C27755" w:rsidRPr="00200D9B" w:rsidRDefault="00C27755" w:rsidP="00C27755">
      <w:pPr>
        <w:spacing w:after="120"/>
        <w:ind w:left="1134" w:right="1134"/>
        <w:jc w:val="both"/>
        <w:rPr>
          <w:i/>
          <w:iCs/>
        </w:rPr>
      </w:pPr>
      <w:r w:rsidRPr="00200D9B">
        <w:rPr>
          <w:i/>
          <w:iCs/>
        </w:rPr>
        <w:t>(Reference document: ECE/TRANS/WP.15/262, annex) (pending publication of standard)</w:t>
      </w:r>
    </w:p>
    <w:p w14:paraId="1E4C39E8" w14:textId="77777777" w:rsidR="00C27755" w:rsidRDefault="00C27755" w:rsidP="00C27755">
      <w:pPr>
        <w:pStyle w:val="H23G"/>
      </w:pPr>
      <w:r>
        <w:tab/>
      </w:r>
      <w:r>
        <w:tab/>
        <w:t>Chapter 9.2</w:t>
      </w:r>
    </w:p>
    <w:p w14:paraId="6D56324D" w14:textId="77777777" w:rsidR="00C27755" w:rsidRDefault="00C27755" w:rsidP="00610608">
      <w:pPr>
        <w:pStyle w:val="SingleTxtG"/>
        <w:tabs>
          <w:tab w:val="clear" w:pos="1701"/>
        </w:tabs>
        <w:ind w:left="2268" w:hanging="1134"/>
      </w:pPr>
      <w:r>
        <w:t>9.2.1.1</w:t>
      </w:r>
      <w:r>
        <w:tab/>
      </w:r>
      <w:r w:rsidRPr="002D45F3">
        <w:t xml:space="preserve">Amend the following </w:t>
      </w:r>
      <w:r>
        <w:t>rows</w:t>
      </w:r>
      <w:r w:rsidRPr="002D45F3">
        <w:t xml:space="preserve"> in the table</w:t>
      </w:r>
      <w:r>
        <w:t>:</w:t>
      </w:r>
    </w:p>
    <w:p w14:paraId="1ED49695" w14:textId="271AEC5E" w:rsidR="00C27755" w:rsidRDefault="00C27755" w:rsidP="008E07FD">
      <w:pPr>
        <w:pStyle w:val="Bullet1G"/>
      </w:pPr>
      <w:r>
        <w:tab/>
        <w:t>For 9</w:t>
      </w:r>
      <w:r w:rsidRPr="00BE264C">
        <w:t>.2.4</w:t>
      </w:r>
      <w:r>
        <w:t>, r</w:t>
      </w:r>
      <w:r w:rsidRPr="00BE264C">
        <w:t>eplace “</w:t>
      </w:r>
      <w:r w:rsidRPr="00F05903">
        <w:t>PREVENTION OF FIRE RISKS</w:t>
      </w:r>
      <w:r w:rsidRPr="00BE264C">
        <w:t>” by “</w:t>
      </w:r>
      <w:r w:rsidRPr="00F05903">
        <w:t>VEHICLE PROPULSION SYSTEM</w:t>
      </w:r>
      <w:r w:rsidRPr="00BE264C">
        <w:t>”</w:t>
      </w:r>
      <w:r>
        <w:t>.</w:t>
      </w:r>
    </w:p>
    <w:p w14:paraId="5CA1871A" w14:textId="1AEEE4EE" w:rsidR="00C27755" w:rsidRDefault="00C27755" w:rsidP="008E07FD">
      <w:pPr>
        <w:pStyle w:val="Bullet1G"/>
      </w:pPr>
      <w:r>
        <w:tab/>
        <w:t xml:space="preserve">For </w:t>
      </w:r>
      <w:r w:rsidRPr="009122B2">
        <w:t>9.2.4.3</w:t>
      </w:r>
      <w:r>
        <w:rPr>
          <w:lang w:val="en-US"/>
        </w:rPr>
        <w:t>,</w:t>
      </w:r>
      <w:r>
        <w:t xml:space="preserve"> r</w:t>
      </w:r>
      <w:r w:rsidRPr="009122B2">
        <w:t>enumber as 9.2.4.2, in the column for “AT”</w:t>
      </w:r>
      <w:r>
        <w:t>, add “</w:t>
      </w:r>
      <w:proofErr w:type="spellStart"/>
      <w:r>
        <w:t>X</w:t>
      </w:r>
      <w:r>
        <w:rPr>
          <w:vertAlign w:val="superscript"/>
        </w:rPr>
        <w:t>k</w:t>
      </w:r>
      <w:proofErr w:type="spellEnd"/>
      <w:r>
        <w:t>”</w:t>
      </w:r>
      <w:r w:rsidRPr="009122B2">
        <w:t xml:space="preserve"> and </w:t>
      </w:r>
      <w:r>
        <w:t>in</w:t>
      </w:r>
      <w:r w:rsidRPr="009122B2">
        <w:t xml:space="preserve"> column “COMMENTS”</w:t>
      </w:r>
      <w:r>
        <w:t>,</w:t>
      </w:r>
      <w:r w:rsidRPr="009122B2">
        <w:t xml:space="preserve"> add “</w:t>
      </w:r>
      <w:r>
        <w:rPr>
          <w:vertAlign w:val="superscript"/>
        </w:rPr>
        <w:t xml:space="preserve">k </w:t>
      </w:r>
      <w:r w:rsidRPr="009122B2">
        <w:t xml:space="preserve">Applicable to motor vehicles first registered after </w:t>
      </w:r>
      <w:r>
        <w:t>[</w:t>
      </w:r>
      <w:r w:rsidRPr="009122B2">
        <w:t>31 March 2026</w:t>
      </w:r>
      <w:r>
        <w:t>]</w:t>
      </w:r>
      <w:r w:rsidRPr="009122B2">
        <w:t>”.</w:t>
      </w:r>
    </w:p>
    <w:p w14:paraId="3BC8DA65" w14:textId="4CCE2F52" w:rsidR="00C27755" w:rsidRDefault="00C27755" w:rsidP="008E07FD">
      <w:pPr>
        <w:pStyle w:val="Bullet1G"/>
      </w:pPr>
      <w:r>
        <w:tab/>
        <w:t xml:space="preserve">For </w:t>
      </w:r>
      <w:r w:rsidRPr="00264125">
        <w:t>9.2.4.4</w:t>
      </w:r>
      <w:r>
        <w:t>,</w:t>
      </w:r>
      <w:r w:rsidRPr="00264125">
        <w:t xml:space="preserve"> renumber as 9.2.4.3 and replace “Engine” by “Internal combustion engine”.</w:t>
      </w:r>
    </w:p>
    <w:p w14:paraId="236F2863" w14:textId="45EC11B6" w:rsidR="00C27755" w:rsidRDefault="00C27755" w:rsidP="008E07FD">
      <w:pPr>
        <w:pStyle w:val="Bullet1G"/>
      </w:pPr>
      <w:r>
        <w:tab/>
        <w:t>Delete the row for 9.2.4.5.</w:t>
      </w:r>
    </w:p>
    <w:p w14:paraId="7A6D33AE" w14:textId="4CDD5250" w:rsidR="00C27755" w:rsidRPr="000B6773" w:rsidRDefault="00C27755" w:rsidP="008E07FD">
      <w:pPr>
        <w:pStyle w:val="Bullet1G"/>
      </w:pPr>
      <w:r>
        <w:tab/>
        <w:t>Renumber 9.2.4.6 as 9.2.4.4.</w:t>
      </w:r>
    </w:p>
    <w:p w14:paraId="4A64929F" w14:textId="0EC1A12E" w:rsidR="00C27755" w:rsidRDefault="00C27755" w:rsidP="008E07FD">
      <w:pPr>
        <w:pStyle w:val="Bullet1G"/>
      </w:pPr>
      <w:r>
        <w:tab/>
        <w:t>Add new rows for 9.2.4.4.1, 9.2.4.4.2 and 9.2.4.4.3 to read as follows:</w:t>
      </w:r>
    </w:p>
    <w:tbl>
      <w:tblPr>
        <w:tblStyle w:val="TableGrid"/>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C27755" w14:paraId="0A667A69" w14:textId="77777777" w:rsidTr="00FD6B4E">
        <w:tc>
          <w:tcPr>
            <w:tcW w:w="993" w:type="dxa"/>
          </w:tcPr>
          <w:p w14:paraId="0F59B3B5" w14:textId="77777777" w:rsidR="00C27755" w:rsidRDefault="00C27755" w:rsidP="00FD6B4E">
            <w:r>
              <w:t>9.2.4.4.1</w:t>
            </w:r>
          </w:p>
        </w:tc>
        <w:tc>
          <w:tcPr>
            <w:tcW w:w="2551" w:type="dxa"/>
          </w:tcPr>
          <w:p w14:paraId="7F4FE757" w14:textId="77777777" w:rsidR="00C27755" w:rsidRDefault="00C27755" w:rsidP="00FD6B4E">
            <w:r>
              <w:t>General provisions</w:t>
            </w:r>
          </w:p>
        </w:tc>
        <w:tc>
          <w:tcPr>
            <w:tcW w:w="436" w:type="dxa"/>
            <w:vAlign w:val="center"/>
          </w:tcPr>
          <w:p w14:paraId="376AE479" w14:textId="77777777" w:rsidR="00C27755" w:rsidRDefault="00C27755" w:rsidP="00FD6B4E">
            <w:pPr>
              <w:jc w:val="center"/>
            </w:pPr>
          </w:p>
        </w:tc>
        <w:tc>
          <w:tcPr>
            <w:tcW w:w="437" w:type="dxa"/>
            <w:vAlign w:val="center"/>
          </w:tcPr>
          <w:p w14:paraId="1ACBD724" w14:textId="77777777" w:rsidR="00C27755" w:rsidRDefault="00C27755" w:rsidP="00FD6B4E">
            <w:pPr>
              <w:jc w:val="center"/>
            </w:pPr>
          </w:p>
        </w:tc>
        <w:tc>
          <w:tcPr>
            <w:tcW w:w="437" w:type="dxa"/>
            <w:vAlign w:val="center"/>
          </w:tcPr>
          <w:p w14:paraId="19094A1C" w14:textId="77777777" w:rsidR="00C27755" w:rsidRDefault="00C27755" w:rsidP="00FD6B4E">
            <w:pPr>
              <w:jc w:val="center"/>
            </w:pPr>
            <w:r>
              <w:t>X</w:t>
            </w:r>
          </w:p>
        </w:tc>
        <w:tc>
          <w:tcPr>
            <w:tcW w:w="437" w:type="dxa"/>
            <w:vAlign w:val="center"/>
          </w:tcPr>
          <w:p w14:paraId="146CD955" w14:textId="77777777" w:rsidR="00C27755" w:rsidRDefault="00C27755" w:rsidP="00FD6B4E">
            <w:pPr>
              <w:jc w:val="center"/>
            </w:pPr>
            <w:r>
              <w:t>X</w:t>
            </w:r>
          </w:p>
        </w:tc>
        <w:tc>
          <w:tcPr>
            <w:tcW w:w="2126" w:type="dxa"/>
          </w:tcPr>
          <w:p w14:paraId="2EDA5E75" w14:textId="77777777" w:rsidR="00C27755" w:rsidRDefault="00C27755" w:rsidP="00FD6B4E"/>
        </w:tc>
      </w:tr>
      <w:tr w:rsidR="00C27755" w14:paraId="56A9CD5F" w14:textId="77777777" w:rsidTr="00FD6B4E">
        <w:tc>
          <w:tcPr>
            <w:tcW w:w="993" w:type="dxa"/>
          </w:tcPr>
          <w:p w14:paraId="1872C1B3" w14:textId="77777777" w:rsidR="00C27755" w:rsidRDefault="00C27755" w:rsidP="00FD6B4E">
            <w:r>
              <w:t>9.2.4.4.2</w:t>
            </w:r>
          </w:p>
        </w:tc>
        <w:tc>
          <w:tcPr>
            <w:tcW w:w="2551" w:type="dxa"/>
          </w:tcPr>
          <w:p w14:paraId="057DA24F" w14:textId="77777777" w:rsidR="00C27755" w:rsidRDefault="00C27755" w:rsidP="00FD6B4E">
            <w:r>
              <w:t>Rechargeable electrical energy system</w:t>
            </w:r>
          </w:p>
        </w:tc>
        <w:tc>
          <w:tcPr>
            <w:tcW w:w="436" w:type="dxa"/>
            <w:vAlign w:val="center"/>
          </w:tcPr>
          <w:p w14:paraId="3FC85F9B" w14:textId="77777777" w:rsidR="00C27755" w:rsidRDefault="00C27755" w:rsidP="00FD6B4E">
            <w:pPr>
              <w:jc w:val="center"/>
            </w:pPr>
          </w:p>
        </w:tc>
        <w:tc>
          <w:tcPr>
            <w:tcW w:w="437" w:type="dxa"/>
            <w:vAlign w:val="center"/>
          </w:tcPr>
          <w:p w14:paraId="05088BEA" w14:textId="77777777" w:rsidR="00C27755" w:rsidRDefault="00C27755" w:rsidP="00FD6B4E">
            <w:pPr>
              <w:jc w:val="center"/>
            </w:pPr>
          </w:p>
        </w:tc>
        <w:tc>
          <w:tcPr>
            <w:tcW w:w="437" w:type="dxa"/>
            <w:vAlign w:val="center"/>
          </w:tcPr>
          <w:p w14:paraId="33EC31E0" w14:textId="77777777" w:rsidR="00C27755" w:rsidRPr="00FB6A8D" w:rsidRDefault="00C27755" w:rsidP="00FD6B4E">
            <w:pPr>
              <w:jc w:val="center"/>
              <w:rPr>
                <w:vertAlign w:val="superscript"/>
              </w:rPr>
            </w:pPr>
            <w:proofErr w:type="spellStart"/>
            <w:r>
              <w:t>X</w:t>
            </w:r>
            <w:r>
              <w:rPr>
                <w:vertAlign w:val="superscript"/>
              </w:rPr>
              <w:t>k</w:t>
            </w:r>
            <w:proofErr w:type="spellEnd"/>
          </w:p>
        </w:tc>
        <w:tc>
          <w:tcPr>
            <w:tcW w:w="437" w:type="dxa"/>
            <w:vAlign w:val="center"/>
          </w:tcPr>
          <w:p w14:paraId="07423C1D" w14:textId="77777777" w:rsidR="00C27755" w:rsidRDefault="00C27755" w:rsidP="00FD6B4E">
            <w:pPr>
              <w:jc w:val="center"/>
            </w:pPr>
            <w:r>
              <w:t>X</w:t>
            </w:r>
          </w:p>
        </w:tc>
        <w:tc>
          <w:tcPr>
            <w:tcW w:w="2126" w:type="dxa"/>
          </w:tcPr>
          <w:p w14:paraId="1308E0EE" w14:textId="77777777" w:rsidR="00C27755" w:rsidRDefault="00C27755" w:rsidP="00FD6B4E">
            <w:r>
              <w:rPr>
                <w:vertAlign w:val="superscript"/>
              </w:rPr>
              <w:t xml:space="preserve">k </w:t>
            </w:r>
            <w:r w:rsidRPr="009122B2">
              <w:t xml:space="preserve">Applicable to motor vehicles first registered after </w:t>
            </w:r>
            <w:r>
              <w:t>[</w:t>
            </w:r>
            <w:r w:rsidRPr="009122B2">
              <w:t>31 March 2026</w:t>
            </w:r>
            <w:r>
              <w:t>].</w:t>
            </w:r>
          </w:p>
        </w:tc>
      </w:tr>
      <w:tr w:rsidR="00C27755" w14:paraId="5A3EA2B7" w14:textId="77777777" w:rsidTr="00FD6B4E">
        <w:tc>
          <w:tcPr>
            <w:tcW w:w="993" w:type="dxa"/>
          </w:tcPr>
          <w:p w14:paraId="4B389738" w14:textId="77777777" w:rsidR="00C27755" w:rsidRDefault="00C27755" w:rsidP="00FD6B4E">
            <w:r>
              <w:t>9.2.4.4.3</w:t>
            </w:r>
          </w:p>
        </w:tc>
        <w:tc>
          <w:tcPr>
            <w:tcW w:w="2551" w:type="dxa"/>
          </w:tcPr>
          <w:p w14:paraId="550E13C9" w14:textId="77777777" w:rsidR="00C27755" w:rsidRDefault="00C27755" w:rsidP="00FD6B4E">
            <w:r>
              <w:t>Measures against thermal propagation</w:t>
            </w:r>
          </w:p>
        </w:tc>
        <w:tc>
          <w:tcPr>
            <w:tcW w:w="436" w:type="dxa"/>
            <w:vAlign w:val="center"/>
          </w:tcPr>
          <w:p w14:paraId="1819FB0F" w14:textId="77777777" w:rsidR="00C27755" w:rsidRDefault="00C27755" w:rsidP="00FD6B4E">
            <w:pPr>
              <w:jc w:val="center"/>
            </w:pPr>
          </w:p>
        </w:tc>
        <w:tc>
          <w:tcPr>
            <w:tcW w:w="437" w:type="dxa"/>
            <w:vAlign w:val="center"/>
          </w:tcPr>
          <w:p w14:paraId="37C13DA6" w14:textId="77777777" w:rsidR="00C27755" w:rsidRDefault="00C27755" w:rsidP="00FD6B4E">
            <w:pPr>
              <w:jc w:val="center"/>
            </w:pPr>
          </w:p>
        </w:tc>
        <w:tc>
          <w:tcPr>
            <w:tcW w:w="437" w:type="dxa"/>
            <w:vAlign w:val="center"/>
          </w:tcPr>
          <w:p w14:paraId="0B66E2EC" w14:textId="77777777" w:rsidR="00C27755" w:rsidRDefault="00C27755" w:rsidP="00FD6B4E">
            <w:pPr>
              <w:jc w:val="center"/>
            </w:pPr>
          </w:p>
        </w:tc>
        <w:tc>
          <w:tcPr>
            <w:tcW w:w="437" w:type="dxa"/>
            <w:vAlign w:val="center"/>
          </w:tcPr>
          <w:p w14:paraId="051C3481" w14:textId="77777777" w:rsidR="00C27755" w:rsidRDefault="00C27755" w:rsidP="00FD6B4E">
            <w:pPr>
              <w:jc w:val="center"/>
            </w:pPr>
            <w:r>
              <w:t>X</w:t>
            </w:r>
          </w:p>
        </w:tc>
        <w:tc>
          <w:tcPr>
            <w:tcW w:w="2126" w:type="dxa"/>
          </w:tcPr>
          <w:p w14:paraId="2616F841" w14:textId="77777777" w:rsidR="00C27755" w:rsidRDefault="00C27755" w:rsidP="00FD6B4E"/>
        </w:tc>
      </w:tr>
    </w:tbl>
    <w:p w14:paraId="2FF51CCD" w14:textId="71860DF9" w:rsidR="00C27755" w:rsidRDefault="00C27755" w:rsidP="001C6117">
      <w:pPr>
        <w:pStyle w:val="Bullet1G"/>
        <w:spacing w:before="120"/>
      </w:pPr>
      <w:r>
        <w:tab/>
        <w:t>Delete the row for 9.2.4.7.</w:t>
      </w:r>
    </w:p>
    <w:p w14:paraId="695EA189" w14:textId="6097BCE6" w:rsidR="00C27755" w:rsidRDefault="00C27755" w:rsidP="001C6117">
      <w:pPr>
        <w:pStyle w:val="Bullet1G"/>
      </w:pPr>
      <w:r>
        <w:tab/>
        <w:t>Add a new row for 9.2.4.5 to read as follows:</w:t>
      </w:r>
    </w:p>
    <w:tbl>
      <w:tblPr>
        <w:tblStyle w:val="TableGrid"/>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C27755" w14:paraId="3A174518" w14:textId="77777777" w:rsidTr="00FD6B4E">
        <w:tc>
          <w:tcPr>
            <w:tcW w:w="993" w:type="dxa"/>
          </w:tcPr>
          <w:p w14:paraId="6E680665" w14:textId="77777777" w:rsidR="00C27755" w:rsidRDefault="00C27755" w:rsidP="00FD6B4E">
            <w:r>
              <w:t>9.2.4.5</w:t>
            </w:r>
          </w:p>
        </w:tc>
        <w:tc>
          <w:tcPr>
            <w:tcW w:w="2551" w:type="dxa"/>
          </w:tcPr>
          <w:p w14:paraId="27CA33AC" w14:textId="77777777" w:rsidR="00C27755" w:rsidRDefault="00C27755" w:rsidP="00FD6B4E">
            <w:r>
              <w:t>Hydrogen fuel cell</w:t>
            </w:r>
          </w:p>
        </w:tc>
        <w:tc>
          <w:tcPr>
            <w:tcW w:w="436" w:type="dxa"/>
            <w:vAlign w:val="center"/>
          </w:tcPr>
          <w:p w14:paraId="132D2561" w14:textId="77777777" w:rsidR="00C27755" w:rsidRDefault="00C27755" w:rsidP="00FD6B4E">
            <w:pPr>
              <w:jc w:val="center"/>
            </w:pPr>
          </w:p>
        </w:tc>
        <w:tc>
          <w:tcPr>
            <w:tcW w:w="437" w:type="dxa"/>
            <w:vAlign w:val="center"/>
          </w:tcPr>
          <w:p w14:paraId="45FFB030" w14:textId="77777777" w:rsidR="00C27755" w:rsidRDefault="00C27755" w:rsidP="00FD6B4E">
            <w:pPr>
              <w:jc w:val="center"/>
            </w:pPr>
          </w:p>
        </w:tc>
        <w:tc>
          <w:tcPr>
            <w:tcW w:w="437" w:type="dxa"/>
            <w:vAlign w:val="center"/>
          </w:tcPr>
          <w:p w14:paraId="7D16F2E2" w14:textId="77777777" w:rsidR="00C27755" w:rsidRDefault="00C27755" w:rsidP="00FD6B4E">
            <w:pPr>
              <w:jc w:val="center"/>
            </w:pPr>
            <w:r>
              <w:t>X</w:t>
            </w:r>
          </w:p>
        </w:tc>
        <w:tc>
          <w:tcPr>
            <w:tcW w:w="437" w:type="dxa"/>
            <w:vAlign w:val="center"/>
          </w:tcPr>
          <w:p w14:paraId="7470B2F2" w14:textId="77777777" w:rsidR="00C27755" w:rsidRDefault="00C27755" w:rsidP="00FD6B4E">
            <w:pPr>
              <w:jc w:val="center"/>
            </w:pPr>
            <w:r>
              <w:t>X</w:t>
            </w:r>
          </w:p>
        </w:tc>
        <w:tc>
          <w:tcPr>
            <w:tcW w:w="2126" w:type="dxa"/>
          </w:tcPr>
          <w:p w14:paraId="228DEF05" w14:textId="77777777" w:rsidR="00C27755" w:rsidRDefault="00C27755" w:rsidP="00FD6B4E"/>
        </w:tc>
      </w:tr>
    </w:tbl>
    <w:p w14:paraId="29C27EFD" w14:textId="19E4FADC" w:rsidR="00C27755" w:rsidRPr="000B6773" w:rsidRDefault="00C27755" w:rsidP="001C6117">
      <w:pPr>
        <w:pStyle w:val="Bullet1G"/>
        <w:spacing w:before="120"/>
      </w:pPr>
      <w:r>
        <w:tab/>
        <w:t xml:space="preserve">Renumber </w:t>
      </w:r>
      <w:r w:rsidRPr="00A80217">
        <w:t>9.2.4.8 to 9.2.4.8.6 as 9.2.5 to 9.2.5.6</w:t>
      </w:r>
      <w:r>
        <w:t>.</w:t>
      </w:r>
    </w:p>
    <w:p w14:paraId="258E7E83" w14:textId="2CEA65D7" w:rsidR="00C27755" w:rsidRPr="000B6773" w:rsidRDefault="00C27755" w:rsidP="001C6117">
      <w:pPr>
        <w:pStyle w:val="Bullet1G"/>
      </w:pPr>
      <w:r>
        <w:tab/>
        <w:t xml:space="preserve">Renumber </w:t>
      </w:r>
      <w:r w:rsidRPr="00A80217">
        <w:t>9.2.</w:t>
      </w:r>
      <w:r>
        <w:t>5</w:t>
      </w:r>
      <w:r w:rsidRPr="00A80217">
        <w:t xml:space="preserve"> to 9.2.</w:t>
      </w:r>
      <w:r>
        <w:t>7</w:t>
      </w:r>
      <w:r w:rsidRPr="00A80217">
        <w:t xml:space="preserve"> as 9.2.</w:t>
      </w:r>
      <w:r>
        <w:t xml:space="preserve">6 </w:t>
      </w:r>
      <w:r w:rsidRPr="00A80217">
        <w:t>to 9.2.</w:t>
      </w:r>
      <w:r>
        <w:t>8.</w:t>
      </w:r>
    </w:p>
    <w:p w14:paraId="66982FD2" w14:textId="77777777" w:rsidR="00C27755" w:rsidRPr="00092B8F" w:rsidRDefault="00C27755" w:rsidP="00C27755">
      <w:pPr>
        <w:pStyle w:val="SingleTxtG"/>
        <w:rPr>
          <w:i/>
          <w:iCs/>
        </w:rPr>
      </w:pPr>
      <w:r>
        <w:rPr>
          <w:i/>
          <w:iCs/>
        </w:rPr>
        <w:t>(Reference document: ECE/TRANS/WP.15/2023/14, proposal 1, as amended)</w:t>
      </w:r>
    </w:p>
    <w:p w14:paraId="776F6905" w14:textId="77777777" w:rsidR="00C27755" w:rsidRDefault="00C27755" w:rsidP="001B18CE">
      <w:pPr>
        <w:pStyle w:val="SingleTxtG"/>
        <w:tabs>
          <w:tab w:val="clear" w:pos="1701"/>
        </w:tabs>
        <w:ind w:left="2268" w:hanging="1134"/>
      </w:pPr>
      <w:r>
        <w:t>9.2.2.1</w:t>
      </w:r>
      <w:r>
        <w:tab/>
        <w:t>[In the first paragraph, after “ignition”, add “, fire”.]</w:t>
      </w:r>
    </w:p>
    <w:p w14:paraId="081CEDF0" w14:textId="77777777" w:rsidR="00C27755" w:rsidRDefault="00C27755" w:rsidP="001B18CE">
      <w:pPr>
        <w:pStyle w:val="SingleTxtG"/>
        <w:tabs>
          <w:tab w:val="clear" w:pos="1701"/>
        </w:tabs>
        <w:ind w:left="2268" w:hanging="1134"/>
      </w:pPr>
      <w:r>
        <w:tab/>
        <w:t>In the second paragraph, delete “, with the exception of the electric power train in compliance with the technical provisions of UN Regulation No. 100</w:t>
      </w:r>
      <w:r w:rsidRPr="00E86C8C">
        <w:rPr>
          <w:vertAlign w:val="superscript"/>
        </w:rPr>
        <w:t>1</w:t>
      </w:r>
      <w:r>
        <w:t>, as amended at least by the 03 series of amendments,”.</w:t>
      </w:r>
    </w:p>
    <w:p w14:paraId="58E0D33F" w14:textId="77777777" w:rsidR="00C27755" w:rsidRPr="000C280A" w:rsidRDefault="00C27755" w:rsidP="001B18CE">
      <w:pPr>
        <w:pStyle w:val="SingleTxtG"/>
        <w:tabs>
          <w:tab w:val="clear" w:pos="1701"/>
        </w:tabs>
        <w:ind w:left="2268" w:hanging="1134"/>
        <w:rPr>
          <w:b/>
          <w:bCs/>
        </w:rPr>
      </w:pPr>
      <w:r>
        <w:tab/>
        <w:t>Add a new third paragraph to read: “</w:t>
      </w:r>
      <w:r w:rsidRPr="008E4CAF">
        <w:t xml:space="preserve">The electric power train and the </w:t>
      </w:r>
      <w:r>
        <w:t xml:space="preserve">high voltage components which are </w:t>
      </w:r>
      <w:r w:rsidRPr="008E4CAF">
        <w:t xml:space="preserve">galvanically connected </w:t>
      </w:r>
      <w:r>
        <w:t>to it, which are</w:t>
      </w:r>
      <w:r w:rsidRPr="008E4CAF">
        <w:t xml:space="preserve"> in </w:t>
      </w:r>
      <w:r w:rsidRPr="008E4CAF">
        <w:lastRenderedPageBreak/>
        <w:t>compliance with the technical provisions of UN Regulation No. 100</w:t>
      </w:r>
      <w:r w:rsidRPr="00FD4469">
        <w:rPr>
          <w:vertAlign w:val="superscript"/>
        </w:rPr>
        <w:t>1</w:t>
      </w:r>
      <w:r w:rsidRPr="008E4CAF">
        <w:t>, as amended at least by the 03 series of amendments, need not to comply with the provisions of 9.2.2.2 to 9.2.2.7.</w:t>
      </w:r>
      <w:r>
        <w:t>”.</w:t>
      </w:r>
    </w:p>
    <w:p w14:paraId="44150788" w14:textId="77777777" w:rsidR="00C27755" w:rsidRPr="00437BFA" w:rsidRDefault="00C27755" w:rsidP="00C27755">
      <w:pPr>
        <w:pStyle w:val="SingleTxtG"/>
        <w:rPr>
          <w:i/>
          <w:iCs/>
        </w:rPr>
      </w:pPr>
      <w:r>
        <w:rPr>
          <w:i/>
          <w:iCs/>
        </w:rPr>
        <w:t>(Reference document: ECE/TRANS/WP.15/2023/14, proposal 2, as amended)</w:t>
      </w:r>
    </w:p>
    <w:p w14:paraId="75CEB89B" w14:textId="2208850E" w:rsidR="00C27755" w:rsidRPr="000C280A" w:rsidRDefault="00C27755" w:rsidP="00C27755">
      <w:pPr>
        <w:pStyle w:val="SingleTxtG"/>
        <w:ind w:left="2268" w:hanging="1134"/>
        <w:rPr>
          <w:b/>
          <w:bCs/>
        </w:rPr>
      </w:pPr>
      <w:r>
        <w:t>9.2.3.1.1</w:t>
      </w:r>
      <w:r>
        <w:tab/>
        <w:t>Add a new second paragraph to read: “</w:t>
      </w:r>
      <w:r w:rsidRPr="002275B2">
        <w:t>Trailers with regenerative braking or electric power train are not allowed</w:t>
      </w:r>
      <w:r w:rsidRPr="008E4CAF">
        <w:t>.</w:t>
      </w:r>
      <w:r>
        <w:t>”.</w:t>
      </w:r>
    </w:p>
    <w:p w14:paraId="168D0819" w14:textId="77777777" w:rsidR="00C27755" w:rsidRPr="00437BFA" w:rsidRDefault="00C27755" w:rsidP="00C27755">
      <w:pPr>
        <w:pStyle w:val="SingleTxtG"/>
        <w:rPr>
          <w:i/>
          <w:iCs/>
        </w:rPr>
      </w:pPr>
      <w:r>
        <w:rPr>
          <w:i/>
          <w:iCs/>
        </w:rPr>
        <w:t>(Reference document: ECE/TRANS/WP.15/2023/14, proposal 3, as amended)</w:t>
      </w:r>
    </w:p>
    <w:p w14:paraId="3B7C6F3D" w14:textId="77777777" w:rsidR="00C27755" w:rsidRPr="000C280A" w:rsidRDefault="00C27755" w:rsidP="00C27755">
      <w:pPr>
        <w:pStyle w:val="SingleTxtG"/>
        <w:ind w:left="2268" w:hanging="1134"/>
        <w:rPr>
          <w:b/>
          <w:bCs/>
        </w:rPr>
      </w:pPr>
      <w:r>
        <w:t>9.2.3</w:t>
      </w:r>
      <w:r>
        <w:tab/>
      </w:r>
      <w:r>
        <w:tab/>
        <w:t>Add a new 9.2.3.3 with the text of the existing 9.2.4.7.</w:t>
      </w:r>
    </w:p>
    <w:p w14:paraId="2FC44DEE" w14:textId="77777777" w:rsidR="00C27755" w:rsidRPr="00437BFA" w:rsidRDefault="00C27755" w:rsidP="00C27755">
      <w:pPr>
        <w:pStyle w:val="SingleTxtG"/>
        <w:rPr>
          <w:i/>
          <w:iCs/>
        </w:rPr>
      </w:pPr>
      <w:r>
        <w:rPr>
          <w:i/>
          <w:iCs/>
        </w:rPr>
        <w:t>(Reference document: ECE/TRANS/WP.15/2023/14, proposal 4)</w:t>
      </w:r>
    </w:p>
    <w:p w14:paraId="18EE63FA" w14:textId="77777777" w:rsidR="00C27755" w:rsidRPr="000C280A" w:rsidRDefault="00C27755" w:rsidP="00C27755">
      <w:pPr>
        <w:pStyle w:val="SingleTxtG"/>
        <w:ind w:left="2268" w:hanging="1134"/>
        <w:rPr>
          <w:b/>
          <w:bCs/>
        </w:rPr>
      </w:pPr>
      <w:r>
        <w:t>9.2.4</w:t>
      </w:r>
      <w:r>
        <w:tab/>
      </w:r>
      <w:r>
        <w:tab/>
        <w:t>Amend the heading to read “</w:t>
      </w:r>
      <w:r w:rsidRPr="00BB2C54">
        <w:rPr>
          <w:b/>
          <w:bCs/>
        </w:rPr>
        <w:t>Vehicle propulsion system</w:t>
      </w:r>
      <w:r>
        <w:t>”.</w:t>
      </w:r>
    </w:p>
    <w:p w14:paraId="0C7E305C" w14:textId="77777777" w:rsidR="00C27755" w:rsidRPr="00437BFA" w:rsidRDefault="00C27755" w:rsidP="00C27755">
      <w:pPr>
        <w:pStyle w:val="SingleTxtG"/>
        <w:rPr>
          <w:i/>
          <w:iCs/>
        </w:rPr>
      </w:pPr>
      <w:r>
        <w:rPr>
          <w:i/>
          <w:iCs/>
        </w:rPr>
        <w:t>(Reference document: ECE/TRANS/WP.15/2023/14, proposal 5)</w:t>
      </w:r>
    </w:p>
    <w:p w14:paraId="6011F849" w14:textId="77777777" w:rsidR="00C27755" w:rsidRPr="000C280A" w:rsidRDefault="00C27755" w:rsidP="00C27755">
      <w:pPr>
        <w:pStyle w:val="SingleTxtG"/>
        <w:ind w:left="2268" w:hanging="1134"/>
        <w:rPr>
          <w:b/>
          <w:bCs/>
        </w:rPr>
      </w:pPr>
      <w:r>
        <w:t>9.2.4.1</w:t>
      </w:r>
      <w:r>
        <w:tab/>
      </w:r>
      <w:r>
        <w:tab/>
        <w:t>Add a new second paragraph to read: “</w:t>
      </w:r>
      <w:r w:rsidRPr="009804E7">
        <w:t xml:space="preserve">Hybrid vehicles equipped with an internal combustion engine and electric power train shall comply with the </w:t>
      </w:r>
      <w:r>
        <w:t xml:space="preserve">relevant </w:t>
      </w:r>
      <w:r w:rsidRPr="009804E7">
        <w:t>provisions of 9.2.4.2 to 9.2.4.5</w:t>
      </w:r>
      <w:r w:rsidRPr="008E4CAF">
        <w:t>.</w:t>
      </w:r>
      <w:r>
        <w:t>”.</w:t>
      </w:r>
    </w:p>
    <w:p w14:paraId="2C6EF192" w14:textId="77777777" w:rsidR="00C27755" w:rsidRDefault="00C27755" w:rsidP="00C27755">
      <w:pPr>
        <w:pStyle w:val="SingleTxtG"/>
        <w:rPr>
          <w:i/>
          <w:iCs/>
        </w:rPr>
      </w:pPr>
      <w:r>
        <w:rPr>
          <w:i/>
          <w:iCs/>
        </w:rPr>
        <w:t>(Reference document: ECE/TRANS/WP.15/2023/14, proposal 6, as amended)</w:t>
      </w:r>
    </w:p>
    <w:p w14:paraId="37363AD7" w14:textId="77777777" w:rsidR="00C27755" w:rsidRPr="000C280A" w:rsidRDefault="00C27755" w:rsidP="00B51CCD">
      <w:pPr>
        <w:pStyle w:val="SingleTxtG"/>
        <w:tabs>
          <w:tab w:val="clear" w:pos="1701"/>
        </w:tabs>
        <w:ind w:left="2268" w:hanging="1134"/>
        <w:rPr>
          <w:b/>
          <w:bCs/>
        </w:rPr>
      </w:pPr>
      <w:r>
        <w:t>9.2.4.2</w:t>
      </w:r>
      <w:r>
        <w:tab/>
        <w:t>Delete.</w:t>
      </w:r>
    </w:p>
    <w:p w14:paraId="367C2AEA" w14:textId="77777777" w:rsidR="00C27755" w:rsidRPr="00437BFA" w:rsidRDefault="00C27755" w:rsidP="00C27755">
      <w:pPr>
        <w:pStyle w:val="SingleTxtG"/>
        <w:rPr>
          <w:i/>
          <w:iCs/>
        </w:rPr>
      </w:pPr>
      <w:r>
        <w:rPr>
          <w:i/>
          <w:iCs/>
        </w:rPr>
        <w:t>(Reference document: ECE/TRANS/WP.15/2023/14, proposal 7)</w:t>
      </w:r>
    </w:p>
    <w:p w14:paraId="5487208F" w14:textId="77777777" w:rsidR="00C27755" w:rsidRDefault="00C27755" w:rsidP="00B51CCD">
      <w:pPr>
        <w:pStyle w:val="SingleTxtG"/>
        <w:tabs>
          <w:tab w:val="clear" w:pos="1701"/>
        </w:tabs>
        <w:ind w:left="2268" w:hanging="1134"/>
      </w:pPr>
      <w:r>
        <w:t>9.2.4.3</w:t>
      </w:r>
      <w:r>
        <w:tab/>
        <w:t>Renumber as 9.2.4.2 and amend as follows:</w:t>
      </w:r>
    </w:p>
    <w:p w14:paraId="5EF8E7B6" w14:textId="75E06833" w:rsidR="00C27755" w:rsidRDefault="00C27755" w:rsidP="00B51CCD">
      <w:pPr>
        <w:pStyle w:val="Bullet1G"/>
      </w:pPr>
      <w:r>
        <w:tab/>
        <w:t>Delete the note.</w:t>
      </w:r>
    </w:p>
    <w:p w14:paraId="0DDE2230" w14:textId="55084786" w:rsidR="00C27755" w:rsidRDefault="00C27755" w:rsidP="00B51CCD">
      <w:pPr>
        <w:pStyle w:val="Bullet1G"/>
      </w:pPr>
      <w:r>
        <w:tab/>
        <w:t>In the first paragraph, after “engine”, add “, or fuel cell”.</w:t>
      </w:r>
    </w:p>
    <w:p w14:paraId="1DD24296" w14:textId="32C05034" w:rsidR="00C27755" w:rsidRDefault="00C27755" w:rsidP="00B51CCD">
      <w:pPr>
        <w:pStyle w:val="Bullet1G"/>
      </w:pPr>
      <w:r>
        <w:tab/>
        <w:t>In (b), delete the last sentence.</w:t>
      </w:r>
    </w:p>
    <w:p w14:paraId="26514258" w14:textId="06235AB4" w:rsidR="00C27755" w:rsidRDefault="00C27755" w:rsidP="00B51CCD">
      <w:pPr>
        <w:pStyle w:val="Bullet1G"/>
      </w:pPr>
      <w:r>
        <w:tab/>
        <w:t>After (b) add the following new sub-paragraphs:</w:t>
      </w:r>
    </w:p>
    <w:p w14:paraId="166AF93F" w14:textId="77777777" w:rsidR="00C27755" w:rsidRDefault="00C27755" w:rsidP="00645EDE">
      <w:pPr>
        <w:pStyle w:val="SingleTxtG"/>
        <w:tabs>
          <w:tab w:val="clear" w:pos="1701"/>
        </w:tabs>
        <w:ind w:left="2268" w:hanging="567"/>
      </w:pPr>
      <w:r>
        <w:t>“(c)</w:t>
      </w:r>
      <w:r>
        <w:tab/>
        <w:t>Fuel tanks and cylinders for LNG and for CNG respectively shall meet the relevant requirements of UN Regulation No. 110</w:t>
      </w:r>
      <w:r w:rsidRPr="00794AF5">
        <w:rPr>
          <w:vertAlign w:val="superscript"/>
        </w:rPr>
        <w:t>7</w:t>
      </w:r>
      <w:r>
        <w:t>.</w:t>
      </w:r>
    </w:p>
    <w:p w14:paraId="20E8A01C" w14:textId="1DB77281" w:rsidR="00C27755" w:rsidRDefault="00C27755" w:rsidP="00645EDE">
      <w:pPr>
        <w:pStyle w:val="SingleTxtG"/>
        <w:tabs>
          <w:tab w:val="clear" w:pos="1701"/>
        </w:tabs>
        <w:ind w:left="2268" w:hanging="567"/>
      </w:pPr>
      <w:r>
        <w:t>(d)</w:t>
      </w:r>
      <w:r>
        <w:tab/>
        <w:t>Fuel tanks for LPG shall meet the relevant requirements of UN Regulation No.</w:t>
      </w:r>
      <w:r w:rsidR="00B017B1">
        <w:t> </w:t>
      </w:r>
      <w:r>
        <w:t>67</w:t>
      </w:r>
      <w:r>
        <w:rPr>
          <w:vertAlign w:val="superscript"/>
        </w:rPr>
        <w:t>8</w:t>
      </w:r>
      <w:r>
        <w:t>.</w:t>
      </w:r>
    </w:p>
    <w:p w14:paraId="17530AD2" w14:textId="77777777" w:rsidR="00C27755" w:rsidRDefault="00C27755" w:rsidP="00645EDE">
      <w:pPr>
        <w:pStyle w:val="SingleTxtG"/>
        <w:tabs>
          <w:tab w:val="clear" w:pos="1701"/>
        </w:tabs>
        <w:ind w:left="2268" w:hanging="567"/>
      </w:pPr>
      <w:r>
        <w:t>(e)</w:t>
      </w:r>
      <w:r>
        <w:tab/>
        <w:t>Fuel tanks and cylinders for hydrogen shall meet the relevant requirements of UN Regulation No. 134</w:t>
      </w:r>
      <w:r>
        <w:rPr>
          <w:vertAlign w:val="superscript"/>
        </w:rPr>
        <w:t>9</w:t>
      </w:r>
      <w:r>
        <w:t xml:space="preserve">, as amended at least by the 02 series of amendments, or for liquid hydrogen containers the technical provisions of </w:t>
      </w:r>
      <w:bookmarkStart w:id="9" w:name="_Hlk150410091"/>
      <w:r>
        <w:t>[</w:t>
      </w:r>
      <w:r w:rsidRPr="008D34D6">
        <w:t>Global Technical Regulation No.13</w:t>
      </w:r>
      <w:r>
        <w:rPr>
          <w:vertAlign w:val="superscript"/>
        </w:rPr>
        <w:t>10</w:t>
      </w:r>
      <w:r>
        <w:t>, Phase 2, part 7]</w:t>
      </w:r>
      <w:bookmarkEnd w:id="9"/>
      <w:r>
        <w:t>.”</w:t>
      </w:r>
    </w:p>
    <w:p w14:paraId="67D2DA0D" w14:textId="10DBFD31" w:rsidR="00C27755" w:rsidRDefault="00C27755" w:rsidP="00B017B1">
      <w:pPr>
        <w:pStyle w:val="Bullet1G"/>
      </w:pPr>
      <w:r>
        <w:tab/>
        <w:t xml:space="preserve">Add a new footnote </w:t>
      </w:r>
      <w:r w:rsidRPr="00517EBC">
        <w:rPr>
          <w:vertAlign w:val="superscript"/>
        </w:rPr>
        <w:t>9</w:t>
      </w:r>
      <w:r>
        <w:t xml:space="preserve"> to read: “</w:t>
      </w:r>
      <w:r w:rsidRPr="00517EBC">
        <w:rPr>
          <w:vertAlign w:val="superscript"/>
        </w:rPr>
        <w:t>9</w:t>
      </w:r>
      <w:r>
        <w:t xml:space="preserve"> </w:t>
      </w:r>
      <w:r w:rsidRPr="00E613BE">
        <w:rPr>
          <w:i/>
          <w:iCs/>
        </w:rPr>
        <w:t>UN Regulation No. 134 (Uniform provisions concerning the approval of motor vehicles and their components with regard to the safety-related performance of Hydrogen-Fuelled Vehicles (HFCV))</w:t>
      </w:r>
      <w:r>
        <w:t>”.</w:t>
      </w:r>
    </w:p>
    <w:p w14:paraId="1F0414AB" w14:textId="573E9A0A" w:rsidR="00C27755" w:rsidRDefault="00C27755" w:rsidP="00B017B1">
      <w:pPr>
        <w:pStyle w:val="Bullet1G"/>
      </w:pPr>
      <w:r>
        <w:tab/>
        <w:t xml:space="preserve">Add a new footnote </w:t>
      </w:r>
      <w:r>
        <w:rPr>
          <w:vertAlign w:val="superscript"/>
        </w:rPr>
        <w:t>10</w:t>
      </w:r>
      <w:r>
        <w:t xml:space="preserve"> to read: “</w:t>
      </w:r>
      <w:r w:rsidRPr="00517EBC">
        <w:rPr>
          <w:vertAlign w:val="superscript"/>
        </w:rPr>
        <w:t>9</w:t>
      </w:r>
      <w:r>
        <w:t xml:space="preserve"> </w:t>
      </w:r>
      <w:r w:rsidRPr="00E613BE">
        <w:rPr>
          <w:i/>
          <w:iCs/>
        </w:rPr>
        <w:t xml:space="preserve">UN </w:t>
      </w:r>
      <w:r w:rsidRPr="001F754B">
        <w:rPr>
          <w:i/>
          <w:iCs/>
        </w:rPr>
        <w:t xml:space="preserve">Global technical regulation </w:t>
      </w:r>
      <w:r>
        <w:rPr>
          <w:i/>
          <w:iCs/>
        </w:rPr>
        <w:t xml:space="preserve">No. 13 </w:t>
      </w:r>
      <w:r w:rsidRPr="001F754B">
        <w:rPr>
          <w:i/>
          <w:iCs/>
        </w:rPr>
        <w:t>on hydrogen and fuel cell vehicles</w:t>
      </w:r>
      <w:r>
        <w:t>”.</w:t>
      </w:r>
    </w:p>
    <w:p w14:paraId="7A99A5D4" w14:textId="2DBA9A43" w:rsidR="00C27755" w:rsidRPr="000C280A" w:rsidRDefault="00C27755" w:rsidP="00B017B1">
      <w:pPr>
        <w:pStyle w:val="Bullet1G"/>
        <w:rPr>
          <w:b/>
          <w:bCs/>
        </w:rPr>
      </w:pPr>
      <w:r>
        <w:tab/>
        <w:t>Renumber (c) as (f) and, in the first sentence, after “engine intakes,”, add “electric storage systems”.</w:t>
      </w:r>
    </w:p>
    <w:p w14:paraId="737BC1AE" w14:textId="77777777" w:rsidR="00C27755" w:rsidRPr="00437BFA" w:rsidRDefault="00C27755" w:rsidP="00C27755">
      <w:pPr>
        <w:pStyle w:val="SingleTxtG"/>
        <w:rPr>
          <w:i/>
          <w:iCs/>
        </w:rPr>
      </w:pPr>
      <w:r>
        <w:rPr>
          <w:i/>
          <w:iCs/>
        </w:rPr>
        <w:t>(Reference document: ECE/TRANS/WP.15/2023/14, proposal 8, as amended)</w:t>
      </w:r>
    </w:p>
    <w:p w14:paraId="6DC2203A" w14:textId="77777777" w:rsidR="00C27755" w:rsidRDefault="00C27755" w:rsidP="006C63B6">
      <w:pPr>
        <w:pStyle w:val="SingleTxtG"/>
        <w:tabs>
          <w:tab w:val="clear" w:pos="1701"/>
        </w:tabs>
        <w:ind w:left="2268" w:hanging="1134"/>
        <w:rPr>
          <w:lang w:val="en-US"/>
        </w:rPr>
      </w:pPr>
      <w:r>
        <w:t>9.2.4.4</w:t>
      </w:r>
      <w:r>
        <w:tab/>
        <w:t>Renumber as 9.2.4.3 and amend to read as follows</w:t>
      </w:r>
      <w:r>
        <w:rPr>
          <w:lang w:val="en-US"/>
        </w:rPr>
        <w:t>:</w:t>
      </w:r>
    </w:p>
    <w:p w14:paraId="4B5B4030" w14:textId="77777777" w:rsidR="00C27755" w:rsidRPr="00995DA4" w:rsidRDefault="00C27755" w:rsidP="00C27755">
      <w:pPr>
        <w:pStyle w:val="SingleTxtG"/>
        <w:ind w:left="2268" w:hanging="1134"/>
        <w:rPr>
          <w:lang w:val="en-US"/>
        </w:rPr>
      </w:pPr>
      <w:r>
        <w:rPr>
          <w:lang w:val="en-US"/>
        </w:rPr>
        <w:t>“</w:t>
      </w:r>
      <w:r w:rsidRPr="008056C0">
        <w:rPr>
          <w:b/>
          <w:bCs/>
          <w:lang w:val="en-US"/>
        </w:rPr>
        <w:t>9.2.4.3</w:t>
      </w:r>
      <w:r w:rsidRPr="008056C0">
        <w:rPr>
          <w:b/>
          <w:bCs/>
          <w:lang w:val="en-US"/>
        </w:rPr>
        <w:tab/>
      </w:r>
      <w:r w:rsidRPr="00995DA4">
        <w:rPr>
          <w:b/>
          <w:bCs/>
          <w:i/>
          <w:iCs/>
          <w:lang w:val="en-US"/>
        </w:rPr>
        <w:t>Internal combustion engine</w:t>
      </w:r>
    </w:p>
    <w:p w14:paraId="06BA59AB" w14:textId="77777777" w:rsidR="00C27755" w:rsidRPr="00995DA4" w:rsidRDefault="00C27755" w:rsidP="00C27755">
      <w:pPr>
        <w:pStyle w:val="SingleTxtG"/>
        <w:ind w:left="2268" w:hanging="1134"/>
        <w:rPr>
          <w:lang w:val="en-US"/>
        </w:rPr>
      </w:pPr>
      <w:r w:rsidRPr="00995DA4">
        <w:rPr>
          <w:lang w:val="en-US"/>
        </w:rPr>
        <w:t>9.2.4.3.1</w:t>
      </w:r>
      <w:r w:rsidRPr="00995DA4">
        <w:rPr>
          <w:lang w:val="en-US"/>
        </w:rPr>
        <w:tab/>
        <w:t xml:space="preserve">The engine propelling the vehicle shall be so equipped and situated to avoid any danger to the load through heating or ignition. The use of a fuel shall only be permitted if components are </w:t>
      </w:r>
      <w:proofErr w:type="gramStart"/>
      <w:r w:rsidRPr="00995DA4">
        <w:rPr>
          <w:lang w:val="en-US"/>
        </w:rPr>
        <w:t>approved</w:t>
      </w:r>
      <w:proofErr w:type="gramEnd"/>
      <w:r w:rsidRPr="00995DA4">
        <w:rPr>
          <w:lang w:val="en-US"/>
        </w:rPr>
        <w:t xml:space="preserve"> and installation meet the provisions of 9.2.2 and the technical requirements of:</w:t>
      </w:r>
    </w:p>
    <w:p w14:paraId="360E9BA3" w14:textId="77777777" w:rsidR="00C27755" w:rsidRPr="00995DA4" w:rsidRDefault="00C27755" w:rsidP="00BF51B9">
      <w:pPr>
        <w:pStyle w:val="SingleTxtG"/>
        <w:tabs>
          <w:tab w:val="clear" w:pos="1701"/>
        </w:tabs>
        <w:ind w:left="2268" w:hanging="1134"/>
        <w:rPr>
          <w:lang w:val="en-US"/>
        </w:rPr>
      </w:pPr>
      <w:r>
        <w:rPr>
          <w:lang w:val="en-US"/>
        </w:rPr>
        <w:tab/>
      </w:r>
      <w:r w:rsidRPr="00995DA4">
        <w:rPr>
          <w:lang w:val="en-US"/>
        </w:rPr>
        <w:t>(a)</w:t>
      </w:r>
      <w:r w:rsidRPr="00995DA4">
        <w:rPr>
          <w:lang w:val="en-US"/>
        </w:rPr>
        <w:tab/>
        <w:t>UN Regulation No. 110</w:t>
      </w:r>
      <w:r>
        <w:rPr>
          <w:vertAlign w:val="superscript"/>
          <w:lang w:val="en-US"/>
        </w:rPr>
        <w:t>7</w:t>
      </w:r>
      <w:r w:rsidRPr="00995DA4">
        <w:rPr>
          <w:lang w:val="en-US"/>
        </w:rPr>
        <w:t xml:space="preserve"> for CNG or LNG.</w:t>
      </w:r>
    </w:p>
    <w:p w14:paraId="69757DA0" w14:textId="77777777" w:rsidR="00C27755" w:rsidRPr="00995DA4" w:rsidRDefault="00C27755" w:rsidP="00BF51B9">
      <w:pPr>
        <w:pStyle w:val="SingleTxtG"/>
        <w:tabs>
          <w:tab w:val="clear" w:pos="1701"/>
        </w:tabs>
        <w:ind w:left="2268" w:hanging="1134"/>
        <w:rPr>
          <w:lang w:val="en-US"/>
        </w:rPr>
      </w:pPr>
      <w:r>
        <w:rPr>
          <w:lang w:val="en-US"/>
        </w:rPr>
        <w:lastRenderedPageBreak/>
        <w:tab/>
      </w:r>
      <w:r w:rsidRPr="00995DA4">
        <w:rPr>
          <w:lang w:val="en-US"/>
        </w:rPr>
        <w:t>(b)</w:t>
      </w:r>
      <w:r w:rsidRPr="00995DA4">
        <w:rPr>
          <w:lang w:val="en-US"/>
        </w:rPr>
        <w:tab/>
        <w:t>UN Regulation No. 67</w:t>
      </w:r>
      <w:r>
        <w:rPr>
          <w:vertAlign w:val="superscript"/>
          <w:lang w:val="en-US"/>
        </w:rPr>
        <w:t>8</w:t>
      </w:r>
      <w:r w:rsidRPr="00995DA4">
        <w:rPr>
          <w:lang w:val="en-US"/>
        </w:rPr>
        <w:t xml:space="preserve"> for LPG.</w:t>
      </w:r>
    </w:p>
    <w:p w14:paraId="5B6152EB" w14:textId="77777777" w:rsidR="00C27755" w:rsidRPr="00995DA4" w:rsidRDefault="00C27755" w:rsidP="00BF51B9">
      <w:pPr>
        <w:pStyle w:val="SingleTxtG"/>
        <w:tabs>
          <w:tab w:val="clear" w:pos="1701"/>
        </w:tabs>
        <w:ind w:left="2268" w:hanging="1134"/>
        <w:rPr>
          <w:lang w:val="en-US"/>
        </w:rPr>
      </w:pPr>
      <w:r>
        <w:rPr>
          <w:lang w:val="en-US"/>
        </w:rPr>
        <w:tab/>
      </w:r>
      <w:r w:rsidRPr="00995DA4">
        <w:rPr>
          <w:lang w:val="en-US"/>
        </w:rPr>
        <w:t>(c)</w:t>
      </w:r>
      <w:r w:rsidRPr="00995DA4">
        <w:rPr>
          <w:lang w:val="en-US"/>
        </w:rPr>
        <w:tab/>
        <w:t>UN Regulation No. 134</w:t>
      </w:r>
      <w:r>
        <w:rPr>
          <w:vertAlign w:val="superscript"/>
          <w:lang w:val="en-US"/>
        </w:rPr>
        <w:t>9</w:t>
      </w:r>
      <w:r w:rsidRPr="00995DA4">
        <w:rPr>
          <w:lang w:val="en-US"/>
        </w:rPr>
        <w:t xml:space="preserve"> for compressed hydrogen </w:t>
      </w:r>
      <w:r>
        <w:rPr>
          <w:lang w:val="en-US"/>
        </w:rPr>
        <w:t>[</w:t>
      </w:r>
      <w:r w:rsidRPr="00995DA4">
        <w:rPr>
          <w:lang w:val="en-US"/>
        </w:rPr>
        <w:t xml:space="preserve">and the technical provisions of </w:t>
      </w:r>
      <w:r w:rsidRPr="008D34D6">
        <w:t>Global Technical Regulation No.13</w:t>
      </w:r>
      <w:r>
        <w:rPr>
          <w:vertAlign w:val="superscript"/>
        </w:rPr>
        <w:t>10</w:t>
      </w:r>
      <w:r>
        <w:t>, Phase 2]</w:t>
      </w:r>
      <w:r w:rsidRPr="00995DA4">
        <w:rPr>
          <w:lang w:val="en-US"/>
        </w:rPr>
        <w:t xml:space="preserve"> for liquid hydrogen</w:t>
      </w:r>
      <w:r>
        <w:rPr>
          <w:lang w:val="en-US"/>
        </w:rPr>
        <w:t>,</w:t>
      </w:r>
      <w:r w:rsidRPr="00995DA4">
        <w:rPr>
          <w:lang w:val="en-US"/>
        </w:rPr>
        <w:t xml:space="preserve"> as relevant.</w:t>
      </w:r>
    </w:p>
    <w:p w14:paraId="3FB6DB83" w14:textId="77777777" w:rsidR="00C27755" w:rsidRPr="0089649E" w:rsidRDefault="00C27755" w:rsidP="00BF51B9">
      <w:pPr>
        <w:pStyle w:val="SingleTxtG"/>
        <w:tabs>
          <w:tab w:val="clear" w:pos="1701"/>
        </w:tabs>
        <w:ind w:left="2268" w:hanging="1134"/>
        <w:rPr>
          <w:lang w:val="en-US"/>
        </w:rPr>
      </w:pPr>
      <w:r>
        <w:rPr>
          <w:lang w:val="en-US"/>
        </w:rPr>
        <w:tab/>
      </w:r>
      <w:r w:rsidRPr="00995DA4">
        <w:rPr>
          <w:lang w:val="en-US"/>
        </w:rPr>
        <w:t>In the case of EX/II and EX/III vehicles the engine shall be of compression-ignition construction using only liquid fuels with a flashpoint above 55 °C. Gases shall not be used.</w:t>
      </w:r>
      <w:r>
        <w:rPr>
          <w:lang w:val="en-US"/>
        </w:rPr>
        <w:t>”</w:t>
      </w:r>
    </w:p>
    <w:p w14:paraId="650FF7C5" w14:textId="77777777" w:rsidR="00C27755" w:rsidRPr="00437BFA" w:rsidRDefault="00C27755" w:rsidP="00C27755">
      <w:pPr>
        <w:pStyle w:val="SingleTxtG"/>
        <w:rPr>
          <w:i/>
          <w:iCs/>
        </w:rPr>
      </w:pPr>
      <w:r>
        <w:rPr>
          <w:i/>
          <w:iCs/>
        </w:rPr>
        <w:t>(Reference document: ECE/TRANS/WP.15/2023/14, proposals 9 and 10, as amended)</w:t>
      </w:r>
    </w:p>
    <w:p w14:paraId="30A12FD6" w14:textId="77777777" w:rsidR="00C27755" w:rsidRPr="000C280A" w:rsidRDefault="00C27755" w:rsidP="00BF51B9">
      <w:pPr>
        <w:pStyle w:val="SingleTxtG"/>
        <w:tabs>
          <w:tab w:val="clear" w:pos="1701"/>
        </w:tabs>
        <w:ind w:left="2268" w:hanging="1134"/>
        <w:rPr>
          <w:b/>
          <w:bCs/>
        </w:rPr>
      </w:pPr>
      <w:r>
        <w:t>9.2.4.5</w:t>
      </w:r>
      <w:r>
        <w:tab/>
        <w:t>Renumber as 9.2.4.3.2 and reformat the heading accordingly.</w:t>
      </w:r>
    </w:p>
    <w:p w14:paraId="32B4F478" w14:textId="77777777" w:rsidR="00C27755" w:rsidRPr="00437BFA" w:rsidRDefault="00C27755" w:rsidP="00C27755">
      <w:pPr>
        <w:pStyle w:val="SingleTxtG"/>
        <w:rPr>
          <w:i/>
          <w:iCs/>
        </w:rPr>
      </w:pPr>
      <w:r>
        <w:rPr>
          <w:i/>
          <w:iCs/>
        </w:rPr>
        <w:t>(Reference document: ECE/TRANS/WP.15/2023/14, proposal 11)</w:t>
      </w:r>
    </w:p>
    <w:p w14:paraId="63135D42" w14:textId="77777777" w:rsidR="00C27755" w:rsidRDefault="00C27755" w:rsidP="00B85E02">
      <w:pPr>
        <w:pStyle w:val="SingleTxtG"/>
        <w:tabs>
          <w:tab w:val="clear" w:pos="1701"/>
        </w:tabs>
        <w:ind w:left="2268" w:hanging="1134"/>
        <w:rPr>
          <w:lang w:val="en-US"/>
        </w:rPr>
      </w:pPr>
      <w:r>
        <w:t>9.2.4.6</w:t>
      </w:r>
      <w:r>
        <w:tab/>
        <w:t>Renumber as 9.2.4.4 and amend to read as follows</w:t>
      </w:r>
      <w:r>
        <w:rPr>
          <w:lang w:val="en-US"/>
        </w:rPr>
        <w:t>:</w:t>
      </w:r>
    </w:p>
    <w:p w14:paraId="78ED999F" w14:textId="77777777" w:rsidR="00C27755" w:rsidRPr="00944855" w:rsidRDefault="00C27755" w:rsidP="00C27755">
      <w:pPr>
        <w:pStyle w:val="SingleTxtG"/>
        <w:ind w:left="2268" w:hanging="1134"/>
        <w:rPr>
          <w:b/>
          <w:bCs/>
          <w:i/>
          <w:iCs/>
          <w:lang w:val="en-US"/>
        </w:rPr>
      </w:pPr>
      <w:r>
        <w:rPr>
          <w:lang w:val="en-US"/>
        </w:rPr>
        <w:t>“</w:t>
      </w:r>
      <w:r w:rsidRPr="008056C0">
        <w:rPr>
          <w:b/>
          <w:bCs/>
          <w:lang w:val="en-US"/>
        </w:rPr>
        <w:t>9.2.4.4</w:t>
      </w:r>
      <w:r w:rsidRPr="008056C0">
        <w:rPr>
          <w:b/>
          <w:bCs/>
          <w:lang w:val="en-US"/>
        </w:rPr>
        <w:tab/>
      </w:r>
      <w:r w:rsidRPr="00944855">
        <w:rPr>
          <w:b/>
          <w:bCs/>
          <w:i/>
          <w:iCs/>
          <w:lang w:val="en-US"/>
        </w:rPr>
        <w:t>Electric power train</w:t>
      </w:r>
    </w:p>
    <w:p w14:paraId="4E2B5123" w14:textId="77777777" w:rsidR="00C27755" w:rsidRPr="00944855" w:rsidRDefault="00C27755" w:rsidP="00C27755">
      <w:pPr>
        <w:pStyle w:val="SingleTxtG"/>
        <w:ind w:left="2268" w:hanging="1134"/>
        <w:rPr>
          <w:i/>
          <w:iCs/>
          <w:lang w:val="en-US"/>
        </w:rPr>
      </w:pPr>
      <w:r w:rsidRPr="00944855">
        <w:rPr>
          <w:lang w:val="en-US"/>
        </w:rPr>
        <w:t>9.2.4.4.1</w:t>
      </w:r>
      <w:r w:rsidRPr="00944855">
        <w:rPr>
          <w:lang w:val="en-US"/>
        </w:rPr>
        <w:tab/>
      </w:r>
      <w:r w:rsidRPr="00944855">
        <w:rPr>
          <w:i/>
          <w:iCs/>
          <w:lang w:val="en-US"/>
        </w:rPr>
        <w:t>General provisions</w:t>
      </w:r>
    </w:p>
    <w:p w14:paraId="6ED4869A" w14:textId="77777777" w:rsidR="00C27755" w:rsidRPr="00944855" w:rsidRDefault="00C27755" w:rsidP="00B85E02">
      <w:pPr>
        <w:pStyle w:val="SingleTxtG"/>
        <w:tabs>
          <w:tab w:val="clear" w:pos="1701"/>
        </w:tabs>
        <w:ind w:left="2268" w:hanging="1134"/>
        <w:rPr>
          <w:lang w:val="en-US"/>
        </w:rPr>
      </w:pPr>
      <w:r>
        <w:rPr>
          <w:lang w:val="en-US"/>
        </w:rPr>
        <w:tab/>
      </w:r>
      <w:r w:rsidRPr="00944855">
        <w:rPr>
          <w:lang w:val="en-US"/>
        </w:rPr>
        <w:t>Electric power trains shall not be used for EX vehicles.</w:t>
      </w:r>
      <w:r>
        <w:rPr>
          <w:lang w:val="en-US"/>
        </w:rPr>
        <w:t xml:space="preserve"> </w:t>
      </w:r>
      <w:r w:rsidRPr="00944855">
        <w:rPr>
          <w:lang w:val="en-US"/>
        </w:rPr>
        <w:t>Trailers with re-generative braking or electric power train are not allowed.</w:t>
      </w:r>
    </w:p>
    <w:p w14:paraId="6A3CA872" w14:textId="77777777" w:rsidR="00C27755" w:rsidRPr="00944855" w:rsidRDefault="00C27755" w:rsidP="00B85E02">
      <w:pPr>
        <w:pStyle w:val="SingleTxtG"/>
        <w:tabs>
          <w:tab w:val="clear" w:pos="1701"/>
        </w:tabs>
        <w:ind w:left="2268" w:hanging="1134"/>
        <w:rPr>
          <w:lang w:val="en-US"/>
        </w:rPr>
      </w:pPr>
      <w:r>
        <w:rPr>
          <w:lang w:val="en-US"/>
        </w:rPr>
        <w:tab/>
      </w:r>
      <w:r w:rsidRPr="00944855">
        <w:rPr>
          <w:lang w:val="en-US"/>
        </w:rPr>
        <w:t>The electric power train shall meet the requirements of UN Regulation No. 100</w:t>
      </w:r>
      <w:r w:rsidRPr="009073C8">
        <w:rPr>
          <w:vertAlign w:val="superscript"/>
          <w:lang w:val="en-US"/>
        </w:rPr>
        <w:t>1</w:t>
      </w:r>
      <w:r w:rsidRPr="00944855">
        <w:rPr>
          <w:lang w:val="en-US"/>
        </w:rPr>
        <w:t xml:space="preserve">, as amended </w:t>
      </w:r>
      <w:r w:rsidRPr="005E3993">
        <w:rPr>
          <w:lang w:val="en-US"/>
        </w:rPr>
        <w:t>at least</w:t>
      </w:r>
      <w:r w:rsidRPr="00944855">
        <w:rPr>
          <w:lang w:val="en-US"/>
        </w:rPr>
        <w:t xml:space="preserve"> by the 03 series of amendments. </w:t>
      </w:r>
    </w:p>
    <w:p w14:paraId="341709D6" w14:textId="77777777" w:rsidR="00C27755" w:rsidRPr="00944855" w:rsidRDefault="00C27755" w:rsidP="00B85E02">
      <w:pPr>
        <w:pStyle w:val="SingleTxtG"/>
        <w:tabs>
          <w:tab w:val="clear" w:pos="1701"/>
        </w:tabs>
        <w:ind w:left="2268" w:hanging="1134"/>
        <w:rPr>
          <w:lang w:val="en-US"/>
        </w:rPr>
      </w:pPr>
      <w:r w:rsidRPr="00944855">
        <w:rPr>
          <w:lang w:val="en-US"/>
        </w:rPr>
        <w:tab/>
        <w:t>Vehicles with an electric power train shall be equipped with an isolation resistance monitoring system.</w:t>
      </w:r>
    </w:p>
    <w:p w14:paraId="72E12A36" w14:textId="77777777" w:rsidR="00C27755" w:rsidRDefault="00C27755" w:rsidP="00B85E02">
      <w:pPr>
        <w:pStyle w:val="SingleTxtG"/>
        <w:tabs>
          <w:tab w:val="clear" w:pos="1701"/>
        </w:tabs>
        <w:ind w:left="2268" w:hanging="1134"/>
        <w:rPr>
          <w:lang w:val="en-US"/>
        </w:rPr>
      </w:pPr>
      <w:r w:rsidRPr="00944855">
        <w:rPr>
          <w:lang w:val="en-US"/>
        </w:rPr>
        <w:tab/>
        <w:t>The vehicle shall give external signals in stationary conditions, in addition to the warning to the driver receives in the driver’s cab as required by 6.15.1 of UN Regulation No.100</w:t>
      </w:r>
      <w:r>
        <w:rPr>
          <w:vertAlign w:val="superscript"/>
          <w:lang w:val="en-US"/>
        </w:rPr>
        <w:t>1</w:t>
      </w:r>
      <w:r w:rsidRPr="00944855">
        <w:rPr>
          <w:lang w:val="en-US"/>
        </w:rPr>
        <w:t>.</w:t>
      </w:r>
    </w:p>
    <w:p w14:paraId="431D40CB" w14:textId="77777777" w:rsidR="00C27755" w:rsidRPr="000D099C" w:rsidRDefault="00C27755" w:rsidP="00C27755">
      <w:pPr>
        <w:pStyle w:val="SingleTxtG"/>
        <w:ind w:left="2268" w:hanging="1134"/>
        <w:rPr>
          <w:i/>
          <w:iCs/>
          <w:lang w:val="en-US"/>
        </w:rPr>
      </w:pPr>
      <w:r w:rsidRPr="00E45EDD">
        <w:rPr>
          <w:lang w:val="en-US"/>
        </w:rPr>
        <w:t>9.2.4.4.2</w:t>
      </w:r>
      <w:r w:rsidRPr="00E45EDD">
        <w:rPr>
          <w:lang w:val="en-US"/>
        </w:rPr>
        <w:tab/>
      </w:r>
      <w:r w:rsidRPr="000D099C">
        <w:rPr>
          <w:i/>
          <w:iCs/>
          <w:lang w:val="en-US"/>
        </w:rPr>
        <w:t>Rechargeable electrical energy storage system (REESS)</w:t>
      </w:r>
    </w:p>
    <w:p w14:paraId="544B8A3B" w14:textId="77777777" w:rsidR="00C27755" w:rsidRPr="00B115A3" w:rsidRDefault="00C27755" w:rsidP="008E74D3">
      <w:pPr>
        <w:pStyle w:val="SingleTxtG"/>
        <w:tabs>
          <w:tab w:val="clear" w:pos="1701"/>
        </w:tabs>
        <w:ind w:left="2268" w:hanging="1134"/>
        <w:rPr>
          <w:i/>
          <w:iCs/>
          <w:lang w:val="en-US"/>
        </w:rPr>
      </w:pPr>
      <w:r>
        <w:rPr>
          <w:lang w:val="en-US"/>
        </w:rPr>
        <w:tab/>
      </w:r>
      <w:r w:rsidRPr="00B115A3">
        <w:rPr>
          <w:b/>
          <w:bCs/>
          <w:i/>
          <w:iCs/>
          <w:lang w:val="en-US"/>
        </w:rPr>
        <w:t>NOTE:</w:t>
      </w:r>
      <w:r w:rsidRPr="00B115A3">
        <w:rPr>
          <w:i/>
          <w:iCs/>
          <w:lang w:val="en-US"/>
        </w:rPr>
        <w:t xml:space="preserve"> Other acronyms for REESS are used in other documentation for similar systems (</w:t>
      </w:r>
      <w:proofErr w:type="gramStart"/>
      <w:r w:rsidRPr="00B115A3">
        <w:rPr>
          <w:i/>
          <w:iCs/>
          <w:lang w:val="en-US"/>
        </w:rPr>
        <w:t>e.g.</w:t>
      </w:r>
      <w:proofErr w:type="gramEnd"/>
      <w:r w:rsidRPr="00B115A3">
        <w:rPr>
          <w:i/>
          <w:iCs/>
          <w:lang w:val="en-US"/>
        </w:rPr>
        <w:t xml:space="preserve"> RESS).</w:t>
      </w:r>
    </w:p>
    <w:p w14:paraId="7102D525" w14:textId="77777777" w:rsidR="00C27755" w:rsidRPr="00E45EDD" w:rsidRDefault="00C27755" w:rsidP="008E74D3">
      <w:pPr>
        <w:pStyle w:val="SingleTxtG"/>
        <w:tabs>
          <w:tab w:val="clear" w:pos="1701"/>
        </w:tabs>
        <w:ind w:left="2268" w:hanging="1134"/>
        <w:rPr>
          <w:lang w:val="en-US"/>
        </w:rPr>
      </w:pPr>
      <w:r>
        <w:rPr>
          <w:lang w:val="en-US"/>
        </w:rPr>
        <w:tab/>
      </w:r>
      <w:r w:rsidRPr="00E45EDD">
        <w:rPr>
          <w:lang w:val="en-US"/>
        </w:rPr>
        <w:t xml:space="preserve">REESS of vehicles with an electric power train shall be designed and constructed </w:t>
      </w:r>
      <w:proofErr w:type="gramStart"/>
      <w:r w:rsidRPr="00E45EDD">
        <w:rPr>
          <w:lang w:val="en-US"/>
        </w:rPr>
        <w:t>taking into account</w:t>
      </w:r>
      <w:proofErr w:type="gramEnd"/>
      <w:r w:rsidRPr="00E45EDD">
        <w:rPr>
          <w:lang w:val="en-US"/>
        </w:rPr>
        <w:t xml:space="preserve"> a risk evaluation according to ISO 6469-1:2019/</w:t>
      </w:r>
      <w:proofErr w:type="spellStart"/>
      <w:r w:rsidRPr="00E45EDD">
        <w:rPr>
          <w:lang w:val="en-US"/>
        </w:rPr>
        <w:t>Amd</w:t>
      </w:r>
      <w:proofErr w:type="spellEnd"/>
      <w:r w:rsidRPr="00E45EDD">
        <w:rPr>
          <w:lang w:val="en-US"/>
        </w:rPr>
        <w:t xml:space="preserve"> 1:2022 to establish safety for normal operational conditions. </w:t>
      </w:r>
      <w:r>
        <w:rPr>
          <w:lang w:val="en-US"/>
        </w:rPr>
        <w:t>[</w:t>
      </w:r>
      <w:r w:rsidRPr="00E45EDD">
        <w:rPr>
          <w:lang w:val="en-US"/>
        </w:rPr>
        <w:t>A review shall be carried out by a technical service (</w:t>
      </w:r>
      <w:proofErr w:type="gramStart"/>
      <w:r w:rsidRPr="00E45EDD">
        <w:rPr>
          <w:lang w:val="en-US"/>
        </w:rPr>
        <w:t>e.g.</w:t>
      </w:r>
      <w:proofErr w:type="gramEnd"/>
      <w:r w:rsidRPr="00E45EDD">
        <w:rPr>
          <w:lang w:val="en-US"/>
        </w:rPr>
        <w:t xml:space="preserve"> technical service for vehicle approvals according to UN Regulation No. 100</w:t>
      </w:r>
      <w:r>
        <w:rPr>
          <w:vertAlign w:val="superscript"/>
          <w:lang w:val="en-US"/>
        </w:rPr>
        <w:t>1</w:t>
      </w:r>
      <w:r w:rsidRPr="00944855">
        <w:rPr>
          <w:lang w:val="en-US"/>
        </w:rPr>
        <w:t xml:space="preserve">, as amended </w:t>
      </w:r>
      <w:r w:rsidRPr="005E3993">
        <w:rPr>
          <w:lang w:val="en-US"/>
        </w:rPr>
        <w:t>at least</w:t>
      </w:r>
      <w:r w:rsidRPr="00944855">
        <w:rPr>
          <w:lang w:val="en-US"/>
        </w:rPr>
        <w:t xml:space="preserve"> by the 03 series of amendments</w:t>
      </w:r>
      <w:r w:rsidRPr="00E45EDD">
        <w:rPr>
          <w:lang w:val="en-US"/>
        </w:rPr>
        <w:t>).</w:t>
      </w:r>
      <w:r>
        <w:rPr>
          <w:lang w:val="en-US"/>
        </w:rPr>
        <w:t>]</w:t>
      </w:r>
    </w:p>
    <w:p w14:paraId="14B7D2DF" w14:textId="77777777" w:rsidR="00C27755" w:rsidRPr="00B115A3" w:rsidRDefault="00C27755" w:rsidP="008E74D3">
      <w:pPr>
        <w:pStyle w:val="SingleTxtG"/>
        <w:tabs>
          <w:tab w:val="clear" w:pos="1701"/>
        </w:tabs>
        <w:ind w:left="2268" w:hanging="1134"/>
        <w:rPr>
          <w:i/>
          <w:iCs/>
          <w:lang w:val="en-US"/>
        </w:rPr>
      </w:pPr>
      <w:r>
        <w:rPr>
          <w:lang w:val="en-US"/>
        </w:rPr>
        <w:tab/>
      </w:r>
      <w:r w:rsidRPr="00B115A3">
        <w:rPr>
          <w:b/>
          <w:bCs/>
          <w:i/>
          <w:iCs/>
          <w:lang w:val="en-US"/>
        </w:rPr>
        <w:t>NOTE:</w:t>
      </w:r>
      <w:r w:rsidRPr="00B115A3">
        <w:rPr>
          <w:i/>
          <w:iCs/>
          <w:lang w:val="en-US"/>
        </w:rPr>
        <w:t xml:space="preserve"> Normal operational conditions </w:t>
      </w:r>
      <w:r>
        <w:rPr>
          <w:i/>
          <w:iCs/>
          <w:lang w:val="en-US"/>
        </w:rPr>
        <w:t xml:space="preserve">also </w:t>
      </w:r>
      <w:r w:rsidRPr="00B115A3">
        <w:rPr>
          <w:i/>
          <w:iCs/>
          <w:lang w:val="en-US"/>
        </w:rPr>
        <w:t>include malfunctioning and reasonably foreseeable accidental situations.</w:t>
      </w:r>
      <w:r w:rsidRPr="00831183">
        <w:rPr>
          <w:lang w:val="en-US"/>
        </w:rPr>
        <w:t>”</w:t>
      </w:r>
    </w:p>
    <w:p w14:paraId="6B21742D" w14:textId="77777777" w:rsidR="00C27755" w:rsidRDefault="00C27755" w:rsidP="00C27755">
      <w:pPr>
        <w:pStyle w:val="SingleTxtG"/>
        <w:rPr>
          <w:i/>
          <w:iCs/>
        </w:rPr>
      </w:pPr>
      <w:r>
        <w:rPr>
          <w:i/>
          <w:iCs/>
        </w:rPr>
        <w:t>(Reference document: ECE/TRANS/WP.15/2023/14, proposals 12, 13, 14 and 15, as amended)</w:t>
      </w:r>
    </w:p>
    <w:p w14:paraId="7D72C0E7" w14:textId="77777777" w:rsidR="00C27755" w:rsidRDefault="00C27755" w:rsidP="00C27755">
      <w:pPr>
        <w:pStyle w:val="SingleTxtG"/>
        <w:ind w:left="2268" w:hanging="1134"/>
      </w:pPr>
      <w:r>
        <w:t>9.2.4.4</w:t>
      </w:r>
      <w:r>
        <w:tab/>
        <w:t>Add a new 9.2.4.4.3 to read as follows:</w:t>
      </w:r>
    </w:p>
    <w:p w14:paraId="365F671D" w14:textId="77777777" w:rsidR="00C27755" w:rsidRPr="00E85357" w:rsidRDefault="00C27755" w:rsidP="00C27755">
      <w:pPr>
        <w:pStyle w:val="SingleTxtG"/>
        <w:ind w:left="2268" w:hanging="1134"/>
        <w:rPr>
          <w:i/>
          <w:iCs/>
        </w:rPr>
      </w:pPr>
      <w:r>
        <w:t>“9.2.4.4.3</w:t>
      </w:r>
      <w:r>
        <w:tab/>
      </w:r>
      <w:r w:rsidRPr="00E85357">
        <w:rPr>
          <w:i/>
          <w:iCs/>
        </w:rPr>
        <w:t xml:space="preserve">Measures against thermal </w:t>
      </w:r>
      <w:proofErr w:type="gramStart"/>
      <w:r w:rsidRPr="00E85357">
        <w:rPr>
          <w:i/>
          <w:iCs/>
        </w:rPr>
        <w:t>propagation</w:t>
      </w:r>
      <w:proofErr w:type="gramEnd"/>
    </w:p>
    <w:p w14:paraId="05038D7E" w14:textId="77777777" w:rsidR="00C27755" w:rsidRDefault="00C27755" w:rsidP="00B02EDC">
      <w:pPr>
        <w:pStyle w:val="SingleTxtG"/>
        <w:tabs>
          <w:tab w:val="clear" w:pos="1701"/>
        </w:tabs>
        <w:ind w:left="2268" w:hanging="1134"/>
      </w:pPr>
      <w:r>
        <w:tab/>
        <w:t>REESS containing cells for which thermal propagation cannot be guaranteed to be contained within the REESS, measures shall be taken to prevent danger to the load by heating or ignition. [The design shall consider the need for facilitation of intervention by emergency services to mitigate effects of a thermal propagation.]”</w:t>
      </w:r>
    </w:p>
    <w:p w14:paraId="7457D8F6" w14:textId="77777777" w:rsidR="00C27755" w:rsidRPr="00092B8F" w:rsidRDefault="00C27755" w:rsidP="00C27755">
      <w:pPr>
        <w:pStyle w:val="SingleTxtG"/>
        <w:rPr>
          <w:i/>
          <w:iCs/>
        </w:rPr>
      </w:pPr>
      <w:r>
        <w:rPr>
          <w:i/>
          <w:iCs/>
        </w:rPr>
        <w:t>(Reference document: ECE/TRANS/WP.15/2023/14, proposal 16)</w:t>
      </w:r>
    </w:p>
    <w:p w14:paraId="692B4C6D" w14:textId="77777777" w:rsidR="00C27755" w:rsidRDefault="00C27755" w:rsidP="00B02EDC">
      <w:pPr>
        <w:pStyle w:val="SingleTxtG"/>
        <w:tabs>
          <w:tab w:val="clear" w:pos="1701"/>
        </w:tabs>
        <w:ind w:left="2268" w:hanging="1134"/>
      </w:pPr>
      <w:r>
        <w:t>9.2.4</w:t>
      </w:r>
      <w:r>
        <w:tab/>
        <w:t>Add a new 9.2.4.5 to read as follows:</w:t>
      </w:r>
    </w:p>
    <w:p w14:paraId="3D1FE390" w14:textId="77777777" w:rsidR="00C27755" w:rsidRPr="00233463" w:rsidRDefault="00C27755" w:rsidP="00C27755">
      <w:pPr>
        <w:pStyle w:val="SingleTxtG"/>
        <w:ind w:left="2268" w:hanging="1134"/>
        <w:rPr>
          <w:b/>
          <w:bCs/>
          <w:i/>
          <w:iCs/>
        </w:rPr>
      </w:pPr>
      <w:r>
        <w:t>“</w:t>
      </w:r>
      <w:r w:rsidRPr="00233463">
        <w:rPr>
          <w:b/>
          <w:bCs/>
        </w:rPr>
        <w:t>9.2.4.5</w:t>
      </w:r>
      <w:r w:rsidRPr="00233463">
        <w:rPr>
          <w:b/>
          <w:bCs/>
        </w:rPr>
        <w:tab/>
      </w:r>
      <w:r w:rsidRPr="00233463">
        <w:rPr>
          <w:b/>
          <w:bCs/>
          <w:i/>
          <w:iCs/>
        </w:rPr>
        <w:t>Hydrogen fuel cell vehicles</w:t>
      </w:r>
    </w:p>
    <w:p w14:paraId="0B69EFB8" w14:textId="77777777" w:rsidR="00C27755" w:rsidRDefault="00C27755" w:rsidP="00C27755">
      <w:pPr>
        <w:pStyle w:val="SingleTxtG"/>
        <w:ind w:left="2268" w:hanging="1134"/>
      </w:pPr>
      <w:r>
        <w:t>9.2.4.5.1</w:t>
      </w:r>
      <w:r>
        <w:tab/>
        <w:t>Hydrogen fuel cell vehicles shall comply with the requirements for the electrical power train of 9.2.4.4.</w:t>
      </w:r>
    </w:p>
    <w:p w14:paraId="7A1E289A" w14:textId="77777777" w:rsidR="00C27755" w:rsidRDefault="00C27755" w:rsidP="00C27755">
      <w:pPr>
        <w:pStyle w:val="SingleTxtG"/>
        <w:ind w:left="2268" w:hanging="1134"/>
      </w:pPr>
      <w:r>
        <w:lastRenderedPageBreak/>
        <w:t>9.2.4.5.2</w:t>
      </w:r>
      <w:r>
        <w:tab/>
        <w:t>Hydrogen fuel cell vehicles shall comply with UN Regulation No. 134</w:t>
      </w:r>
      <w:r>
        <w:rPr>
          <w:vertAlign w:val="superscript"/>
        </w:rPr>
        <w:t>9</w:t>
      </w:r>
      <w:r>
        <w:t>, as amended at least by the 02 series of amendments. For vehicles using liquid hydrogen the technical requirements of the [</w:t>
      </w:r>
      <w:r w:rsidRPr="008D34D6">
        <w:t>Global Technical Regulation No.13</w:t>
      </w:r>
      <w:r>
        <w:rPr>
          <w:vertAlign w:val="superscript"/>
        </w:rPr>
        <w:t>10</w:t>
      </w:r>
      <w:r>
        <w:t>, Phase 2] applies.</w:t>
      </w:r>
    </w:p>
    <w:p w14:paraId="72089613" w14:textId="77777777" w:rsidR="00C27755" w:rsidRDefault="00C27755" w:rsidP="00C27755">
      <w:pPr>
        <w:pStyle w:val="SingleTxtG"/>
        <w:ind w:left="2268" w:hanging="1134"/>
      </w:pPr>
      <w:r>
        <w:t>9.2.4.5.3</w:t>
      </w:r>
      <w:r>
        <w:tab/>
        <w:t>Shut-off devices of hydrogen containers shall close automatically:</w:t>
      </w:r>
    </w:p>
    <w:p w14:paraId="4E725A1A" w14:textId="77777777" w:rsidR="00C27755" w:rsidRDefault="00C27755" w:rsidP="00BB0B60">
      <w:pPr>
        <w:pStyle w:val="SingleTxtG"/>
        <w:tabs>
          <w:tab w:val="clear" w:pos="1701"/>
        </w:tabs>
        <w:ind w:left="2268" w:hanging="1134"/>
      </w:pPr>
      <w:r>
        <w:tab/>
        <w:t>(a)</w:t>
      </w:r>
      <w:r>
        <w:tab/>
        <w:t xml:space="preserve">when the vehicle is no longer in driving </w:t>
      </w:r>
      <w:proofErr w:type="gramStart"/>
      <w:r>
        <w:t>mode;</w:t>
      </w:r>
      <w:proofErr w:type="gramEnd"/>
    </w:p>
    <w:p w14:paraId="13F77363" w14:textId="77777777" w:rsidR="00C27755" w:rsidRDefault="00C27755" w:rsidP="00BB0B60">
      <w:pPr>
        <w:pStyle w:val="SingleTxtG"/>
        <w:tabs>
          <w:tab w:val="clear" w:pos="1701"/>
        </w:tabs>
        <w:ind w:left="2268" w:hanging="1134"/>
      </w:pPr>
      <w:r>
        <w:tab/>
        <w:t>(b)</w:t>
      </w:r>
      <w:r>
        <w:tab/>
        <w:t xml:space="preserve">at a deceleration of </w:t>
      </w:r>
      <w:r w:rsidRPr="00EA7B7D">
        <w:t>[3</w:t>
      </w:r>
      <w:r>
        <w:t>.</w:t>
      </w:r>
      <w:r w:rsidRPr="00EA7B7D">
        <w:t>25 m</w:t>
      </w:r>
      <w:r>
        <w:t>·</w:t>
      </w:r>
      <w:r w:rsidRPr="00EA7B7D">
        <w:t>s</w:t>
      </w:r>
      <w:r w:rsidRPr="00FE0CA0">
        <w:rPr>
          <w:vertAlign w:val="superscript"/>
        </w:rPr>
        <w:t>-2</w:t>
      </w:r>
      <w:r w:rsidRPr="00EA7B7D">
        <w:t xml:space="preserve"> </w:t>
      </w:r>
      <w:r>
        <w:t>for</w:t>
      </w:r>
      <w:r w:rsidRPr="00EA7B7D">
        <w:t xml:space="preserve"> 0</w:t>
      </w:r>
      <w:r>
        <w:t>.</w:t>
      </w:r>
      <w:r w:rsidRPr="00EA7B7D">
        <w:t>7 s</w:t>
      </w:r>
      <w:proofErr w:type="gramStart"/>
      <w:r w:rsidRPr="00EA7B7D">
        <w:t>]</w:t>
      </w:r>
      <w:r>
        <w:t>;</w:t>
      </w:r>
      <w:proofErr w:type="gramEnd"/>
    </w:p>
    <w:p w14:paraId="17124B93" w14:textId="77777777" w:rsidR="00C27755" w:rsidRDefault="00C27755" w:rsidP="00BB0B60">
      <w:pPr>
        <w:pStyle w:val="SingleTxtG"/>
        <w:tabs>
          <w:tab w:val="clear" w:pos="1701"/>
        </w:tabs>
        <w:ind w:left="2268" w:hanging="1134"/>
      </w:pPr>
      <w:r>
        <w:tab/>
        <w:t>(c)</w:t>
      </w:r>
      <w:r>
        <w:tab/>
        <w:t>in case of a lateral overturning above an angle of 23°.</w:t>
      </w:r>
    </w:p>
    <w:p w14:paraId="33E9F921" w14:textId="77777777" w:rsidR="00C27755" w:rsidRDefault="00C27755" w:rsidP="00BB0B60">
      <w:pPr>
        <w:pStyle w:val="SingleTxtG"/>
        <w:tabs>
          <w:tab w:val="clear" w:pos="1701"/>
        </w:tabs>
        <w:ind w:left="2268" w:hanging="1134"/>
      </w:pPr>
      <w:r>
        <w:tab/>
        <w:t>The shut-off devices may be re-opened by a deliberate action of the driver.”</w:t>
      </w:r>
    </w:p>
    <w:p w14:paraId="32073FB4" w14:textId="77777777" w:rsidR="00C27755" w:rsidRPr="00092B8F" w:rsidRDefault="00C27755" w:rsidP="00E44C70">
      <w:pPr>
        <w:pStyle w:val="SingleTxtG"/>
        <w:tabs>
          <w:tab w:val="clear" w:pos="1701"/>
        </w:tabs>
        <w:rPr>
          <w:i/>
          <w:iCs/>
        </w:rPr>
      </w:pPr>
      <w:r>
        <w:rPr>
          <w:i/>
          <w:iCs/>
        </w:rPr>
        <w:t>(Reference document: ECE/TRANS/WP.15/2023/14, proposal 17 and informal document INF.15)</w:t>
      </w:r>
    </w:p>
    <w:p w14:paraId="5B23B8A0" w14:textId="77777777" w:rsidR="00C27755" w:rsidRDefault="00C27755" w:rsidP="00E44C70">
      <w:pPr>
        <w:pStyle w:val="SingleTxtG"/>
        <w:tabs>
          <w:tab w:val="clear" w:pos="1701"/>
        </w:tabs>
        <w:ind w:left="2268" w:hanging="1134"/>
      </w:pPr>
      <w:r>
        <w:t>9.2.4.7</w:t>
      </w:r>
      <w:r>
        <w:tab/>
        <w:t>Delete.</w:t>
      </w:r>
    </w:p>
    <w:p w14:paraId="046EC2F9" w14:textId="77777777" w:rsidR="00C27755" w:rsidRPr="00092B8F" w:rsidRDefault="00C27755" w:rsidP="00E44C70">
      <w:pPr>
        <w:pStyle w:val="SingleTxtG"/>
        <w:tabs>
          <w:tab w:val="clear" w:pos="1701"/>
        </w:tabs>
        <w:rPr>
          <w:i/>
          <w:iCs/>
        </w:rPr>
      </w:pPr>
      <w:r>
        <w:rPr>
          <w:i/>
          <w:iCs/>
        </w:rPr>
        <w:t>(Reference document: ECE/TRANS/WP.15/2023/14, proposal 18)</w:t>
      </w:r>
    </w:p>
    <w:p w14:paraId="283A6CB3" w14:textId="77777777" w:rsidR="00C27755" w:rsidRDefault="00C27755" w:rsidP="00E44C70">
      <w:pPr>
        <w:pStyle w:val="SingleTxtG"/>
        <w:tabs>
          <w:tab w:val="clear" w:pos="1701"/>
        </w:tabs>
        <w:ind w:left="2268" w:hanging="1134"/>
      </w:pPr>
      <w:r>
        <w:t>9.2.4</w:t>
      </w:r>
      <w:r>
        <w:tab/>
      </w:r>
      <w:r w:rsidRPr="002E4447">
        <w:t>Renumber 9.2.4.8 to 9.2.4.8.6 as 9.2.5 to 9.2.5.6</w:t>
      </w:r>
      <w:r>
        <w:t xml:space="preserve">. Renumber footnote </w:t>
      </w:r>
      <w:r w:rsidRPr="00502618">
        <w:rPr>
          <w:vertAlign w:val="superscript"/>
        </w:rPr>
        <w:t>9</w:t>
      </w:r>
      <w:r>
        <w:t xml:space="preserve"> as </w:t>
      </w:r>
      <w:r w:rsidRPr="00502618">
        <w:rPr>
          <w:vertAlign w:val="superscript"/>
        </w:rPr>
        <w:t>1</w:t>
      </w:r>
      <w:r>
        <w:rPr>
          <w:vertAlign w:val="superscript"/>
        </w:rPr>
        <w:t>1</w:t>
      </w:r>
      <w:r>
        <w:t xml:space="preserve">. </w:t>
      </w:r>
      <w:r w:rsidRPr="00DB0BF8">
        <w:t>Renumber 9.2.5 and 9.2.6 as 9.2.6 and 9.2.7</w:t>
      </w:r>
      <w:r>
        <w:t xml:space="preserve">. Renumber footnote </w:t>
      </w:r>
      <w:r w:rsidRPr="00502618">
        <w:rPr>
          <w:vertAlign w:val="superscript"/>
        </w:rPr>
        <w:t>10</w:t>
      </w:r>
      <w:r>
        <w:t xml:space="preserve"> as </w:t>
      </w:r>
      <w:r w:rsidRPr="00502618">
        <w:rPr>
          <w:vertAlign w:val="superscript"/>
        </w:rPr>
        <w:t>1</w:t>
      </w:r>
      <w:r>
        <w:rPr>
          <w:vertAlign w:val="superscript"/>
        </w:rPr>
        <w:t>2</w:t>
      </w:r>
      <w:r>
        <w:t>.</w:t>
      </w:r>
    </w:p>
    <w:p w14:paraId="6468E93D" w14:textId="77777777" w:rsidR="00C27755" w:rsidRPr="00092B8F" w:rsidRDefault="00C27755" w:rsidP="00E44C70">
      <w:pPr>
        <w:pStyle w:val="SingleTxtG"/>
        <w:tabs>
          <w:tab w:val="clear" w:pos="1701"/>
        </w:tabs>
        <w:rPr>
          <w:i/>
          <w:iCs/>
        </w:rPr>
      </w:pPr>
      <w:r>
        <w:rPr>
          <w:i/>
          <w:iCs/>
        </w:rPr>
        <w:t>(Reference document: ECE/TRANS/WP.15/2023/14, proposals 19 and 20, and consequential amendments)</w:t>
      </w:r>
    </w:p>
    <w:p w14:paraId="27C8BDAD" w14:textId="77777777" w:rsidR="00C27755" w:rsidRDefault="00C27755" w:rsidP="00E44C70">
      <w:pPr>
        <w:pStyle w:val="SingleTxtG"/>
        <w:tabs>
          <w:tab w:val="clear" w:pos="1701"/>
        </w:tabs>
        <w:ind w:left="2268" w:hanging="1134"/>
      </w:pPr>
      <w:r>
        <w:t>9.2.4</w:t>
      </w:r>
      <w:r>
        <w:tab/>
      </w:r>
      <w:r w:rsidRPr="002E4447">
        <w:t>Renumber 9.2.</w:t>
      </w:r>
      <w:r>
        <w:t>7 and 9.2.7.1 as 9.2.8 and 9.2.8.1. [After “LNG”, add “and liquid hydrogen”.]</w:t>
      </w:r>
    </w:p>
    <w:p w14:paraId="5B215AA1" w14:textId="77777777" w:rsidR="00C27755" w:rsidRPr="00092B8F" w:rsidRDefault="00C27755" w:rsidP="00C27755">
      <w:pPr>
        <w:pStyle w:val="SingleTxtG"/>
        <w:rPr>
          <w:i/>
          <w:iCs/>
        </w:rPr>
      </w:pPr>
      <w:r>
        <w:rPr>
          <w:i/>
          <w:iCs/>
        </w:rPr>
        <w:t>(Reference document: ECE/TRANS/WP.15/2023/14, proposals 21, as amended)</w:t>
      </w:r>
    </w:p>
    <w:p w14:paraId="24283A9B" w14:textId="77777777" w:rsidR="001F1BA1" w:rsidRDefault="001F1BA1">
      <w:pPr>
        <w:rPr>
          <w:b/>
          <w:sz w:val="28"/>
        </w:rPr>
      </w:pPr>
      <w:r>
        <w:br w:type="page"/>
      </w:r>
    </w:p>
    <w:p w14:paraId="299EC8F4" w14:textId="089A57D5" w:rsidR="00C27755" w:rsidRDefault="00C27755" w:rsidP="00C27755">
      <w:pPr>
        <w:pStyle w:val="HChG"/>
      </w:pPr>
      <w:r>
        <w:lastRenderedPageBreak/>
        <w:t>Annex IV</w:t>
      </w:r>
    </w:p>
    <w:p w14:paraId="4B8FF2C9" w14:textId="77777777" w:rsidR="00C27755" w:rsidRDefault="00C27755" w:rsidP="00C27755">
      <w:pPr>
        <w:pStyle w:val="HChG"/>
        <w:rPr>
          <w:bCs/>
        </w:rPr>
      </w:pPr>
      <w:r>
        <w:tab/>
      </w:r>
      <w:r>
        <w:tab/>
      </w:r>
      <w:r w:rsidRPr="000A6875">
        <w:t>Corrections</w:t>
      </w:r>
      <w:r w:rsidRPr="000A6875">
        <w:rPr>
          <w:bCs/>
        </w:rPr>
        <w:t xml:space="preserve"> to the English version of ADR 2023</w:t>
      </w:r>
    </w:p>
    <w:p w14:paraId="6C61E10F" w14:textId="77777777" w:rsidR="00C27755" w:rsidRPr="007028DD" w:rsidRDefault="00C27755" w:rsidP="00C27755">
      <w:pPr>
        <w:pStyle w:val="SingleTxtG"/>
        <w:rPr>
          <w:b/>
          <w:bCs/>
        </w:rPr>
      </w:pPr>
      <w:r w:rsidRPr="007028DD">
        <w:rPr>
          <w:b/>
          <w:bCs/>
        </w:rPr>
        <w:t>Chapter 5.1, 5.1.5.5, table, column</w:t>
      </w:r>
      <w:r>
        <w:rPr>
          <w:b/>
          <w:bCs/>
        </w:rPr>
        <w:t xml:space="preserve"> </w:t>
      </w:r>
      <w:r w:rsidRPr="007028DD">
        <w:rPr>
          <w:b/>
          <w:bCs/>
        </w:rPr>
        <w:t>headed “</w:t>
      </w:r>
      <w:proofErr w:type="gramStart"/>
      <w:r w:rsidRPr="007028DD">
        <w:rPr>
          <w:b/>
          <w:bCs/>
        </w:rPr>
        <w:t>Reference”</w:t>
      </w:r>
      <w:proofErr w:type="gramEnd"/>
    </w:p>
    <w:p w14:paraId="0203E6B4" w14:textId="77777777" w:rsidR="00C27755" w:rsidRDefault="00C27755" w:rsidP="00C27755">
      <w:pPr>
        <w:pStyle w:val="SingleTxtG"/>
      </w:pPr>
      <w:r>
        <w:t xml:space="preserve">In the eighth entry (Packages for fissile material) </w:t>
      </w:r>
      <w:r w:rsidRPr="007028DD">
        <w:rPr>
          <w:i/>
          <w:iCs/>
        </w:rPr>
        <w:t>delete</w:t>
      </w:r>
      <w:r>
        <w:t xml:space="preserve"> 6.4.22.5</w:t>
      </w:r>
    </w:p>
    <w:p w14:paraId="6AB62A61" w14:textId="77777777" w:rsidR="00C27755" w:rsidRPr="00A75213" w:rsidRDefault="00C27755" w:rsidP="00C27755">
      <w:pPr>
        <w:pStyle w:val="SingleTxtG"/>
        <w:rPr>
          <w:i/>
          <w:iCs/>
        </w:rPr>
      </w:pPr>
      <w:r w:rsidRPr="00A75213">
        <w:rPr>
          <w:i/>
          <w:iCs/>
        </w:rPr>
        <w:t>(Reference document: Informal document INF.21)</w:t>
      </w:r>
    </w:p>
    <w:p w14:paraId="30369CE4" w14:textId="0DC28C29" w:rsidR="00FC2073" w:rsidRPr="00E84125" w:rsidRDefault="00C27755" w:rsidP="00A624E7">
      <w:pPr>
        <w:spacing w:before="240"/>
        <w:jc w:val="center"/>
        <w:rPr>
          <w:sz w:val="28"/>
          <w:szCs w:val="28"/>
          <w:lang w:eastAsia="en-US"/>
        </w:rPr>
      </w:pPr>
      <w:r>
        <w:rPr>
          <w:u w:val="single"/>
        </w:rPr>
        <w:tab/>
      </w:r>
      <w:r>
        <w:rPr>
          <w:u w:val="single"/>
        </w:rPr>
        <w:tab/>
      </w:r>
      <w:r>
        <w:rPr>
          <w:u w:val="single"/>
        </w:rPr>
        <w:tab/>
      </w:r>
    </w:p>
    <w:sectPr w:rsidR="00FC2073" w:rsidRPr="00E84125" w:rsidSect="00052C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7952" w14:textId="77777777" w:rsidR="0027569E" w:rsidRDefault="0027569E"/>
  </w:endnote>
  <w:endnote w:type="continuationSeparator" w:id="0">
    <w:p w14:paraId="18E46AF0" w14:textId="77777777" w:rsidR="0027569E" w:rsidRDefault="0027569E"/>
  </w:endnote>
  <w:endnote w:type="continuationNotice" w:id="1">
    <w:p w14:paraId="7C4C9D86" w14:textId="77777777" w:rsidR="0027569E" w:rsidRDefault="00275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A2DF" w14:textId="2FE06A44" w:rsidR="00052C51" w:rsidRPr="00052C51" w:rsidRDefault="00052C51" w:rsidP="00052C51">
    <w:pPr>
      <w:pStyle w:val="Footer"/>
      <w:tabs>
        <w:tab w:val="right" w:pos="9638"/>
      </w:tabs>
      <w:rPr>
        <w:sz w:val="18"/>
      </w:rPr>
    </w:pPr>
    <w:r w:rsidRPr="00052C51">
      <w:rPr>
        <w:b/>
        <w:sz w:val="18"/>
      </w:rPr>
      <w:fldChar w:fldCharType="begin"/>
    </w:r>
    <w:r w:rsidRPr="00052C51">
      <w:rPr>
        <w:b/>
        <w:sz w:val="18"/>
      </w:rPr>
      <w:instrText xml:space="preserve"> PAGE  \* MERGEFORMAT </w:instrText>
    </w:r>
    <w:r w:rsidRPr="00052C51">
      <w:rPr>
        <w:b/>
        <w:sz w:val="18"/>
      </w:rPr>
      <w:fldChar w:fldCharType="separate"/>
    </w:r>
    <w:r w:rsidRPr="00052C51">
      <w:rPr>
        <w:b/>
        <w:noProof/>
        <w:sz w:val="18"/>
      </w:rPr>
      <w:t>2</w:t>
    </w:r>
    <w:r w:rsidRPr="00052C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956" w14:textId="0ABB6E96" w:rsidR="00052C51" w:rsidRPr="00052C51" w:rsidRDefault="00052C51" w:rsidP="00052C51">
    <w:pPr>
      <w:pStyle w:val="Footer"/>
      <w:tabs>
        <w:tab w:val="right" w:pos="9638"/>
      </w:tabs>
      <w:rPr>
        <w:b/>
        <w:sz w:val="18"/>
      </w:rPr>
    </w:pPr>
    <w:r>
      <w:tab/>
    </w:r>
    <w:r w:rsidRPr="00052C51">
      <w:rPr>
        <w:b/>
        <w:sz w:val="18"/>
      </w:rPr>
      <w:fldChar w:fldCharType="begin"/>
    </w:r>
    <w:r w:rsidRPr="00052C51">
      <w:rPr>
        <w:b/>
        <w:sz w:val="18"/>
      </w:rPr>
      <w:instrText xml:space="preserve"> PAGE  \* MERGEFORMAT </w:instrText>
    </w:r>
    <w:r w:rsidRPr="00052C51">
      <w:rPr>
        <w:b/>
        <w:sz w:val="18"/>
      </w:rPr>
      <w:fldChar w:fldCharType="separate"/>
    </w:r>
    <w:r w:rsidRPr="00052C51">
      <w:rPr>
        <w:b/>
        <w:noProof/>
        <w:sz w:val="18"/>
      </w:rPr>
      <w:t>3</w:t>
    </w:r>
    <w:r w:rsidRPr="00052C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F49" w14:textId="0564E978" w:rsidR="001A223B" w:rsidRDefault="0051244E" w:rsidP="001A223B">
    <w:pPr>
      <w:pStyle w:val="Footer"/>
    </w:pPr>
    <w:r>
      <w:rPr>
        <w:noProof/>
        <w:sz w:val="20"/>
      </w:rPr>
      <w:drawing>
        <wp:anchor distT="0" distB="0" distL="114300" distR="114300" simplePos="0" relativeHeight="251660288" behindDoc="0" locked="0" layoutInCell="1" allowOverlap="1" wp14:anchorId="7D37B73C" wp14:editId="3DD058BE">
          <wp:simplePos x="0" y="0"/>
          <wp:positionH relativeFrom="margin">
            <wp:posOffset>5615940</wp:posOffset>
          </wp:positionH>
          <wp:positionV relativeFrom="margin">
            <wp:posOffset>9147538</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23B" w:rsidRPr="0027112F">
      <w:rPr>
        <w:noProof/>
        <w:lang w:val="en-US"/>
      </w:rPr>
      <w:drawing>
        <wp:anchor distT="0" distB="0" distL="114300" distR="114300" simplePos="0" relativeHeight="251659264" behindDoc="0" locked="1" layoutInCell="1" allowOverlap="1" wp14:anchorId="210C6929" wp14:editId="742B1B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318F13" w14:textId="009C408C" w:rsidR="001A223B" w:rsidRPr="001A223B" w:rsidRDefault="001A223B" w:rsidP="001A223B">
    <w:pPr>
      <w:pStyle w:val="Footer"/>
      <w:ind w:right="1134"/>
      <w:rPr>
        <w:sz w:val="20"/>
      </w:rPr>
    </w:pPr>
    <w:r>
      <w:rPr>
        <w:sz w:val="20"/>
      </w:rPr>
      <w:t>GE.23-22993(E)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F0AE" w14:textId="77777777" w:rsidR="0027569E" w:rsidRPr="000B175B" w:rsidRDefault="0027569E" w:rsidP="000B175B">
      <w:pPr>
        <w:tabs>
          <w:tab w:val="right" w:pos="2155"/>
        </w:tabs>
        <w:spacing w:after="80"/>
        <w:ind w:left="680"/>
        <w:rPr>
          <w:u w:val="single"/>
        </w:rPr>
      </w:pPr>
      <w:r>
        <w:rPr>
          <w:u w:val="single"/>
        </w:rPr>
        <w:tab/>
      </w:r>
    </w:p>
  </w:footnote>
  <w:footnote w:type="continuationSeparator" w:id="0">
    <w:p w14:paraId="73AEADB9" w14:textId="77777777" w:rsidR="0027569E" w:rsidRPr="00FC68B7" w:rsidRDefault="0027569E" w:rsidP="00FC68B7">
      <w:pPr>
        <w:tabs>
          <w:tab w:val="left" w:pos="2155"/>
        </w:tabs>
        <w:spacing w:after="80"/>
        <w:ind w:left="680"/>
        <w:rPr>
          <w:u w:val="single"/>
        </w:rPr>
      </w:pPr>
      <w:r>
        <w:rPr>
          <w:u w:val="single"/>
        </w:rPr>
        <w:tab/>
      </w:r>
    </w:p>
  </w:footnote>
  <w:footnote w:type="continuationNotice" w:id="1">
    <w:p w14:paraId="6056A23C" w14:textId="77777777" w:rsidR="0027569E" w:rsidRDefault="0027569E"/>
  </w:footnote>
  <w:footnote w:id="2">
    <w:p w14:paraId="6A787753" w14:textId="77777777" w:rsidR="00F97CF9" w:rsidRPr="008D73DC" w:rsidRDefault="00F97CF9" w:rsidP="00F97CF9">
      <w:pPr>
        <w:pStyle w:val="FootnoteText"/>
        <w:widowControl w:val="0"/>
        <w:tabs>
          <w:tab w:val="clear" w:pos="1021"/>
          <w:tab w:val="right" w:pos="1020"/>
        </w:tabs>
      </w:pPr>
      <w:r>
        <w:tab/>
      </w:r>
      <w:r>
        <w:rPr>
          <w:rStyle w:val="FootnoteReference"/>
        </w:rPr>
        <w:footnoteRef/>
      </w:r>
      <w:r>
        <w:tab/>
        <w:t xml:space="preserve">See </w:t>
      </w:r>
      <w:hyperlink r:id="rId1" w:history="1">
        <w:r w:rsidRPr="00EE11B4">
          <w:rPr>
            <w:rStyle w:val="Hyperlink"/>
          </w:rPr>
          <w:t>https://www.icao.int/safety/UA/Pages/ICAO-Model-UAS-Regulations.aspx</w:t>
        </w:r>
      </w:hyperlink>
      <w:r>
        <w:t xml:space="preserve"> and </w:t>
      </w:r>
      <w:hyperlink r:id="rId2" w:history="1">
        <w:r w:rsidRPr="00EE11B4">
          <w:rPr>
            <w:rStyle w:val="Hyperlink"/>
          </w:rPr>
          <w:t>https://www.icao.int/safety/UA/UAID/Documents/Advisory%20Circular%20102-37.pdf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1F34" w14:textId="5EA0F4DC" w:rsidR="00052C51" w:rsidRPr="00052C51" w:rsidRDefault="0051244E">
    <w:pPr>
      <w:pStyle w:val="Header"/>
    </w:pPr>
    <w:r>
      <w:fldChar w:fldCharType="begin"/>
    </w:r>
    <w:r>
      <w:instrText xml:space="preserve"> TITLE  \* MERGEFORMAT </w:instrText>
    </w:r>
    <w:r>
      <w:fldChar w:fldCharType="separate"/>
    </w:r>
    <w:r w:rsidR="00E10758">
      <w:t>ECE/TRANS/WP.15/264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1A7" w14:textId="748C492E" w:rsidR="00052C51" w:rsidRPr="00052C51" w:rsidRDefault="0051244E" w:rsidP="00052C51">
    <w:pPr>
      <w:pStyle w:val="Header"/>
      <w:jc w:val="right"/>
    </w:pPr>
    <w:r>
      <w:fldChar w:fldCharType="begin"/>
    </w:r>
    <w:r>
      <w:instrText xml:space="preserve"> TITLE  \* MERGEFORMAT </w:instrText>
    </w:r>
    <w:r>
      <w:fldChar w:fldCharType="separate"/>
    </w:r>
    <w:r w:rsidR="00E10758">
      <w:t>ECE/TRANS/WP.15/264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51614C"/>
    <w:multiLevelType w:val="hybridMultilevel"/>
    <w:tmpl w:val="31A01BF6"/>
    <w:lvl w:ilvl="0" w:tplc="52B8B382">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94492422">
    <w:abstractNumId w:val="1"/>
  </w:num>
  <w:num w:numId="2" w16cid:durableId="101072460">
    <w:abstractNumId w:val="0"/>
  </w:num>
  <w:num w:numId="3" w16cid:durableId="1959212183">
    <w:abstractNumId w:val="2"/>
  </w:num>
  <w:num w:numId="4" w16cid:durableId="840781098">
    <w:abstractNumId w:val="3"/>
  </w:num>
  <w:num w:numId="5" w16cid:durableId="1857117211">
    <w:abstractNumId w:val="8"/>
  </w:num>
  <w:num w:numId="6" w16cid:durableId="1782645599">
    <w:abstractNumId w:val="9"/>
  </w:num>
  <w:num w:numId="7" w16cid:durableId="1697346265">
    <w:abstractNumId w:val="7"/>
  </w:num>
  <w:num w:numId="8" w16cid:durableId="1391002385">
    <w:abstractNumId w:val="6"/>
  </w:num>
  <w:num w:numId="9" w16cid:durableId="1067608036">
    <w:abstractNumId w:val="5"/>
  </w:num>
  <w:num w:numId="10" w16cid:durableId="2126003172">
    <w:abstractNumId w:val="4"/>
  </w:num>
  <w:num w:numId="11" w16cid:durableId="1625423906">
    <w:abstractNumId w:val="15"/>
  </w:num>
  <w:num w:numId="12" w16cid:durableId="1815371732">
    <w:abstractNumId w:val="14"/>
  </w:num>
  <w:num w:numId="13" w16cid:durableId="719940368">
    <w:abstractNumId w:val="10"/>
  </w:num>
  <w:num w:numId="14" w16cid:durableId="1064646089">
    <w:abstractNumId w:val="12"/>
  </w:num>
  <w:num w:numId="15" w16cid:durableId="682586837">
    <w:abstractNumId w:val="16"/>
  </w:num>
  <w:num w:numId="16" w16cid:durableId="24989736">
    <w:abstractNumId w:val="13"/>
  </w:num>
  <w:num w:numId="17" w16cid:durableId="1056973830">
    <w:abstractNumId w:val="18"/>
  </w:num>
  <w:num w:numId="18" w16cid:durableId="628122542">
    <w:abstractNumId w:val="19"/>
  </w:num>
  <w:num w:numId="19" w16cid:durableId="225840840">
    <w:abstractNumId w:val="11"/>
  </w:num>
  <w:num w:numId="20" w16cid:durableId="1063337541">
    <w:abstractNumId w:val="11"/>
  </w:num>
  <w:num w:numId="21" w16cid:durableId="1401100064">
    <w:abstractNumId w:val="18"/>
  </w:num>
  <w:num w:numId="22" w16cid:durableId="763377785">
    <w:abstractNumId w:val="18"/>
  </w:num>
  <w:num w:numId="23" w16cid:durableId="1716854729">
    <w:abstractNumId w:val="18"/>
  </w:num>
  <w:num w:numId="24" w16cid:durableId="483200836">
    <w:abstractNumId w:val="18"/>
  </w:num>
  <w:num w:numId="25" w16cid:durableId="1790125646">
    <w:abstractNumId w:val="18"/>
  </w:num>
  <w:num w:numId="26" w16cid:durableId="2130123951">
    <w:abstractNumId w:val="18"/>
  </w:num>
  <w:num w:numId="27" w16cid:durableId="116686929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51"/>
    <w:rsid w:val="00001E4B"/>
    <w:rsid w:val="00002A7D"/>
    <w:rsid w:val="000038A8"/>
    <w:rsid w:val="00006790"/>
    <w:rsid w:val="00020B02"/>
    <w:rsid w:val="00027624"/>
    <w:rsid w:val="00044957"/>
    <w:rsid w:val="00050F6B"/>
    <w:rsid w:val="00052C51"/>
    <w:rsid w:val="000678CD"/>
    <w:rsid w:val="00072C8C"/>
    <w:rsid w:val="00074AC1"/>
    <w:rsid w:val="00081CE0"/>
    <w:rsid w:val="00084D30"/>
    <w:rsid w:val="00090320"/>
    <w:rsid w:val="000931C0"/>
    <w:rsid w:val="0009732C"/>
    <w:rsid w:val="000A01F9"/>
    <w:rsid w:val="000A2E09"/>
    <w:rsid w:val="000B175B"/>
    <w:rsid w:val="000B305B"/>
    <w:rsid w:val="000B3A0F"/>
    <w:rsid w:val="000C2188"/>
    <w:rsid w:val="000D00CC"/>
    <w:rsid w:val="000E0415"/>
    <w:rsid w:val="000E4359"/>
    <w:rsid w:val="000E48F5"/>
    <w:rsid w:val="000F7715"/>
    <w:rsid w:val="00115729"/>
    <w:rsid w:val="00156B99"/>
    <w:rsid w:val="00166124"/>
    <w:rsid w:val="00184DDA"/>
    <w:rsid w:val="001900CD"/>
    <w:rsid w:val="001909D7"/>
    <w:rsid w:val="00194FBF"/>
    <w:rsid w:val="001A0452"/>
    <w:rsid w:val="001A223B"/>
    <w:rsid w:val="001A2462"/>
    <w:rsid w:val="001B18CE"/>
    <w:rsid w:val="001B4B04"/>
    <w:rsid w:val="001B5875"/>
    <w:rsid w:val="001C4AB9"/>
    <w:rsid w:val="001C4B9C"/>
    <w:rsid w:val="001C6117"/>
    <w:rsid w:val="001C6663"/>
    <w:rsid w:val="001C7895"/>
    <w:rsid w:val="001D1094"/>
    <w:rsid w:val="001D26DF"/>
    <w:rsid w:val="001E555D"/>
    <w:rsid w:val="001F1599"/>
    <w:rsid w:val="001F19C4"/>
    <w:rsid w:val="001F1BA1"/>
    <w:rsid w:val="002043F0"/>
    <w:rsid w:val="00211E0B"/>
    <w:rsid w:val="0021568F"/>
    <w:rsid w:val="00232575"/>
    <w:rsid w:val="00247258"/>
    <w:rsid w:val="00257CAC"/>
    <w:rsid w:val="00264441"/>
    <w:rsid w:val="0026628E"/>
    <w:rsid w:val="0027237A"/>
    <w:rsid w:val="0027569E"/>
    <w:rsid w:val="002974E9"/>
    <w:rsid w:val="002A7F94"/>
    <w:rsid w:val="002B109A"/>
    <w:rsid w:val="002B5562"/>
    <w:rsid w:val="002B7F4B"/>
    <w:rsid w:val="002C2A53"/>
    <w:rsid w:val="002C6D45"/>
    <w:rsid w:val="002D6E53"/>
    <w:rsid w:val="002F046D"/>
    <w:rsid w:val="002F3023"/>
    <w:rsid w:val="00301764"/>
    <w:rsid w:val="003019C8"/>
    <w:rsid w:val="003229D8"/>
    <w:rsid w:val="00323A64"/>
    <w:rsid w:val="00335FA1"/>
    <w:rsid w:val="00336C97"/>
    <w:rsid w:val="00337F88"/>
    <w:rsid w:val="00342432"/>
    <w:rsid w:val="0035223F"/>
    <w:rsid w:val="00352D4B"/>
    <w:rsid w:val="0035638C"/>
    <w:rsid w:val="00375D76"/>
    <w:rsid w:val="00377B25"/>
    <w:rsid w:val="003A1D56"/>
    <w:rsid w:val="003A46BB"/>
    <w:rsid w:val="003A4EC7"/>
    <w:rsid w:val="003A7295"/>
    <w:rsid w:val="003B1F60"/>
    <w:rsid w:val="003B3B59"/>
    <w:rsid w:val="003C2CC4"/>
    <w:rsid w:val="003D4B23"/>
    <w:rsid w:val="003D576F"/>
    <w:rsid w:val="003E278A"/>
    <w:rsid w:val="00413520"/>
    <w:rsid w:val="00415880"/>
    <w:rsid w:val="00430D57"/>
    <w:rsid w:val="00432500"/>
    <w:rsid w:val="004325CB"/>
    <w:rsid w:val="00436288"/>
    <w:rsid w:val="00440A07"/>
    <w:rsid w:val="00447020"/>
    <w:rsid w:val="004538DC"/>
    <w:rsid w:val="004577C5"/>
    <w:rsid w:val="004603AE"/>
    <w:rsid w:val="00462880"/>
    <w:rsid w:val="00464A2F"/>
    <w:rsid w:val="00476F24"/>
    <w:rsid w:val="004868AC"/>
    <w:rsid w:val="004A0968"/>
    <w:rsid w:val="004C55B0"/>
    <w:rsid w:val="004F6BA0"/>
    <w:rsid w:val="00503BEA"/>
    <w:rsid w:val="0051244E"/>
    <w:rsid w:val="0051271C"/>
    <w:rsid w:val="00533616"/>
    <w:rsid w:val="00535ABA"/>
    <w:rsid w:val="0053768B"/>
    <w:rsid w:val="005420F2"/>
    <w:rsid w:val="0054285C"/>
    <w:rsid w:val="0055306C"/>
    <w:rsid w:val="00556D1A"/>
    <w:rsid w:val="00573864"/>
    <w:rsid w:val="00584173"/>
    <w:rsid w:val="00595520"/>
    <w:rsid w:val="005A44B9"/>
    <w:rsid w:val="005B1763"/>
    <w:rsid w:val="005B1BA0"/>
    <w:rsid w:val="005B3DB3"/>
    <w:rsid w:val="005D15CA"/>
    <w:rsid w:val="005D7969"/>
    <w:rsid w:val="005E6F00"/>
    <w:rsid w:val="005E7BBE"/>
    <w:rsid w:val="005F08DF"/>
    <w:rsid w:val="005F3066"/>
    <w:rsid w:val="005F3E61"/>
    <w:rsid w:val="00604DDD"/>
    <w:rsid w:val="00610608"/>
    <w:rsid w:val="00611369"/>
    <w:rsid w:val="006115CC"/>
    <w:rsid w:val="00611FC4"/>
    <w:rsid w:val="006176FB"/>
    <w:rsid w:val="00626BEF"/>
    <w:rsid w:val="00630FCB"/>
    <w:rsid w:val="00640B26"/>
    <w:rsid w:val="00645EDE"/>
    <w:rsid w:val="0065766B"/>
    <w:rsid w:val="006770B2"/>
    <w:rsid w:val="00686A48"/>
    <w:rsid w:val="006940E1"/>
    <w:rsid w:val="006969EB"/>
    <w:rsid w:val="00697266"/>
    <w:rsid w:val="006A3C72"/>
    <w:rsid w:val="006A7392"/>
    <w:rsid w:val="006B03A1"/>
    <w:rsid w:val="006B67D9"/>
    <w:rsid w:val="006C47D5"/>
    <w:rsid w:val="006C5535"/>
    <w:rsid w:val="006C63B6"/>
    <w:rsid w:val="006D0589"/>
    <w:rsid w:val="006D68C7"/>
    <w:rsid w:val="006E051A"/>
    <w:rsid w:val="006E564B"/>
    <w:rsid w:val="006E7154"/>
    <w:rsid w:val="007003CD"/>
    <w:rsid w:val="00702D09"/>
    <w:rsid w:val="0070701E"/>
    <w:rsid w:val="00711B0C"/>
    <w:rsid w:val="007173E0"/>
    <w:rsid w:val="0072632A"/>
    <w:rsid w:val="00734D20"/>
    <w:rsid w:val="007358E8"/>
    <w:rsid w:val="00736ECE"/>
    <w:rsid w:val="0074533B"/>
    <w:rsid w:val="00747151"/>
    <w:rsid w:val="007512F4"/>
    <w:rsid w:val="007643BC"/>
    <w:rsid w:val="007801C5"/>
    <w:rsid w:val="007808BF"/>
    <w:rsid w:val="00780C68"/>
    <w:rsid w:val="007959FE"/>
    <w:rsid w:val="007A0CF1"/>
    <w:rsid w:val="007A2701"/>
    <w:rsid w:val="007A478E"/>
    <w:rsid w:val="007B422C"/>
    <w:rsid w:val="007B628E"/>
    <w:rsid w:val="007B6BA5"/>
    <w:rsid w:val="007C3390"/>
    <w:rsid w:val="007C42D8"/>
    <w:rsid w:val="007C48F7"/>
    <w:rsid w:val="007C4F4B"/>
    <w:rsid w:val="007D3BE7"/>
    <w:rsid w:val="007D7362"/>
    <w:rsid w:val="007E3B90"/>
    <w:rsid w:val="007F4C95"/>
    <w:rsid w:val="007F5CE2"/>
    <w:rsid w:val="007F6611"/>
    <w:rsid w:val="00800522"/>
    <w:rsid w:val="00805010"/>
    <w:rsid w:val="008067CA"/>
    <w:rsid w:val="00810BAC"/>
    <w:rsid w:val="0081140A"/>
    <w:rsid w:val="0081512E"/>
    <w:rsid w:val="008175E9"/>
    <w:rsid w:val="00820A75"/>
    <w:rsid w:val="008242D7"/>
    <w:rsid w:val="0082577B"/>
    <w:rsid w:val="008272DD"/>
    <w:rsid w:val="0083798F"/>
    <w:rsid w:val="008400AC"/>
    <w:rsid w:val="008425EA"/>
    <w:rsid w:val="00851B3E"/>
    <w:rsid w:val="00866893"/>
    <w:rsid w:val="00866F02"/>
    <w:rsid w:val="00867D18"/>
    <w:rsid w:val="00871F9A"/>
    <w:rsid w:val="00871FD5"/>
    <w:rsid w:val="0088172E"/>
    <w:rsid w:val="00881EFA"/>
    <w:rsid w:val="008879CB"/>
    <w:rsid w:val="008971E2"/>
    <w:rsid w:val="008979B1"/>
    <w:rsid w:val="008A6B25"/>
    <w:rsid w:val="008A6C4F"/>
    <w:rsid w:val="008A77AE"/>
    <w:rsid w:val="008B37DB"/>
    <w:rsid w:val="008B389E"/>
    <w:rsid w:val="008D045E"/>
    <w:rsid w:val="008D3F25"/>
    <w:rsid w:val="008D4D82"/>
    <w:rsid w:val="008E07FD"/>
    <w:rsid w:val="008E0E46"/>
    <w:rsid w:val="008E7116"/>
    <w:rsid w:val="008E74D3"/>
    <w:rsid w:val="008F143B"/>
    <w:rsid w:val="008F275F"/>
    <w:rsid w:val="008F3882"/>
    <w:rsid w:val="008F4B7C"/>
    <w:rsid w:val="00926E47"/>
    <w:rsid w:val="00933BFC"/>
    <w:rsid w:val="00936024"/>
    <w:rsid w:val="00947162"/>
    <w:rsid w:val="00947511"/>
    <w:rsid w:val="009610D0"/>
    <w:rsid w:val="00961644"/>
    <w:rsid w:val="0096375C"/>
    <w:rsid w:val="009662E6"/>
    <w:rsid w:val="0097095E"/>
    <w:rsid w:val="00970F31"/>
    <w:rsid w:val="0098582D"/>
    <w:rsid w:val="0098592B"/>
    <w:rsid w:val="00985FC4"/>
    <w:rsid w:val="00990766"/>
    <w:rsid w:val="00991261"/>
    <w:rsid w:val="009964C4"/>
    <w:rsid w:val="009A7B81"/>
    <w:rsid w:val="009D0114"/>
    <w:rsid w:val="009D01C0"/>
    <w:rsid w:val="009D6A08"/>
    <w:rsid w:val="009E0A16"/>
    <w:rsid w:val="009E5851"/>
    <w:rsid w:val="009E6CB7"/>
    <w:rsid w:val="009E7970"/>
    <w:rsid w:val="009F2EAC"/>
    <w:rsid w:val="009F42C6"/>
    <w:rsid w:val="009F57E3"/>
    <w:rsid w:val="00A10F4F"/>
    <w:rsid w:val="00A11067"/>
    <w:rsid w:val="00A14E21"/>
    <w:rsid w:val="00A1704A"/>
    <w:rsid w:val="00A425EB"/>
    <w:rsid w:val="00A449CF"/>
    <w:rsid w:val="00A47BF3"/>
    <w:rsid w:val="00A624E7"/>
    <w:rsid w:val="00A72F22"/>
    <w:rsid w:val="00A733BC"/>
    <w:rsid w:val="00A748A6"/>
    <w:rsid w:val="00A76A69"/>
    <w:rsid w:val="00A879A4"/>
    <w:rsid w:val="00AA0FF8"/>
    <w:rsid w:val="00AC0F2C"/>
    <w:rsid w:val="00AC42F7"/>
    <w:rsid w:val="00AC502A"/>
    <w:rsid w:val="00AC6EE5"/>
    <w:rsid w:val="00AF58C1"/>
    <w:rsid w:val="00B003C5"/>
    <w:rsid w:val="00B017B1"/>
    <w:rsid w:val="00B02EDC"/>
    <w:rsid w:val="00B04A3F"/>
    <w:rsid w:val="00B06643"/>
    <w:rsid w:val="00B0774E"/>
    <w:rsid w:val="00B15055"/>
    <w:rsid w:val="00B178CE"/>
    <w:rsid w:val="00B20551"/>
    <w:rsid w:val="00B23D55"/>
    <w:rsid w:val="00B26CD3"/>
    <w:rsid w:val="00B30179"/>
    <w:rsid w:val="00B32AE4"/>
    <w:rsid w:val="00B33FC7"/>
    <w:rsid w:val="00B37B15"/>
    <w:rsid w:val="00B45C02"/>
    <w:rsid w:val="00B51CCD"/>
    <w:rsid w:val="00B70B63"/>
    <w:rsid w:val="00B72A1E"/>
    <w:rsid w:val="00B81E12"/>
    <w:rsid w:val="00B84772"/>
    <w:rsid w:val="00B85E02"/>
    <w:rsid w:val="00BA2533"/>
    <w:rsid w:val="00BA339B"/>
    <w:rsid w:val="00BB0B60"/>
    <w:rsid w:val="00BB189A"/>
    <w:rsid w:val="00BB21F8"/>
    <w:rsid w:val="00BB23CC"/>
    <w:rsid w:val="00BB6FF5"/>
    <w:rsid w:val="00BC1E7E"/>
    <w:rsid w:val="00BC27D7"/>
    <w:rsid w:val="00BC74E9"/>
    <w:rsid w:val="00BE36A9"/>
    <w:rsid w:val="00BE618E"/>
    <w:rsid w:val="00BE7BEC"/>
    <w:rsid w:val="00BF0A5A"/>
    <w:rsid w:val="00BF0E63"/>
    <w:rsid w:val="00BF12A3"/>
    <w:rsid w:val="00BF16D7"/>
    <w:rsid w:val="00BF2373"/>
    <w:rsid w:val="00BF51B9"/>
    <w:rsid w:val="00C0294F"/>
    <w:rsid w:val="00C044E2"/>
    <w:rsid w:val="00C048CB"/>
    <w:rsid w:val="00C066F3"/>
    <w:rsid w:val="00C27755"/>
    <w:rsid w:val="00C348B8"/>
    <w:rsid w:val="00C408B7"/>
    <w:rsid w:val="00C411EB"/>
    <w:rsid w:val="00C4120D"/>
    <w:rsid w:val="00C41BE5"/>
    <w:rsid w:val="00C463DD"/>
    <w:rsid w:val="00C745C3"/>
    <w:rsid w:val="00C77A83"/>
    <w:rsid w:val="00C84FE7"/>
    <w:rsid w:val="00C978F5"/>
    <w:rsid w:val="00CA24A4"/>
    <w:rsid w:val="00CA69FD"/>
    <w:rsid w:val="00CB348D"/>
    <w:rsid w:val="00CD46F5"/>
    <w:rsid w:val="00CE232C"/>
    <w:rsid w:val="00CE4A8F"/>
    <w:rsid w:val="00CE58F2"/>
    <w:rsid w:val="00CE78F6"/>
    <w:rsid w:val="00CF071D"/>
    <w:rsid w:val="00D0123D"/>
    <w:rsid w:val="00D07CE2"/>
    <w:rsid w:val="00D15B04"/>
    <w:rsid w:val="00D2031B"/>
    <w:rsid w:val="00D25FE2"/>
    <w:rsid w:val="00D368BE"/>
    <w:rsid w:val="00D37DA9"/>
    <w:rsid w:val="00D406A7"/>
    <w:rsid w:val="00D40765"/>
    <w:rsid w:val="00D43252"/>
    <w:rsid w:val="00D44D86"/>
    <w:rsid w:val="00D50B7D"/>
    <w:rsid w:val="00D52012"/>
    <w:rsid w:val="00D704E5"/>
    <w:rsid w:val="00D72727"/>
    <w:rsid w:val="00D72C35"/>
    <w:rsid w:val="00D77E2A"/>
    <w:rsid w:val="00D9574D"/>
    <w:rsid w:val="00D978C6"/>
    <w:rsid w:val="00DA0956"/>
    <w:rsid w:val="00DA357F"/>
    <w:rsid w:val="00DA3E12"/>
    <w:rsid w:val="00DB6908"/>
    <w:rsid w:val="00DB789C"/>
    <w:rsid w:val="00DC18AD"/>
    <w:rsid w:val="00DD0699"/>
    <w:rsid w:val="00DF7CAE"/>
    <w:rsid w:val="00E10758"/>
    <w:rsid w:val="00E2031A"/>
    <w:rsid w:val="00E235AB"/>
    <w:rsid w:val="00E423C0"/>
    <w:rsid w:val="00E44C70"/>
    <w:rsid w:val="00E454EB"/>
    <w:rsid w:val="00E51308"/>
    <w:rsid w:val="00E608A1"/>
    <w:rsid w:val="00E6414C"/>
    <w:rsid w:val="00E7260F"/>
    <w:rsid w:val="00E77D12"/>
    <w:rsid w:val="00E84125"/>
    <w:rsid w:val="00E8702D"/>
    <w:rsid w:val="00E905F4"/>
    <w:rsid w:val="00E916A9"/>
    <w:rsid w:val="00E916DE"/>
    <w:rsid w:val="00E925AD"/>
    <w:rsid w:val="00E96630"/>
    <w:rsid w:val="00EB6BE1"/>
    <w:rsid w:val="00EB7A7D"/>
    <w:rsid w:val="00ED18DC"/>
    <w:rsid w:val="00ED6201"/>
    <w:rsid w:val="00ED7A2A"/>
    <w:rsid w:val="00EF1D7F"/>
    <w:rsid w:val="00EF30D9"/>
    <w:rsid w:val="00EF6A7C"/>
    <w:rsid w:val="00F0137E"/>
    <w:rsid w:val="00F21786"/>
    <w:rsid w:val="00F25A27"/>
    <w:rsid w:val="00F3270C"/>
    <w:rsid w:val="00F3742B"/>
    <w:rsid w:val="00F41FDB"/>
    <w:rsid w:val="00F45542"/>
    <w:rsid w:val="00F50596"/>
    <w:rsid w:val="00F5666F"/>
    <w:rsid w:val="00F56D63"/>
    <w:rsid w:val="00F609A9"/>
    <w:rsid w:val="00F72780"/>
    <w:rsid w:val="00F80C99"/>
    <w:rsid w:val="00F867EC"/>
    <w:rsid w:val="00F86AB2"/>
    <w:rsid w:val="00F91B2B"/>
    <w:rsid w:val="00F97CF9"/>
    <w:rsid w:val="00FC03CD"/>
    <w:rsid w:val="00FC0646"/>
    <w:rsid w:val="00FC2073"/>
    <w:rsid w:val="00FC5CB1"/>
    <w:rsid w:val="00FC68B7"/>
    <w:rsid w:val="00FD6B4E"/>
    <w:rsid w:val="00FE0224"/>
    <w:rsid w:val="00FE6985"/>
    <w:rsid w:val="00FF35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C2A8E"/>
  <w15:docId w15:val="{EFCACA65-DB15-45E5-9712-187512C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23GChar">
    <w:name w:val="_ H_2/3_G Char"/>
    <w:link w:val="H23G"/>
    <w:rsid w:val="002B7F4B"/>
    <w:rPr>
      <w:b/>
      <w:lang w:val="en-GB"/>
    </w:rPr>
  </w:style>
  <w:style w:type="character" w:customStyle="1" w:styleId="H1GChar">
    <w:name w:val="_ H_1_G Char"/>
    <w:link w:val="H1G"/>
    <w:qFormat/>
    <w:rsid w:val="002B7F4B"/>
    <w:rPr>
      <w:b/>
      <w:sz w:val="24"/>
      <w:lang w:val="en-GB"/>
    </w:rPr>
  </w:style>
  <w:style w:type="character" w:customStyle="1" w:styleId="FootnoteTextChar">
    <w:name w:val="Footnote Text Char"/>
    <w:aliases w:val="5_G Char"/>
    <w:basedOn w:val="DefaultParagraphFont"/>
    <w:link w:val="FootnoteText"/>
    <w:rsid w:val="00F97CF9"/>
    <w:rPr>
      <w:sz w:val="18"/>
      <w:lang w:val="en-GB"/>
    </w:rPr>
  </w:style>
  <w:style w:type="character" w:styleId="CommentReference">
    <w:name w:val="annotation reference"/>
    <w:basedOn w:val="DefaultParagraphFont"/>
    <w:semiHidden/>
    <w:unhideWhenUsed/>
    <w:rsid w:val="00C27755"/>
    <w:rPr>
      <w:sz w:val="16"/>
      <w:szCs w:val="16"/>
    </w:rPr>
  </w:style>
  <w:style w:type="paragraph" w:styleId="CommentText">
    <w:name w:val="annotation text"/>
    <w:basedOn w:val="Normal"/>
    <w:link w:val="CommentTextChar"/>
    <w:unhideWhenUsed/>
    <w:rsid w:val="00C27755"/>
    <w:pPr>
      <w:suppressAutoHyphens/>
      <w:spacing w:line="240" w:lineRule="auto"/>
    </w:pPr>
  </w:style>
  <w:style w:type="character" w:customStyle="1" w:styleId="CommentTextChar">
    <w:name w:val="Comment Text Char"/>
    <w:basedOn w:val="DefaultParagraphFont"/>
    <w:link w:val="CommentText"/>
    <w:rsid w:val="00C27755"/>
    <w:rPr>
      <w:lang w:val="en-GB"/>
    </w:rPr>
  </w:style>
  <w:style w:type="character" w:customStyle="1" w:styleId="HChGChar">
    <w:name w:val="_ H _Ch_G Char"/>
    <w:link w:val="HChG"/>
    <w:qFormat/>
    <w:rsid w:val="00C27755"/>
    <w:rPr>
      <w:b/>
      <w:sz w:val="28"/>
      <w:lang w:val="en-GB"/>
    </w:rPr>
  </w:style>
  <w:style w:type="paragraph" w:styleId="CommentSubject">
    <w:name w:val="annotation subject"/>
    <w:basedOn w:val="CommentText"/>
    <w:next w:val="CommentText"/>
    <w:link w:val="CommentSubjectChar"/>
    <w:semiHidden/>
    <w:unhideWhenUsed/>
    <w:rsid w:val="0021568F"/>
    <w:pPr>
      <w:suppressAutoHyphens w:val="0"/>
    </w:pPr>
    <w:rPr>
      <w:b/>
      <w:bCs/>
    </w:rPr>
  </w:style>
  <w:style w:type="character" w:customStyle="1" w:styleId="CommentSubjectChar">
    <w:name w:val="Comment Subject Char"/>
    <w:basedOn w:val="CommentTextChar"/>
    <w:link w:val="CommentSubject"/>
    <w:semiHidden/>
    <w:rsid w:val="0021568F"/>
    <w:rPr>
      <w:b/>
      <w:bCs/>
      <w:lang w:val="en-GB"/>
    </w:rPr>
  </w:style>
  <w:style w:type="paragraph" w:styleId="Revision">
    <w:name w:val="Revision"/>
    <w:hidden/>
    <w:uiPriority w:val="99"/>
    <w:semiHidden/>
    <w:rsid w:val="00A624E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icao.int/safety/UA/UAID/Documents/Advisory%20Circular%20102-37.pdf" TargetMode="External"/><Relationship Id="rId1" Type="http://schemas.openxmlformats.org/officeDocument/2006/relationships/hyperlink" Target="https://www.icao.int/safety/UA/Pages/ICAO-Model-UAS-Regul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1585-C28D-4BFB-8E3D-F6C7F6692867}"/>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23</Pages>
  <Words>8120</Words>
  <Characters>45065</Characters>
  <Application>Microsoft Office Word</Application>
  <DocSecurity>0</DocSecurity>
  <Lines>929</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ECE/TRANS/WP.15/264</vt:lpstr>
      <vt:lpstr/>
    </vt:vector>
  </TitlesOfParts>
  <Company>CSD</Company>
  <LinksUpToDate>false</LinksUpToDate>
  <CharactersWithSpaces>53003</CharactersWithSpaces>
  <SharedDoc>false</SharedDoc>
  <HLinks>
    <vt:vector size="12" baseType="variant">
      <vt:variant>
        <vt:i4>6488106</vt:i4>
      </vt:variant>
      <vt:variant>
        <vt:i4>3</vt:i4>
      </vt:variant>
      <vt:variant>
        <vt:i4>0</vt:i4>
      </vt:variant>
      <vt:variant>
        <vt:i4>5</vt:i4>
      </vt:variant>
      <vt:variant>
        <vt:lpwstr>https://www.icao.int/safety/UA/UAID/Documents/Advisory Circular 102-37.pdf</vt:lpwstr>
      </vt:variant>
      <vt:variant>
        <vt:lpwstr/>
      </vt:variant>
      <vt:variant>
        <vt:i4>983108</vt:i4>
      </vt:variant>
      <vt:variant>
        <vt:i4>0</vt:i4>
      </vt:variant>
      <vt:variant>
        <vt:i4>0</vt:i4>
      </vt:variant>
      <vt:variant>
        <vt:i4>5</vt:i4>
      </vt:variant>
      <vt:variant>
        <vt:lpwstr>https://www.icao.int/safety/UA/Pages/ICAO-Model-UAS-Regulations.aspx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ECE/TRANS/WP.15/264</dc:title>
  <dc:subject>2322993</dc:subject>
  <dc:creator>Alicia DORCA-GARCIA</dc:creator>
  <cp:keywords/>
  <dc:description/>
  <cp:lastModifiedBy>Pauline Anne Escalante</cp:lastModifiedBy>
  <cp:revision>2</cp:revision>
  <cp:lastPrinted>2023-11-22T13:41:00Z</cp:lastPrinted>
  <dcterms:created xsi:type="dcterms:W3CDTF">2023-11-22T13:42:00Z</dcterms:created>
  <dcterms:modified xsi:type="dcterms:W3CDTF">2023-11-22T13:42:00Z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