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D4F37D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2EC58F3" w14:textId="77777777" w:rsidR="00F35BAF" w:rsidRPr="00DB58B5" w:rsidRDefault="00F35BAF" w:rsidP="001345C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01D48D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E80C696" w14:textId="6CDEB436" w:rsidR="00F35BAF" w:rsidRPr="00DB58B5" w:rsidRDefault="001345CC" w:rsidP="001345CC">
            <w:pPr>
              <w:jc w:val="right"/>
            </w:pPr>
            <w:r w:rsidRPr="001345CC">
              <w:rPr>
                <w:sz w:val="40"/>
              </w:rPr>
              <w:t>ECE</w:t>
            </w:r>
            <w:r>
              <w:t>/TRANS/WP.15/AC.2/2024/26</w:t>
            </w:r>
          </w:p>
        </w:tc>
      </w:tr>
      <w:tr w:rsidR="00F35BAF" w:rsidRPr="00DB58B5" w14:paraId="6EE6C14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31E1AA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B4734FC" wp14:editId="65C86DF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F179E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B4EF4C1" w14:textId="77777777" w:rsidR="00F35BAF" w:rsidRDefault="001345CC" w:rsidP="00C97039">
            <w:pPr>
              <w:spacing w:before="240"/>
            </w:pPr>
            <w:r>
              <w:t>Distr. générale</w:t>
            </w:r>
          </w:p>
          <w:p w14:paraId="4C4308A2" w14:textId="77777777" w:rsidR="001345CC" w:rsidRDefault="001345CC" w:rsidP="001345CC">
            <w:pPr>
              <w:spacing w:line="240" w:lineRule="exact"/>
            </w:pPr>
            <w:r>
              <w:t>10 novembre 2023</w:t>
            </w:r>
          </w:p>
          <w:p w14:paraId="41CB54F3" w14:textId="77777777" w:rsidR="001345CC" w:rsidRDefault="001345CC" w:rsidP="001345CC">
            <w:pPr>
              <w:spacing w:line="240" w:lineRule="exact"/>
            </w:pPr>
            <w:r>
              <w:t>Français</w:t>
            </w:r>
          </w:p>
          <w:p w14:paraId="1EDF12F3" w14:textId="3AB2BB5C" w:rsidR="001345CC" w:rsidRPr="00DB58B5" w:rsidRDefault="001345CC" w:rsidP="001345CC">
            <w:pPr>
              <w:spacing w:line="240" w:lineRule="exact"/>
            </w:pPr>
            <w:r>
              <w:t>Original : anglais</w:t>
            </w:r>
          </w:p>
        </w:tc>
      </w:tr>
    </w:tbl>
    <w:p w14:paraId="25929CB0" w14:textId="095462FE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E157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491CD3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36BEEA7" w14:textId="77777777" w:rsidR="001345CC" w:rsidRPr="009E01B8" w:rsidRDefault="001345CC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7EAF3709" w14:textId="1C523C18" w:rsidR="001345CC" w:rsidRPr="004812F5" w:rsidRDefault="001345CC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9E1578">
        <w:rPr>
          <w:b/>
          <w:lang w:val="fr-FR"/>
        </w:rPr>
        <w:t>’</w:t>
      </w:r>
      <w:r w:rsidRPr="004812F5">
        <w:rPr>
          <w:b/>
          <w:lang w:val="fr-FR"/>
        </w:rPr>
        <w:t xml:space="preserve">experts </w:t>
      </w:r>
      <w:r>
        <w:rPr>
          <w:b/>
          <w:lang w:val="fr-FR"/>
        </w:rPr>
        <w:t xml:space="preserve">du </w:t>
      </w:r>
      <w:r w:rsidRPr="004812F5">
        <w:rPr>
          <w:b/>
          <w:lang w:val="fr-FR"/>
        </w:rPr>
        <w:t>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9E1578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9E1578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22DF4138" w14:textId="3339018C" w:rsidR="001345CC" w:rsidRPr="00234E40" w:rsidRDefault="001345CC" w:rsidP="00AF0CB5">
      <w:pPr>
        <w:spacing w:before="120"/>
        <w:rPr>
          <w:b/>
        </w:rPr>
      </w:pPr>
      <w:r w:rsidRPr="00A95042">
        <w:rPr>
          <w:b/>
          <w:bCs/>
          <w:lang w:val="fr-FR"/>
        </w:rPr>
        <w:t>Quarante-troisième</w:t>
      </w:r>
      <w:r>
        <w:rPr>
          <w:b/>
        </w:rPr>
        <w:t xml:space="preserve"> </w:t>
      </w:r>
      <w:r w:rsidRPr="00234E40">
        <w:rPr>
          <w:b/>
        </w:rPr>
        <w:t>session</w:t>
      </w:r>
    </w:p>
    <w:p w14:paraId="69D5B903" w14:textId="7A476FEC" w:rsidR="001345CC" w:rsidRDefault="001345CC" w:rsidP="00AF0CB5">
      <w:r>
        <w:t xml:space="preserve">Genève, </w:t>
      </w:r>
      <w:r w:rsidRPr="00A95042">
        <w:rPr>
          <w:lang w:val="fr-FR"/>
        </w:rPr>
        <w:t>22-26 janvier 2024</w:t>
      </w:r>
    </w:p>
    <w:p w14:paraId="4727A6B8" w14:textId="12B7A13E" w:rsidR="001345CC" w:rsidRDefault="001345CC" w:rsidP="00AF0CB5">
      <w:r w:rsidRPr="00B93E72">
        <w:t xml:space="preserve">Point </w:t>
      </w:r>
      <w:r w:rsidRPr="00A95042">
        <w:rPr>
          <w:lang w:val="fr-FR"/>
        </w:rPr>
        <w:t xml:space="preserve">5 b) </w:t>
      </w:r>
      <w:r w:rsidRPr="00B93E72">
        <w:t>de l</w:t>
      </w:r>
      <w:r w:rsidR="009E1578">
        <w:t>’</w:t>
      </w:r>
      <w:r w:rsidRPr="00B93E72">
        <w:t>ordre du jour provisoire</w:t>
      </w:r>
    </w:p>
    <w:p w14:paraId="2147578E" w14:textId="1D30D221" w:rsidR="001345CC" w:rsidRPr="00A95042" w:rsidRDefault="001345CC" w:rsidP="001345CC">
      <w:pPr>
        <w:rPr>
          <w:b/>
          <w:bCs/>
          <w:lang w:val="fr-FR"/>
        </w:rPr>
      </w:pPr>
      <w:r w:rsidRPr="00A95042">
        <w:rPr>
          <w:b/>
          <w:bCs/>
          <w:lang w:val="fr-FR"/>
        </w:rPr>
        <w:t>Propositions d</w:t>
      </w:r>
      <w:r w:rsidR="009E1578">
        <w:rPr>
          <w:b/>
          <w:bCs/>
          <w:lang w:val="fr-FR"/>
        </w:rPr>
        <w:t>’</w:t>
      </w:r>
      <w:r w:rsidRPr="00A95042">
        <w:rPr>
          <w:b/>
          <w:bCs/>
          <w:lang w:val="fr-FR"/>
        </w:rPr>
        <w:t>amendements au Règlement annexé à l</w:t>
      </w:r>
      <w:r w:rsidR="009E1578">
        <w:rPr>
          <w:b/>
          <w:bCs/>
          <w:lang w:val="fr-FR"/>
        </w:rPr>
        <w:t>’</w:t>
      </w:r>
      <w:r w:rsidRPr="00A95042">
        <w:rPr>
          <w:b/>
          <w:bCs/>
          <w:lang w:val="fr-FR"/>
        </w:rPr>
        <w:t>ADN</w:t>
      </w:r>
      <w:r w:rsidR="003A1ECF">
        <w:rPr>
          <w:b/>
          <w:bCs/>
          <w:lang w:val="fr-FR"/>
        </w:rPr>
        <w:t> </w:t>
      </w:r>
      <w:r w:rsidRPr="00A95042">
        <w:rPr>
          <w:b/>
          <w:bCs/>
          <w:lang w:val="fr-FR"/>
        </w:rPr>
        <w:t xml:space="preserve">: </w:t>
      </w:r>
      <w:r w:rsidRPr="00A95042">
        <w:rPr>
          <w:b/>
          <w:bCs/>
          <w:lang w:val="fr-FR"/>
        </w:rPr>
        <w:br/>
        <w:t>autres propositions</w:t>
      </w:r>
    </w:p>
    <w:p w14:paraId="48F6B262" w14:textId="55E3E792" w:rsidR="001345CC" w:rsidRPr="00A95042" w:rsidRDefault="001345CC" w:rsidP="001345CC">
      <w:pPr>
        <w:pStyle w:val="HChG"/>
        <w:rPr>
          <w:lang w:val="fr-FR"/>
        </w:rPr>
      </w:pPr>
      <w:r w:rsidRPr="00A95042">
        <w:rPr>
          <w:lang w:val="fr-FR"/>
        </w:rPr>
        <w:tab/>
      </w:r>
      <w:r w:rsidRPr="00A95042">
        <w:rPr>
          <w:lang w:val="fr-FR"/>
        </w:rPr>
        <w:tab/>
        <w:t xml:space="preserve">Proposition de correction du paragraphe 7.2.2.19.3 </w:t>
      </w:r>
      <w:r>
        <w:rPr>
          <w:lang w:val="fr-FR"/>
        </w:rPr>
        <w:t>−</w:t>
      </w:r>
      <w:r w:rsidRPr="00A95042">
        <w:rPr>
          <w:lang w:val="fr-FR"/>
        </w:rPr>
        <w:t xml:space="preserve"> version révisée du document ECE/TRANS/WP.15/AC.2/2023/18</w:t>
      </w:r>
    </w:p>
    <w:p w14:paraId="3B26449A" w14:textId="381656F2" w:rsidR="001345CC" w:rsidRPr="00A95042" w:rsidRDefault="001345CC" w:rsidP="001345CC">
      <w:pPr>
        <w:pStyle w:val="H1G"/>
        <w:rPr>
          <w:lang w:val="fr-FR"/>
        </w:rPr>
      </w:pPr>
      <w:r w:rsidRPr="00A95042">
        <w:rPr>
          <w:lang w:val="fr-FR"/>
        </w:rPr>
        <w:tab/>
      </w:r>
      <w:r w:rsidRPr="00A95042">
        <w:rPr>
          <w:lang w:val="fr-FR"/>
        </w:rPr>
        <w:tab/>
        <w:t xml:space="preserve">Communication du groupe de travail informel des sociétés </w:t>
      </w:r>
      <w:r w:rsidRPr="00A95042">
        <w:rPr>
          <w:lang w:val="fr-FR"/>
        </w:rPr>
        <w:br/>
        <w:t>de classification ADN recommandées</w:t>
      </w:r>
      <w:r w:rsidR="009D715C" w:rsidRPr="009D715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="009D715C">
        <w:rPr>
          <w:b w:val="0"/>
          <w:position w:val="6"/>
          <w:sz w:val="20"/>
          <w:lang w:val="fr-FR"/>
        </w:rPr>
        <w:t>,</w:t>
      </w:r>
      <w:r w:rsidRPr="009E1578">
        <w:rPr>
          <w:b w:val="0"/>
          <w:bCs/>
          <w:sz w:val="20"/>
          <w:vertAlign w:val="superscript"/>
          <w:lang w:val="fr-FR"/>
        </w:rPr>
        <w:t xml:space="preserve"> </w:t>
      </w:r>
      <w:r w:rsidR="009D715C" w:rsidRPr="009D715C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46228A1B" w14:textId="77777777" w:rsidR="001345CC" w:rsidRPr="00A95042" w:rsidRDefault="001345CC" w:rsidP="001345CC">
      <w:pPr>
        <w:pStyle w:val="HChG"/>
        <w:rPr>
          <w:lang w:val="fr-FR"/>
        </w:rPr>
      </w:pPr>
      <w:r w:rsidRPr="00A95042">
        <w:rPr>
          <w:lang w:val="fr-FR"/>
        </w:rPr>
        <w:tab/>
      </w:r>
      <w:r w:rsidRPr="00A95042">
        <w:rPr>
          <w:lang w:val="fr-FR"/>
        </w:rPr>
        <w:tab/>
        <w:t>Introduction</w:t>
      </w:r>
    </w:p>
    <w:p w14:paraId="3619168F" w14:textId="6C07E614" w:rsidR="001345CC" w:rsidRPr="00A95042" w:rsidRDefault="001345CC" w:rsidP="001345CC">
      <w:pPr>
        <w:pStyle w:val="SingleTxtG"/>
        <w:rPr>
          <w:lang w:val="fr-FR"/>
        </w:rPr>
      </w:pPr>
      <w:r w:rsidRPr="00A95042">
        <w:rPr>
          <w:lang w:val="fr-FR"/>
        </w:rPr>
        <w:t>1.</w:t>
      </w:r>
      <w:r w:rsidRPr="00A95042">
        <w:rPr>
          <w:lang w:val="fr-FR"/>
        </w:rPr>
        <w:tab/>
        <w:t>À ses vingt-cinquième et vingt-sixième réunions, le groupe de travail informel des sociétés de classification ADN recommandées a examiné le 7.2.2.19.3, où sont définies les prescriptions applicables aux bateaux utilisés pour la propulsion d</w:t>
      </w:r>
      <w:r w:rsidR="009E1578">
        <w:rPr>
          <w:lang w:val="fr-FR"/>
        </w:rPr>
        <w:t>’</w:t>
      </w:r>
      <w:r w:rsidRPr="00A95042">
        <w:rPr>
          <w:lang w:val="fr-FR"/>
        </w:rPr>
        <w:t>un convoi poussé ou d</w:t>
      </w:r>
      <w:r w:rsidR="009E1578">
        <w:rPr>
          <w:lang w:val="fr-FR"/>
        </w:rPr>
        <w:t>’</w:t>
      </w:r>
      <w:r w:rsidRPr="00A95042">
        <w:rPr>
          <w:lang w:val="fr-FR"/>
        </w:rPr>
        <w:t>une formation à couple qui comporte un bateau-citerne transportant des matières dangereuses. Il</w:t>
      </w:r>
      <w:r w:rsidR="009D715C">
        <w:rPr>
          <w:lang w:val="fr-FR"/>
        </w:rPr>
        <w:t> </w:t>
      </w:r>
      <w:r w:rsidRPr="00A95042">
        <w:rPr>
          <w:lang w:val="fr-FR"/>
        </w:rPr>
        <w:t>a alors constaté qu</w:t>
      </w:r>
      <w:r w:rsidR="009E1578">
        <w:rPr>
          <w:lang w:val="fr-FR"/>
        </w:rPr>
        <w:t>’</w:t>
      </w:r>
      <w:r w:rsidRPr="00A95042">
        <w:rPr>
          <w:lang w:val="fr-FR"/>
        </w:rPr>
        <w:t>au cours des différentes renumérotations et adaptations de la partie</w:t>
      </w:r>
      <w:r w:rsidR="009D715C">
        <w:rPr>
          <w:lang w:val="fr-FR"/>
        </w:rPr>
        <w:t> </w:t>
      </w:r>
      <w:r w:rsidRPr="00A95042">
        <w:rPr>
          <w:lang w:val="fr-FR"/>
        </w:rPr>
        <w:t>9 auxquelles il avait été procédé ces dernières années, certains des renvois figurant au 7.2.2.19.3 n</w:t>
      </w:r>
      <w:r w:rsidR="009E1578">
        <w:rPr>
          <w:lang w:val="fr-FR"/>
        </w:rPr>
        <w:t>’</w:t>
      </w:r>
      <w:r w:rsidRPr="00A95042">
        <w:rPr>
          <w:lang w:val="fr-FR"/>
        </w:rPr>
        <w:t xml:space="preserve">avaient pas été correctement mis à jour. </w:t>
      </w:r>
    </w:p>
    <w:p w14:paraId="7B83433D" w14:textId="0CD633DE" w:rsidR="001345CC" w:rsidRPr="00A95042" w:rsidRDefault="001345CC" w:rsidP="001345CC">
      <w:pPr>
        <w:pStyle w:val="SingleTxtG"/>
        <w:rPr>
          <w:lang w:val="fr-FR"/>
        </w:rPr>
      </w:pPr>
      <w:r w:rsidRPr="00A95042">
        <w:rPr>
          <w:lang w:val="fr-FR"/>
        </w:rPr>
        <w:t>2.</w:t>
      </w:r>
      <w:r w:rsidRPr="00A95042">
        <w:rPr>
          <w:lang w:val="fr-FR"/>
        </w:rPr>
        <w:tab/>
        <w:t>Comme suite au premier examen des modifications proposées</w:t>
      </w:r>
      <w:r>
        <w:rPr>
          <w:lang w:val="fr-FR"/>
        </w:rPr>
        <w:t>, tenu</w:t>
      </w:r>
      <w:r w:rsidRPr="00A95042">
        <w:rPr>
          <w:lang w:val="fr-FR"/>
        </w:rPr>
        <w:t xml:space="preserve"> à la quarante</w:t>
      </w:r>
      <w:r w:rsidR="009D715C">
        <w:rPr>
          <w:lang w:val="fr-FR"/>
        </w:rPr>
        <w:noBreakHyphen/>
      </w:r>
      <w:r w:rsidRPr="00A95042">
        <w:rPr>
          <w:lang w:val="fr-FR"/>
        </w:rPr>
        <w:t>deuxième session du Comité de sécurité de l</w:t>
      </w:r>
      <w:r w:rsidR="009E1578">
        <w:rPr>
          <w:lang w:val="fr-FR"/>
        </w:rPr>
        <w:t>’</w:t>
      </w:r>
      <w:r w:rsidRPr="00A95042">
        <w:rPr>
          <w:lang w:val="fr-FR"/>
        </w:rPr>
        <w:t xml:space="preserve">ADN, le groupe de travail </w:t>
      </w:r>
      <w:r>
        <w:rPr>
          <w:lang w:val="fr-FR"/>
        </w:rPr>
        <w:t xml:space="preserve">informel </w:t>
      </w:r>
      <w:r w:rsidRPr="00A95042">
        <w:rPr>
          <w:lang w:val="fr-FR"/>
        </w:rPr>
        <w:t xml:space="preserve">a </w:t>
      </w:r>
      <w:r>
        <w:rPr>
          <w:lang w:val="fr-FR"/>
        </w:rPr>
        <w:t xml:space="preserve">ensuite </w:t>
      </w:r>
      <w:r w:rsidRPr="00A95042">
        <w:rPr>
          <w:lang w:val="fr-FR"/>
        </w:rPr>
        <w:t xml:space="preserve">vérifié si les prescriptions relatives à la construction énoncées dans les paragraphes </w:t>
      </w:r>
      <w:r>
        <w:rPr>
          <w:lang w:val="fr-FR"/>
        </w:rPr>
        <w:t>cités</w:t>
      </w:r>
      <w:r w:rsidRPr="00A95042">
        <w:rPr>
          <w:lang w:val="fr-FR"/>
        </w:rPr>
        <w:t xml:space="preserve"> </w:t>
      </w:r>
      <w:r>
        <w:rPr>
          <w:lang w:val="fr-FR"/>
        </w:rPr>
        <w:t>au</w:t>
      </w:r>
      <w:r w:rsidRPr="00A95042">
        <w:rPr>
          <w:lang w:val="fr-FR"/>
        </w:rPr>
        <w:t xml:space="preserve"> 7.2.2.19.3 étaient encore nécessaires ou applicables pour ce type de bateaux.</w:t>
      </w:r>
    </w:p>
    <w:p w14:paraId="75B76C73" w14:textId="10907E74" w:rsidR="001345CC" w:rsidRPr="00A95042" w:rsidRDefault="001345CC" w:rsidP="001345CC">
      <w:pPr>
        <w:pStyle w:val="SingleTxtG"/>
        <w:rPr>
          <w:lang w:val="fr-FR"/>
        </w:rPr>
      </w:pPr>
      <w:r w:rsidRPr="00A95042">
        <w:rPr>
          <w:lang w:val="fr-FR"/>
        </w:rPr>
        <w:t>3.</w:t>
      </w:r>
      <w:r w:rsidRPr="00A95042">
        <w:rPr>
          <w:lang w:val="fr-FR"/>
        </w:rPr>
        <w:tab/>
        <w:t>Compte tenu de l</w:t>
      </w:r>
      <w:r w:rsidR="009E1578">
        <w:rPr>
          <w:lang w:val="fr-FR"/>
        </w:rPr>
        <w:t>’</w:t>
      </w:r>
      <w:r w:rsidRPr="00A95042">
        <w:rPr>
          <w:lang w:val="fr-FR"/>
        </w:rPr>
        <w:t xml:space="preserve">analyse </w:t>
      </w:r>
      <w:r>
        <w:rPr>
          <w:lang w:val="fr-FR"/>
        </w:rPr>
        <w:t>ainsi menée</w:t>
      </w:r>
      <w:r w:rsidRPr="00A95042">
        <w:rPr>
          <w:lang w:val="fr-FR"/>
        </w:rPr>
        <w:t>, le groupe est d</w:t>
      </w:r>
      <w:r w:rsidR="009E1578">
        <w:rPr>
          <w:lang w:val="fr-FR"/>
        </w:rPr>
        <w:t>’</w:t>
      </w:r>
      <w:r w:rsidRPr="00A95042">
        <w:rPr>
          <w:lang w:val="fr-FR"/>
        </w:rPr>
        <w:t>avis que les renvois figurant en caractères gras ci-après ne sont pas corrects et doivent être modifiés</w:t>
      </w:r>
      <w:r w:rsidR="003A1ECF">
        <w:rPr>
          <w:lang w:val="fr-FR"/>
        </w:rPr>
        <w:t> </w:t>
      </w:r>
      <w:r w:rsidRPr="00A95042">
        <w:rPr>
          <w:lang w:val="fr-FR"/>
        </w:rPr>
        <w:t>:</w:t>
      </w:r>
    </w:p>
    <w:p w14:paraId="18C86A32" w14:textId="77777777" w:rsidR="001345CC" w:rsidRPr="001603E8" w:rsidRDefault="001345CC" w:rsidP="001345CC">
      <w:pPr>
        <w:pStyle w:val="SingleTxtG"/>
        <w:rPr>
          <w:lang w:val="fr-FR" w:eastAsia="fr-FR"/>
        </w:rPr>
      </w:pPr>
      <w:r w:rsidRPr="00A95042">
        <w:rPr>
          <w:lang w:val="fr-FR" w:eastAsia="fr-FR"/>
        </w:rPr>
        <w:t>« </w:t>
      </w:r>
      <w:r w:rsidRPr="001603E8">
        <w:rPr>
          <w:lang w:val="fr-FR" w:eastAsia="fr-FR"/>
        </w:rPr>
        <w:t xml:space="preserve">7.2.2.5, 8.1.4, 8.1.5, 8.1.6.1, 8.1.6.3, 8.1.7, 8.3.5, </w:t>
      </w:r>
      <w:r w:rsidRPr="001603E8">
        <w:rPr>
          <w:b/>
          <w:bCs/>
          <w:lang w:val="fr-FR" w:eastAsia="fr-FR"/>
        </w:rPr>
        <w:t xml:space="preserve">9.3.3.0.1, 9.3.3.0.3.1, 9.3.3.0.5, </w:t>
      </w:r>
      <w:r w:rsidRPr="001603E8">
        <w:rPr>
          <w:lang w:val="fr-FR" w:eastAsia="fr-FR"/>
        </w:rPr>
        <w:t>…</w:t>
      </w:r>
      <w:r w:rsidRPr="00A95042">
        <w:rPr>
          <w:lang w:val="fr-FR" w:eastAsia="fr-FR"/>
        </w:rPr>
        <w:t> »</w:t>
      </w:r>
      <w:r>
        <w:rPr>
          <w:lang w:val="fr-FR" w:eastAsia="fr-FR"/>
        </w:rPr>
        <w:t>.</w:t>
      </w:r>
    </w:p>
    <w:p w14:paraId="5B9EC1BA" w14:textId="799A2B0B" w:rsidR="001345CC" w:rsidRPr="001603E8" w:rsidRDefault="001345CC" w:rsidP="001345CC">
      <w:pPr>
        <w:pStyle w:val="SingleTxtG"/>
        <w:rPr>
          <w:rFonts w:eastAsia="Times New Roman"/>
          <w:lang w:val="fr-FR" w:eastAsia="fr-FR"/>
        </w:rPr>
      </w:pPr>
      <w:r w:rsidRPr="001603E8">
        <w:rPr>
          <w:rFonts w:eastAsia="Times New Roman"/>
          <w:lang w:val="fr-FR" w:eastAsia="fr-FR"/>
        </w:rPr>
        <w:lastRenderedPageBreak/>
        <w:t>4.</w:t>
      </w:r>
      <w:r w:rsidRPr="001603E8">
        <w:rPr>
          <w:rFonts w:eastAsia="Times New Roman"/>
          <w:lang w:val="fr-FR" w:eastAsia="fr-FR"/>
        </w:rPr>
        <w:tab/>
        <w:t xml:space="preserve">Aux fins de son analyse, le groupe de travail </w:t>
      </w:r>
      <w:r>
        <w:rPr>
          <w:rFonts w:eastAsia="Times New Roman"/>
          <w:lang w:val="fr-FR" w:eastAsia="fr-FR"/>
        </w:rPr>
        <w:t xml:space="preserve">informel </w:t>
      </w:r>
      <w:r w:rsidRPr="001603E8">
        <w:rPr>
          <w:rFonts w:eastAsia="Times New Roman"/>
          <w:lang w:val="fr-FR" w:eastAsia="fr-FR"/>
        </w:rPr>
        <w:t xml:space="preserve">a comparé les </w:t>
      </w:r>
      <w:r>
        <w:rPr>
          <w:rFonts w:eastAsia="Times New Roman"/>
          <w:lang w:val="fr-FR" w:eastAsia="fr-FR"/>
        </w:rPr>
        <w:t>dispositions auxquelles renvoie le</w:t>
      </w:r>
      <w:r w:rsidRPr="001603E8">
        <w:rPr>
          <w:rFonts w:eastAsia="Times New Roman"/>
          <w:lang w:val="fr-FR" w:eastAsia="fr-FR"/>
        </w:rPr>
        <w:t xml:space="preserve"> 7.2.2.19.3 de l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 xml:space="preserve">édition 2009, dernière version de </w:t>
      </w:r>
      <w:r w:rsidRPr="001345CC">
        <w:rPr>
          <w:lang w:val="fr-FR"/>
        </w:rPr>
        <w:t>l</w:t>
      </w:r>
      <w:r w:rsidR="009E1578">
        <w:rPr>
          <w:lang w:val="fr-FR"/>
        </w:rPr>
        <w:t>’</w:t>
      </w:r>
      <w:r w:rsidRPr="001345CC">
        <w:rPr>
          <w:lang w:val="fr-FR"/>
        </w:rPr>
        <w:t>ADN</w:t>
      </w:r>
      <w:r w:rsidRPr="001603E8">
        <w:rPr>
          <w:rFonts w:eastAsia="Times New Roman"/>
          <w:lang w:val="fr-FR" w:eastAsia="fr-FR"/>
        </w:rPr>
        <w:t xml:space="preserve"> </w:t>
      </w:r>
      <w:r>
        <w:rPr>
          <w:rFonts w:eastAsia="Times New Roman"/>
          <w:lang w:val="fr-FR" w:eastAsia="fr-FR"/>
        </w:rPr>
        <w:t>ayant précédé</w:t>
      </w:r>
      <w:r w:rsidRPr="001603E8">
        <w:rPr>
          <w:rFonts w:eastAsia="Times New Roman"/>
          <w:lang w:val="fr-FR" w:eastAsia="fr-FR"/>
        </w:rPr>
        <w:t xml:space="preserve"> l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 xml:space="preserve">introduction de la nouvelle définition de la protection contre les explosions (qui avait donné lieu à de nombreuses renumérotations de paragraphes), avec </w:t>
      </w:r>
      <w:r>
        <w:rPr>
          <w:rFonts w:eastAsia="Times New Roman"/>
          <w:lang w:val="fr-FR" w:eastAsia="fr-FR"/>
        </w:rPr>
        <w:t xml:space="preserve">celles auxquelles renvoie </w:t>
      </w:r>
      <w:r w:rsidRPr="001603E8">
        <w:rPr>
          <w:rFonts w:eastAsia="Times New Roman"/>
          <w:lang w:val="fr-FR" w:eastAsia="fr-FR"/>
        </w:rPr>
        <w:t>l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>édition 2023. Il a repéré les divergences répertoriées dans le tableau ci-après.</w:t>
      </w:r>
    </w:p>
    <w:p w14:paraId="747AD3EF" w14:textId="7FF09AC4" w:rsidR="001345CC" w:rsidRDefault="001345CC" w:rsidP="001345CC">
      <w:pPr>
        <w:pStyle w:val="SingleTxtG"/>
        <w:rPr>
          <w:rFonts w:eastAsia="Times New Roman"/>
          <w:lang w:val="fr-FR" w:eastAsia="fr-FR"/>
        </w:rPr>
      </w:pPr>
      <w:r w:rsidRPr="001603E8">
        <w:rPr>
          <w:rFonts w:eastAsia="Times New Roman"/>
          <w:lang w:val="fr-FR" w:eastAsia="fr-FR"/>
        </w:rPr>
        <w:t>5.</w:t>
      </w:r>
      <w:r w:rsidRPr="001603E8">
        <w:rPr>
          <w:rFonts w:eastAsia="Times New Roman"/>
          <w:lang w:val="fr-FR" w:eastAsia="fr-FR"/>
        </w:rPr>
        <w:tab/>
        <w:t xml:space="preserve">Tableau </w:t>
      </w:r>
      <w:r w:rsidRPr="001345CC">
        <w:rPr>
          <w:lang w:val="fr-FR"/>
        </w:rPr>
        <w:t>comparatif</w:t>
      </w:r>
      <w:r w:rsidR="003A1ECF">
        <w:rPr>
          <w:lang w:val="fr-FR"/>
        </w:rPr>
        <w:t> </w:t>
      </w:r>
      <w:r w:rsidRPr="001603E8">
        <w:rPr>
          <w:rFonts w:eastAsia="Times New Roman"/>
          <w:lang w:val="fr-FR" w:eastAsia="fr-FR"/>
        </w:rPr>
        <w:t>:</w:t>
      </w:r>
    </w:p>
    <w:tbl>
      <w:tblPr>
        <w:tblStyle w:val="Grilledutableau"/>
        <w:tblW w:w="850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0"/>
        <w:gridCol w:w="2255"/>
      </w:tblGrid>
      <w:tr w:rsidR="001345CC" w:rsidRPr="001345CC" w14:paraId="64F762DA" w14:textId="77777777" w:rsidTr="001345CC">
        <w:trPr>
          <w:tblHeader/>
        </w:trPr>
        <w:tc>
          <w:tcPr>
            <w:tcW w:w="59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B5E7B7" w14:textId="3601E567" w:rsidR="001345CC" w:rsidRPr="001345CC" w:rsidRDefault="001345CC" w:rsidP="001345CC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1345CC">
              <w:rPr>
                <w:i/>
                <w:sz w:val="16"/>
                <w:lang w:val="fr-FR"/>
              </w:rPr>
              <w:t>Prescriptions auxquelles renvoie le 7.2.2.19.3 de l</w:t>
            </w:r>
            <w:r w:rsidR="009E1578">
              <w:rPr>
                <w:i/>
                <w:sz w:val="16"/>
                <w:lang w:val="fr-FR"/>
              </w:rPr>
              <w:t>’</w:t>
            </w:r>
            <w:r w:rsidRPr="001345CC">
              <w:rPr>
                <w:i/>
                <w:sz w:val="16"/>
                <w:lang w:val="fr-FR"/>
              </w:rPr>
              <w:t>édition 2009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E873B36" w14:textId="197F494E" w:rsidR="001345CC" w:rsidRPr="001345CC" w:rsidRDefault="001345CC" w:rsidP="001345CC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1345CC">
              <w:rPr>
                <w:i/>
                <w:sz w:val="16"/>
                <w:lang w:val="fr-FR"/>
              </w:rPr>
              <w:t xml:space="preserve">Paragraphes où sont énoncées les mêmes prescriptions </w:t>
            </w:r>
            <w:r w:rsidRPr="001345CC">
              <w:rPr>
                <w:i/>
                <w:sz w:val="16"/>
                <w:lang w:val="fr-FR"/>
              </w:rPr>
              <w:br/>
              <w:t>dans l</w:t>
            </w:r>
            <w:r w:rsidR="009E1578">
              <w:rPr>
                <w:i/>
                <w:sz w:val="16"/>
                <w:lang w:val="fr-FR"/>
              </w:rPr>
              <w:t>’</w:t>
            </w:r>
            <w:r w:rsidRPr="001345CC">
              <w:rPr>
                <w:i/>
                <w:sz w:val="16"/>
                <w:lang w:val="fr-FR"/>
              </w:rPr>
              <w:t>édition 2023</w:t>
            </w:r>
          </w:p>
        </w:tc>
      </w:tr>
      <w:tr w:rsidR="001345CC" w:rsidRPr="001345CC" w14:paraId="34E9C0E6" w14:textId="77777777" w:rsidTr="001345CC">
        <w:trPr>
          <w:trHeight w:hRule="exact" w:val="113"/>
        </w:trPr>
        <w:tc>
          <w:tcPr>
            <w:tcW w:w="5949" w:type="dxa"/>
            <w:tcBorders>
              <w:top w:val="single" w:sz="12" w:space="0" w:color="auto"/>
            </w:tcBorders>
            <w:shd w:val="clear" w:color="auto" w:fill="auto"/>
          </w:tcPr>
          <w:p w14:paraId="087A7C66" w14:textId="77777777" w:rsidR="001345CC" w:rsidRPr="001345CC" w:rsidRDefault="001345CC" w:rsidP="001345CC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auto"/>
          </w:tcPr>
          <w:p w14:paraId="5E030528" w14:textId="77777777" w:rsidR="001345CC" w:rsidRPr="001345CC" w:rsidRDefault="001345CC" w:rsidP="001345CC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1345CC" w:rsidRPr="001345CC" w14:paraId="78568C5F" w14:textId="77777777" w:rsidTr="001345CC">
        <w:tc>
          <w:tcPr>
            <w:tcW w:w="5949" w:type="dxa"/>
            <w:shd w:val="clear" w:color="auto" w:fill="auto"/>
          </w:tcPr>
          <w:p w14:paraId="0198360B" w14:textId="77777777" w:rsidR="001345CC" w:rsidRPr="001345CC" w:rsidRDefault="001345CC" w:rsidP="001345CC">
            <w:pPr>
              <w:spacing w:before="40" w:after="120"/>
              <w:ind w:right="113"/>
              <w:rPr>
                <w:lang w:val="fr-FR"/>
              </w:rPr>
            </w:pPr>
            <w:r w:rsidRPr="001345CC">
              <w:rPr>
                <w:lang w:val="fr-FR"/>
              </w:rPr>
              <w:t>9.3.3.0.1 a) La coque et les citernes à cargaison doivent être construites en acier de construction navale ou en un autre métal de résistance au moins équivalente.</w:t>
            </w:r>
          </w:p>
        </w:tc>
        <w:tc>
          <w:tcPr>
            <w:tcW w:w="2146" w:type="dxa"/>
            <w:shd w:val="clear" w:color="auto" w:fill="auto"/>
          </w:tcPr>
          <w:p w14:paraId="475DE63D" w14:textId="77777777" w:rsidR="001345CC" w:rsidRPr="001345CC" w:rsidRDefault="001345CC" w:rsidP="001345CC">
            <w:pPr>
              <w:spacing w:before="40" w:after="120"/>
              <w:ind w:right="113"/>
              <w:rPr>
                <w:lang w:val="fr-FR"/>
              </w:rPr>
            </w:pPr>
            <w:r w:rsidRPr="001345CC">
              <w:rPr>
                <w:lang w:val="fr-FR"/>
              </w:rPr>
              <w:t>9.3.3.0.1.1</w:t>
            </w:r>
          </w:p>
        </w:tc>
      </w:tr>
      <w:tr w:rsidR="001345CC" w:rsidRPr="001345CC" w14:paraId="29D0D1E3" w14:textId="77777777" w:rsidTr="001345CC">
        <w:tc>
          <w:tcPr>
            <w:tcW w:w="5949" w:type="dxa"/>
            <w:shd w:val="clear" w:color="auto" w:fill="auto"/>
          </w:tcPr>
          <w:p w14:paraId="2B54187E" w14:textId="0AF332AC" w:rsidR="001345CC" w:rsidRPr="001345CC" w:rsidRDefault="001345CC" w:rsidP="001345CC">
            <w:pPr>
              <w:spacing w:before="40" w:after="120"/>
              <w:ind w:right="113"/>
              <w:rPr>
                <w:lang w:val="fr-FR"/>
              </w:rPr>
            </w:pPr>
            <w:r w:rsidRPr="001345CC">
              <w:rPr>
                <w:lang w:val="fr-FR"/>
              </w:rPr>
              <w:t>Les citernes à cargaison indépendantes peuvent aussi être construites en d</w:t>
            </w:r>
            <w:r w:rsidR="009E1578">
              <w:rPr>
                <w:lang w:val="fr-FR"/>
              </w:rPr>
              <w:t>’</w:t>
            </w:r>
            <w:r w:rsidRPr="001345CC">
              <w:rPr>
                <w:lang w:val="fr-FR"/>
              </w:rPr>
              <w:t>autres matériaux à condition que ces matériaux soient équivalents sur le plan des propriétés mécaniques et de la résistance aux effets de la température et du feu.</w:t>
            </w:r>
          </w:p>
        </w:tc>
        <w:tc>
          <w:tcPr>
            <w:tcW w:w="2146" w:type="dxa"/>
            <w:shd w:val="clear" w:color="auto" w:fill="auto"/>
          </w:tcPr>
          <w:p w14:paraId="543C568A" w14:textId="77777777" w:rsidR="001345CC" w:rsidRPr="001345CC" w:rsidRDefault="001345CC" w:rsidP="001345CC">
            <w:pPr>
              <w:spacing w:before="40" w:after="120"/>
              <w:ind w:right="113"/>
              <w:rPr>
                <w:lang w:val="fr-FR"/>
              </w:rPr>
            </w:pPr>
            <w:r w:rsidRPr="001345CC">
              <w:rPr>
                <w:lang w:val="fr-FR"/>
              </w:rPr>
              <w:t>9.3.3.0.1.3</w:t>
            </w:r>
          </w:p>
        </w:tc>
      </w:tr>
      <w:tr w:rsidR="001345CC" w:rsidRPr="001345CC" w14:paraId="268C71B5" w14:textId="77777777" w:rsidTr="001345CC">
        <w:tc>
          <w:tcPr>
            <w:tcW w:w="5949" w:type="dxa"/>
            <w:shd w:val="clear" w:color="auto" w:fill="auto"/>
          </w:tcPr>
          <w:p w14:paraId="4B10BE91" w14:textId="6D8B6DFC" w:rsidR="001345CC" w:rsidRPr="001345CC" w:rsidRDefault="001345CC" w:rsidP="001345CC">
            <w:pPr>
              <w:spacing w:before="40" w:after="120"/>
              <w:ind w:right="113"/>
              <w:rPr>
                <w:lang w:val="fr-FR"/>
              </w:rPr>
            </w:pPr>
            <w:r w:rsidRPr="001345CC">
              <w:rPr>
                <w:lang w:val="fr-FR"/>
              </w:rPr>
              <w:t>9.3.3.0.1 b) Tous les installations, équipements et parties du bateau susceptibles d</w:t>
            </w:r>
            <w:r w:rsidR="009E1578">
              <w:rPr>
                <w:lang w:val="fr-FR"/>
              </w:rPr>
              <w:t>’</w:t>
            </w:r>
            <w:r w:rsidRPr="001345CC">
              <w:rPr>
                <w:lang w:val="fr-FR"/>
              </w:rPr>
              <w:t>entrer en contact avec la cargaison doivent être construits avec des matériaux non susceptibles d</w:t>
            </w:r>
            <w:r w:rsidR="009E1578">
              <w:rPr>
                <w:lang w:val="fr-FR"/>
              </w:rPr>
              <w:t>’</w:t>
            </w:r>
            <w:r w:rsidRPr="001345CC">
              <w:rPr>
                <w:lang w:val="fr-FR"/>
              </w:rPr>
              <w:t>être attaqués par la cargaison ni de provoquer de décomposition de celle-ci, ni de former avec celle-ci de combinaisons nocives ou dangereuses.</w:t>
            </w:r>
          </w:p>
        </w:tc>
        <w:tc>
          <w:tcPr>
            <w:tcW w:w="2146" w:type="dxa"/>
            <w:shd w:val="clear" w:color="auto" w:fill="auto"/>
          </w:tcPr>
          <w:p w14:paraId="5C6B96FE" w14:textId="77777777" w:rsidR="001345CC" w:rsidRPr="001345CC" w:rsidRDefault="001345CC" w:rsidP="001345CC">
            <w:pPr>
              <w:spacing w:before="40" w:after="120"/>
              <w:ind w:right="113"/>
              <w:rPr>
                <w:lang w:val="fr-FR"/>
              </w:rPr>
            </w:pPr>
            <w:r w:rsidRPr="001345CC">
              <w:rPr>
                <w:lang w:val="fr-FR"/>
              </w:rPr>
              <w:t>9.3.3.0.2</w:t>
            </w:r>
          </w:p>
        </w:tc>
      </w:tr>
      <w:tr w:rsidR="001345CC" w:rsidRPr="001345CC" w14:paraId="1A510633" w14:textId="77777777" w:rsidTr="001345CC">
        <w:tc>
          <w:tcPr>
            <w:tcW w:w="5949" w:type="dxa"/>
            <w:shd w:val="clear" w:color="auto" w:fill="auto"/>
          </w:tcPr>
          <w:p w14:paraId="74F2E1A6" w14:textId="3E6FD020" w:rsidR="001345CC" w:rsidRPr="001345CC" w:rsidRDefault="001345CC" w:rsidP="001345CC">
            <w:pPr>
              <w:spacing w:before="40" w:after="120"/>
              <w:ind w:right="113"/>
              <w:rPr>
                <w:lang w:val="fr-FR"/>
              </w:rPr>
            </w:pPr>
            <w:r w:rsidRPr="001345CC">
              <w:rPr>
                <w:lang w:val="fr-FR"/>
              </w:rPr>
              <w:t>9.3.3.0.1 c) L</w:t>
            </w:r>
            <w:r w:rsidR="009E1578">
              <w:rPr>
                <w:lang w:val="fr-FR"/>
              </w:rPr>
              <w:t>’</w:t>
            </w:r>
            <w:r w:rsidRPr="001345CC">
              <w:rPr>
                <w:lang w:val="fr-FR"/>
              </w:rPr>
              <w:t>intérieur des collecteurs et des tuyauteries d</w:t>
            </w:r>
            <w:r w:rsidR="009E1578">
              <w:rPr>
                <w:lang w:val="fr-FR"/>
              </w:rPr>
              <w:t>’</w:t>
            </w:r>
            <w:r w:rsidRPr="001345CC">
              <w:rPr>
                <w:lang w:val="fr-FR"/>
              </w:rPr>
              <w:t>évacuation des gaz doit être protégé contre la corrosion.</w:t>
            </w:r>
          </w:p>
        </w:tc>
        <w:tc>
          <w:tcPr>
            <w:tcW w:w="2146" w:type="dxa"/>
            <w:shd w:val="clear" w:color="auto" w:fill="auto"/>
          </w:tcPr>
          <w:p w14:paraId="24C7A6A6" w14:textId="77777777" w:rsidR="001345CC" w:rsidRPr="001345CC" w:rsidRDefault="001345CC" w:rsidP="001345CC">
            <w:pPr>
              <w:spacing w:before="40" w:after="120"/>
              <w:ind w:right="113"/>
              <w:rPr>
                <w:lang w:val="fr-FR"/>
              </w:rPr>
            </w:pPr>
            <w:r w:rsidRPr="001345CC">
              <w:rPr>
                <w:lang w:val="fr-FR"/>
              </w:rPr>
              <w:t>9.3.3.0.1.2</w:t>
            </w:r>
          </w:p>
        </w:tc>
      </w:tr>
      <w:tr w:rsidR="001345CC" w:rsidRPr="001345CC" w14:paraId="44DE270D" w14:textId="77777777" w:rsidTr="001345CC">
        <w:tc>
          <w:tcPr>
            <w:tcW w:w="5949" w:type="dxa"/>
            <w:shd w:val="clear" w:color="auto" w:fill="auto"/>
          </w:tcPr>
          <w:p w14:paraId="3167887A" w14:textId="05726EB0" w:rsidR="001345CC" w:rsidRPr="001345CC" w:rsidRDefault="001345CC" w:rsidP="001345CC">
            <w:pPr>
              <w:spacing w:before="40" w:after="120"/>
              <w:ind w:right="113"/>
              <w:rPr>
                <w:lang w:val="fr-FR"/>
              </w:rPr>
            </w:pPr>
            <w:r w:rsidRPr="001345CC">
              <w:rPr>
                <w:lang w:val="fr-FR"/>
              </w:rPr>
              <w:t>9.3.3.0.3 d) Tous les matériaux utilisés pour les éléments fixes des logements ou de la timonerie, à l</w:t>
            </w:r>
            <w:r w:rsidR="009E1578">
              <w:rPr>
                <w:lang w:val="fr-FR"/>
              </w:rPr>
              <w:t>’</w:t>
            </w:r>
            <w:r w:rsidRPr="001345CC">
              <w:rPr>
                <w:lang w:val="fr-FR"/>
              </w:rPr>
              <w:t>exception des meubles, doivent être difficilement inflammables. Lors d</w:t>
            </w:r>
            <w:r w:rsidR="009E1578">
              <w:rPr>
                <w:lang w:val="fr-FR"/>
              </w:rPr>
              <w:t>’</w:t>
            </w:r>
            <w:r w:rsidRPr="001345CC">
              <w:rPr>
                <w:lang w:val="fr-FR"/>
              </w:rPr>
              <w:t>un incendie, ils ne doivent pas dégager de fumées ou de gaz toxiques en quantités dangereuses.</w:t>
            </w:r>
          </w:p>
        </w:tc>
        <w:tc>
          <w:tcPr>
            <w:tcW w:w="2146" w:type="dxa"/>
            <w:shd w:val="clear" w:color="auto" w:fill="auto"/>
          </w:tcPr>
          <w:p w14:paraId="6BEB81C4" w14:textId="77777777" w:rsidR="001345CC" w:rsidRPr="001345CC" w:rsidRDefault="001345CC" w:rsidP="001345CC">
            <w:pPr>
              <w:spacing w:before="40" w:after="120"/>
              <w:ind w:right="113"/>
              <w:rPr>
                <w:lang w:val="fr-FR"/>
              </w:rPr>
            </w:pPr>
            <w:r w:rsidRPr="001345CC">
              <w:rPr>
                <w:lang w:val="fr-FR"/>
              </w:rPr>
              <w:t>9.3.3.0.6</w:t>
            </w:r>
          </w:p>
        </w:tc>
      </w:tr>
      <w:tr w:rsidR="001345CC" w:rsidRPr="001345CC" w14:paraId="280533A0" w14:textId="77777777" w:rsidTr="001345CC">
        <w:tc>
          <w:tcPr>
            <w:tcW w:w="5949" w:type="dxa"/>
            <w:tcBorders>
              <w:bottom w:val="single" w:sz="12" w:space="0" w:color="auto"/>
            </w:tcBorders>
            <w:shd w:val="clear" w:color="auto" w:fill="auto"/>
          </w:tcPr>
          <w:p w14:paraId="198CF877" w14:textId="1C07E266" w:rsidR="001345CC" w:rsidRPr="001345CC" w:rsidRDefault="001345CC" w:rsidP="001345CC">
            <w:pPr>
              <w:spacing w:before="40" w:after="120"/>
              <w:ind w:right="113"/>
              <w:rPr>
                <w:lang w:val="fr-FR"/>
              </w:rPr>
            </w:pPr>
            <w:r w:rsidRPr="001345CC">
              <w:rPr>
                <w:lang w:val="fr-FR"/>
              </w:rPr>
              <w:t>9.3.3.0.5 L</w:t>
            </w:r>
            <w:r w:rsidR="009E1578">
              <w:rPr>
                <w:lang w:val="fr-FR"/>
              </w:rPr>
              <w:t>’</w:t>
            </w:r>
            <w:r w:rsidRPr="001345CC">
              <w:rPr>
                <w:lang w:val="fr-FR"/>
              </w:rPr>
              <w:t>emploi de matières plastiques pour les canots n</w:t>
            </w:r>
            <w:r w:rsidR="009E1578">
              <w:rPr>
                <w:lang w:val="fr-FR"/>
              </w:rPr>
              <w:t>’</w:t>
            </w:r>
            <w:r w:rsidRPr="001345CC">
              <w:rPr>
                <w:lang w:val="fr-FR"/>
              </w:rPr>
              <w:t>est autorisé que si le matériau est difficilement inflammable.</w:t>
            </w:r>
          </w:p>
        </w:tc>
        <w:tc>
          <w:tcPr>
            <w:tcW w:w="2146" w:type="dxa"/>
            <w:tcBorders>
              <w:bottom w:val="single" w:sz="12" w:space="0" w:color="auto"/>
            </w:tcBorders>
            <w:shd w:val="clear" w:color="auto" w:fill="auto"/>
          </w:tcPr>
          <w:p w14:paraId="50249F6F" w14:textId="77777777" w:rsidR="001345CC" w:rsidRPr="001345CC" w:rsidRDefault="001345CC" w:rsidP="001345CC">
            <w:pPr>
              <w:spacing w:before="40" w:after="120"/>
              <w:ind w:right="113"/>
              <w:rPr>
                <w:lang w:val="fr-FR"/>
              </w:rPr>
            </w:pPr>
            <w:r w:rsidRPr="001345CC">
              <w:rPr>
                <w:lang w:val="fr-FR"/>
              </w:rPr>
              <w:t>9.3.3.0.4 (dernière ligne du tableau 4)</w:t>
            </w:r>
          </w:p>
        </w:tc>
      </w:tr>
    </w:tbl>
    <w:p w14:paraId="556A180F" w14:textId="3C787416" w:rsidR="001345CC" w:rsidRPr="001603E8" w:rsidRDefault="001345CC" w:rsidP="001345CC">
      <w:pPr>
        <w:pStyle w:val="SingleTxtG"/>
        <w:spacing w:before="240"/>
        <w:rPr>
          <w:rFonts w:eastAsia="Times New Roman"/>
          <w:lang w:val="fr-FR" w:eastAsia="fr-FR"/>
        </w:rPr>
      </w:pPr>
      <w:r w:rsidRPr="001603E8">
        <w:rPr>
          <w:rFonts w:eastAsia="Times New Roman"/>
          <w:lang w:val="fr-FR" w:eastAsia="fr-FR"/>
        </w:rPr>
        <w:t>6.</w:t>
      </w:r>
      <w:r w:rsidRPr="001603E8">
        <w:rPr>
          <w:rFonts w:eastAsia="Times New Roman"/>
          <w:lang w:val="fr-FR" w:eastAsia="fr-FR"/>
        </w:rPr>
        <w:tab/>
        <w:t xml:space="preserve">La comparaison des prescriptions relatives à la construction </w:t>
      </w:r>
      <w:r>
        <w:rPr>
          <w:rFonts w:eastAsia="Times New Roman"/>
          <w:lang w:val="fr-FR" w:eastAsia="fr-FR"/>
        </w:rPr>
        <w:t>visées au</w:t>
      </w:r>
      <w:r w:rsidRPr="001603E8">
        <w:rPr>
          <w:rFonts w:eastAsia="Times New Roman"/>
          <w:lang w:val="fr-FR" w:eastAsia="fr-FR"/>
        </w:rPr>
        <w:t xml:space="preserve"> 7.2.2.19.3 montre que</w:t>
      </w:r>
      <w:r>
        <w:rPr>
          <w:rFonts w:eastAsia="Times New Roman"/>
          <w:lang w:val="fr-FR" w:eastAsia="fr-FR"/>
        </w:rPr>
        <w:t>, sur le plan</w:t>
      </w:r>
      <w:r w:rsidRPr="001603E8">
        <w:rPr>
          <w:rFonts w:eastAsia="Times New Roman"/>
          <w:lang w:val="fr-FR" w:eastAsia="fr-FR"/>
        </w:rPr>
        <w:t xml:space="preserve"> technique</w:t>
      </w:r>
      <w:r>
        <w:rPr>
          <w:rFonts w:eastAsia="Times New Roman"/>
          <w:lang w:val="fr-FR" w:eastAsia="fr-FR"/>
        </w:rPr>
        <w:t>, elles sont</w:t>
      </w:r>
      <w:r w:rsidRPr="001603E8">
        <w:rPr>
          <w:rFonts w:eastAsia="Times New Roman"/>
          <w:lang w:val="fr-FR" w:eastAsia="fr-FR"/>
        </w:rPr>
        <w:t xml:space="preserve"> plus ou moins </w:t>
      </w:r>
      <w:r w:rsidRPr="001345CC">
        <w:rPr>
          <w:lang w:val="fr-FR"/>
        </w:rPr>
        <w:t>les</w:t>
      </w:r>
      <w:r w:rsidRPr="001603E8">
        <w:rPr>
          <w:rFonts w:eastAsia="Times New Roman"/>
          <w:lang w:val="fr-FR" w:eastAsia="fr-FR"/>
        </w:rPr>
        <w:t xml:space="preserve"> même</w:t>
      </w:r>
      <w:r>
        <w:rPr>
          <w:rFonts w:eastAsia="Times New Roman"/>
          <w:lang w:val="fr-FR" w:eastAsia="fr-FR"/>
        </w:rPr>
        <w:t>s</w:t>
      </w:r>
      <w:r w:rsidRPr="001603E8">
        <w:rPr>
          <w:rFonts w:eastAsia="Times New Roman"/>
          <w:lang w:val="fr-FR" w:eastAsia="fr-FR"/>
        </w:rPr>
        <w:t xml:space="preserve"> dans l</w:t>
      </w:r>
      <w:r w:rsidR="009E1578">
        <w:rPr>
          <w:rFonts w:eastAsia="Times New Roman"/>
          <w:lang w:val="fr-FR" w:eastAsia="fr-FR"/>
        </w:rPr>
        <w:t>’</w:t>
      </w:r>
      <w:r>
        <w:rPr>
          <w:rFonts w:eastAsia="Times New Roman"/>
          <w:lang w:val="fr-FR" w:eastAsia="fr-FR"/>
        </w:rPr>
        <w:t>édition</w:t>
      </w:r>
      <w:r w:rsidRPr="001603E8">
        <w:rPr>
          <w:rFonts w:eastAsia="Times New Roman"/>
          <w:lang w:val="fr-FR" w:eastAsia="fr-FR"/>
        </w:rPr>
        <w:t xml:space="preserve"> 2009 et </w:t>
      </w:r>
      <w:r>
        <w:rPr>
          <w:rFonts w:eastAsia="Times New Roman"/>
          <w:lang w:val="fr-FR" w:eastAsia="fr-FR"/>
        </w:rPr>
        <w:t>dans l</w:t>
      </w:r>
      <w:r w:rsidR="009E1578">
        <w:rPr>
          <w:rFonts w:eastAsia="Times New Roman"/>
          <w:lang w:val="fr-FR" w:eastAsia="fr-FR"/>
        </w:rPr>
        <w:t>’</w:t>
      </w:r>
      <w:r>
        <w:rPr>
          <w:rFonts w:eastAsia="Times New Roman"/>
          <w:lang w:val="fr-FR" w:eastAsia="fr-FR"/>
        </w:rPr>
        <w:t>édition</w:t>
      </w:r>
      <w:r w:rsidRPr="001603E8">
        <w:rPr>
          <w:rFonts w:eastAsia="Times New Roman"/>
          <w:lang w:val="fr-FR" w:eastAsia="fr-FR"/>
        </w:rPr>
        <w:t xml:space="preserve"> 2023. Les modifications suivantes permettraient de </w:t>
      </w:r>
      <w:r>
        <w:rPr>
          <w:rFonts w:eastAsia="Times New Roman"/>
          <w:lang w:val="fr-FR" w:eastAsia="fr-FR"/>
        </w:rPr>
        <w:t>corriger</w:t>
      </w:r>
      <w:r w:rsidRPr="001603E8">
        <w:rPr>
          <w:rFonts w:eastAsia="Times New Roman"/>
          <w:lang w:val="fr-FR" w:eastAsia="fr-FR"/>
        </w:rPr>
        <w:t xml:space="preserve"> les renvois susmentionnés</w:t>
      </w:r>
      <w:r w:rsidR="003A1ECF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>:</w:t>
      </w:r>
    </w:p>
    <w:p w14:paraId="6229E764" w14:textId="59787DBA" w:rsidR="001345CC" w:rsidRPr="001603E8" w:rsidRDefault="001345CC" w:rsidP="00241358">
      <w:pPr>
        <w:pStyle w:val="SingleTxtG"/>
        <w:ind w:firstLine="567"/>
        <w:rPr>
          <w:lang w:val="fr-FR" w:eastAsia="fr-FR"/>
        </w:rPr>
      </w:pPr>
      <w:r w:rsidRPr="001603E8">
        <w:rPr>
          <w:lang w:val="fr-FR" w:eastAsia="fr-FR"/>
        </w:rPr>
        <w:t>a)</w:t>
      </w:r>
      <w:r w:rsidRPr="001603E8">
        <w:rPr>
          <w:lang w:val="fr-FR" w:eastAsia="fr-FR"/>
        </w:rPr>
        <w:tab/>
        <w:t>Remplacer «</w:t>
      </w:r>
      <w:r w:rsidR="009D715C">
        <w:rPr>
          <w:lang w:val="fr-FR" w:eastAsia="fr-FR"/>
        </w:rPr>
        <w:t> </w:t>
      </w:r>
      <w:r w:rsidRPr="001603E8">
        <w:rPr>
          <w:lang w:val="fr-FR" w:eastAsia="fr-FR"/>
        </w:rPr>
        <w:t>9.3.3.0.1</w:t>
      </w:r>
      <w:r w:rsidR="009D715C">
        <w:rPr>
          <w:lang w:val="fr-FR" w:eastAsia="fr-FR"/>
        </w:rPr>
        <w:t> </w:t>
      </w:r>
      <w:r w:rsidRPr="001603E8">
        <w:rPr>
          <w:lang w:val="fr-FR" w:eastAsia="fr-FR"/>
        </w:rPr>
        <w:t>» par «</w:t>
      </w:r>
      <w:r w:rsidR="003A1ECF">
        <w:rPr>
          <w:lang w:val="fr-FR" w:eastAsia="fr-FR"/>
        </w:rPr>
        <w:t> </w:t>
      </w:r>
      <w:r w:rsidRPr="001603E8">
        <w:rPr>
          <w:lang w:val="fr-FR" w:eastAsia="fr-FR"/>
        </w:rPr>
        <w:t>9.3.3.0.1.1 (pour la coque du bateau), 9.3.3.0.1.2, 9.3.3.0.1.3 et 9.3.3.0.2</w:t>
      </w:r>
      <w:r w:rsidR="003A1ECF">
        <w:rPr>
          <w:lang w:val="fr-FR" w:eastAsia="fr-FR"/>
        </w:rPr>
        <w:t> </w:t>
      </w:r>
      <w:r w:rsidRPr="001603E8">
        <w:rPr>
          <w:lang w:val="fr-FR" w:eastAsia="fr-FR"/>
        </w:rPr>
        <w:t>»</w:t>
      </w:r>
      <w:r w:rsidR="003A1ECF">
        <w:rPr>
          <w:lang w:val="fr-FR" w:eastAsia="fr-FR"/>
        </w:rPr>
        <w:t> </w:t>
      </w:r>
      <w:r w:rsidRPr="001603E8">
        <w:rPr>
          <w:lang w:val="fr-FR" w:eastAsia="fr-FR"/>
        </w:rPr>
        <w:t>;</w:t>
      </w:r>
    </w:p>
    <w:p w14:paraId="7C9ECF66" w14:textId="690E193C" w:rsidR="001345CC" w:rsidRPr="001603E8" w:rsidRDefault="001345CC" w:rsidP="00241358">
      <w:pPr>
        <w:pStyle w:val="SingleTxtG"/>
        <w:ind w:firstLine="567"/>
        <w:rPr>
          <w:rFonts w:eastAsia="Times New Roman"/>
          <w:lang w:val="fr-FR" w:eastAsia="fr-FR"/>
        </w:rPr>
      </w:pPr>
      <w:r w:rsidRPr="001603E8">
        <w:rPr>
          <w:rFonts w:eastAsia="Times New Roman"/>
          <w:lang w:val="fr-FR" w:eastAsia="fr-FR"/>
        </w:rPr>
        <w:t>b)</w:t>
      </w:r>
      <w:r w:rsidRPr="001603E8">
        <w:rPr>
          <w:rFonts w:eastAsia="Times New Roman"/>
          <w:lang w:val="fr-FR" w:eastAsia="fr-FR"/>
        </w:rPr>
        <w:tab/>
        <w:t>Supprimer «</w:t>
      </w:r>
      <w:r w:rsidR="003A1ECF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>9.3.3.0.3.1</w:t>
      </w:r>
      <w:r w:rsidR="003A1ECF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>», ce paragraphe n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 xml:space="preserve">existant pas </w:t>
      </w:r>
      <w:r w:rsidRPr="00241358">
        <w:rPr>
          <w:lang w:val="fr-FR" w:eastAsia="fr-FR"/>
        </w:rPr>
        <w:t>dans</w:t>
      </w:r>
      <w:r w:rsidRPr="001603E8">
        <w:rPr>
          <w:rFonts w:eastAsia="Times New Roman"/>
          <w:lang w:val="fr-FR" w:eastAsia="fr-FR"/>
        </w:rPr>
        <w:t xml:space="preserve"> </w:t>
      </w:r>
      <w:r>
        <w:rPr>
          <w:rFonts w:eastAsia="Times New Roman"/>
          <w:lang w:val="fr-FR" w:eastAsia="fr-FR"/>
        </w:rPr>
        <w:t>l</w:t>
      </w:r>
      <w:r w:rsidR="009E1578">
        <w:rPr>
          <w:rFonts w:eastAsia="Times New Roman"/>
          <w:lang w:val="fr-FR" w:eastAsia="fr-FR"/>
        </w:rPr>
        <w:t>’</w:t>
      </w:r>
      <w:r>
        <w:rPr>
          <w:rFonts w:eastAsia="Times New Roman"/>
          <w:lang w:val="fr-FR" w:eastAsia="fr-FR"/>
        </w:rPr>
        <w:t>édition</w:t>
      </w:r>
      <w:r w:rsidRPr="001603E8">
        <w:rPr>
          <w:rFonts w:eastAsia="Times New Roman"/>
          <w:lang w:val="fr-FR" w:eastAsia="fr-FR"/>
        </w:rPr>
        <w:t xml:space="preserve"> 2023</w:t>
      </w:r>
      <w:r w:rsidR="003A1ECF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>;</w:t>
      </w:r>
    </w:p>
    <w:p w14:paraId="738787B8" w14:textId="315B734F" w:rsidR="001345CC" w:rsidRPr="001603E8" w:rsidRDefault="001345CC" w:rsidP="00241358">
      <w:pPr>
        <w:pStyle w:val="SingleTxtG"/>
        <w:ind w:firstLine="567"/>
        <w:rPr>
          <w:rFonts w:eastAsia="Times New Roman"/>
          <w:lang w:val="fr-FR" w:eastAsia="fr-FR"/>
        </w:rPr>
      </w:pPr>
      <w:r w:rsidRPr="001603E8">
        <w:rPr>
          <w:rFonts w:eastAsia="Times New Roman"/>
          <w:lang w:val="fr-FR" w:eastAsia="fr-FR"/>
        </w:rPr>
        <w:t>c)</w:t>
      </w:r>
      <w:r w:rsidRPr="001603E8">
        <w:rPr>
          <w:rFonts w:eastAsia="Times New Roman"/>
          <w:lang w:val="fr-FR" w:eastAsia="fr-FR"/>
        </w:rPr>
        <w:tab/>
        <w:t>Remplacer «</w:t>
      </w:r>
      <w:r w:rsidR="009D715C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>9.3.3.0.5</w:t>
      </w:r>
      <w:r w:rsidR="009D715C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>» par «</w:t>
      </w:r>
      <w:r w:rsidR="009D715C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 xml:space="preserve">9.3.3.0.4 (dernière ligne </w:t>
      </w:r>
      <w:r w:rsidRPr="00241358">
        <w:rPr>
          <w:lang w:val="fr-FR" w:eastAsia="fr-FR"/>
        </w:rPr>
        <w:t>du</w:t>
      </w:r>
      <w:r w:rsidRPr="001603E8">
        <w:rPr>
          <w:rFonts w:eastAsia="Times New Roman"/>
          <w:lang w:val="fr-FR" w:eastAsia="fr-FR"/>
        </w:rPr>
        <w:t xml:space="preserve"> tableau 4 pour le</w:t>
      </w:r>
      <w:r w:rsidRPr="00A95042">
        <w:rPr>
          <w:rFonts w:eastAsia="Times New Roman"/>
          <w:lang w:val="fr-FR" w:eastAsia="fr-FR"/>
        </w:rPr>
        <w:t xml:space="preserve"> canot de service</w:t>
      </w:r>
      <w:r w:rsidRPr="001603E8">
        <w:rPr>
          <w:rFonts w:eastAsia="Times New Roman"/>
          <w:lang w:val="fr-FR" w:eastAsia="fr-FR"/>
        </w:rPr>
        <w:t>)</w:t>
      </w:r>
      <w:r w:rsidR="009D715C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>» ;</w:t>
      </w:r>
    </w:p>
    <w:p w14:paraId="316E8DDD" w14:textId="714CD6C4" w:rsidR="001345CC" w:rsidRPr="001603E8" w:rsidRDefault="001345CC" w:rsidP="00241358">
      <w:pPr>
        <w:pStyle w:val="SingleTxtG"/>
        <w:ind w:firstLine="567"/>
        <w:rPr>
          <w:rFonts w:eastAsia="Times New Roman"/>
          <w:lang w:val="fr-FR" w:eastAsia="fr-FR"/>
        </w:rPr>
      </w:pPr>
      <w:r w:rsidRPr="001603E8">
        <w:rPr>
          <w:rFonts w:eastAsia="Times New Roman"/>
          <w:lang w:val="fr-FR" w:eastAsia="fr-FR"/>
        </w:rPr>
        <w:t>d)</w:t>
      </w:r>
      <w:r w:rsidRPr="001603E8">
        <w:rPr>
          <w:rFonts w:eastAsia="Times New Roman"/>
          <w:lang w:val="fr-FR" w:eastAsia="fr-FR"/>
        </w:rPr>
        <w:tab/>
        <w:t>Ajouter «</w:t>
      </w:r>
      <w:r w:rsidR="009D715C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>9.3.3.0.6</w:t>
      </w:r>
      <w:r w:rsidR="009D715C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>».</w:t>
      </w:r>
    </w:p>
    <w:p w14:paraId="7945200A" w14:textId="1C64E171" w:rsidR="001345CC" w:rsidRPr="001603E8" w:rsidRDefault="001345CC" w:rsidP="001345CC">
      <w:pPr>
        <w:pStyle w:val="SingleTxtG"/>
        <w:rPr>
          <w:rFonts w:eastAsia="Times New Roman"/>
          <w:lang w:val="fr-FR" w:eastAsia="fr-FR"/>
        </w:rPr>
      </w:pPr>
      <w:r w:rsidRPr="001603E8">
        <w:rPr>
          <w:rFonts w:eastAsia="Times New Roman"/>
          <w:lang w:val="fr-FR" w:eastAsia="fr-FR"/>
        </w:rPr>
        <w:t>7.</w:t>
      </w:r>
      <w:r w:rsidRPr="001603E8">
        <w:rPr>
          <w:rFonts w:eastAsia="Times New Roman"/>
          <w:lang w:val="fr-FR" w:eastAsia="fr-FR"/>
        </w:rPr>
        <w:tab/>
        <w:t>Comme l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>avait demandé le Comité de sécurité de l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 xml:space="preserve">ADN, le groupe de travail </w:t>
      </w:r>
      <w:r>
        <w:rPr>
          <w:rFonts w:eastAsia="Times New Roman"/>
          <w:lang w:val="fr-FR" w:eastAsia="fr-FR"/>
        </w:rPr>
        <w:t xml:space="preserve">informel </w:t>
      </w:r>
      <w:r w:rsidRPr="001603E8">
        <w:rPr>
          <w:rFonts w:eastAsia="Times New Roman"/>
          <w:lang w:val="fr-FR" w:eastAsia="fr-FR"/>
        </w:rPr>
        <w:t xml:space="preserve">a ensuite vérifié que les prescriptions relatives à la </w:t>
      </w:r>
      <w:r w:rsidRPr="001345CC">
        <w:rPr>
          <w:lang w:val="fr-FR"/>
        </w:rPr>
        <w:t>construction</w:t>
      </w:r>
      <w:r w:rsidRPr="001603E8">
        <w:rPr>
          <w:rFonts w:eastAsia="Times New Roman"/>
          <w:lang w:val="fr-FR" w:eastAsia="fr-FR"/>
        </w:rPr>
        <w:t xml:space="preserve"> </w:t>
      </w:r>
      <w:r>
        <w:rPr>
          <w:rFonts w:eastAsia="Times New Roman"/>
          <w:lang w:val="fr-FR" w:eastAsia="fr-FR"/>
        </w:rPr>
        <w:t>citées au</w:t>
      </w:r>
      <w:r w:rsidRPr="001603E8">
        <w:rPr>
          <w:rFonts w:eastAsia="Times New Roman"/>
          <w:lang w:val="fr-FR" w:eastAsia="fr-FR"/>
        </w:rPr>
        <w:t xml:space="preserve"> 7.2.2.19.3 étaient encore nécessaires ou applicables pour </w:t>
      </w:r>
      <w:r>
        <w:rPr>
          <w:rFonts w:eastAsia="Times New Roman"/>
          <w:lang w:val="fr-FR" w:eastAsia="fr-FR"/>
        </w:rPr>
        <w:t>l</w:t>
      </w:r>
      <w:r w:rsidRPr="001603E8">
        <w:rPr>
          <w:rFonts w:eastAsia="Times New Roman"/>
          <w:lang w:val="fr-FR" w:eastAsia="fr-FR"/>
        </w:rPr>
        <w:t>e type de bateaux</w:t>
      </w:r>
      <w:r>
        <w:rPr>
          <w:rFonts w:eastAsia="Times New Roman"/>
          <w:lang w:val="fr-FR" w:eastAsia="fr-FR"/>
        </w:rPr>
        <w:t xml:space="preserve"> visé</w:t>
      </w:r>
      <w:r w:rsidRPr="001603E8">
        <w:rPr>
          <w:rFonts w:eastAsia="Times New Roman"/>
          <w:lang w:val="fr-FR" w:eastAsia="fr-FR"/>
        </w:rPr>
        <w:t xml:space="preserve"> et </w:t>
      </w:r>
      <w:r>
        <w:rPr>
          <w:rFonts w:eastAsia="Times New Roman"/>
          <w:lang w:val="fr-FR" w:eastAsia="fr-FR"/>
        </w:rPr>
        <w:t xml:space="preserve">en </w:t>
      </w:r>
      <w:r w:rsidRPr="001603E8">
        <w:rPr>
          <w:rFonts w:eastAsia="Times New Roman"/>
          <w:lang w:val="fr-FR" w:eastAsia="fr-FR"/>
        </w:rPr>
        <w:t xml:space="preserve">a conclu que les renvois </w:t>
      </w:r>
      <w:r>
        <w:rPr>
          <w:rFonts w:eastAsia="Times New Roman"/>
          <w:lang w:val="fr-FR" w:eastAsia="fr-FR"/>
        </w:rPr>
        <w:t>ci-après</w:t>
      </w:r>
      <w:r w:rsidRPr="001603E8">
        <w:rPr>
          <w:rFonts w:eastAsia="Times New Roman"/>
          <w:lang w:val="fr-FR" w:eastAsia="fr-FR"/>
        </w:rPr>
        <w:t xml:space="preserve"> pouvaient être supprimés :</w:t>
      </w:r>
    </w:p>
    <w:p w14:paraId="6BEB07C8" w14:textId="3ABBA176" w:rsidR="001345CC" w:rsidRPr="001603E8" w:rsidRDefault="001345CC" w:rsidP="00241358">
      <w:pPr>
        <w:pStyle w:val="SingleTxtG"/>
        <w:rPr>
          <w:lang w:val="fr-FR" w:eastAsia="fr-FR"/>
        </w:rPr>
      </w:pPr>
      <w:r>
        <w:rPr>
          <w:lang w:val="fr-FR" w:eastAsia="fr-FR"/>
        </w:rPr>
        <w:t>« </w:t>
      </w:r>
      <w:r w:rsidRPr="001603E8">
        <w:rPr>
          <w:lang w:val="fr-FR" w:eastAsia="fr-FR"/>
        </w:rPr>
        <w:t>9.3.3.0.1.2</w:t>
      </w:r>
      <w:r w:rsidRPr="001603E8">
        <w:rPr>
          <w:lang w:val="fr-FR" w:eastAsia="fr-FR"/>
        </w:rPr>
        <w:tab/>
        <w:t>L</w:t>
      </w:r>
      <w:r w:rsidR="009E1578">
        <w:rPr>
          <w:lang w:val="fr-FR" w:eastAsia="fr-FR"/>
        </w:rPr>
        <w:t>’</w:t>
      </w:r>
      <w:r w:rsidRPr="001603E8">
        <w:rPr>
          <w:lang w:val="fr-FR" w:eastAsia="fr-FR"/>
        </w:rPr>
        <w:t>intérieur des conduites d</w:t>
      </w:r>
      <w:r w:rsidR="009E1578">
        <w:rPr>
          <w:lang w:val="fr-FR" w:eastAsia="fr-FR"/>
        </w:rPr>
        <w:t>’</w:t>
      </w:r>
      <w:r w:rsidRPr="001603E8">
        <w:rPr>
          <w:lang w:val="fr-FR" w:eastAsia="fr-FR"/>
        </w:rPr>
        <w:t>évacuation de gaz doit être protégé contre la corrosion.</w:t>
      </w:r>
      <w:r>
        <w:rPr>
          <w:lang w:val="fr-FR" w:eastAsia="fr-FR"/>
        </w:rPr>
        <w:t> »</w:t>
      </w:r>
    </w:p>
    <w:p w14:paraId="32967014" w14:textId="61AC0791" w:rsidR="001345CC" w:rsidRPr="001603E8" w:rsidRDefault="001345CC" w:rsidP="001345CC">
      <w:pPr>
        <w:pStyle w:val="SingleTxtG"/>
        <w:rPr>
          <w:rFonts w:eastAsia="Times New Roman"/>
          <w:lang w:val="fr-FR" w:eastAsia="fr-FR"/>
        </w:rPr>
      </w:pPr>
      <w:r w:rsidRPr="001603E8">
        <w:rPr>
          <w:rFonts w:eastAsia="Times New Roman"/>
          <w:lang w:val="fr-FR" w:eastAsia="fr-FR"/>
        </w:rPr>
        <w:t>8.</w:t>
      </w:r>
      <w:r w:rsidRPr="001603E8">
        <w:rPr>
          <w:rFonts w:eastAsia="Times New Roman"/>
          <w:lang w:val="fr-FR" w:eastAsia="fr-FR"/>
        </w:rPr>
        <w:tab/>
        <w:t>Ce paragraphe n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 xml:space="preserve">est pas nécessaire </w:t>
      </w:r>
      <w:r>
        <w:rPr>
          <w:rFonts w:eastAsia="Times New Roman"/>
          <w:lang w:val="fr-FR" w:eastAsia="fr-FR"/>
        </w:rPr>
        <w:t>en ce qui concerne</w:t>
      </w:r>
      <w:r w:rsidRPr="001603E8">
        <w:rPr>
          <w:rFonts w:eastAsia="Times New Roman"/>
          <w:lang w:val="fr-FR" w:eastAsia="fr-FR"/>
        </w:rPr>
        <w:t xml:space="preserve"> les bateaux utilisés pour la propulsion dans un convoi car les conduites d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 xml:space="preserve">évacuation de </w:t>
      </w:r>
      <w:r w:rsidRPr="001345CC">
        <w:rPr>
          <w:lang w:val="fr-FR"/>
        </w:rPr>
        <w:t>gaz</w:t>
      </w:r>
      <w:r w:rsidRPr="001603E8">
        <w:rPr>
          <w:rFonts w:eastAsia="Times New Roman"/>
          <w:lang w:val="fr-FR" w:eastAsia="fr-FR"/>
        </w:rPr>
        <w:t xml:space="preserve"> </w:t>
      </w:r>
      <w:r>
        <w:rPr>
          <w:rFonts w:eastAsia="Times New Roman"/>
          <w:lang w:val="fr-FR" w:eastAsia="fr-FR"/>
        </w:rPr>
        <w:t>susceptibles de s</w:t>
      </w:r>
      <w:r w:rsidR="009E1578">
        <w:rPr>
          <w:rFonts w:eastAsia="Times New Roman"/>
          <w:lang w:val="fr-FR" w:eastAsia="fr-FR"/>
        </w:rPr>
        <w:t>’</w:t>
      </w:r>
      <w:r>
        <w:rPr>
          <w:rFonts w:eastAsia="Times New Roman"/>
          <w:lang w:val="fr-FR" w:eastAsia="fr-FR"/>
        </w:rPr>
        <w:t>y trouver</w:t>
      </w:r>
      <w:r w:rsidRPr="001603E8">
        <w:rPr>
          <w:rFonts w:eastAsia="Times New Roman"/>
          <w:lang w:val="fr-FR" w:eastAsia="fr-FR"/>
        </w:rPr>
        <w:t xml:space="preserve"> ne sont pas reliées aux conduites d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>évacuation des bateaux-citernes ayant un certificat d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>agrément ADN et font l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>objet d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>autres règlements techniques.</w:t>
      </w:r>
    </w:p>
    <w:p w14:paraId="505682CF" w14:textId="07BBC4E4" w:rsidR="001345CC" w:rsidRPr="001603E8" w:rsidRDefault="001345CC" w:rsidP="00241358">
      <w:pPr>
        <w:pStyle w:val="SingleTxtG"/>
        <w:rPr>
          <w:rFonts w:eastAsia="Times New Roman"/>
          <w:lang w:val="fr-FR" w:eastAsia="fr-FR"/>
        </w:rPr>
      </w:pPr>
      <w:r w:rsidRPr="00A95042">
        <w:rPr>
          <w:rFonts w:eastAsia="Times New Roman"/>
          <w:lang w:val="fr-FR" w:eastAsia="fr-FR"/>
        </w:rPr>
        <w:lastRenderedPageBreak/>
        <w:t>« </w:t>
      </w:r>
      <w:r w:rsidRPr="001603E8">
        <w:rPr>
          <w:rFonts w:eastAsia="Times New Roman"/>
          <w:lang w:val="fr-FR" w:eastAsia="fr-FR"/>
        </w:rPr>
        <w:t>9.3.3.0.1.3</w:t>
      </w:r>
      <w:r w:rsidRPr="001603E8">
        <w:rPr>
          <w:rFonts w:eastAsia="Times New Roman"/>
          <w:lang w:val="fr-FR" w:eastAsia="fr-FR"/>
        </w:rPr>
        <w:tab/>
        <w:t xml:space="preserve">Les citernes à cargaison </w:t>
      </w:r>
      <w:r w:rsidRPr="00241358">
        <w:rPr>
          <w:lang w:val="fr-FR" w:eastAsia="fr-FR"/>
        </w:rPr>
        <w:t>indépendantes</w:t>
      </w:r>
      <w:r w:rsidRPr="001603E8">
        <w:rPr>
          <w:rFonts w:eastAsia="Times New Roman"/>
          <w:lang w:val="fr-FR" w:eastAsia="fr-FR"/>
        </w:rPr>
        <w:t xml:space="preserve"> peuvent aussi être construites en d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>autres matériaux à condition que ces matériaux soient équivalents sur le plan des propriétés mécaniques et de la résistance aux effets de la température et du feu.</w:t>
      </w:r>
      <w:r>
        <w:rPr>
          <w:rFonts w:eastAsia="Times New Roman"/>
          <w:lang w:val="fr-FR" w:eastAsia="fr-FR"/>
        </w:rPr>
        <w:t> »</w:t>
      </w:r>
    </w:p>
    <w:p w14:paraId="21E52D59" w14:textId="2DCFB6E3" w:rsidR="001345CC" w:rsidRPr="001603E8" w:rsidRDefault="001345CC" w:rsidP="001345CC">
      <w:pPr>
        <w:pStyle w:val="SingleTxtG"/>
        <w:rPr>
          <w:rFonts w:eastAsia="Times New Roman"/>
          <w:lang w:val="fr-FR" w:eastAsia="fr-FR"/>
        </w:rPr>
      </w:pPr>
      <w:r w:rsidRPr="001603E8">
        <w:rPr>
          <w:rFonts w:eastAsia="Times New Roman"/>
          <w:lang w:val="fr-FR" w:eastAsia="fr-FR"/>
        </w:rPr>
        <w:t>9.</w:t>
      </w:r>
      <w:r w:rsidRPr="001603E8">
        <w:rPr>
          <w:rFonts w:eastAsia="Times New Roman"/>
          <w:lang w:val="fr-FR" w:eastAsia="fr-FR"/>
        </w:rPr>
        <w:tab/>
        <w:t>Ce paragraphe n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 xml:space="preserve">est pas </w:t>
      </w:r>
      <w:r w:rsidRPr="001345CC">
        <w:rPr>
          <w:lang w:val="fr-FR"/>
        </w:rPr>
        <w:t>nécessaire</w:t>
      </w:r>
      <w:r w:rsidRPr="001603E8">
        <w:rPr>
          <w:rFonts w:eastAsia="Times New Roman"/>
          <w:lang w:val="fr-FR" w:eastAsia="fr-FR"/>
        </w:rPr>
        <w:t xml:space="preserve"> </w:t>
      </w:r>
      <w:r>
        <w:rPr>
          <w:rFonts w:eastAsia="Times New Roman"/>
          <w:lang w:val="fr-FR" w:eastAsia="fr-FR"/>
        </w:rPr>
        <w:t>en ce qui concerne</w:t>
      </w:r>
      <w:r w:rsidRPr="001603E8">
        <w:rPr>
          <w:rFonts w:eastAsia="Times New Roman"/>
          <w:lang w:val="fr-FR" w:eastAsia="fr-FR"/>
        </w:rPr>
        <w:t xml:space="preserve"> les bateaux utilisés pour la propulsion dans un convoi</w:t>
      </w:r>
      <w:r>
        <w:rPr>
          <w:rFonts w:eastAsia="Times New Roman"/>
          <w:lang w:val="fr-FR" w:eastAsia="fr-FR"/>
        </w:rPr>
        <w:t>, qui</w:t>
      </w:r>
      <w:r w:rsidRPr="001603E8">
        <w:rPr>
          <w:rFonts w:eastAsia="Times New Roman"/>
          <w:lang w:val="fr-FR" w:eastAsia="fr-FR"/>
        </w:rPr>
        <w:t xml:space="preserve"> n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>ont pas de citernes à cargaison</w:t>
      </w:r>
      <w:r w:rsidRPr="001603E8">
        <w:rPr>
          <w:rFonts w:eastAsia="Times New Roman"/>
          <w:i/>
          <w:iCs/>
          <w:lang w:val="fr-FR" w:eastAsia="fr-FR"/>
        </w:rPr>
        <w:t xml:space="preserve"> </w:t>
      </w:r>
      <w:r w:rsidRPr="001603E8">
        <w:rPr>
          <w:rFonts w:eastAsia="Times New Roman"/>
          <w:lang w:val="fr-FR" w:eastAsia="fr-FR"/>
        </w:rPr>
        <w:t>pour le transport de marchandises dangereuses.</w:t>
      </w:r>
    </w:p>
    <w:p w14:paraId="70096341" w14:textId="22CE7C3D" w:rsidR="001345CC" w:rsidRPr="001603E8" w:rsidRDefault="001345CC" w:rsidP="00241358">
      <w:pPr>
        <w:pStyle w:val="SingleTxtG"/>
        <w:rPr>
          <w:rFonts w:eastAsia="Times New Roman"/>
          <w:lang w:val="fr-FR" w:eastAsia="fr-FR"/>
        </w:rPr>
      </w:pPr>
      <w:r w:rsidRPr="00A95042">
        <w:rPr>
          <w:rFonts w:eastAsia="Times New Roman"/>
          <w:lang w:val="fr-FR" w:eastAsia="fr-FR"/>
        </w:rPr>
        <w:t>« </w:t>
      </w:r>
      <w:r w:rsidRPr="001603E8">
        <w:rPr>
          <w:rFonts w:eastAsia="Times New Roman"/>
          <w:lang w:val="fr-FR" w:eastAsia="fr-FR"/>
        </w:rPr>
        <w:t>9.3.3.0.2</w:t>
      </w:r>
      <w:r w:rsidRPr="001603E8">
        <w:rPr>
          <w:rFonts w:eastAsia="Times New Roman"/>
          <w:lang w:val="fr-FR" w:eastAsia="fr-FR"/>
        </w:rPr>
        <w:tab/>
        <w:t>Tous les installations, équipements et parties du bateau susceptibles d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>entrer en contact avec la cargaison doivent être construits avec des matériaux non susceptibles d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>être attaqués par la cargaison ni de provoquer de décomposition de celle-ci, ni de former avec celle-ci de combinaisons nocives ou dangereuses. S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>il n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>a pas été possible de s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>en assurer à l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>occasion de la classification et de l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>inspection du bateau, une réserve appropriée doit être consignée dans la liste des matières transportables par le bateau, comme le prescrit le paragraphe 1.16.1.2.5.</w:t>
      </w:r>
      <w:r>
        <w:rPr>
          <w:rFonts w:eastAsia="Times New Roman"/>
          <w:lang w:val="fr-FR" w:eastAsia="fr-FR"/>
        </w:rPr>
        <w:t> »</w:t>
      </w:r>
    </w:p>
    <w:p w14:paraId="3331B019" w14:textId="7DA627F9" w:rsidR="001345CC" w:rsidRDefault="001345CC" w:rsidP="001345CC">
      <w:pPr>
        <w:pStyle w:val="SingleTxtG"/>
        <w:rPr>
          <w:rFonts w:eastAsia="Times New Roman"/>
          <w:lang w:val="fr-FR" w:eastAsia="fr-FR"/>
        </w:rPr>
      </w:pPr>
      <w:r w:rsidRPr="001603E8">
        <w:rPr>
          <w:rFonts w:eastAsia="Times New Roman"/>
          <w:lang w:val="fr-FR" w:eastAsia="fr-FR"/>
        </w:rPr>
        <w:t>10.</w:t>
      </w:r>
      <w:r w:rsidRPr="001603E8">
        <w:rPr>
          <w:rFonts w:eastAsia="Times New Roman"/>
          <w:lang w:val="fr-FR" w:eastAsia="fr-FR"/>
        </w:rPr>
        <w:tab/>
        <w:t>Ce paragraphe n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 xml:space="preserve">est pas </w:t>
      </w:r>
      <w:r w:rsidRPr="001345CC">
        <w:rPr>
          <w:lang w:val="fr-FR"/>
        </w:rPr>
        <w:t>nécessaire</w:t>
      </w:r>
      <w:r w:rsidRPr="001603E8">
        <w:rPr>
          <w:rFonts w:eastAsia="Times New Roman"/>
          <w:lang w:val="fr-FR" w:eastAsia="fr-FR"/>
        </w:rPr>
        <w:t xml:space="preserve"> </w:t>
      </w:r>
      <w:r>
        <w:rPr>
          <w:rFonts w:eastAsia="Times New Roman"/>
          <w:lang w:val="fr-FR" w:eastAsia="fr-FR"/>
        </w:rPr>
        <w:t>en ce qui concerne</w:t>
      </w:r>
      <w:r w:rsidRPr="001603E8">
        <w:rPr>
          <w:rFonts w:eastAsia="Times New Roman"/>
          <w:lang w:val="fr-FR" w:eastAsia="fr-FR"/>
        </w:rPr>
        <w:t xml:space="preserve"> les bateaux utilisés pour la propulsion dans un convoi</w:t>
      </w:r>
      <w:r>
        <w:rPr>
          <w:rFonts w:eastAsia="Times New Roman"/>
          <w:lang w:val="fr-FR" w:eastAsia="fr-FR"/>
        </w:rPr>
        <w:t>, qui</w:t>
      </w:r>
      <w:r w:rsidRPr="001603E8">
        <w:rPr>
          <w:rFonts w:eastAsia="Times New Roman"/>
          <w:lang w:val="fr-FR" w:eastAsia="fr-FR"/>
        </w:rPr>
        <w:t xml:space="preserve"> ne transportent pas eux-mêmes de marchandises dangereuses, ne peuvent pas entrer en contact avec </w:t>
      </w:r>
      <w:r>
        <w:rPr>
          <w:rFonts w:eastAsia="Times New Roman"/>
          <w:lang w:val="fr-FR" w:eastAsia="fr-FR"/>
        </w:rPr>
        <w:t>de telles marchandises</w:t>
      </w:r>
      <w:r w:rsidRPr="001603E8">
        <w:rPr>
          <w:rFonts w:eastAsia="Times New Roman"/>
          <w:lang w:val="fr-FR" w:eastAsia="fr-FR"/>
        </w:rPr>
        <w:t xml:space="preserve"> dans des conditions de fonctionnement normales et n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>ont pas leur propre liste des matières.</w:t>
      </w:r>
    </w:p>
    <w:p w14:paraId="143D6FC0" w14:textId="77777777" w:rsidR="001345CC" w:rsidRPr="001603E8" w:rsidRDefault="001345CC" w:rsidP="00241358">
      <w:pPr>
        <w:pStyle w:val="SingleTxtG"/>
        <w:rPr>
          <w:rFonts w:eastAsia="Times New Roman"/>
          <w:lang w:val="fr-FR" w:eastAsia="fr-FR"/>
        </w:rPr>
      </w:pPr>
      <w:r>
        <w:rPr>
          <w:rFonts w:eastAsia="Times New Roman"/>
          <w:lang w:val="fr-FR" w:eastAsia="fr-FR"/>
        </w:rPr>
        <w:t>« </w:t>
      </w:r>
      <w:r w:rsidRPr="00E46EEA">
        <w:rPr>
          <w:rFonts w:eastAsia="Times New Roman"/>
          <w:lang w:val="fr-FR" w:eastAsia="fr-FR"/>
        </w:rPr>
        <w:t xml:space="preserve">9.3.3.12.6 </w:t>
      </w:r>
      <w:r>
        <w:rPr>
          <w:rFonts w:eastAsia="Times New Roman"/>
          <w:lang w:val="fr-FR" w:eastAsia="fr-FR"/>
        </w:rPr>
        <w:t>(</w:t>
      </w:r>
      <w:r w:rsidRPr="00E46EEA">
        <w:rPr>
          <w:rFonts w:eastAsia="Times New Roman"/>
          <w:lang w:val="fr-FR" w:eastAsia="fr-FR"/>
        </w:rPr>
        <w:t>dernière phrase</w:t>
      </w:r>
      <w:r>
        <w:rPr>
          <w:rFonts w:eastAsia="Times New Roman"/>
          <w:lang w:val="fr-FR" w:eastAsia="fr-FR"/>
        </w:rPr>
        <w:t>)</w:t>
      </w:r>
      <w:r w:rsidRPr="00E46EEA">
        <w:rPr>
          <w:rFonts w:eastAsia="Times New Roman"/>
          <w:lang w:val="fr-FR" w:eastAsia="fr-FR"/>
        </w:rPr>
        <w:t xml:space="preserve"> </w:t>
      </w:r>
      <w:r w:rsidRPr="001603E8">
        <w:rPr>
          <w:rFonts w:eastAsia="Times New Roman"/>
          <w:lang w:val="fr-FR" w:eastAsia="fr-FR"/>
        </w:rPr>
        <w:t xml:space="preserve">Les orifices de </w:t>
      </w:r>
      <w:r w:rsidRPr="00241358">
        <w:rPr>
          <w:lang w:val="fr-FR" w:eastAsia="fr-FR"/>
        </w:rPr>
        <w:t>ventilation</w:t>
      </w:r>
      <w:r w:rsidRPr="001603E8">
        <w:rPr>
          <w:rFonts w:eastAsia="Times New Roman"/>
          <w:lang w:val="fr-FR" w:eastAsia="fr-FR"/>
        </w:rPr>
        <w:t xml:space="preserve"> des locaux de service situés dans la zone de cargaison peuvent être situés dans cette zone.</w:t>
      </w:r>
      <w:r>
        <w:rPr>
          <w:rFonts w:eastAsia="Times New Roman"/>
          <w:lang w:val="fr-FR" w:eastAsia="fr-FR"/>
        </w:rPr>
        <w:t> »</w:t>
      </w:r>
    </w:p>
    <w:p w14:paraId="13F4C2DD" w14:textId="2793C57C" w:rsidR="001345CC" w:rsidRPr="001603E8" w:rsidRDefault="001345CC" w:rsidP="001345CC">
      <w:pPr>
        <w:pStyle w:val="SingleTxtG"/>
        <w:rPr>
          <w:rFonts w:eastAsia="Times New Roman"/>
          <w:lang w:val="fr-FR" w:eastAsia="fr-FR"/>
        </w:rPr>
      </w:pPr>
      <w:r w:rsidRPr="001603E8">
        <w:rPr>
          <w:rFonts w:eastAsia="Times New Roman"/>
          <w:lang w:val="fr-FR" w:eastAsia="fr-FR"/>
        </w:rPr>
        <w:t>11.</w:t>
      </w:r>
      <w:r w:rsidRPr="001603E8">
        <w:rPr>
          <w:rFonts w:eastAsia="Times New Roman"/>
          <w:lang w:val="fr-FR" w:eastAsia="fr-FR"/>
        </w:rPr>
        <w:tab/>
        <w:t>Cette phrase n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 xml:space="preserve">est pas applicable aux bateaux utilisés pour la propulsion, </w:t>
      </w:r>
      <w:r>
        <w:rPr>
          <w:rFonts w:eastAsia="Times New Roman"/>
          <w:lang w:val="fr-FR" w:eastAsia="fr-FR"/>
        </w:rPr>
        <w:t xml:space="preserve">qui </w:t>
      </w:r>
      <w:r w:rsidRPr="001603E8">
        <w:rPr>
          <w:rFonts w:eastAsia="Times New Roman"/>
          <w:lang w:val="fr-FR" w:eastAsia="fr-FR"/>
        </w:rPr>
        <w:t>n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 xml:space="preserve">ont pas de zone de cargaison </w:t>
      </w:r>
      <w:r>
        <w:rPr>
          <w:rFonts w:eastAsia="Times New Roman"/>
          <w:lang w:val="fr-FR" w:eastAsia="fr-FR"/>
        </w:rPr>
        <w:t>au sens de</w:t>
      </w:r>
      <w:r w:rsidRPr="001603E8">
        <w:rPr>
          <w:rFonts w:eastAsia="Times New Roman"/>
          <w:lang w:val="fr-FR" w:eastAsia="fr-FR"/>
        </w:rPr>
        <w:t xml:space="preserve"> l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>ADN.</w:t>
      </w:r>
    </w:p>
    <w:p w14:paraId="2FE44EE9" w14:textId="77777777" w:rsidR="001345CC" w:rsidRPr="001603E8" w:rsidRDefault="001345CC" w:rsidP="001345CC">
      <w:pPr>
        <w:pStyle w:val="HChG"/>
        <w:rPr>
          <w:lang w:val="fr-FR" w:eastAsia="fr-FR"/>
        </w:rPr>
      </w:pPr>
      <w:r w:rsidRPr="001603E8">
        <w:rPr>
          <w:lang w:val="fr-FR" w:eastAsia="fr-FR"/>
        </w:rPr>
        <w:tab/>
      </w:r>
      <w:r w:rsidRPr="001603E8">
        <w:rPr>
          <w:lang w:val="fr-FR" w:eastAsia="fr-FR"/>
        </w:rPr>
        <w:tab/>
      </w:r>
      <w:r>
        <w:rPr>
          <w:lang w:val="fr-FR" w:eastAsia="fr-FR"/>
        </w:rPr>
        <w:t>Modifications proposées</w:t>
      </w:r>
    </w:p>
    <w:p w14:paraId="64B40414" w14:textId="3E0BBDCA" w:rsidR="001345CC" w:rsidRPr="001603E8" w:rsidRDefault="001345CC" w:rsidP="001345CC">
      <w:pPr>
        <w:pStyle w:val="SingleTxtG"/>
        <w:rPr>
          <w:rFonts w:eastAsia="Times New Roman"/>
          <w:lang w:val="fr-FR" w:eastAsia="fr-FR"/>
        </w:rPr>
      </w:pPr>
      <w:r w:rsidRPr="001603E8">
        <w:rPr>
          <w:rFonts w:eastAsia="Times New Roman"/>
          <w:lang w:val="fr-FR" w:eastAsia="fr-FR"/>
        </w:rPr>
        <w:t>12.</w:t>
      </w:r>
      <w:r w:rsidRPr="001603E8">
        <w:rPr>
          <w:rFonts w:eastAsia="Times New Roman"/>
          <w:lang w:val="fr-FR" w:eastAsia="fr-FR"/>
        </w:rPr>
        <w:tab/>
        <w:t xml:space="preserve">En </w:t>
      </w:r>
      <w:r>
        <w:rPr>
          <w:rFonts w:eastAsia="Times New Roman"/>
          <w:lang w:val="fr-FR" w:eastAsia="fr-FR"/>
        </w:rPr>
        <w:t>résumé</w:t>
      </w:r>
      <w:r w:rsidRPr="001603E8">
        <w:rPr>
          <w:rFonts w:eastAsia="Times New Roman"/>
          <w:lang w:val="fr-FR" w:eastAsia="fr-FR"/>
        </w:rPr>
        <w:t xml:space="preserve">, le groupe de travail </w:t>
      </w:r>
      <w:r w:rsidRPr="001345CC">
        <w:rPr>
          <w:lang w:val="fr-FR"/>
        </w:rPr>
        <w:t>informel</w:t>
      </w:r>
      <w:r>
        <w:rPr>
          <w:rFonts w:eastAsia="Times New Roman"/>
          <w:lang w:val="fr-FR" w:eastAsia="fr-FR"/>
        </w:rPr>
        <w:t xml:space="preserve"> invite</w:t>
      </w:r>
      <w:r w:rsidRPr="001603E8">
        <w:rPr>
          <w:rFonts w:eastAsia="Times New Roman"/>
          <w:lang w:val="fr-FR" w:eastAsia="fr-FR"/>
        </w:rPr>
        <w:t xml:space="preserve"> le Comité de sécurité de l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 xml:space="preserve">ADN </w:t>
      </w:r>
      <w:r>
        <w:rPr>
          <w:rFonts w:eastAsia="Times New Roman"/>
          <w:lang w:val="fr-FR" w:eastAsia="fr-FR"/>
        </w:rPr>
        <w:t xml:space="preserve">à </w:t>
      </w:r>
      <w:r w:rsidRPr="001603E8">
        <w:rPr>
          <w:rFonts w:eastAsia="Times New Roman"/>
          <w:lang w:val="fr-FR" w:eastAsia="fr-FR"/>
        </w:rPr>
        <w:t xml:space="preserve">examiner et </w:t>
      </w:r>
      <w:r>
        <w:rPr>
          <w:rFonts w:eastAsia="Times New Roman"/>
          <w:lang w:val="fr-FR" w:eastAsia="fr-FR"/>
        </w:rPr>
        <w:t xml:space="preserve">à </w:t>
      </w:r>
      <w:r w:rsidRPr="001603E8">
        <w:rPr>
          <w:rFonts w:eastAsia="Times New Roman"/>
          <w:lang w:val="fr-FR" w:eastAsia="fr-FR"/>
        </w:rPr>
        <w:t>adopter les modifications ci-après, qu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>il est proposé d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>apporter au 7.2.2.19.3 dans la prochaine édition de l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>ADN</w:t>
      </w:r>
      <w:r w:rsidR="003A1ECF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>:</w:t>
      </w:r>
    </w:p>
    <w:p w14:paraId="690D5F63" w14:textId="19013304" w:rsidR="001345CC" w:rsidRPr="001603E8" w:rsidRDefault="001345CC" w:rsidP="00241358">
      <w:pPr>
        <w:pStyle w:val="SingleTxtG"/>
        <w:ind w:firstLine="567"/>
        <w:rPr>
          <w:rFonts w:eastAsia="Times New Roman"/>
          <w:lang w:val="fr-FR" w:eastAsia="fr-FR"/>
        </w:rPr>
      </w:pPr>
      <w:r w:rsidRPr="001603E8">
        <w:rPr>
          <w:rFonts w:eastAsia="Times New Roman"/>
          <w:lang w:val="fr-FR" w:eastAsia="fr-FR"/>
        </w:rPr>
        <w:t>a)</w:t>
      </w:r>
      <w:r w:rsidRPr="001603E8">
        <w:rPr>
          <w:rFonts w:eastAsia="Times New Roman"/>
          <w:lang w:val="fr-FR" w:eastAsia="fr-FR"/>
        </w:rPr>
        <w:tab/>
        <w:t>Remplacer «</w:t>
      </w:r>
      <w:r w:rsidR="00AC2360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>9.3.3.0.1</w:t>
      </w:r>
      <w:r w:rsidR="00AC2360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>» par «</w:t>
      </w:r>
      <w:r w:rsidR="00AC2360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 xml:space="preserve">9.3.3.0.1.1 (pour la coque </w:t>
      </w:r>
      <w:r w:rsidRPr="00241358">
        <w:rPr>
          <w:lang w:val="fr-FR" w:eastAsia="fr-FR"/>
        </w:rPr>
        <w:t>du</w:t>
      </w:r>
      <w:r w:rsidRPr="001603E8">
        <w:rPr>
          <w:rFonts w:eastAsia="Times New Roman"/>
          <w:lang w:val="fr-FR" w:eastAsia="fr-FR"/>
        </w:rPr>
        <w:t xml:space="preserve"> bateau) » ;</w:t>
      </w:r>
    </w:p>
    <w:p w14:paraId="411136ED" w14:textId="39E3E07D" w:rsidR="001345CC" w:rsidRPr="001603E8" w:rsidRDefault="001345CC" w:rsidP="00241358">
      <w:pPr>
        <w:pStyle w:val="SingleTxtG"/>
        <w:ind w:firstLine="567"/>
        <w:rPr>
          <w:rFonts w:eastAsia="Times New Roman"/>
          <w:lang w:val="fr-FR" w:eastAsia="fr-FR"/>
        </w:rPr>
      </w:pPr>
      <w:r w:rsidRPr="001603E8">
        <w:rPr>
          <w:rFonts w:eastAsia="Times New Roman"/>
          <w:lang w:val="fr-FR" w:eastAsia="fr-FR"/>
        </w:rPr>
        <w:t>b)</w:t>
      </w:r>
      <w:r w:rsidRPr="001603E8">
        <w:rPr>
          <w:rFonts w:eastAsia="Times New Roman"/>
          <w:lang w:val="fr-FR" w:eastAsia="fr-FR"/>
        </w:rPr>
        <w:tab/>
        <w:t>Supprimer «</w:t>
      </w:r>
      <w:r w:rsidR="00AC2360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>9.3.3.0.3.1</w:t>
      </w:r>
      <w:r w:rsidR="00AC2360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>», ce paragraphe n</w:t>
      </w:r>
      <w:r w:rsidR="009E1578">
        <w:rPr>
          <w:rFonts w:eastAsia="Times New Roman"/>
          <w:lang w:val="fr-FR" w:eastAsia="fr-FR"/>
        </w:rPr>
        <w:t>’</w:t>
      </w:r>
      <w:r w:rsidRPr="001603E8">
        <w:rPr>
          <w:rFonts w:eastAsia="Times New Roman"/>
          <w:lang w:val="fr-FR" w:eastAsia="fr-FR"/>
        </w:rPr>
        <w:t xml:space="preserve">existant pas </w:t>
      </w:r>
      <w:r w:rsidRPr="00241358">
        <w:rPr>
          <w:lang w:val="fr-FR" w:eastAsia="fr-FR"/>
        </w:rPr>
        <w:t>dans</w:t>
      </w:r>
      <w:r w:rsidRPr="001603E8">
        <w:rPr>
          <w:rFonts w:eastAsia="Times New Roman"/>
          <w:lang w:val="fr-FR" w:eastAsia="fr-FR"/>
        </w:rPr>
        <w:t xml:space="preserve"> </w:t>
      </w:r>
      <w:r>
        <w:rPr>
          <w:rFonts w:eastAsia="Times New Roman"/>
          <w:lang w:val="fr-FR" w:eastAsia="fr-FR"/>
        </w:rPr>
        <w:t>l</w:t>
      </w:r>
      <w:r w:rsidR="009E1578">
        <w:rPr>
          <w:rFonts w:eastAsia="Times New Roman"/>
          <w:lang w:val="fr-FR" w:eastAsia="fr-FR"/>
        </w:rPr>
        <w:t>’</w:t>
      </w:r>
      <w:r>
        <w:rPr>
          <w:rFonts w:eastAsia="Times New Roman"/>
          <w:lang w:val="fr-FR" w:eastAsia="fr-FR"/>
        </w:rPr>
        <w:t>édition</w:t>
      </w:r>
      <w:r w:rsidRPr="001603E8">
        <w:rPr>
          <w:rFonts w:eastAsia="Times New Roman"/>
          <w:lang w:val="fr-FR" w:eastAsia="fr-FR"/>
        </w:rPr>
        <w:t xml:space="preserve"> 2023</w:t>
      </w:r>
      <w:r w:rsidR="003A1ECF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>;</w:t>
      </w:r>
    </w:p>
    <w:p w14:paraId="4C74F365" w14:textId="652B5B76" w:rsidR="001345CC" w:rsidRPr="001603E8" w:rsidRDefault="001345CC" w:rsidP="00241358">
      <w:pPr>
        <w:pStyle w:val="SingleTxtG"/>
        <w:ind w:firstLine="567"/>
        <w:rPr>
          <w:rFonts w:eastAsia="Times New Roman"/>
          <w:lang w:val="fr-FR" w:eastAsia="fr-FR"/>
        </w:rPr>
      </w:pPr>
      <w:r w:rsidRPr="001603E8">
        <w:rPr>
          <w:rFonts w:eastAsia="Times New Roman"/>
          <w:lang w:val="fr-FR" w:eastAsia="fr-FR"/>
        </w:rPr>
        <w:t>c)</w:t>
      </w:r>
      <w:r w:rsidRPr="001603E8">
        <w:rPr>
          <w:rFonts w:eastAsia="Times New Roman"/>
          <w:lang w:val="fr-FR" w:eastAsia="fr-FR"/>
        </w:rPr>
        <w:tab/>
        <w:t>Remplacer «</w:t>
      </w:r>
      <w:r w:rsidR="00AC2360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>9.3.3.0.5</w:t>
      </w:r>
      <w:r w:rsidR="00AC2360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>» par «</w:t>
      </w:r>
      <w:r w:rsidR="00AC2360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 xml:space="preserve">9.3.3.0.4 (dernière ligne du tableau 4 </w:t>
      </w:r>
      <w:r w:rsidRPr="00A95042">
        <w:rPr>
          <w:rFonts w:eastAsia="Times New Roman"/>
          <w:lang w:val="fr-FR" w:eastAsia="fr-FR"/>
        </w:rPr>
        <w:t>pour le canot de service</w:t>
      </w:r>
      <w:r w:rsidRPr="001603E8">
        <w:rPr>
          <w:rFonts w:eastAsia="Times New Roman"/>
          <w:lang w:val="fr-FR" w:eastAsia="fr-FR"/>
        </w:rPr>
        <w:t>)</w:t>
      </w:r>
      <w:r w:rsidR="00AC2360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>»</w:t>
      </w:r>
      <w:r w:rsidRPr="00A95042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>;</w:t>
      </w:r>
    </w:p>
    <w:p w14:paraId="3DAA469A" w14:textId="6143EA69" w:rsidR="001345CC" w:rsidRPr="001603E8" w:rsidRDefault="001345CC" w:rsidP="00241358">
      <w:pPr>
        <w:pStyle w:val="SingleTxtG"/>
        <w:ind w:firstLine="567"/>
        <w:rPr>
          <w:rFonts w:eastAsia="Times New Roman"/>
          <w:lang w:val="fr-FR" w:eastAsia="fr-FR"/>
        </w:rPr>
      </w:pPr>
      <w:r w:rsidRPr="001603E8">
        <w:rPr>
          <w:rFonts w:eastAsia="Times New Roman"/>
          <w:lang w:val="fr-FR" w:eastAsia="fr-FR"/>
        </w:rPr>
        <w:t>d)</w:t>
      </w:r>
      <w:r w:rsidRPr="001603E8">
        <w:rPr>
          <w:rFonts w:eastAsia="Times New Roman"/>
          <w:lang w:val="fr-FR" w:eastAsia="fr-FR"/>
        </w:rPr>
        <w:tab/>
        <w:t>Ajouter «</w:t>
      </w:r>
      <w:r w:rsidR="00AC2360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>9.3.3.0.6</w:t>
      </w:r>
      <w:r w:rsidR="00AC2360">
        <w:rPr>
          <w:rFonts w:eastAsia="Times New Roman"/>
          <w:lang w:val="fr-FR" w:eastAsia="fr-FR"/>
        </w:rPr>
        <w:t> </w:t>
      </w:r>
      <w:r w:rsidRPr="001603E8">
        <w:rPr>
          <w:rFonts w:eastAsia="Times New Roman"/>
          <w:lang w:val="fr-FR" w:eastAsia="fr-FR"/>
        </w:rPr>
        <w:t>»</w:t>
      </w:r>
      <w:r w:rsidR="003A1ECF">
        <w:rPr>
          <w:rFonts w:eastAsia="Times New Roman"/>
          <w:lang w:val="fr-FR" w:eastAsia="fr-FR"/>
        </w:rPr>
        <w:t> ;</w:t>
      </w:r>
    </w:p>
    <w:p w14:paraId="486364C7" w14:textId="440EB068" w:rsidR="001345CC" w:rsidRDefault="001345CC" w:rsidP="00241358">
      <w:pPr>
        <w:pStyle w:val="SingleTxtG"/>
        <w:ind w:firstLine="567"/>
        <w:rPr>
          <w:rFonts w:eastAsia="Times New Roman"/>
          <w:lang w:val="fr-FR" w:eastAsia="fr-FR"/>
        </w:rPr>
      </w:pPr>
      <w:r w:rsidRPr="00A95042">
        <w:rPr>
          <w:rFonts w:eastAsia="Times New Roman"/>
          <w:lang w:val="fr-FR" w:eastAsia="fr-FR"/>
        </w:rPr>
        <w:t>e)</w:t>
      </w:r>
      <w:r w:rsidRPr="00A95042">
        <w:rPr>
          <w:rFonts w:eastAsia="Times New Roman"/>
          <w:lang w:val="fr-FR" w:eastAsia="fr-FR"/>
        </w:rPr>
        <w:tab/>
        <w:t xml:space="preserve">Modifier la disposition </w:t>
      </w:r>
      <w:r w:rsidRPr="00241358">
        <w:rPr>
          <w:lang w:val="fr-FR" w:eastAsia="fr-FR"/>
        </w:rPr>
        <w:t>transitoire</w:t>
      </w:r>
      <w:r w:rsidRPr="00A95042">
        <w:rPr>
          <w:rFonts w:eastAsia="Times New Roman"/>
          <w:lang w:val="fr-FR" w:eastAsia="fr-FR"/>
        </w:rPr>
        <w:t xml:space="preserve"> relative au 7.2.2.19.3 comme suit (les modifications proposées figurent en caractères gras et italiques pour les ajouts et biffés pour les suppressions)</w:t>
      </w:r>
      <w:r w:rsidR="003A1ECF">
        <w:rPr>
          <w:rFonts w:eastAsia="Times New Roman"/>
          <w:lang w:val="fr-FR" w:eastAsia="fr-FR"/>
        </w:rPr>
        <w:t> </w:t>
      </w:r>
      <w:r w:rsidRPr="00A95042">
        <w:rPr>
          <w:rFonts w:eastAsia="Times New Roman"/>
          <w:lang w:val="fr-FR" w:eastAsia="fr-FR"/>
        </w:rPr>
        <w:t>:</w:t>
      </w:r>
    </w:p>
    <w:tbl>
      <w:tblPr>
        <w:tblW w:w="9623" w:type="dxa"/>
        <w:tblInd w:w="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884"/>
        <w:gridCol w:w="5269"/>
      </w:tblGrid>
      <w:tr w:rsidR="00241358" w:rsidRPr="009E1578" w14:paraId="7003139F" w14:textId="77777777" w:rsidTr="00A42366">
        <w:trPr>
          <w:cantSplit/>
        </w:trPr>
        <w:tc>
          <w:tcPr>
            <w:tcW w:w="1470" w:type="dxa"/>
          </w:tcPr>
          <w:p w14:paraId="7E29A8D3" w14:textId="77777777" w:rsidR="00241358" w:rsidRPr="002A495A" w:rsidRDefault="00241358" w:rsidP="00A42366">
            <w:pPr>
              <w:suppressAutoHyphens w:val="0"/>
              <w:spacing w:before="120" w:after="40"/>
              <w:rPr>
                <w:rFonts w:eastAsia="Times New Roman"/>
                <w:snapToGrid w:val="0"/>
                <w:lang w:val="en-GB" w:eastAsia="fr-FR"/>
              </w:rPr>
            </w:pPr>
            <w:r w:rsidRPr="002A495A">
              <w:rPr>
                <w:rFonts w:eastAsia="Times New Roman"/>
                <w:lang w:eastAsia="fr-FR"/>
              </w:rPr>
              <w:lastRenderedPageBreak/>
              <w:t>7.2.2.19.3</w:t>
            </w:r>
          </w:p>
        </w:tc>
        <w:tc>
          <w:tcPr>
            <w:tcW w:w="2884" w:type="dxa"/>
          </w:tcPr>
          <w:p w14:paraId="1F3EA92E" w14:textId="67EDE7E1" w:rsidR="00241358" w:rsidRPr="00241358" w:rsidRDefault="00241358" w:rsidP="00A42366">
            <w:pPr>
              <w:suppressAutoHyphens w:val="0"/>
              <w:spacing w:before="120" w:after="40"/>
              <w:rPr>
                <w:rFonts w:eastAsia="Times New Roman"/>
                <w:snapToGrid w:val="0"/>
                <w:lang w:eastAsia="fr-FR"/>
              </w:rPr>
            </w:pPr>
            <w:r w:rsidRPr="00241358">
              <w:rPr>
                <w:rFonts w:eastAsia="Times New Roman"/>
                <w:lang w:val="fr-FR" w:eastAsia="fr-FR"/>
              </w:rPr>
              <w:t>Bateaux utilisés pour la propulsion</w:t>
            </w:r>
          </w:p>
          <w:p w14:paraId="41ED0D5F" w14:textId="75DEF792" w:rsidR="00241358" w:rsidRPr="009E1578" w:rsidRDefault="00241358" w:rsidP="00A42366">
            <w:pPr>
              <w:suppressAutoHyphens w:val="0"/>
              <w:spacing w:before="40" w:after="40"/>
              <w:rPr>
                <w:rFonts w:eastAsia="Times New Roman"/>
                <w:snapToGrid w:val="0"/>
                <w:lang w:eastAsia="fr-FR"/>
              </w:rPr>
            </w:pPr>
            <w:r w:rsidRPr="00A95042">
              <w:rPr>
                <w:lang w:val="fr-FR"/>
              </w:rPr>
              <w:t>Adaptation aux nouvelles prescriptions</w:t>
            </w:r>
          </w:p>
          <w:p w14:paraId="3E26D02D" w14:textId="69EBDFE1" w:rsidR="00241358" w:rsidRPr="009E1578" w:rsidRDefault="009E1578" w:rsidP="00A42366">
            <w:pPr>
              <w:suppressAutoHyphens w:val="0"/>
              <w:spacing w:before="40" w:after="40"/>
              <w:rPr>
                <w:rFonts w:eastAsia="Times New Roman"/>
                <w:i/>
                <w:iCs/>
                <w:snapToGrid w:val="0"/>
                <w:u w:val="single"/>
                <w:lang w:eastAsia="fr-FR"/>
              </w:rPr>
            </w:pPr>
            <w:r w:rsidRPr="00A95042">
              <w:rPr>
                <w:lang w:val="fr-FR"/>
              </w:rPr>
              <w:t>Prescriptions des 9.3.3.12.4, 9.3.3.51 et 9.3.3.52.1 à 9.3.3.52.8</w:t>
            </w:r>
          </w:p>
        </w:tc>
        <w:tc>
          <w:tcPr>
            <w:tcW w:w="5269" w:type="dxa"/>
          </w:tcPr>
          <w:p w14:paraId="720D1FF1" w14:textId="1B9D4F36" w:rsidR="00241358" w:rsidRPr="009E1578" w:rsidRDefault="009E1578" w:rsidP="00A42366">
            <w:pPr>
              <w:suppressAutoHyphens w:val="0"/>
              <w:spacing w:before="120" w:after="40"/>
              <w:jc w:val="center"/>
              <w:rPr>
                <w:rFonts w:eastAsia="Times New Roman"/>
                <w:snapToGrid w:val="0"/>
                <w:lang w:eastAsia="fr-FR"/>
              </w:rPr>
            </w:pPr>
            <w:r w:rsidRPr="00A95042">
              <w:rPr>
                <w:lang w:val="fr-FR"/>
              </w:rPr>
              <w:t>N.R.T. à partir du 1</w:t>
            </w:r>
            <w:r w:rsidRPr="00A95042">
              <w:rPr>
                <w:vertAlign w:val="superscript"/>
                <w:lang w:val="fr-FR"/>
              </w:rPr>
              <w:t>er</w:t>
            </w:r>
            <w:r w:rsidRPr="00A95042">
              <w:rPr>
                <w:lang w:val="fr-FR"/>
              </w:rPr>
              <w:t xml:space="preserve"> janvier 2019 </w:t>
            </w:r>
            <w:r w:rsidRPr="00A95042">
              <w:rPr>
                <w:lang w:val="fr-FR"/>
              </w:rPr>
              <w:br/>
              <w:t>Renouvellement du certificat d</w:t>
            </w:r>
            <w:r>
              <w:rPr>
                <w:lang w:val="fr-FR"/>
              </w:rPr>
              <w:t>’</w:t>
            </w:r>
            <w:r w:rsidRPr="00A95042">
              <w:rPr>
                <w:lang w:val="fr-FR"/>
              </w:rPr>
              <w:t xml:space="preserve">agrément </w:t>
            </w:r>
            <w:r w:rsidRPr="00A95042">
              <w:rPr>
                <w:lang w:val="fr-FR"/>
              </w:rPr>
              <w:br/>
              <w:t>après le 31 décembre 2034</w:t>
            </w:r>
          </w:p>
          <w:p w14:paraId="7C8F5955" w14:textId="4D08D432" w:rsidR="00241358" w:rsidRPr="009E1578" w:rsidRDefault="009E1578" w:rsidP="00A42366">
            <w:pPr>
              <w:suppressAutoHyphens w:val="0"/>
              <w:spacing w:before="40" w:after="40"/>
              <w:jc w:val="both"/>
              <w:rPr>
                <w:rFonts w:eastAsia="Times New Roman"/>
                <w:snapToGrid w:val="0"/>
                <w:lang w:eastAsia="fr-FR"/>
              </w:rPr>
            </w:pPr>
            <w:r w:rsidRPr="00A95042">
              <w:rPr>
                <w:lang w:val="fr-FR"/>
              </w:rPr>
              <w:t>Jusqu</w:t>
            </w:r>
            <w:r>
              <w:rPr>
                <w:lang w:val="fr-FR"/>
              </w:rPr>
              <w:t>’</w:t>
            </w:r>
            <w:r w:rsidRPr="00A95042">
              <w:rPr>
                <w:lang w:val="fr-FR"/>
              </w:rPr>
              <w:t>à cette échéance, les prescriptions suivantes sont applicables à bord des bateaux en service :</w:t>
            </w:r>
          </w:p>
          <w:p w14:paraId="22630A97" w14:textId="444B89DB" w:rsidR="00241358" w:rsidRPr="009E1578" w:rsidRDefault="009E1578" w:rsidP="00A42366">
            <w:pPr>
              <w:suppressAutoHyphens w:val="0"/>
              <w:spacing w:before="40" w:after="40"/>
              <w:jc w:val="both"/>
              <w:rPr>
                <w:rFonts w:eastAsia="Times New Roman"/>
                <w:snapToGrid w:val="0"/>
                <w:lang w:eastAsia="fr-FR"/>
              </w:rPr>
            </w:pPr>
            <w:r w:rsidRPr="00A95042">
              <w:rPr>
                <w:lang w:val="fr-FR"/>
              </w:rPr>
              <w:t>Les bateaux utilisés pour la propulsion dans un convoi poussé ou une formation à couple doivent satisfaire aux prescriptions des sections, sous-sections et paragraphes ci-après</w:t>
            </w:r>
            <w:r w:rsidR="003A1ECF">
              <w:rPr>
                <w:lang w:val="fr-FR"/>
              </w:rPr>
              <w:t> </w:t>
            </w:r>
            <w:r w:rsidRPr="00A95042">
              <w:rPr>
                <w:lang w:val="fr-FR"/>
              </w:rPr>
              <w:t xml:space="preserve">: 1.16.1.1, 1.16.1.2, 1.16.1.3, 7.2.2.5, 8.1.4, 8.1.5, 8.1.6.1, 8.1.6.3, </w:t>
            </w:r>
            <w:r w:rsidRPr="00A95042">
              <w:rPr>
                <w:rFonts w:eastAsia="Times New Roman"/>
                <w:snapToGrid w:val="0"/>
                <w:lang w:val="fr-FR" w:eastAsia="fr-FR"/>
              </w:rPr>
              <w:t xml:space="preserve">8.1.7, </w:t>
            </w:r>
            <w:r w:rsidRPr="00A95042">
              <w:rPr>
                <w:rFonts w:eastAsia="Times New Roman"/>
                <w:b/>
                <w:bCs/>
                <w:i/>
                <w:iCs/>
                <w:lang w:val="fr-FR" w:eastAsia="fr-FR"/>
              </w:rPr>
              <w:t>9.3.3.0.1.1 (pour la coque du bateau)</w:t>
            </w:r>
            <w:r w:rsidRPr="00A95042">
              <w:rPr>
                <w:rFonts w:eastAsia="Times New Roman"/>
                <w:b/>
                <w:bCs/>
                <w:i/>
                <w:iCs/>
                <w:snapToGrid w:val="0"/>
                <w:lang w:val="fr-FR" w:eastAsia="fr-FR"/>
              </w:rPr>
              <w:t>,</w:t>
            </w:r>
            <w:r w:rsidRPr="00A95042">
              <w:rPr>
                <w:rFonts w:eastAsia="Times New Roman"/>
                <w:b/>
                <w:bCs/>
                <w:snapToGrid w:val="0"/>
                <w:lang w:val="fr-FR" w:eastAsia="fr-FR"/>
              </w:rPr>
              <w:t xml:space="preserve"> </w:t>
            </w:r>
            <w:r w:rsidRPr="00A95042">
              <w:rPr>
                <w:rFonts w:eastAsia="Times New Roman"/>
                <w:b/>
                <w:bCs/>
                <w:strike/>
                <w:snapToGrid w:val="0"/>
                <w:lang w:val="fr-FR" w:eastAsia="fr-FR"/>
              </w:rPr>
              <w:t>9.3.3.0.3.1</w:t>
            </w:r>
            <w:r w:rsidRPr="00A95042">
              <w:rPr>
                <w:rFonts w:eastAsia="Times New Roman"/>
                <w:b/>
                <w:bCs/>
                <w:snapToGrid w:val="0"/>
                <w:lang w:val="fr-FR" w:eastAsia="fr-FR"/>
              </w:rPr>
              <w:t xml:space="preserve">, </w:t>
            </w:r>
            <w:r w:rsidRPr="00A95042">
              <w:rPr>
                <w:rFonts w:eastAsia="Times New Roman"/>
                <w:b/>
                <w:bCs/>
                <w:i/>
                <w:iCs/>
                <w:snapToGrid w:val="0"/>
                <w:lang w:val="fr-FR" w:eastAsia="fr-FR"/>
              </w:rPr>
              <w:t>9.3.3.0.4 (dernière ligne du tableau 4 pour le canot de service)</w:t>
            </w:r>
            <w:r w:rsidRPr="00A95042">
              <w:rPr>
                <w:rFonts w:eastAsia="Times New Roman"/>
                <w:b/>
                <w:bCs/>
                <w:snapToGrid w:val="0"/>
                <w:lang w:val="fr-FR" w:eastAsia="fr-FR"/>
              </w:rPr>
              <w:t xml:space="preserve">, </w:t>
            </w:r>
            <w:r w:rsidRPr="00A95042">
              <w:rPr>
                <w:rFonts w:eastAsia="Times New Roman"/>
                <w:b/>
                <w:bCs/>
                <w:i/>
                <w:iCs/>
                <w:lang w:val="fr-FR" w:eastAsia="fr-FR"/>
              </w:rPr>
              <w:t>9.3.3.0.6,</w:t>
            </w:r>
            <w:r w:rsidRPr="00A95042">
              <w:rPr>
                <w:rFonts w:eastAsia="Times New Roman"/>
                <w:snapToGrid w:val="0"/>
                <w:lang w:val="fr-FR" w:eastAsia="fr-FR"/>
              </w:rPr>
              <w:t xml:space="preserve"> 9.3.3.10.1, </w:t>
            </w:r>
            <w:r w:rsidRPr="00A95042">
              <w:rPr>
                <w:lang w:val="fr-FR"/>
              </w:rPr>
              <w:t>9.3.3.10.4, 9.3.3.12.4 a) à l</w:t>
            </w:r>
            <w:r>
              <w:rPr>
                <w:lang w:val="fr-FR"/>
              </w:rPr>
              <w:t>’</w:t>
            </w:r>
            <w:r w:rsidRPr="00A95042">
              <w:rPr>
                <w:lang w:val="fr-FR"/>
              </w:rPr>
              <w:t>exception de la timonerie, 9.3.3.12.4 b) à l</w:t>
            </w:r>
            <w:r>
              <w:rPr>
                <w:lang w:val="fr-FR"/>
              </w:rPr>
              <w:t>’</w:t>
            </w:r>
            <w:r w:rsidRPr="00A95042">
              <w:rPr>
                <w:lang w:val="fr-FR"/>
              </w:rPr>
              <w:t>exception du temps de réponse t90, 9.3.3.12.4 c), 9.3.3.12.6, 9.3.3.16, 9.3.3.17.1 à 9.3.3.17.4, 9.3.3.31.1 à 9.3.3.31.5, 9.3.3.32.2, 9.3.3.34.1, 9.3.3.34.2, 9.3.3.40.1 (toutefois, une seule pompe à incendie ou de ballastage suffit), 9.3.3.40.2, 9.3.3.41, 9.3.3.50.1 c), 9.3.3.50.2, 9.3.3.51, 9.3.3.52.6, 9.3.3.52.7, 9.3.3.52.8, 9.3.3.56.5, 9.3.3.71 et 9.3.3.74, lorsqu</w:t>
            </w:r>
            <w:r>
              <w:rPr>
                <w:lang w:val="fr-FR"/>
              </w:rPr>
              <w:t>’</w:t>
            </w:r>
            <w:r w:rsidRPr="00A95042">
              <w:rPr>
                <w:lang w:val="fr-FR"/>
              </w:rPr>
              <w:t>au moins un bateau dudit convoi ou de ladite formation à couple transporte des marchandises dangereuses.</w:t>
            </w:r>
          </w:p>
          <w:p w14:paraId="4C9A0E4F" w14:textId="4DD82CEA" w:rsidR="00241358" w:rsidRPr="009E1578" w:rsidRDefault="009E1578" w:rsidP="00A42366">
            <w:pPr>
              <w:suppressAutoHyphens w:val="0"/>
              <w:spacing w:before="40" w:after="40"/>
              <w:jc w:val="both"/>
              <w:rPr>
                <w:rFonts w:eastAsia="Times New Roman"/>
                <w:snapToGrid w:val="0"/>
                <w:lang w:eastAsia="fr-FR"/>
              </w:rPr>
            </w:pPr>
            <w:r w:rsidRPr="00A95042">
              <w:rPr>
                <w:lang w:val="fr-FR"/>
              </w:rPr>
              <w:t>La prescription du 9.3.3.10.4 peut être remplie par l</w:t>
            </w:r>
            <w:r>
              <w:rPr>
                <w:lang w:val="fr-FR"/>
              </w:rPr>
              <w:t>’</w:t>
            </w:r>
            <w:r w:rsidRPr="00A95042">
              <w:rPr>
                <w:lang w:val="fr-FR"/>
              </w:rPr>
              <w:t>installation de parois de protection verticales d</w:t>
            </w:r>
            <w:r>
              <w:rPr>
                <w:lang w:val="fr-FR"/>
              </w:rPr>
              <w:t>’</w:t>
            </w:r>
            <w:r w:rsidRPr="00A95042">
              <w:rPr>
                <w:lang w:val="fr-FR"/>
              </w:rPr>
              <w:t>une hauteur minimale de 0,50</w:t>
            </w:r>
            <w:r w:rsidR="00AC2360">
              <w:rPr>
                <w:lang w:val="fr-FR"/>
              </w:rPr>
              <w:t> </w:t>
            </w:r>
            <w:r w:rsidRPr="00A95042">
              <w:rPr>
                <w:lang w:val="fr-FR"/>
              </w:rPr>
              <w:t>m.</w:t>
            </w:r>
          </w:p>
          <w:p w14:paraId="4D23C32A" w14:textId="21BB214A" w:rsidR="00241358" w:rsidRPr="009E1578" w:rsidRDefault="009E1578" w:rsidP="00A42366">
            <w:pPr>
              <w:suppressAutoHyphens w:val="0"/>
              <w:spacing w:before="40" w:after="160"/>
              <w:jc w:val="center"/>
              <w:rPr>
                <w:rFonts w:eastAsia="Times New Roman"/>
                <w:snapToGrid w:val="0"/>
                <w:lang w:eastAsia="fr-FR"/>
              </w:rPr>
            </w:pPr>
            <w:r w:rsidRPr="009E1578">
              <w:rPr>
                <w:rFonts w:eastAsia="Times New Roman"/>
                <w:lang w:val="fr-FR" w:eastAsia="fr-FR"/>
              </w:rPr>
              <w:t>Les bateaux utilisés seulement pour la propulsion de bateaux</w:t>
            </w:r>
            <w:r w:rsidR="00AC2360">
              <w:rPr>
                <w:rFonts w:eastAsia="Times New Roman"/>
                <w:lang w:val="fr-FR" w:eastAsia="fr-FR"/>
              </w:rPr>
              <w:noBreakHyphen/>
            </w:r>
            <w:r w:rsidRPr="009E1578">
              <w:rPr>
                <w:rFonts w:eastAsia="Times New Roman"/>
                <w:lang w:val="fr-FR" w:eastAsia="fr-FR"/>
              </w:rPr>
              <w:t>citernes de type N ouvert n</w:t>
            </w:r>
            <w:r>
              <w:rPr>
                <w:rFonts w:eastAsia="Times New Roman"/>
                <w:lang w:val="fr-FR" w:eastAsia="fr-FR"/>
              </w:rPr>
              <w:t>’</w:t>
            </w:r>
            <w:r w:rsidRPr="009E1578">
              <w:rPr>
                <w:rFonts w:eastAsia="Times New Roman"/>
                <w:lang w:val="fr-FR" w:eastAsia="fr-FR"/>
              </w:rPr>
              <w:t>ont pas à satisfaire aux prescriptions des paragraphes 9.3.3.10.1, 9.3.3.10.4 et 9.3.3.12.6. Ces dérogations doivent être inscrites dans le certificat d</w:t>
            </w:r>
            <w:r>
              <w:rPr>
                <w:rFonts w:eastAsia="Times New Roman"/>
                <w:lang w:val="fr-FR" w:eastAsia="fr-FR"/>
              </w:rPr>
              <w:t>’</w:t>
            </w:r>
            <w:r w:rsidRPr="009E1578">
              <w:rPr>
                <w:rFonts w:eastAsia="Times New Roman"/>
                <w:lang w:val="fr-FR" w:eastAsia="fr-FR"/>
              </w:rPr>
              <w:t>agrément ou le certificat d</w:t>
            </w:r>
            <w:r>
              <w:rPr>
                <w:rFonts w:eastAsia="Times New Roman"/>
                <w:lang w:val="fr-FR" w:eastAsia="fr-FR"/>
              </w:rPr>
              <w:t>’</w:t>
            </w:r>
            <w:r w:rsidRPr="009E1578">
              <w:rPr>
                <w:rFonts w:eastAsia="Times New Roman"/>
                <w:lang w:val="fr-FR" w:eastAsia="fr-FR"/>
              </w:rPr>
              <w:t>agrément provisoire comme suit</w:t>
            </w:r>
            <w:r w:rsidR="003A1ECF">
              <w:rPr>
                <w:rFonts w:eastAsia="Times New Roman"/>
                <w:lang w:val="fr-FR" w:eastAsia="fr-FR"/>
              </w:rPr>
              <w:t> </w:t>
            </w:r>
            <w:r w:rsidRPr="009E1578">
              <w:rPr>
                <w:rFonts w:eastAsia="Times New Roman"/>
                <w:lang w:val="fr-FR" w:eastAsia="fr-FR"/>
              </w:rPr>
              <w:t>: «</w:t>
            </w:r>
            <w:r w:rsidR="00AC2360">
              <w:rPr>
                <w:rFonts w:eastAsia="Times New Roman"/>
                <w:lang w:val="fr-FR" w:eastAsia="fr-FR"/>
              </w:rPr>
              <w:t> </w:t>
            </w:r>
            <w:r w:rsidRPr="009E1578">
              <w:rPr>
                <w:rFonts w:eastAsia="Times New Roman"/>
                <w:lang w:val="fr-FR" w:eastAsia="fr-FR"/>
              </w:rPr>
              <w:t>Dérogations admises</w:t>
            </w:r>
            <w:r w:rsidR="00AC2360">
              <w:rPr>
                <w:rFonts w:eastAsia="Times New Roman"/>
                <w:lang w:val="fr-FR" w:eastAsia="fr-FR"/>
              </w:rPr>
              <w:t> </w:t>
            </w:r>
            <w:r w:rsidRPr="009E1578">
              <w:rPr>
                <w:rFonts w:eastAsia="Times New Roman"/>
                <w:lang w:val="fr-FR" w:eastAsia="fr-FR"/>
              </w:rPr>
              <w:t>»</w:t>
            </w:r>
            <w:r w:rsidR="003A1ECF">
              <w:rPr>
                <w:rFonts w:eastAsia="Times New Roman"/>
                <w:lang w:val="fr-FR" w:eastAsia="fr-FR"/>
              </w:rPr>
              <w:t> </w:t>
            </w:r>
            <w:r w:rsidRPr="009E1578">
              <w:rPr>
                <w:rFonts w:eastAsia="Times New Roman"/>
                <w:lang w:val="fr-FR" w:eastAsia="fr-FR"/>
              </w:rPr>
              <w:t>: « Dérogation aux 9.3.3.10.1, 9.3.3.10.4 et 9.3.3.12.6</w:t>
            </w:r>
            <w:r w:rsidR="003A1ECF">
              <w:rPr>
                <w:rFonts w:eastAsia="Times New Roman"/>
                <w:lang w:val="fr-FR" w:eastAsia="fr-FR"/>
              </w:rPr>
              <w:t> </w:t>
            </w:r>
            <w:r w:rsidRPr="009E1578">
              <w:rPr>
                <w:rFonts w:eastAsia="Times New Roman"/>
                <w:lang w:val="fr-FR" w:eastAsia="fr-FR"/>
              </w:rPr>
              <w:t>; le bateau peut uniquement déplacer des bateaux-citernes de type N ouvert ».</w:t>
            </w:r>
          </w:p>
        </w:tc>
      </w:tr>
    </w:tbl>
    <w:p w14:paraId="7B8FF20D" w14:textId="25A15F2E" w:rsidR="00F9573C" w:rsidRPr="009E1578" w:rsidRDefault="009E1578" w:rsidP="009E1578">
      <w:pPr>
        <w:pStyle w:val="SingleTxtG"/>
        <w:spacing w:before="240" w:after="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F9573C" w:rsidRPr="009E1578" w:rsidSect="001345C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2E0C" w14:textId="77777777" w:rsidR="00BA4DE2" w:rsidRDefault="00BA4DE2" w:rsidP="00F95C08">
      <w:pPr>
        <w:spacing w:line="240" w:lineRule="auto"/>
      </w:pPr>
    </w:p>
  </w:endnote>
  <w:endnote w:type="continuationSeparator" w:id="0">
    <w:p w14:paraId="5D8648ED" w14:textId="77777777" w:rsidR="00BA4DE2" w:rsidRPr="00AC3823" w:rsidRDefault="00BA4DE2" w:rsidP="00AC3823">
      <w:pPr>
        <w:pStyle w:val="Pieddepage"/>
      </w:pPr>
    </w:p>
  </w:endnote>
  <w:endnote w:type="continuationNotice" w:id="1">
    <w:p w14:paraId="73D0B23A" w14:textId="77777777" w:rsidR="00BA4DE2" w:rsidRDefault="00BA4D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D178" w14:textId="7D5AEA00" w:rsidR="001345CC" w:rsidRPr="001345CC" w:rsidRDefault="001345CC" w:rsidP="001345CC">
    <w:pPr>
      <w:pStyle w:val="Pieddepage"/>
      <w:tabs>
        <w:tab w:val="right" w:pos="9638"/>
      </w:tabs>
    </w:pPr>
    <w:r w:rsidRPr="001345CC">
      <w:rPr>
        <w:b/>
        <w:sz w:val="18"/>
      </w:rPr>
      <w:fldChar w:fldCharType="begin"/>
    </w:r>
    <w:r w:rsidRPr="001345CC">
      <w:rPr>
        <w:b/>
        <w:sz w:val="18"/>
      </w:rPr>
      <w:instrText xml:space="preserve"> PAGE  \* MERGEFORMAT </w:instrText>
    </w:r>
    <w:r w:rsidRPr="001345CC">
      <w:rPr>
        <w:b/>
        <w:sz w:val="18"/>
      </w:rPr>
      <w:fldChar w:fldCharType="separate"/>
    </w:r>
    <w:r w:rsidRPr="001345CC">
      <w:rPr>
        <w:b/>
        <w:noProof/>
        <w:sz w:val="18"/>
      </w:rPr>
      <w:t>2</w:t>
    </w:r>
    <w:r w:rsidRPr="001345CC">
      <w:rPr>
        <w:b/>
        <w:sz w:val="18"/>
      </w:rPr>
      <w:fldChar w:fldCharType="end"/>
    </w:r>
    <w:r>
      <w:rPr>
        <w:b/>
        <w:sz w:val="18"/>
      </w:rPr>
      <w:tab/>
    </w:r>
    <w:r>
      <w:t>GE.23-21992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B77D" w14:textId="4260D524" w:rsidR="001345CC" w:rsidRPr="001345CC" w:rsidRDefault="001345CC" w:rsidP="001345CC">
    <w:pPr>
      <w:pStyle w:val="Pieddepage"/>
      <w:tabs>
        <w:tab w:val="right" w:pos="9638"/>
      </w:tabs>
      <w:rPr>
        <w:b/>
        <w:sz w:val="18"/>
      </w:rPr>
    </w:pPr>
    <w:r>
      <w:t>GE.23-21992</w:t>
    </w:r>
    <w:r>
      <w:tab/>
    </w:r>
    <w:r w:rsidRPr="001345CC">
      <w:rPr>
        <w:b/>
        <w:sz w:val="18"/>
      </w:rPr>
      <w:fldChar w:fldCharType="begin"/>
    </w:r>
    <w:r w:rsidRPr="001345CC">
      <w:rPr>
        <w:b/>
        <w:sz w:val="18"/>
      </w:rPr>
      <w:instrText xml:space="preserve"> PAGE  \* MERGEFORMAT </w:instrText>
    </w:r>
    <w:r w:rsidRPr="001345CC">
      <w:rPr>
        <w:b/>
        <w:sz w:val="18"/>
      </w:rPr>
      <w:fldChar w:fldCharType="separate"/>
    </w:r>
    <w:r w:rsidRPr="001345CC">
      <w:rPr>
        <w:b/>
        <w:noProof/>
        <w:sz w:val="18"/>
      </w:rPr>
      <w:t>3</w:t>
    </w:r>
    <w:r w:rsidRPr="001345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D53F" w14:textId="7493A14B" w:rsidR="007F20FA" w:rsidRPr="001345CC" w:rsidRDefault="001345CC" w:rsidP="001345CC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799258A" wp14:editId="469AAB9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23-21992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F5B1629" wp14:editId="1C02A92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2414240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578">
      <w:rPr>
        <w:sz w:val="20"/>
      </w:rPr>
      <w:t xml:space="preserve">    051223    061223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18ED" w14:textId="77777777" w:rsidR="00BA4DE2" w:rsidRPr="00AC3823" w:rsidRDefault="00BA4DE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3AE0F3" w14:textId="77777777" w:rsidR="00BA4DE2" w:rsidRPr="00AC3823" w:rsidRDefault="00BA4DE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F8B2E9" w14:textId="77777777" w:rsidR="00BA4DE2" w:rsidRPr="00AC3823" w:rsidRDefault="00BA4DE2">
      <w:pPr>
        <w:spacing w:line="240" w:lineRule="auto"/>
        <w:rPr>
          <w:sz w:val="2"/>
          <w:szCs w:val="2"/>
        </w:rPr>
      </w:pPr>
    </w:p>
  </w:footnote>
  <w:footnote w:id="2">
    <w:p w14:paraId="15822D91" w14:textId="1D8943FC" w:rsidR="009D715C" w:rsidRPr="009D715C" w:rsidRDefault="009D715C">
      <w:pPr>
        <w:pStyle w:val="Notedebasdepage"/>
      </w:pPr>
      <w:r>
        <w:rPr>
          <w:rStyle w:val="Appelnotedebasdep"/>
        </w:rPr>
        <w:tab/>
      </w:r>
      <w:r w:rsidRPr="009D715C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 xml:space="preserve">Diffusé en allemand par la Commission centrale pour la navigation du Rhin sous la cote </w:t>
      </w:r>
      <w:r w:rsidRPr="0088758F">
        <w:rPr>
          <w:lang w:val="fr-FR"/>
        </w:rPr>
        <w:t>CCNR</w:t>
      </w:r>
      <w:r>
        <w:rPr>
          <w:lang w:val="fr-FR"/>
        </w:rPr>
        <w:noBreakHyphen/>
      </w:r>
      <w:r w:rsidRPr="0088758F">
        <w:rPr>
          <w:lang w:val="fr-FR"/>
        </w:rPr>
        <w:t>ZKR/ADN/WP.15/AC.2/2024/26</w:t>
      </w:r>
      <w:r>
        <w:rPr>
          <w:lang w:val="fr-FR"/>
        </w:rPr>
        <w:t>.</w:t>
      </w:r>
    </w:p>
  </w:footnote>
  <w:footnote w:id="3">
    <w:p w14:paraId="4C1CB5DA" w14:textId="2A240152" w:rsidR="009D715C" w:rsidRPr="009D715C" w:rsidRDefault="009D715C">
      <w:pPr>
        <w:pStyle w:val="Notedebasdepage"/>
      </w:pPr>
      <w:r>
        <w:rPr>
          <w:rStyle w:val="Appelnotedebasdep"/>
        </w:rPr>
        <w:tab/>
      </w:r>
      <w:r w:rsidRPr="009D715C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A/78/6 (Sect. 20),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E877" w14:textId="43A4F333" w:rsidR="001345CC" w:rsidRPr="001345CC" w:rsidRDefault="001345CC">
    <w:pPr>
      <w:pStyle w:val="En-tte"/>
    </w:pPr>
    <w:fldSimple w:instr=" TITLE  \* MERGEFORMAT ">
      <w:r w:rsidR="00FB0A7A">
        <w:t>ECE/TRANS/WP.15/AC.2/2024/26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E5AB" w14:textId="2F71FE92" w:rsidR="001345CC" w:rsidRPr="001345CC" w:rsidRDefault="001345CC" w:rsidP="001345CC">
    <w:pPr>
      <w:pStyle w:val="En-tte"/>
      <w:jc w:val="right"/>
    </w:pPr>
    <w:fldSimple w:instr=" TITLE  \* MERGEFORMAT ">
      <w:r w:rsidR="00FB0A7A">
        <w:t>ECE/TRANS/WP.15/AC.2/2024/26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758288667">
    <w:abstractNumId w:val="12"/>
  </w:num>
  <w:num w:numId="2" w16cid:durableId="1930498487">
    <w:abstractNumId w:val="11"/>
  </w:num>
  <w:num w:numId="3" w16cid:durableId="909654362">
    <w:abstractNumId w:val="10"/>
  </w:num>
  <w:num w:numId="4" w16cid:durableId="538247550">
    <w:abstractNumId w:val="8"/>
  </w:num>
  <w:num w:numId="5" w16cid:durableId="860365042">
    <w:abstractNumId w:val="3"/>
  </w:num>
  <w:num w:numId="6" w16cid:durableId="1071581952">
    <w:abstractNumId w:val="2"/>
  </w:num>
  <w:num w:numId="7" w16cid:durableId="61100796">
    <w:abstractNumId w:val="1"/>
  </w:num>
  <w:num w:numId="8" w16cid:durableId="1769613599">
    <w:abstractNumId w:val="0"/>
  </w:num>
  <w:num w:numId="9" w16cid:durableId="183597525">
    <w:abstractNumId w:val="9"/>
  </w:num>
  <w:num w:numId="10" w16cid:durableId="370804815">
    <w:abstractNumId w:val="7"/>
  </w:num>
  <w:num w:numId="11" w16cid:durableId="1566137307">
    <w:abstractNumId w:val="6"/>
  </w:num>
  <w:num w:numId="12" w16cid:durableId="2100247314">
    <w:abstractNumId w:val="5"/>
  </w:num>
  <w:num w:numId="13" w16cid:durableId="207842041">
    <w:abstractNumId w:val="4"/>
  </w:num>
  <w:num w:numId="14" w16cid:durableId="1901867854">
    <w:abstractNumId w:val="12"/>
  </w:num>
  <w:num w:numId="15" w16cid:durableId="2006323260">
    <w:abstractNumId w:val="11"/>
  </w:num>
  <w:num w:numId="16" w16cid:durableId="19935600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E2"/>
    <w:rsid w:val="00017F94"/>
    <w:rsid w:val="00023842"/>
    <w:rsid w:val="000334F9"/>
    <w:rsid w:val="00045FEB"/>
    <w:rsid w:val="0007796D"/>
    <w:rsid w:val="000B7790"/>
    <w:rsid w:val="00111F2F"/>
    <w:rsid w:val="001345CC"/>
    <w:rsid w:val="0014365E"/>
    <w:rsid w:val="00143C66"/>
    <w:rsid w:val="00176178"/>
    <w:rsid w:val="001F525A"/>
    <w:rsid w:val="00201148"/>
    <w:rsid w:val="00223272"/>
    <w:rsid w:val="00241358"/>
    <w:rsid w:val="0024779E"/>
    <w:rsid w:val="00257168"/>
    <w:rsid w:val="002744B8"/>
    <w:rsid w:val="002832AC"/>
    <w:rsid w:val="002D7C93"/>
    <w:rsid w:val="00305801"/>
    <w:rsid w:val="003916DE"/>
    <w:rsid w:val="003A1ECF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D715C"/>
    <w:rsid w:val="009E1578"/>
    <w:rsid w:val="009F6B74"/>
    <w:rsid w:val="00A3029F"/>
    <w:rsid w:val="00A30353"/>
    <w:rsid w:val="00AC2360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A4DE2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B0A7A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809A6"/>
  <w15:docId w15:val="{CA1CDE15-7D53-4459-8FF8-BE7F449D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1345CC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5C3E0-40C9-4091-BC88-8DF5CC37F12D}"/>
</file>

<file path=customXml/itemProps2.xml><?xml version="1.0" encoding="utf-8"?>
<ds:datastoreItem xmlns:ds="http://schemas.openxmlformats.org/officeDocument/2006/customXml" ds:itemID="{A851E2C9-EA98-409E-A080-FE2E9FF633B5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9</TotalTime>
  <Pages>4</Pages>
  <Words>1409</Words>
  <Characters>8235</Characters>
  <Application>Microsoft Office Word</Application>
  <DocSecurity>0</DocSecurity>
  <Lines>265</Lines>
  <Paragraphs>166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ECE/TRANS/WP.15/AC.2/2024/26</vt:lpstr>
    </vt:vector>
  </TitlesOfParts>
  <Company>DCM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ECE/TRANS/WP.15/AC.2/2024/26</dc:title>
  <dc:subject/>
  <dc:creator>Julien OKRZESIK</dc:creator>
  <cp:keywords/>
  <cp:lastModifiedBy>Julien Okrzesik</cp:lastModifiedBy>
  <cp:revision>3</cp:revision>
  <cp:lastPrinted>2023-12-06T08:58:00Z</cp:lastPrinted>
  <dcterms:created xsi:type="dcterms:W3CDTF">2023-12-06T08:58:00Z</dcterms:created>
  <dcterms:modified xsi:type="dcterms:W3CDTF">2023-12-06T09:01:00Z</dcterms:modified>
</cp:coreProperties>
</file>