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AF204D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6FC075D" w14:textId="77777777" w:rsidR="002D5AAC" w:rsidRDefault="002D5AAC" w:rsidP="00337DB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DB3637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5FB7631" w14:textId="3586EFFA" w:rsidR="002D5AAC" w:rsidRDefault="00337DB1" w:rsidP="00337DB1">
            <w:pPr>
              <w:jc w:val="right"/>
            </w:pPr>
            <w:r w:rsidRPr="00337DB1">
              <w:rPr>
                <w:sz w:val="40"/>
              </w:rPr>
              <w:t>ECE</w:t>
            </w:r>
            <w:r>
              <w:t>/TRANS/WP.15/AC.2/2024/25</w:t>
            </w:r>
          </w:p>
        </w:tc>
      </w:tr>
      <w:tr w:rsidR="002D5AAC" w14:paraId="1CD1BE3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B0EAD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09A52BF" wp14:editId="7B65382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2F588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2FD5B28" w14:textId="77777777" w:rsidR="002D5AAC" w:rsidRDefault="00337DB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3E07574" w14:textId="77777777" w:rsidR="00337DB1" w:rsidRDefault="00337DB1" w:rsidP="00337DB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November 2023</w:t>
            </w:r>
          </w:p>
          <w:p w14:paraId="39B103E8" w14:textId="77777777" w:rsidR="00337DB1" w:rsidRDefault="00337DB1" w:rsidP="00337DB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2644C59" w14:textId="43328CE2" w:rsidR="00337DB1" w:rsidRPr="008D53B6" w:rsidRDefault="00337DB1" w:rsidP="00337DB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57BDDB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32FCD53" w14:textId="77777777" w:rsidR="00337DB1" w:rsidRPr="00670DE3" w:rsidRDefault="00337DB1" w:rsidP="00337DB1">
      <w:pPr>
        <w:spacing w:before="120"/>
        <w:rPr>
          <w:sz w:val="28"/>
          <w:szCs w:val="28"/>
        </w:rPr>
      </w:pPr>
      <w:r w:rsidRPr="00670DE3">
        <w:rPr>
          <w:sz w:val="28"/>
          <w:szCs w:val="28"/>
        </w:rPr>
        <w:t>Комитет по внутреннему транспорту</w:t>
      </w:r>
    </w:p>
    <w:p w14:paraId="7BE4AA90" w14:textId="77777777" w:rsidR="00337DB1" w:rsidRPr="00670DE3" w:rsidRDefault="00337DB1" w:rsidP="00337DB1">
      <w:pPr>
        <w:spacing w:before="120"/>
        <w:rPr>
          <w:b/>
          <w:sz w:val="24"/>
          <w:szCs w:val="24"/>
        </w:rPr>
      </w:pPr>
      <w:r w:rsidRPr="00670DE3">
        <w:rPr>
          <w:b/>
          <w:sz w:val="24"/>
          <w:szCs w:val="24"/>
        </w:rPr>
        <w:t>Рабочая группа по перевозк</w:t>
      </w:r>
      <w:r>
        <w:rPr>
          <w:b/>
          <w:sz w:val="24"/>
          <w:szCs w:val="24"/>
        </w:rPr>
        <w:t>ам</w:t>
      </w:r>
      <w:r w:rsidRPr="00670DE3">
        <w:rPr>
          <w:b/>
          <w:sz w:val="24"/>
          <w:szCs w:val="24"/>
        </w:rPr>
        <w:t xml:space="preserve"> опасных грузов</w:t>
      </w:r>
    </w:p>
    <w:p w14:paraId="0E70461C" w14:textId="6F624F6C" w:rsidR="00337DB1" w:rsidRPr="00670DE3" w:rsidRDefault="00337DB1" w:rsidP="00337DB1">
      <w:pPr>
        <w:spacing w:before="120"/>
        <w:rPr>
          <w:b/>
        </w:rPr>
      </w:pPr>
      <w:r w:rsidRPr="00670DE3">
        <w:rPr>
          <w:b/>
        </w:rPr>
        <w:t xml:space="preserve">Совместное совещание экспертов по Правилам, </w:t>
      </w:r>
      <w:r>
        <w:rPr>
          <w:b/>
        </w:rPr>
        <w:br/>
      </w:r>
      <w:r w:rsidRPr="00670DE3">
        <w:rPr>
          <w:b/>
        </w:rPr>
        <w:t xml:space="preserve">прилагаемым к Европейскому соглашению </w:t>
      </w:r>
      <w:r>
        <w:rPr>
          <w:b/>
        </w:rPr>
        <w:br/>
      </w:r>
      <w:r w:rsidRPr="00670DE3">
        <w:rPr>
          <w:b/>
        </w:rPr>
        <w:t xml:space="preserve">о международной перевозке опасных грузов </w:t>
      </w:r>
      <w:r>
        <w:rPr>
          <w:b/>
        </w:rPr>
        <w:br/>
      </w:r>
      <w:r w:rsidRPr="00670DE3">
        <w:rPr>
          <w:b/>
        </w:rPr>
        <w:t xml:space="preserve">по внутренним водным путям (ВОПОГ) </w:t>
      </w:r>
      <w:r>
        <w:rPr>
          <w:b/>
        </w:rPr>
        <w:br/>
      </w:r>
      <w:r w:rsidRPr="00670DE3">
        <w:rPr>
          <w:b/>
        </w:rPr>
        <w:t xml:space="preserve">(Комитет </w:t>
      </w:r>
      <w:r>
        <w:rPr>
          <w:b/>
        </w:rPr>
        <w:t>по вопросам безопасности</w:t>
      </w:r>
      <w:r w:rsidRPr="00670DE3">
        <w:rPr>
          <w:b/>
        </w:rPr>
        <w:t xml:space="preserve"> ВОПОГ)</w:t>
      </w:r>
    </w:p>
    <w:p w14:paraId="043E53F4" w14:textId="77777777" w:rsidR="00337DB1" w:rsidRPr="00670DE3" w:rsidRDefault="00337DB1" w:rsidP="00337DB1">
      <w:pPr>
        <w:spacing w:before="120"/>
        <w:rPr>
          <w:b/>
        </w:rPr>
      </w:pPr>
      <w:r w:rsidRPr="00670DE3">
        <w:rPr>
          <w:b/>
        </w:rPr>
        <w:t>Сорок третья сессия</w:t>
      </w:r>
    </w:p>
    <w:p w14:paraId="66275875" w14:textId="77777777" w:rsidR="00337DB1" w:rsidRPr="00670DE3" w:rsidRDefault="00337DB1" w:rsidP="00337DB1">
      <w:r w:rsidRPr="00670DE3">
        <w:t>Женева, 22</w:t>
      </w:r>
      <w:r>
        <w:t>–</w:t>
      </w:r>
      <w:r w:rsidRPr="00670DE3">
        <w:t>26 января 2024 года</w:t>
      </w:r>
    </w:p>
    <w:p w14:paraId="0E796FC7" w14:textId="77777777" w:rsidR="00337DB1" w:rsidRPr="00670DE3" w:rsidRDefault="00337DB1" w:rsidP="00337DB1">
      <w:r w:rsidRPr="00670DE3">
        <w:t xml:space="preserve">Пункт 5 </w:t>
      </w:r>
      <w:r>
        <w:rPr>
          <w:lang w:val="en-US"/>
        </w:rPr>
        <w:t>b</w:t>
      </w:r>
      <w:r w:rsidRPr="00670DE3">
        <w:t>) предварительной повестки дня</w:t>
      </w:r>
    </w:p>
    <w:p w14:paraId="63C1CEA7" w14:textId="298DC511" w:rsidR="00337DB1" w:rsidRPr="00670DE3" w:rsidRDefault="00337DB1" w:rsidP="00337DB1">
      <w:pPr>
        <w:rPr>
          <w:b/>
          <w:bCs/>
        </w:rPr>
      </w:pPr>
      <w:r w:rsidRPr="004B4411"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</w:r>
      <w:r w:rsidRPr="004B4411">
        <w:rPr>
          <w:b/>
          <w:bCs/>
        </w:rPr>
        <w:t>прилагаемые к ВОПОГ:</w:t>
      </w:r>
      <w:r w:rsidRPr="00670DE3">
        <w:rPr>
          <w:b/>
          <w:bCs/>
        </w:rPr>
        <w:t xml:space="preserve"> другие предложения</w:t>
      </w:r>
    </w:p>
    <w:p w14:paraId="1D21C0B3" w14:textId="4FF27579" w:rsidR="00337DB1" w:rsidRPr="00670DE3" w:rsidRDefault="00337DB1" w:rsidP="00337DB1">
      <w:pPr>
        <w:pStyle w:val="HChG"/>
      </w:pPr>
      <w:r w:rsidRPr="00670DE3">
        <w:tab/>
      </w:r>
      <w:r w:rsidRPr="00670DE3">
        <w:tab/>
        <w:t xml:space="preserve">Предложение по переходным положениям </w:t>
      </w:r>
      <w:r>
        <w:br/>
      </w:r>
      <w:r w:rsidRPr="00670DE3">
        <w:t xml:space="preserve">для </w:t>
      </w:r>
      <w:r>
        <w:t>индикаторов газов</w:t>
      </w:r>
    </w:p>
    <w:p w14:paraId="32EA5950" w14:textId="72A1C449" w:rsidR="00337DB1" w:rsidRDefault="00337DB1" w:rsidP="00337DB1">
      <w:pPr>
        <w:pStyle w:val="H1G"/>
        <w:rPr>
          <w:b w:val="0"/>
          <w:bCs/>
          <w:sz w:val="20"/>
        </w:rPr>
      </w:pPr>
      <w:r w:rsidRPr="00670DE3">
        <w:tab/>
      </w:r>
      <w:r w:rsidRPr="00670DE3">
        <w:tab/>
      </w:r>
      <w:r w:rsidRPr="00A13FFC">
        <w:t xml:space="preserve">Передано Европейским союзом речного судоходства (ЕСРС) </w:t>
      </w:r>
      <w:r>
        <w:br/>
      </w:r>
      <w:r w:rsidRPr="00A13FFC">
        <w:t>и Европейской организацией судоводителей (ЕОС)</w:t>
      </w:r>
      <w:r w:rsidRPr="00337DB1">
        <w:rPr>
          <w:rStyle w:val="aa"/>
          <w:b w:val="0"/>
          <w:bCs/>
          <w:sz w:val="20"/>
          <w:vertAlign w:val="baseline"/>
        </w:rPr>
        <w:footnoteReference w:customMarkFollows="1" w:id="1"/>
        <w:t>* </w:t>
      </w:r>
      <w:r w:rsidRPr="00337DB1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Style w:val="ac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337DB1" w14:paraId="041BF7B8" w14:textId="77777777" w:rsidTr="00337DB1">
        <w:trPr>
          <w:jc w:val="center"/>
        </w:trPr>
        <w:tc>
          <w:tcPr>
            <w:tcW w:w="9628" w:type="dxa"/>
            <w:shd w:val="clear" w:color="auto" w:fill="auto"/>
          </w:tcPr>
          <w:p w14:paraId="63711413" w14:textId="77777777" w:rsidR="00337DB1" w:rsidRDefault="00337DB1" w:rsidP="00220807">
            <w:pPr>
              <w:spacing w:before="240" w:after="120"/>
              <w:ind w:left="255"/>
              <w:rPr>
                <w:i/>
                <w:sz w:val="24"/>
              </w:rPr>
            </w:pPr>
            <w:r w:rsidRPr="008852D9">
              <w:rPr>
                <w:rFonts w:eastAsia="Times New Roman" w:cs="Times New Roman"/>
                <w:i/>
                <w:sz w:val="24"/>
                <w:szCs w:val="20"/>
                <w:lang w:val="en-GB" w:eastAsia="fr-FR"/>
              </w:rPr>
              <w:t>Резюме</w:t>
            </w:r>
          </w:p>
        </w:tc>
      </w:tr>
      <w:tr w:rsidR="00337DB1" w:rsidRPr="00C211DE" w14:paraId="185A219D" w14:textId="77777777" w:rsidTr="00337DB1">
        <w:trPr>
          <w:jc w:val="center"/>
        </w:trPr>
        <w:tc>
          <w:tcPr>
            <w:tcW w:w="9628" w:type="dxa"/>
            <w:shd w:val="clear" w:color="auto" w:fill="auto"/>
          </w:tcPr>
          <w:p w14:paraId="34F78FF3" w14:textId="56E669B6" w:rsidR="00337DB1" w:rsidRPr="003202A4" w:rsidRDefault="00337DB1" w:rsidP="00337DB1">
            <w:pPr>
              <w:pStyle w:val="SingleTxtG"/>
              <w:ind w:right="1031"/>
              <w:jc w:val="left"/>
            </w:pPr>
            <w:r w:rsidRPr="00337DB1">
              <w:rPr>
                <w:b/>
                <w:bCs/>
              </w:rPr>
              <w:t>Справочные документы:</w:t>
            </w:r>
            <w:r w:rsidRPr="00337DB1">
              <w:tab/>
            </w:r>
            <w:r w:rsidR="00342B7D" w:rsidRPr="00670DE3">
              <w:t>н</w:t>
            </w:r>
            <w:r w:rsidRPr="00670DE3">
              <w:t xml:space="preserve">еофициальный документ </w:t>
            </w:r>
            <w:r>
              <w:t>INF</w:t>
            </w:r>
            <w:r w:rsidRPr="00670DE3">
              <w:t>.5 сороковой сессии</w:t>
            </w:r>
            <w:r>
              <w:br/>
            </w:r>
            <w:r w:rsidRPr="00670DE3">
              <w:tab/>
            </w:r>
            <w:r w:rsidRPr="00670DE3">
              <w:tab/>
            </w:r>
            <w:r w:rsidRPr="00670DE3">
              <w:tab/>
            </w:r>
            <w:r w:rsidRPr="00670DE3">
              <w:tab/>
            </w:r>
            <w:r w:rsidRPr="00670DE3">
              <w:tab/>
            </w:r>
            <w:r>
              <w:tab/>
            </w:r>
            <w:r w:rsidRPr="00614061">
              <w:t>ECE</w:t>
            </w:r>
            <w:r w:rsidRPr="00670DE3">
              <w:t>/</w:t>
            </w:r>
            <w:r w:rsidRPr="00614061">
              <w:t>TRANS</w:t>
            </w:r>
            <w:r w:rsidRPr="00670DE3">
              <w:t>/</w:t>
            </w:r>
            <w:r w:rsidRPr="00614061">
              <w:t>WP</w:t>
            </w:r>
            <w:r w:rsidRPr="00670DE3">
              <w:t>.15/</w:t>
            </w:r>
            <w:r w:rsidRPr="00614061">
              <w:t>AC</w:t>
            </w:r>
            <w:r w:rsidRPr="00670DE3">
              <w:t xml:space="preserve">.2/72 (доклад о работе </w:t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670DE3">
              <w:t>тридцать шестой сессии, добавление)</w:t>
            </w:r>
            <w:r w:rsidR="00342B7D">
              <w:t>;</w:t>
            </w:r>
            <w:r w:rsidRPr="00670DE3">
              <w:t xml:space="preserve"> </w:t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342B7D" w:rsidRPr="00337DB1">
              <w:rPr>
                <w:spacing w:val="-2"/>
              </w:rPr>
              <w:t>н</w:t>
            </w:r>
            <w:r w:rsidRPr="00337DB1">
              <w:rPr>
                <w:spacing w:val="-2"/>
              </w:rPr>
              <w:t>еофициальный документ INF.21 сорок первой</w:t>
            </w:r>
            <w:r w:rsidRPr="00337DB1">
              <w:rPr>
                <w:spacing w:val="-2"/>
              </w:rPr>
              <w:t xml:space="preserve"> </w:t>
            </w:r>
            <w:r w:rsidRPr="00337DB1">
              <w:rPr>
                <w:spacing w:val="-2"/>
              </w:rPr>
              <w:t>сессии</w:t>
            </w:r>
            <w:r>
              <w:rPr>
                <w:spacing w:val="-2"/>
              </w:rPr>
              <w:br/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ab/>
            </w:r>
            <w:r w:rsidRPr="00614061">
              <w:t>ECE</w:t>
            </w:r>
            <w:r w:rsidRPr="00670DE3">
              <w:t>/</w:t>
            </w:r>
            <w:r w:rsidRPr="00614061">
              <w:t>TRANS</w:t>
            </w:r>
            <w:r w:rsidRPr="00670DE3">
              <w:t>/</w:t>
            </w:r>
            <w:r w:rsidRPr="00614061">
              <w:t>WP</w:t>
            </w:r>
            <w:r w:rsidRPr="00670DE3">
              <w:t>.15/</w:t>
            </w:r>
            <w:r w:rsidRPr="00614061">
              <w:t>AC</w:t>
            </w:r>
            <w:r w:rsidRPr="00670DE3">
              <w:t>.2/86</w:t>
            </w:r>
            <w:r w:rsidR="00342B7D">
              <w:t>,</w:t>
            </w:r>
            <w:r w:rsidRPr="00670DE3">
              <w:t xml:space="preserve"> п</w:t>
            </w:r>
            <w:r w:rsidR="008852D9">
              <w:t>.</w:t>
            </w:r>
            <w:r w:rsidRPr="00670DE3">
              <w:t xml:space="preserve"> 24</w:t>
            </w:r>
            <w:r w:rsidR="00342B7D">
              <w:t xml:space="preserve"> </w:t>
            </w:r>
            <w:r w:rsidRPr="00670DE3">
              <w:t xml:space="preserve">(доклад о работе </w:t>
            </w:r>
            <w:r w:rsidR="00342B7D">
              <w:br/>
            </w:r>
            <w:r w:rsidR="00342B7D">
              <w:tab/>
            </w:r>
            <w:r w:rsidR="00342B7D">
              <w:tab/>
            </w:r>
            <w:r w:rsidR="00342B7D">
              <w:tab/>
            </w:r>
            <w:r w:rsidR="00342B7D">
              <w:tab/>
            </w:r>
            <w:r w:rsidR="00342B7D">
              <w:tab/>
            </w:r>
            <w:r w:rsidR="00342B7D">
              <w:tab/>
            </w:r>
            <w:r w:rsidRPr="00670DE3">
              <w:t>сорок второй сессии)</w:t>
            </w:r>
          </w:p>
        </w:tc>
      </w:tr>
      <w:tr w:rsidR="00337DB1" w:rsidRPr="00C211DE" w14:paraId="35F50BA2" w14:textId="77777777" w:rsidTr="00337DB1">
        <w:trPr>
          <w:jc w:val="center"/>
        </w:trPr>
        <w:tc>
          <w:tcPr>
            <w:tcW w:w="9628" w:type="dxa"/>
            <w:shd w:val="clear" w:color="auto" w:fill="auto"/>
          </w:tcPr>
          <w:p w14:paraId="0B5423FB" w14:textId="77777777" w:rsidR="00337DB1" w:rsidRPr="00337DB1" w:rsidRDefault="00337DB1" w:rsidP="00337DB1">
            <w:pPr>
              <w:pStyle w:val="SingleTxtG"/>
              <w:rPr>
                <w:b/>
                <w:bCs/>
              </w:rPr>
            </w:pPr>
          </w:p>
        </w:tc>
      </w:tr>
    </w:tbl>
    <w:p w14:paraId="54C850B0" w14:textId="77777777" w:rsidR="00337DB1" w:rsidRPr="009D56DC" w:rsidRDefault="00337DB1" w:rsidP="00337DB1">
      <w:pPr>
        <w:pStyle w:val="HChG"/>
      </w:pPr>
      <w:r w:rsidRPr="003202A4">
        <w:tab/>
      </w:r>
      <w:r w:rsidRPr="003202A4">
        <w:tab/>
      </w:r>
      <w:r w:rsidRPr="009D56DC">
        <w:t>Введение</w:t>
      </w:r>
    </w:p>
    <w:p w14:paraId="23CC42CF" w14:textId="5F991F30" w:rsidR="00337DB1" w:rsidRPr="00670DE3" w:rsidRDefault="00337DB1" w:rsidP="00337DB1">
      <w:pPr>
        <w:pStyle w:val="SingleTxtG"/>
      </w:pPr>
      <w:r w:rsidRPr="00670DE3">
        <w:t>1.</w:t>
      </w:r>
      <w:r w:rsidRPr="00670DE3">
        <w:tab/>
        <w:t xml:space="preserve">На своей сороковой сессии в августе 2022 года Комитет </w:t>
      </w:r>
      <w:r>
        <w:t>по вопросам безопасности</w:t>
      </w:r>
      <w:r w:rsidRPr="00670DE3">
        <w:t xml:space="preserve"> ВОПОГ обсудил неофициальный документ </w:t>
      </w:r>
      <w:r>
        <w:t>INF</w:t>
      </w:r>
      <w:r w:rsidRPr="00670DE3">
        <w:t xml:space="preserve">.5 </w:t>
      </w:r>
      <w:r>
        <w:t>«Предложение по переходным положениям для индикаторов газов»</w:t>
      </w:r>
      <w:r w:rsidRPr="00670DE3">
        <w:t xml:space="preserve">, который был передан </w:t>
      </w:r>
      <w:r w:rsidRPr="009D56DC">
        <w:t>ЕСРС/ЕОС</w:t>
      </w:r>
      <w:r w:rsidRPr="00670DE3">
        <w:t xml:space="preserve">. На своей сорок второй сессии в августе 2023 года Комитет </w:t>
      </w:r>
      <w:r>
        <w:t>по вопросам безопасности</w:t>
      </w:r>
      <w:r w:rsidRPr="00670DE3">
        <w:t xml:space="preserve"> ВОПОГ обсудил неофициальный документ </w:t>
      </w:r>
      <w:r w:rsidRPr="002D0570">
        <w:t>INF</w:t>
      </w:r>
      <w:r w:rsidRPr="00670DE3">
        <w:t xml:space="preserve">.21 </w:t>
      </w:r>
      <w:r>
        <w:t xml:space="preserve">«Предложение по переходным </w:t>
      </w:r>
      <w:r>
        <w:lastRenderedPageBreak/>
        <w:t>положениям для индикаторов газов»</w:t>
      </w:r>
      <w:r w:rsidRPr="00670DE3">
        <w:t xml:space="preserve">, который также был передан </w:t>
      </w:r>
      <w:r w:rsidRPr="009D56DC">
        <w:t>ЕСРС/ЕОС</w:t>
      </w:r>
      <w:r w:rsidRPr="00670DE3">
        <w:t>. В</w:t>
      </w:r>
      <w:r w:rsidR="008852D9">
        <w:rPr>
          <w:lang w:val="en-US"/>
        </w:rPr>
        <w:t> </w:t>
      </w:r>
      <w:r>
        <w:t xml:space="preserve">настоящем </w:t>
      </w:r>
      <w:r w:rsidRPr="00670DE3">
        <w:t xml:space="preserve">документе </w:t>
      </w:r>
      <w:r w:rsidRPr="009D56DC">
        <w:t>ЕСРС/ЕОС</w:t>
      </w:r>
      <w:r w:rsidRPr="00670DE3">
        <w:t xml:space="preserve"> хотел</w:t>
      </w:r>
      <w:r>
        <w:t>и</w:t>
      </w:r>
      <w:r w:rsidRPr="00670DE3">
        <w:t xml:space="preserve"> бы продолжить обсуждение и внести предложение по </w:t>
      </w:r>
      <w:r>
        <w:t xml:space="preserve">внесению поправок в </w:t>
      </w:r>
      <w:r w:rsidRPr="00670DE3">
        <w:t>действующе</w:t>
      </w:r>
      <w:r>
        <w:t>е</w:t>
      </w:r>
      <w:r w:rsidRPr="00670DE3">
        <w:t xml:space="preserve"> переходно</w:t>
      </w:r>
      <w:r>
        <w:t>е</w:t>
      </w:r>
      <w:r w:rsidRPr="00670DE3">
        <w:t xml:space="preserve"> положени</w:t>
      </w:r>
      <w:r>
        <w:t>е</w:t>
      </w:r>
      <w:r w:rsidRPr="00670DE3">
        <w:t>.</w:t>
      </w:r>
    </w:p>
    <w:p w14:paraId="6E2BD4FD" w14:textId="77777777" w:rsidR="00337DB1" w:rsidRPr="00670DE3" w:rsidRDefault="00337DB1" w:rsidP="00337DB1">
      <w:pPr>
        <w:pStyle w:val="SingleTxtG"/>
      </w:pPr>
      <w:r w:rsidRPr="00670DE3">
        <w:t>2.</w:t>
      </w:r>
      <w:r w:rsidRPr="00670DE3">
        <w:tab/>
        <w:t xml:space="preserve">В </w:t>
      </w:r>
      <w:r w:rsidRPr="003E658F">
        <w:t xml:space="preserve">отрасли баржевых перевозок </w:t>
      </w:r>
      <w:r>
        <w:t>индикаторы легковоспламеняющихся газов</w:t>
      </w:r>
      <w:r w:rsidRPr="00670DE3">
        <w:t xml:space="preserve"> используются уже много лет. Эти </w:t>
      </w:r>
      <w:r w:rsidRPr="00E52C68">
        <w:t xml:space="preserve">индикаторы </w:t>
      </w:r>
      <w:r w:rsidRPr="00670DE3">
        <w:t>испыт</w:t>
      </w:r>
      <w:r>
        <w:t>ываются</w:t>
      </w:r>
      <w:r w:rsidRPr="00670DE3">
        <w:t xml:space="preserve"> и </w:t>
      </w:r>
      <w:r>
        <w:t>утверждаются</w:t>
      </w:r>
      <w:r w:rsidRPr="00670DE3">
        <w:t xml:space="preserve"> в соответствии с версией стандарта, действ</w:t>
      </w:r>
      <w:r>
        <w:t>ующей</w:t>
      </w:r>
      <w:r w:rsidRPr="00670DE3">
        <w:t xml:space="preserve"> на момент фактического </w:t>
      </w:r>
      <w:r w:rsidRPr="00B8026E">
        <w:t>внедрени</w:t>
      </w:r>
      <w:r>
        <w:t>я</w:t>
      </w:r>
      <w:r w:rsidRPr="00B8026E">
        <w:t xml:space="preserve"> </w:t>
      </w:r>
      <w:r w:rsidRPr="00670DE3">
        <w:t>на рынок.</w:t>
      </w:r>
    </w:p>
    <w:p w14:paraId="2296ED4A" w14:textId="77777777" w:rsidR="00337DB1" w:rsidRPr="00670DE3" w:rsidRDefault="00337DB1" w:rsidP="00337DB1">
      <w:pPr>
        <w:pStyle w:val="SingleTxtG"/>
      </w:pPr>
      <w:r w:rsidRPr="00670DE3">
        <w:t>3.</w:t>
      </w:r>
      <w:r>
        <w:tab/>
      </w:r>
      <w:r w:rsidRPr="00670DE3">
        <w:t xml:space="preserve">Добавление в </w:t>
      </w:r>
      <w:r w:rsidRPr="0025583D">
        <w:t>ВОПОГ</w:t>
      </w:r>
      <w:r w:rsidRPr="00670DE3">
        <w:t xml:space="preserve"> 2019 </w:t>
      </w:r>
      <w:r>
        <w:t xml:space="preserve">года </w:t>
      </w:r>
      <w:r w:rsidRPr="00670DE3">
        <w:t>требования</w:t>
      </w:r>
      <w:r>
        <w:t>,</w:t>
      </w:r>
      <w:r w:rsidRPr="00670DE3">
        <w:t xml:space="preserve"> указ</w:t>
      </w:r>
      <w:r>
        <w:t>ывающего</w:t>
      </w:r>
      <w:r w:rsidRPr="00670DE3">
        <w:t xml:space="preserve"> версию стандарта (60079-29-1:2016), которому должен соответствовать </w:t>
      </w:r>
      <w:r>
        <w:t>индикатор газов</w:t>
      </w:r>
      <w:r w:rsidRPr="00670DE3">
        <w:t xml:space="preserve">, означает, что многие из этих </w:t>
      </w:r>
      <w:r w:rsidRPr="00E52C68">
        <w:t xml:space="preserve">индикаторов </w:t>
      </w:r>
      <w:r w:rsidRPr="00670DE3">
        <w:t>станут неприемлемыми/неразрешенными.</w:t>
      </w:r>
    </w:p>
    <w:p w14:paraId="131A01A2" w14:textId="77777777" w:rsidR="00337DB1" w:rsidRPr="009D56DC" w:rsidRDefault="00337DB1" w:rsidP="00337DB1">
      <w:pPr>
        <w:pStyle w:val="SingleTxtG"/>
      </w:pPr>
      <w:r w:rsidRPr="00670DE3">
        <w:t>4.</w:t>
      </w:r>
      <w:r w:rsidRPr="00670DE3">
        <w:tab/>
        <w:t xml:space="preserve">На практике </w:t>
      </w:r>
      <w:r>
        <w:t xml:space="preserve">отрасль </w:t>
      </w:r>
      <w:r w:rsidRPr="00670DE3">
        <w:t xml:space="preserve">теперь сталкивается с тем, что сюрвейеры требуют наличия на борту </w:t>
      </w:r>
      <w:r>
        <w:t>индикатора газов</w:t>
      </w:r>
      <w:r w:rsidRPr="00670DE3">
        <w:t xml:space="preserve">, соответствующего стандарту </w:t>
      </w:r>
      <w:r w:rsidRPr="00D42DB1">
        <w:t>EN</w:t>
      </w:r>
      <w:r w:rsidRPr="00670DE3">
        <w:t xml:space="preserve"> 60079-29-1:2016, прежде чем будет выдан</w:t>
      </w:r>
      <w:r>
        <w:t>о</w:t>
      </w:r>
      <w:r w:rsidRPr="00670DE3">
        <w:t xml:space="preserve"> </w:t>
      </w:r>
      <w:r w:rsidRPr="00F97286">
        <w:t>свидетельств</w:t>
      </w:r>
      <w:r>
        <w:t>о</w:t>
      </w:r>
      <w:r w:rsidRPr="00F97286">
        <w:t xml:space="preserve"> о допущении</w:t>
      </w:r>
      <w:r w:rsidRPr="00670DE3">
        <w:t xml:space="preserve">. </w:t>
      </w:r>
      <w:r w:rsidRPr="009D56DC">
        <w:t>Это означает:</w:t>
      </w:r>
    </w:p>
    <w:p w14:paraId="67BD5DD8" w14:textId="77777777" w:rsidR="00337DB1" w:rsidRPr="00670DE3" w:rsidRDefault="00337DB1" w:rsidP="00337DB1">
      <w:pPr>
        <w:pStyle w:val="Bullet1G"/>
        <w:numPr>
          <w:ilvl w:val="0"/>
          <w:numId w:val="22"/>
        </w:numPr>
      </w:pPr>
      <w:r w:rsidRPr="00670DE3">
        <w:t xml:space="preserve">что исправное </w:t>
      </w:r>
      <w:r>
        <w:t xml:space="preserve">допущенное </w:t>
      </w:r>
      <w:r w:rsidRPr="00670DE3">
        <w:t>оборудование должно быть утилизировано и заменено вновь приобретенным</w:t>
      </w:r>
      <w:r>
        <w:t xml:space="preserve"> </w:t>
      </w:r>
      <w:r w:rsidRPr="00670DE3">
        <w:t>оборудование;</w:t>
      </w:r>
    </w:p>
    <w:p w14:paraId="66C617EF" w14:textId="77777777" w:rsidR="00337DB1" w:rsidRPr="00670DE3" w:rsidRDefault="00337DB1" w:rsidP="00337DB1">
      <w:pPr>
        <w:pStyle w:val="Bullet1G"/>
        <w:numPr>
          <w:ilvl w:val="0"/>
          <w:numId w:val="22"/>
        </w:numPr>
      </w:pPr>
      <w:r w:rsidRPr="00670DE3">
        <w:t xml:space="preserve">предыдущая инвестиция </w:t>
      </w:r>
      <w:r>
        <w:t>сведена на нет</w:t>
      </w:r>
      <w:r w:rsidRPr="00670DE3">
        <w:t xml:space="preserve"> (</w:t>
      </w:r>
      <w:r>
        <w:t>потеря</w:t>
      </w:r>
      <w:r w:rsidRPr="00670DE3">
        <w:t xml:space="preserve"> денег);</w:t>
      </w:r>
    </w:p>
    <w:p w14:paraId="58911E50" w14:textId="77777777" w:rsidR="00337DB1" w:rsidRDefault="00337DB1" w:rsidP="00337DB1">
      <w:pPr>
        <w:pStyle w:val="Bullet1G"/>
        <w:numPr>
          <w:ilvl w:val="0"/>
          <w:numId w:val="22"/>
        </w:numPr>
      </w:pPr>
      <w:r>
        <w:t>образуются ненужные (электронные) отходы.</w:t>
      </w:r>
    </w:p>
    <w:p w14:paraId="5244D1E1" w14:textId="77777777" w:rsidR="00337DB1" w:rsidRPr="00670DE3" w:rsidRDefault="00337DB1" w:rsidP="00337DB1">
      <w:pPr>
        <w:pStyle w:val="SingleTxtG"/>
      </w:pPr>
      <w:r w:rsidRPr="00670DE3">
        <w:t>5.</w:t>
      </w:r>
      <w:r>
        <w:tab/>
      </w:r>
      <w:r w:rsidRPr="00670DE3">
        <w:t xml:space="preserve">Например, </w:t>
      </w:r>
      <w:r>
        <w:t>Dr</w:t>
      </w:r>
      <w:r w:rsidRPr="00670DE3">
        <w:t>ä</w:t>
      </w:r>
      <w:r>
        <w:t>ger</w:t>
      </w:r>
      <w:r w:rsidRPr="00670DE3">
        <w:t xml:space="preserve"> </w:t>
      </w:r>
      <w:r>
        <w:t>X</w:t>
      </w:r>
      <w:r w:rsidRPr="00670DE3">
        <w:t>-</w:t>
      </w:r>
      <w:r>
        <w:t>am</w:t>
      </w:r>
      <w:r w:rsidRPr="00670DE3">
        <w:t xml:space="preserve"> 7000 производился до 2019 года. Но он проходит испытания по стандарту </w:t>
      </w:r>
      <w:r>
        <w:t>EN</w:t>
      </w:r>
      <w:r w:rsidRPr="00670DE3">
        <w:t xml:space="preserve"> 60079-29-1:2007 (который на одну версию </w:t>
      </w:r>
      <w:r>
        <w:t>старше</w:t>
      </w:r>
      <w:r w:rsidRPr="00670DE3">
        <w:t xml:space="preserve"> стандарта, требуемого </w:t>
      </w:r>
      <w:r w:rsidRPr="0025583D">
        <w:t>ВОПОГ</w:t>
      </w:r>
      <w:r w:rsidRPr="00670DE3">
        <w:t xml:space="preserve"> 2019</w:t>
      </w:r>
      <w:r>
        <w:t xml:space="preserve"> года</w:t>
      </w:r>
      <w:r w:rsidRPr="00670DE3">
        <w:t>).</w:t>
      </w:r>
    </w:p>
    <w:p w14:paraId="35349761" w14:textId="25977A25" w:rsidR="00337DB1" w:rsidRDefault="00337DB1" w:rsidP="00337DB1">
      <w:pPr>
        <w:pStyle w:val="SingleTxtG"/>
      </w:pPr>
      <w:r w:rsidRPr="00670DE3">
        <w:t>6.</w:t>
      </w:r>
      <w:r w:rsidRPr="00670DE3">
        <w:tab/>
      </w:r>
      <w:r w:rsidRPr="009D56DC">
        <w:t>ЕСРС/ЕОС</w:t>
      </w:r>
      <w:r w:rsidRPr="00670DE3">
        <w:t xml:space="preserve"> провел</w:t>
      </w:r>
      <w:r>
        <w:t>и</w:t>
      </w:r>
      <w:r w:rsidRPr="00670DE3">
        <w:t xml:space="preserve"> выборочную проверку в отрасли, было исследовано 214</w:t>
      </w:r>
      <w:r w:rsidR="008852D9">
        <w:rPr>
          <w:lang w:val="en-US"/>
        </w:rPr>
        <w:t> </w:t>
      </w:r>
      <w:r>
        <w:t>индикаторов газов</w:t>
      </w:r>
      <w:r w:rsidRPr="00670DE3">
        <w:t>, которые в настоящее время находятся в эксплуатации. Примерно 60</w:t>
      </w:r>
      <w:r w:rsidR="00092917">
        <w:t> </w:t>
      </w:r>
      <w:r w:rsidR="008852D9">
        <w:rPr>
          <w:lang w:val="en-US"/>
        </w:rPr>
        <w:t>%</w:t>
      </w:r>
      <w:r w:rsidRPr="00670DE3">
        <w:t xml:space="preserve"> </w:t>
      </w:r>
      <w:r>
        <w:t>индикаторов газов</w:t>
      </w:r>
      <w:r w:rsidRPr="00670DE3">
        <w:t xml:space="preserve"> (</w:t>
      </w:r>
      <w:r>
        <w:t>n</w:t>
      </w:r>
      <w:r w:rsidRPr="00670DE3">
        <w:t xml:space="preserve">=125) не соответствовали стандарту </w:t>
      </w:r>
      <w:r w:rsidR="008852D9">
        <w:br/>
      </w:r>
      <w:r>
        <w:t>EN</w:t>
      </w:r>
      <w:r w:rsidRPr="00670DE3">
        <w:t xml:space="preserve"> 60079-29-1:2016.</w:t>
      </w:r>
    </w:p>
    <w:p w14:paraId="3DA03AA2" w14:textId="77777777" w:rsidR="00337DB1" w:rsidRDefault="00337DB1" w:rsidP="00337DB1">
      <w:pPr>
        <w:pStyle w:val="SingleTxtG"/>
      </w:pPr>
      <w:r w:rsidRPr="00670DE3">
        <w:t>7.</w:t>
      </w:r>
      <w:r w:rsidRPr="00670DE3">
        <w:tab/>
      </w:r>
      <w:r>
        <w:t>Осторожная оценка в результате э</w:t>
      </w:r>
      <w:r w:rsidRPr="00670DE3">
        <w:t>кстраполяци</w:t>
      </w:r>
      <w:r>
        <w:t>и</w:t>
      </w:r>
      <w:r w:rsidRPr="00670DE3">
        <w:t xml:space="preserve"> указанной выборки и процентного соотношения </w:t>
      </w:r>
      <w:r>
        <w:t xml:space="preserve">свидетельствует о том, что </w:t>
      </w:r>
      <w:r w:rsidRPr="00670DE3">
        <w:t xml:space="preserve">более 600 </w:t>
      </w:r>
      <w:r>
        <w:t>индикаторов газов</w:t>
      </w:r>
      <w:r w:rsidRPr="00670DE3">
        <w:t xml:space="preserve"> в </w:t>
      </w:r>
      <w:r>
        <w:t>отрасли</w:t>
      </w:r>
      <w:r w:rsidRPr="00670DE3">
        <w:t xml:space="preserve"> не соответствуют стандарту </w:t>
      </w:r>
      <w:r>
        <w:t>EN</w:t>
      </w:r>
      <w:r w:rsidRPr="00670DE3">
        <w:t xml:space="preserve"> 60079-29-1:2016.</w:t>
      </w:r>
    </w:p>
    <w:p w14:paraId="46F61CE3" w14:textId="77777777" w:rsidR="00337DB1" w:rsidRPr="00670DE3" w:rsidRDefault="00337DB1" w:rsidP="00337DB1">
      <w:pPr>
        <w:pStyle w:val="SingleTxtG"/>
      </w:pPr>
      <w:r w:rsidRPr="00670DE3">
        <w:t>8.</w:t>
      </w:r>
      <w:r w:rsidRPr="00670DE3">
        <w:tab/>
        <w:t xml:space="preserve">Кроме того, </w:t>
      </w:r>
      <w:r w:rsidRPr="009D56DC">
        <w:t>ЕСРС/ЕОС</w:t>
      </w:r>
      <w:r w:rsidRPr="00670DE3">
        <w:t xml:space="preserve"> провел</w:t>
      </w:r>
      <w:r>
        <w:t>и</w:t>
      </w:r>
      <w:r w:rsidRPr="00670DE3">
        <w:t xml:space="preserve"> исследование того, как эти изменения в стандартах реализуются на берегу. Такое оборудование </w:t>
      </w:r>
      <w:r>
        <w:t xml:space="preserve">продолжает </w:t>
      </w:r>
      <w:r w:rsidRPr="00670DE3">
        <w:t>соответств</w:t>
      </w:r>
      <w:r>
        <w:t>овать</w:t>
      </w:r>
      <w:r w:rsidRPr="00670DE3">
        <w:t xml:space="preserve"> стандарту, действующему на момент покупки. Кроме того, устройства, которые больше не соответствуют новому стандарту, перестанут продаваться, как только новый стандарт вступит в силу. </w:t>
      </w:r>
      <w:r w:rsidRPr="00722A1E">
        <w:t xml:space="preserve">Настоящий </w:t>
      </w:r>
      <w:r w:rsidRPr="00670DE3">
        <w:t xml:space="preserve">документ </w:t>
      </w:r>
      <w:r>
        <w:t>касается индикаторов газов</w:t>
      </w:r>
      <w:r w:rsidRPr="00670DE3">
        <w:t>, которые в настоящее время эксплуатируются на борту судов внутреннего плавания.</w:t>
      </w:r>
    </w:p>
    <w:p w14:paraId="6ABF079B" w14:textId="60C7A9DB" w:rsidR="00337DB1" w:rsidRPr="00670DE3" w:rsidRDefault="00337DB1" w:rsidP="00337DB1">
      <w:pPr>
        <w:pStyle w:val="SingleTxtG"/>
      </w:pPr>
      <w:r w:rsidRPr="00670DE3">
        <w:t>9.</w:t>
      </w:r>
      <w:r w:rsidRPr="00670DE3">
        <w:tab/>
        <w:t xml:space="preserve">Наконец, само собой разумеется, что все </w:t>
      </w:r>
      <w:bookmarkStart w:id="0" w:name="_Hlk152516746"/>
      <w:r>
        <w:t>индикаторы газов</w:t>
      </w:r>
      <w:r w:rsidRPr="00670DE3">
        <w:t xml:space="preserve"> </w:t>
      </w:r>
      <w:bookmarkEnd w:id="0"/>
      <w:r w:rsidRPr="00670DE3">
        <w:t>подлежат периодической проверке аккредитованными специализированными организациями. В</w:t>
      </w:r>
      <w:r w:rsidR="008852D9">
        <w:rPr>
          <w:lang w:val="en-US"/>
        </w:rPr>
        <w:t> </w:t>
      </w:r>
      <w:r w:rsidRPr="00670DE3">
        <w:t xml:space="preserve">случае </w:t>
      </w:r>
      <w:r>
        <w:t>признания негодным</w:t>
      </w:r>
      <w:r w:rsidRPr="00670DE3">
        <w:t xml:space="preserve"> прибор </w:t>
      </w:r>
      <w:r>
        <w:t xml:space="preserve">изымается </w:t>
      </w:r>
      <w:r w:rsidRPr="00670DE3">
        <w:t xml:space="preserve">из эксплуатации. В таких случаях приобретаются </w:t>
      </w:r>
      <w:r>
        <w:t>индикаторы газов</w:t>
      </w:r>
      <w:r w:rsidRPr="00670DE3">
        <w:t>, соответствующие действующим/применяемым стандартам.</w:t>
      </w:r>
    </w:p>
    <w:p w14:paraId="3D93A8AA" w14:textId="77777777" w:rsidR="00337DB1" w:rsidRDefault="00337DB1" w:rsidP="00337DB1">
      <w:pPr>
        <w:pStyle w:val="HChG"/>
      </w:pPr>
      <w:r w:rsidRPr="00670DE3">
        <w:tab/>
      </w:r>
      <w:r>
        <w:t>I</w:t>
      </w:r>
      <w:r w:rsidRPr="00670DE3">
        <w:t>.</w:t>
      </w:r>
      <w:r w:rsidRPr="00670DE3">
        <w:tab/>
        <w:t xml:space="preserve">Текущий текст </w:t>
      </w:r>
      <w:r w:rsidRPr="0025583D">
        <w:t>ВОПОГ</w:t>
      </w:r>
    </w:p>
    <w:p w14:paraId="64BA560D" w14:textId="77777777" w:rsidR="00337DB1" w:rsidRPr="00670DE3" w:rsidRDefault="00337DB1" w:rsidP="00337DB1">
      <w:pPr>
        <w:pStyle w:val="SingleTxtG"/>
      </w:pPr>
      <w:r w:rsidRPr="00670DE3">
        <w:t>10.</w:t>
      </w:r>
      <w:r>
        <w:tab/>
      </w:r>
      <w:r w:rsidRPr="00670DE3">
        <w:t xml:space="preserve">В действующем </w:t>
      </w:r>
      <w:r>
        <w:t xml:space="preserve">варианте </w:t>
      </w:r>
      <w:r w:rsidRPr="0025583D">
        <w:t>ВОПОГ</w:t>
      </w:r>
      <w:r w:rsidRPr="00670DE3">
        <w:t xml:space="preserve"> 2023 </w:t>
      </w:r>
      <w:r>
        <w:t xml:space="preserve">года </w:t>
      </w:r>
      <w:r w:rsidRPr="00670DE3">
        <w:t>опис</w:t>
      </w:r>
      <w:r>
        <w:t xml:space="preserve">ывается </w:t>
      </w:r>
      <w:r w:rsidRPr="00670DE3">
        <w:t xml:space="preserve">следующее в отношении </w:t>
      </w:r>
      <w:r w:rsidRPr="00D02B41">
        <w:t>индикаторы газов</w:t>
      </w:r>
      <w:r w:rsidRPr="00670DE3">
        <w:t>:</w:t>
      </w:r>
    </w:p>
    <w:p w14:paraId="5B8417D3" w14:textId="77777777" w:rsidR="00337DB1" w:rsidRPr="00670DE3" w:rsidRDefault="00337DB1" w:rsidP="00337DB1">
      <w:pPr>
        <w:pStyle w:val="SingleTxtG"/>
        <w:ind w:left="1701"/>
        <w:rPr>
          <w:b/>
          <w:bCs/>
        </w:rPr>
      </w:pPr>
      <w:r w:rsidRPr="0025583D">
        <w:t>«</w:t>
      </w:r>
      <w:r w:rsidRPr="00670DE3">
        <w:rPr>
          <w:b/>
          <w:bCs/>
        </w:rPr>
        <w:t>1.2.1</w:t>
      </w:r>
      <w:r>
        <w:rPr>
          <w:b/>
          <w:bCs/>
        </w:rPr>
        <w:tab/>
      </w:r>
      <w:r w:rsidRPr="00670DE3">
        <w:rPr>
          <w:b/>
          <w:bCs/>
        </w:rPr>
        <w:t>Определения</w:t>
      </w:r>
    </w:p>
    <w:p w14:paraId="7592D117" w14:textId="4928AA60" w:rsidR="00337DB1" w:rsidRDefault="00337DB1" w:rsidP="00337DB1">
      <w:pPr>
        <w:pStyle w:val="SingleTxtG"/>
        <w:ind w:left="1701"/>
      </w:pPr>
      <w:r w:rsidRPr="00337DB1">
        <w:t>“</w:t>
      </w:r>
      <w:r w:rsidRPr="00102AB3">
        <w:rPr>
          <w:i/>
          <w:iCs/>
        </w:rPr>
        <w:t>Индикатор газов</w:t>
      </w:r>
      <w:r w:rsidRPr="00337DB1">
        <w:t>”</w:t>
      </w:r>
      <w:r>
        <w:t xml:space="preserve"> </w:t>
      </w:r>
      <w:r w:rsidRPr="00E353A3">
        <w:t>означает переносной прибор, позволяющий измерить любую значительную концентрацию воспламеняющихся газов ниже их НПВ и четко указывающий концентрацию таких газов</w:t>
      </w:r>
      <w:r w:rsidRPr="00670DE3">
        <w:t xml:space="preserve">. </w:t>
      </w:r>
      <w:r w:rsidRPr="00E353A3">
        <w:t xml:space="preserve">Индикаторы газов могут быть рассчитаны на измерение </w:t>
      </w:r>
      <w:r>
        <w:t>только воспламеняющихся</w:t>
      </w:r>
      <w:r w:rsidRPr="00E353A3">
        <w:t xml:space="preserve"> газов или на измерение воспламеняющихся газов и кислорода. Этот прибор должен быть сконструирован таким образом, чтобы измерения мо</w:t>
      </w:r>
      <w:r>
        <w:t>гли</w:t>
      </w:r>
      <w:r w:rsidRPr="00E353A3">
        <w:t xml:space="preserve"> производить</w:t>
      </w:r>
      <w:r>
        <w:t>ся</w:t>
      </w:r>
      <w:r w:rsidRPr="00E353A3">
        <w:t xml:space="preserve"> без необходимости </w:t>
      </w:r>
      <w:r>
        <w:t>входа в пространства,</w:t>
      </w:r>
      <w:r w:rsidRPr="00E353A3">
        <w:t xml:space="preserve"> подлежащие проверке.</w:t>
      </w:r>
    </w:p>
    <w:p w14:paraId="1C6C5E96" w14:textId="66CC102C" w:rsidR="00337DB1" w:rsidRPr="00670DE3" w:rsidRDefault="00337DB1" w:rsidP="00337DB1">
      <w:pPr>
        <w:pStyle w:val="SingleTxtG"/>
        <w:ind w:left="1701"/>
      </w:pPr>
      <w:r w:rsidRPr="00307122">
        <w:lastRenderedPageBreak/>
        <w:t>Максимальный уровень обнаружения датчиков должен составлять 5</w:t>
      </w:r>
      <w:r>
        <w:t> </w:t>
      </w:r>
      <w:r w:rsidRPr="00307122">
        <w:t xml:space="preserve">% НПВ наиболее опасного вещества в перечне веществ, допущенных к перевозке судном, в случае танкеров или груза в случае сухогрузных судов. </w:t>
      </w:r>
      <w:bookmarkStart w:id="1" w:name="_Hlk152518196"/>
      <w:r w:rsidRPr="002E5E68">
        <w:t xml:space="preserve">Индикатор воспламеняющихся газов </w:t>
      </w:r>
      <w:bookmarkEnd w:id="1"/>
      <w:r w:rsidRPr="002E5E68">
        <w:t xml:space="preserve">должен подвергаться испытаниям в соответствии со стандартом </w:t>
      </w:r>
      <w:r>
        <w:t>IEC</w:t>
      </w:r>
      <w:r w:rsidRPr="00670DE3">
        <w:t>/</w:t>
      </w:r>
      <w:r>
        <w:t>EN</w:t>
      </w:r>
      <w:r w:rsidRPr="00670DE3">
        <w:rPr>
          <w:vertAlign w:val="superscript"/>
        </w:rPr>
        <w:t>7</w:t>
      </w:r>
      <w:r w:rsidRPr="00670DE3">
        <w:t xml:space="preserve"> 60079-29-1:2016. Если он используется во взрывоопасных зонах, он должен </w:t>
      </w:r>
      <w:r>
        <w:t>отвечать</w:t>
      </w:r>
      <w:r w:rsidRPr="00670DE3">
        <w:t xml:space="preserve"> требованиям </w:t>
      </w:r>
      <w:r>
        <w:t xml:space="preserve">в отношении </w:t>
      </w:r>
      <w:r w:rsidRPr="00670DE3">
        <w:t xml:space="preserve">использования в соответствующей зоне и должны быть представлены доказательства </w:t>
      </w:r>
      <w:r>
        <w:t xml:space="preserve">соблюдения предъявляемых требований </w:t>
      </w:r>
      <w:r w:rsidRPr="00670DE3">
        <w:t xml:space="preserve">(например, процедура оценки соответствия </w:t>
      </w:r>
      <w:r>
        <w:t>согласно д</w:t>
      </w:r>
      <w:r w:rsidRPr="00670DE3">
        <w:t>иректив</w:t>
      </w:r>
      <w:r>
        <w:t>е</w:t>
      </w:r>
      <w:r w:rsidRPr="00670DE3">
        <w:t xml:space="preserve"> 2014/34/</w:t>
      </w:r>
      <w:r>
        <w:t>EU</w:t>
      </w:r>
      <w:r w:rsidRPr="00670DE3">
        <w:rPr>
          <w:vertAlign w:val="superscript"/>
        </w:rPr>
        <w:t>3</w:t>
      </w:r>
      <w:r>
        <w:t>,</w:t>
      </w:r>
      <w:r w:rsidRPr="00670DE3">
        <w:t xml:space="preserve"> </w:t>
      </w:r>
      <w:r>
        <w:t>системе</w:t>
      </w:r>
      <w:r w:rsidRPr="00670DE3">
        <w:t xml:space="preserve"> </w:t>
      </w:r>
      <w:r>
        <w:t>IECEx</w:t>
      </w:r>
      <w:r w:rsidRPr="00670DE3">
        <w:rPr>
          <w:vertAlign w:val="superscript"/>
        </w:rPr>
        <w:t>4</w:t>
      </w:r>
      <w:r>
        <w:t>, документу</w:t>
      </w:r>
      <w:r w:rsidRPr="00670DE3">
        <w:t xml:space="preserve"> </w:t>
      </w:r>
      <w:r>
        <w:t>ECE</w:t>
      </w:r>
      <w:r w:rsidRPr="00670DE3">
        <w:t>/</w:t>
      </w:r>
      <w:r>
        <w:t>TRADE</w:t>
      </w:r>
      <w:r w:rsidRPr="00670DE3">
        <w:t>/391</w:t>
      </w:r>
      <w:r w:rsidRPr="00670DE3">
        <w:rPr>
          <w:vertAlign w:val="superscript"/>
        </w:rPr>
        <w:t>5</w:t>
      </w:r>
      <w:r w:rsidRPr="00670DE3">
        <w:t xml:space="preserve"> или по</w:t>
      </w:r>
      <w:r>
        <w:t xml:space="preserve"> меньшей мере равноценным нормам</w:t>
      </w:r>
      <w:r w:rsidRPr="00670DE3">
        <w:t>)</w:t>
      </w:r>
      <w:r>
        <w:t>»</w:t>
      </w:r>
      <w:r w:rsidRPr="00670DE3">
        <w:t>.</w:t>
      </w:r>
    </w:p>
    <w:p w14:paraId="04756475" w14:textId="77777777" w:rsidR="00337DB1" w:rsidRPr="00670DE3" w:rsidRDefault="00337DB1" w:rsidP="00337DB1">
      <w:pPr>
        <w:pStyle w:val="SingleTxtG"/>
        <w:keepNext/>
        <w:keepLines/>
      </w:pPr>
      <w:r w:rsidRPr="00670DE3">
        <w:t>11.</w:t>
      </w:r>
      <w:r w:rsidRPr="00670DE3">
        <w:tab/>
        <w:t xml:space="preserve">Далее описывается следующее переходное положение, касающееся </w:t>
      </w:r>
      <w:r>
        <w:t>индикатора газов</w:t>
      </w:r>
      <w:r w:rsidRPr="00670DE3">
        <w:t>:</w:t>
      </w:r>
    </w:p>
    <w:p w14:paraId="269B8651" w14:textId="236F7D4A" w:rsidR="00337DB1" w:rsidRPr="00670DE3" w:rsidRDefault="00337DB1" w:rsidP="008852D9">
      <w:pPr>
        <w:spacing w:after="120" w:line="240" w:lineRule="auto"/>
        <w:ind w:left="567" w:firstLine="567"/>
        <w:rPr>
          <w:b/>
          <w:bCs/>
        </w:rPr>
      </w:pPr>
      <w:bookmarkStart w:id="2" w:name="_Hlk107234558"/>
      <w:r w:rsidRPr="0025583D">
        <w:t>«</w:t>
      </w:r>
      <w:r w:rsidRPr="00670DE3">
        <w:rPr>
          <w:b/>
          <w:bCs/>
        </w:rPr>
        <w:t>1.6.7.2.2.2</w:t>
      </w:r>
      <w:r>
        <w:rPr>
          <w:b/>
          <w:bCs/>
        </w:rPr>
        <w:tab/>
      </w:r>
      <w:r w:rsidRPr="00670DE3">
        <w:rPr>
          <w:b/>
          <w:bCs/>
        </w:rPr>
        <w:t>Таблица общих переходных положений</w:t>
      </w:r>
      <w:r w:rsidR="008852D9" w:rsidRPr="008852D9">
        <w:rPr>
          <w:b/>
          <w:bCs/>
        </w:rPr>
        <w:t xml:space="preserve"> </w:t>
      </w:r>
      <w:r>
        <w:rPr>
          <w:b/>
          <w:bCs/>
        </w:rPr>
        <w:t>—</w:t>
      </w:r>
      <w:r w:rsidRPr="00670DE3">
        <w:rPr>
          <w:b/>
          <w:bCs/>
        </w:rPr>
        <w:t xml:space="preserve"> </w:t>
      </w:r>
      <w:r>
        <w:rPr>
          <w:b/>
          <w:bCs/>
        </w:rPr>
        <w:t>т</w:t>
      </w:r>
      <w:r w:rsidRPr="00670DE3">
        <w:rPr>
          <w:b/>
          <w:bCs/>
        </w:rPr>
        <w:t>анк</w:t>
      </w:r>
      <w:r>
        <w:rPr>
          <w:b/>
          <w:bCs/>
        </w:rPr>
        <w:t>еры</w:t>
      </w:r>
    </w:p>
    <w:tbl>
      <w:tblPr>
        <w:tblStyle w:val="ac"/>
        <w:tblW w:w="0" w:type="auto"/>
        <w:tblInd w:w="1129" w:type="dxa"/>
        <w:tblLook w:val="04A0" w:firstRow="1" w:lastRow="0" w:firstColumn="1" w:lastColumn="0" w:noHBand="0" w:noVBand="1"/>
      </w:tblPr>
      <w:tblGrid>
        <w:gridCol w:w="1638"/>
        <w:gridCol w:w="3274"/>
        <w:gridCol w:w="3021"/>
      </w:tblGrid>
      <w:tr w:rsidR="00337DB1" w:rsidRPr="00C211DE" w14:paraId="23CF4D5D" w14:textId="77777777" w:rsidTr="0009291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B958" w14:textId="636435DD" w:rsidR="00337DB1" w:rsidRDefault="00337DB1" w:rsidP="008852D9">
            <w:pPr>
              <w:spacing w:line="240" w:lineRule="auto"/>
            </w:pPr>
            <w:r>
              <w:t>1.2.1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5103" w14:textId="77777777" w:rsidR="00337DB1" w:rsidRPr="00670DE3" w:rsidRDefault="00337DB1" w:rsidP="00220807">
            <w:pPr>
              <w:spacing w:after="120" w:line="240" w:lineRule="auto"/>
            </w:pPr>
            <w:r>
              <w:t>Индикатор газов</w:t>
            </w:r>
          </w:p>
          <w:p w14:paraId="752EDD71" w14:textId="3F35B64F" w:rsidR="00337DB1" w:rsidRPr="00E16CE7" w:rsidRDefault="00337DB1" w:rsidP="00220807">
            <w:pPr>
              <w:spacing w:line="240" w:lineRule="auto"/>
            </w:pPr>
            <w:r w:rsidRPr="00670DE3">
              <w:t xml:space="preserve">Испытание в соответствии </w:t>
            </w:r>
            <w:r w:rsidR="00092917">
              <w:br/>
            </w:r>
            <w:r w:rsidRPr="00670DE3">
              <w:t>с</w:t>
            </w:r>
            <w:r>
              <w:t>о стандартом IEC</w:t>
            </w:r>
            <w:r w:rsidRPr="00E16CE7">
              <w:t xml:space="preserve"> 60079-29-1:2016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33D6" w14:textId="77777777" w:rsidR="00337DB1" w:rsidRPr="00670DE3" w:rsidRDefault="00337DB1" w:rsidP="00220807">
            <w:pPr>
              <w:spacing w:line="240" w:lineRule="auto"/>
            </w:pPr>
            <w:r w:rsidRPr="00670DE3">
              <w:t>Н.</w:t>
            </w:r>
            <w:r>
              <w:t>З</w:t>
            </w:r>
            <w:r w:rsidRPr="00670DE3">
              <w:t>.М. с 1 января 2019 года</w:t>
            </w:r>
          </w:p>
          <w:p w14:paraId="63BB4EEA" w14:textId="4E64019F" w:rsidR="00337DB1" w:rsidRPr="00670DE3" w:rsidRDefault="00337DB1" w:rsidP="00220807">
            <w:pPr>
              <w:spacing w:line="240" w:lineRule="auto"/>
            </w:pPr>
            <w:r>
              <w:t xml:space="preserve">Возобновление свидетельства о допущении </w:t>
            </w:r>
            <w:r w:rsidRPr="00670DE3">
              <w:t>после 31 декабря 2020</w:t>
            </w:r>
            <w:r>
              <w:rPr>
                <w:lang w:val="en-US"/>
              </w:rPr>
              <w:t> </w:t>
            </w:r>
            <w:r w:rsidRPr="00670DE3">
              <w:t>года</w:t>
            </w:r>
          </w:p>
        </w:tc>
      </w:tr>
    </w:tbl>
    <w:p w14:paraId="62D7A0E8" w14:textId="09D26A8E" w:rsidR="00337DB1" w:rsidRPr="00670DE3" w:rsidRDefault="00337DB1" w:rsidP="00337DB1">
      <w:pPr>
        <w:pStyle w:val="SingleTxtG"/>
      </w:pPr>
      <w:bookmarkStart w:id="3" w:name="_Hlk61886046"/>
      <w:bookmarkEnd w:id="2"/>
      <w:r>
        <w:t>»</w:t>
      </w:r>
    </w:p>
    <w:p w14:paraId="0544BFFF" w14:textId="77777777" w:rsidR="00337DB1" w:rsidRPr="00670DE3" w:rsidRDefault="00337DB1" w:rsidP="00337DB1">
      <w:pPr>
        <w:pStyle w:val="HChG"/>
      </w:pPr>
      <w:r w:rsidRPr="00670DE3">
        <w:tab/>
      </w:r>
      <w:r>
        <w:t>II</w:t>
      </w:r>
      <w:r w:rsidRPr="00670DE3">
        <w:t>.</w:t>
      </w:r>
      <w:r w:rsidRPr="00670DE3">
        <w:tab/>
      </w:r>
      <w:r>
        <w:t xml:space="preserve">Предложение для </w:t>
      </w:r>
      <w:r w:rsidRPr="00670DE3">
        <w:t>Комитет</w:t>
      </w:r>
      <w:r>
        <w:t>а</w:t>
      </w:r>
      <w:r w:rsidRPr="00670DE3">
        <w:t xml:space="preserve"> </w:t>
      </w:r>
      <w:r>
        <w:t>по вопросам безопасности</w:t>
      </w:r>
      <w:r w:rsidRPr="00670DE3">
        <w:t xml:space="preserve"> ВО</w:t>
      </w:r>
      <w:r>
        <w:t>ПО</w:t>
      </w:r>
      <w:r w:rsidRPr="00670DE3">
        <w:t>Г</w:t>
      </w:r>
    </w:p>
    <w:bookmarkEnd w:id="3"/>
    <w:p w14:paraId="398659B3" w14:textId="77777777" w:rsidR="00337DB1" w:rsidRPr="00337DB1" w:rsidRDefault="00337DB1" w:rsidP="00337DB1">
      <w:pPr>
        <w:pStyle w:val="SingleTxtG"/>
      </w:pPr>
      <w:r w:rsidRPr="00670DE3">
        <w:t>12.</w:t>
      </w:r>
      <w:r>
        <w:tab/>
      </w:r>
      <w:r w:rsidRPr="00670DE3">
        <w:t xml:space="preserve">В </w:t>
      </w:r>
      <w:r>
        <w:t xml:space="preserve">настоящем </w:t>
      </w:r>
      <w:r w:rsidRPr="00670DE3">
        <w:t>документе рассматривается к</w:t>
      </w:r>
      <w:r w:rsidRPr="00337DB1">
        <w:t>онкретный случай, касающийся индикаторов воспламеняющихся газов. Однако в принципе эта проблема касается и других устройств, если они должны соответствовать определенному стандарту, указанному в ВОПОГ.</w:t>
      </w:r>
    </w:p>
    <w:p w14:paraId="722C0D7A" w14:textId="77777777" w:rsidR="00337DB1" w:rsidRPr="00337DB1" w:rsidRDefault="00337DB1" w:rsidP="00337DB1">
      <w:pPr>
        <w:pStyle w:val="SingleTxtG"/>
      </w:pPr>
      <w:r w:rsidRPr="00337DB1">
        <w:t>13.</w:t>
      </w:r>
      <w:r w:rsidRPr="00337DB1">
        <w:tab/>
        <w:t>Комитету по вопросам безопасности ВОПОГ предлагается рассмотреть вопрос о том, чтобы заявить, что оборудование, допущенное и принятое в соответствии с определенным стандартом при его внедрении на рынок, останется приемлемым до конца своего технического жизненного цикла. Даже в случае появления новых стандартов, которые не устанавливают дополнительных требований (в отношении испытаний).</w:t>
      </w:r>
    </w:p>
    <w:p w14:paraId="1F0DFF47" w14:textId="77777777" w:rsidR="00337DB1" w:rsidRPr="00670DE3" w:rsidRDefault="00337DB1" w:rsidP="00337DB1">
      <w:pPr>
        <w:pStyle w:val="SingleTxtG"/>
      </w:pPr>
      <w:r w:rsidRPr="00337DB1">
        <w:t>14.</w:t>
      </w:r>
      <w:r w:rsidRPr="00337DB1">
        <w:tab/>
        <w:t>На сорок втором заседании Комитета по вопросам безопасности ВОПОГ при обсуждении неофициального документа INF.21, переданного ЕСРС/ЕОС, бельгийское правительство отметило, что в Европейском</w:t>
      </w:r>
      <w:r w:rsidRPr="00670DE3">
        <w:t xml:space="preserve"> стандарте, устанавливающем технические требования </w:t>
      </w:r>
      <w:r>
        <w:t xml:space="preserve">для </w:t>
      </w:r>
      <w:r w:rsidRPr="00670DE3">
        <w:t>суд</w:t>
      </w:r>
      <w:r>
        <w:t>ов</w:t>
      </w:r>
      <w:r w:rsidRPr="00670DE3">
        <w:t xml:space="preserve"> внутреннего плавания (</w:t>
      </w:r>
      <w:r w:rsidRPr="00AD79ED">
        <w:t>ЕС-ТТСВП</w:t>
      </w:r>
      <w:r w:rsidRPr="00670DE3">
        <w:t xml:space="preserve">), во всех случаях, когда </w:t>
      </w:r>
      <w:r>
        <w:t xml:space="preserve">в </w:t>
      </w:r>
      <w:r w:rsidRPr="00670DE3">
        <w:t>требовани</w:t>
      </w:r>
      <w:r>
        <w:t>и</w:t>
      </w:r>
      <w:r w:rsidRPr="00670DE3">
        <w:t xml:space="preserve"> или пункт</w:t>
      </w:r>
      <w:r>
        <w:t>ах содержится</w:t>
      </w:r>
      <w:r w:rsidRPr="00670DE3">
        <w:t xml:space="preserve"> ссыл</w:t>
      </w:r>
      <w:r>
        <w:t>ка</w:t>
      </w:r>
      <w:r w:rsidRPr="00670DE3">
        <w:t xml:space="preserve"> на европейский или международный стандарт, такие </w:t>
      </w:r>
      <w:r w:rsidRPr="00735466">
        <w:t xml:space="preserve">элементы </w:t>
      </w:r>
      <w:r w:rsidRPr="00670DE3">
        <w:t xml:space="preserve">оборудования могут, </w:t>
      </w:r>
      <w:r w:rsidRPr="00735466">
        <w:t xml:space="preserve">после опубликования любого нового издания или пересмотра этого стандарта, по-прежнему эксплуатироваться в течение еще 20 лет </w:t>
      </w:r>
      <w:bookmarkStart w:id="4" w:name="_Hlk152519292"/>
      <w:r w:rsidRPr="00735466">
        <w:t>после опубликования нового издания или пересмотра этого стандарта</w:t>
      </w:r>
      <w:bookmarkEnd w:id="4"/>
      <w:r w:rsidRPr="00670DE3">
        <w:t>.</w:t>
      </w:r>
    </w:p>
    <w:p w14:paraId="7707074E" w14:textId="77777777" w:rsidR="00337DB1" w:rsidRPr="00670DE3" w:rsidRDefault="00337DB1" w:rsidP="00337DB1">
      <w:pPr>
        <w:pStyle w:val="SingleTxtG"/>
      </w:pPr>
      <w:r w:rsidRPr="00670DE3">
        <w:t>15.</w:t>
      </w:r>
      <w:r w:rsidRPr="00670DE3">
        <w:tab/>
        <w:t>Бельгийское правительство внесет на сорок третьей сессии предложение</w:t>
      </w:r>
      <w:r>
        <w:t xml:space="preserve"> о том</w:t>
      </w:r>
      <w:r w:rsidRPr="00670DE3">
        <w:t xml:space="preserve">, </w:t>
      </w:r>
      <w:r>
        <w:t xml:space="preserve">чтобы для </w:t>
      </w:r>
      <w:r w:rsidRPr="00670DE3">
        <w:t>некоторы</w:t>
      </w:r>
      <w:r>
        <w:t>х</w:t>
      </w:r>
      <w:r w:rsidRPr="00670DE3">
        <w:t xml:space="preserve"> </w:t>
      </w:r>
      <w:r w:rsidRPr="00D637DB">
        <w:t>элемент</w:t>
      </w:r>
      <w:r>
        <w:t>ов</w:t>
      </w:r>
      <w:r w:rsidRPr="00D637DB">
        <w:t xml:space="preserve"> </w:t>
      </w:r>
      <w:r w:rsidRPr="00670DE3">
        <w:t>оборудования мо</w:t>
      </w:r>
      <w:r>
        <w:t>г</w:t>
      </w:r>
      <w:r w:rsidRPr="00670DE3">
        <w:t xml:space="preserve"> быть установлен такой же переходный период в ВОПОГ.</w:t>
      </w:r>
    </w:p>
    <w:p w14:paraId="63B0243C" w14:textId="28B2E2DF" w:rsidR="00337DB1" w:rsidRPr="00670DE3" w:rsidRDefault="00337DB1" w:rsidP="00337DB1">
      <w:pPr>
        <w:pStyle w:val="SingleTxtG"/>
      </w:pPr>
      <w:r w:rsidRPr="00670DE3">
        <w:t>16.</w:t>
      </w:r>
      <w:r w:rsidRPr="00670DE3">
        <w:tab/>
        <w:t xml:space="preserve">В случае </w:t>
      </w:r>
      <w:r>
        <w:t xml:space="preserve">его </w:t>
      </w:r>
      <w:r w:rsidRPr="00670DE3">
        <w:t>принятия</w:t>
      </w:r>
      <w:r>
        <w:t xml:space="preserve"> индикаторы воспламеняющихся газов</w:t>
      </w:r>
      <w:r w:rsidRPr="00670DE3">
        <w:t xml:space="preserve"> </w:t>
      </w:r>
      <w:r>
        <w:t xml:space="preserve">продолжат </w:t>
      </w:r>
      <w:r w:rsidRPr="00670DE3">
        <w:t>соответств</w:t>
      </w:r>
      <w:r>
        <w:t>овать</w:t>
      </w:r>
      <w:r w:rsidRPr="00670DE3">
        <w:t xml:space="preserve"> стандарту, действ</w:t>
      </w:r>
      <w:r>
        <w:t>овавшему</w:t>
      </w:r>
      <w:r w:rsidRPr="00670DE3">
        <w:t xml:space="preserve"> на момент покупки, а также в течение </w:t>
      </w:r>
      <w:r>
        <w:t>20</w:t>
      </w:r>
      <w:r w:rsidR="008852D9">
        <w:rPr>
          <w:lang w:val="en-US"/>
        </w:rPr>
        <w:t> </w:t>
      </w:r>
      <w:r w:rsidRPr="00670DE3">
        <w:t xml:space="preserve">лет </w:t>
      </w:r>
      <w:r w:rsidRPr="00437D77">
        <w:t>после опубликования нового издания или пересмотра этого стандарта</w:t>
      </w:r>
      <w:r w:rsidRPr="00670DE3">
        <w:t>.</w:t>
      </w:r>
    </w:p>
    <w:p w14:paraId="776AF706" w14:textId="260CC8A0" w:rsidR="00337DB1" w:rsidRPr="00670DE3" w:rsidRDefault="00337DB1" w:rsidP="00337DB1">
      <w:pPr>
        <w:pStyle w:val="SingleTxtG"/>
      </w:pPr>
      <w:r w:rsidRPr="00670DE3">
        <w:t>17.</w:t>
      </w:r>
      <w:r w:rsidRPr="00670DE3">
        <w:tab/>
        <w:t>Еще одним возможным решением может стать рассмотрение вопроса о продлении срока действия нынешнего переходного положения в соответствии с другими положениями, которые были адаптированы в ходе пересмотра ВОПОГ в 2019</w:t>
      </w:r>
      <w:r>
        <w:rPr>
          <w:lang w:val="en-US"/>
        </w:rPr>
        <w:t> </w:t>
      </w:r>
      <w:r w:rsidRPr="00670DE3">
        <w:t xml:space="preserve">году и касаются взрывобезопасности. Срок действия многих переходных положений истекает при </w:t>
      </w:r>
      <w:r>
        <w:t xml:space="preserve">«возобновлении </w:t>
      </w:r>
      <w:r w:rsidRPr="00670DE3">
        <w:t>свидетельства о</w:t>
      </w:r>
      <w:r>
        <w:t xml:space="preserve"> допущении</w:t>
      </w:r>
      <w:r w:rsidRPr="00670DE3">
        <w:t xml:space="preserve"> после 31 декабря 2034 года</w:t>
      </w:r>
      <w:r>
        <w:t>»</w:t>
      </w:r>
      <w:r w:rsidRPr="00670DE3">
        <w:t>.</w:t>
      </w:r>
    </w:p>
    <w:p w14:paraId="5D938A3A" w14:textId="77777777" w:rsidR="00337DB1" w:rsidRPr="00670DE3" w:rsidRDefault="00337DB1" w:rsidP="00337DB1">
      <w:pPr>
        <w:pStyle w:val="HChG"/>
      </w:pPr>
      <w:r w:rsidRPr="00670DE3">
        <w:lastRenderedPageBreak/>
        <w:tab/>
      </w:r>
      <w:r w:rsidRPr="00531E20">
        <w:t>III</w:t>
      </w:r>
      <w:r w:rsidRPr="00670DE3">
        <w:t>.</w:t>
      </w:r>
      <w:r w:rsidRPr="00670DE3">
        <w:tab/>
        <w:t xml:space="preserve">Предложение </w:t>
      </w:r>
      <w:r w:rsidRPr="00531E20">
        <w:t>I</w:t>
      </w:r>
    </w:p>
    <w:p w14:paraId="002AC664" w14:textId="78DDEB58" w:rsidR="00337DB1" w:rsidRPr="00670DE3" w:rsidRDefault="00337DB1" w:rsidP="00337DB1">
      <w:pPr>
        <w:pStyle w:val="SingleTxtG"/>
      </w:pPr>
      <w:r w:rsidRPr="00670DE3">
        <w:t>18.</w:t>
      </w:r>
      <w:r>
        <w:tab/>
      </w:r>
      <w:r w:rsidRPr="00670DE3">
        <w:t xml:space="preserve">Комитету </w:t>
      </w:r>
      <w:r>
        <w:t>по вопросам безопасности</w:t>
      </w:r>
      <w:r w:rsidRPr="00670DE3">
        <w:t xml:space="preserve"> ВОПОГ предлагается обсудить общий подход к оборудованию</w:t>
      </w:r>
      <w:r>
        <w:t xml:space="preserve">, зависящему от </w:t>
      </w:r>
      <w:r w:rsidRPr="00670DE3">
        <w:t>пересмотр</w:t>
      </w:r>
      <w:r>
        <w:t>а</w:t>
      </w:r>
      <w:r w:rsidRPr="00670DE3">
        <w:t xml:space="preserve"> стандарт</w:t>
      </w:r>
      <w:r>
        <w:t>ов</w:t>
      </w:r>
      <w:r w:rsidRPr="00670DE3">
        <w:t>/норм. Возможный подход упоминается в пункт</w:t>
      </w:r>
      <w:r>
        <w:t>ах</w:t>
      </w:r>
      <w:r w:rsidRPr="00670DE3">
        <w:t xml:space="preserve"> 14</w:t>
      </w:r>
      <w:r w:rsidR="008852D9">
        <w:rPr>
          <w:lang w:val="en-US"/>
        </w:rPr>
        <w:t>–</w:t>
      </w:r>
      <w:r w:rsidRPr="00670DE3">
        <w:t>16 раздел</w:t>
      </w:r>
      <w:r>
        <w:t>а</w:t>
      </w:r>
      <w:r w:rsidRPr="00670DE3">
        <w:t xml:space="preserve"> </w:t>
      </w:r>
      <w:r w:rsidRPr="00531E20">
        <w:t>II</w:t>
      </w:r>
      <w:r w:rsidRPr="00670DE3">
        <w:t xml:space="preserve"> настоящего документа. Если наше предложение, упомянутое в разделе </w:t>
      </w:r>
      <w:r w:rsidRPr="00531E20">
        <w:t>II</w:t>
      </w:r>
      <w:r>
        <w:t>,</w:t>
      </w:r>
      <w:r w:rsidRPr="00670DE3">
        <w:t xml:space="preserve"> выше, будет принято, это автоматически будет означать, что данное оборудование </w:t>
      </w:r>
      <w:r>
        <w:t xml:space="preserve">продолжает </w:t>
      </w:r>
      <w:r w:rsidRPr="00670DE3">
        <w:t>соответств</w:t>
      </w:r>
      <w:r>
        <w:t>овать</w:t>
      </w:r>
      <w:r w:rsidRPr="00670DE3">
        <w:t xml:space="preserve"> стандарту, действ</w:t>
      </w:r>
      <w:r>
        <w:t>овавшему</w:t>
      </w:r>
      <w:r w:rsidRPr="00670DE3">
        <w:t xml:space="preserve"> на момент покупки, а также в течение </w:t>
      </w:r>
      <w:r>
        <w:t>20</w:t>
      </w:r>
      <w:r w:rsidRPr="00670DE3">
        <w:t xml:space="preserve"> лет </w:t>
      </w:r>
      <w:r w:rsidRPr="00437D77">
        <w:t>после опубликования нового издания или пересмотра этого стандарта</w:t>
      </w:r>
      <w:r w:rsidRPr="00670DE3">
        <w:t>.</w:t>
      </w:r>
    </w:p>
    <w:p w14:paraId="04098C59" w14:textId="77777777" w:rsidR="00337DB1" w:rsidRPr="00670DE3" w:rsidRDefault="00337DB1" w:rsidP="00337DB1">
      <w:pPr>
        <w:pStyle w:val="HChG"/>
      </w:pPr>
      <w:r w:rsidRPr="00670DE3">
        <w:tab/>
      </w:r>
      <w:r w:rsidRPr="00531E20">
        <w:t>IV</w:t>
      </w:r>
      <w:r w:rsidRPr="00670DE3">
        <w:t>.</w:t>
      </w:r>
      <w:r w:rsidRPr="00670DE3">
        <w:tab/>
        <w:t xml:space="preserve">Предложение </w:t>
      </w:r>
      <w:r w:rsidRPr="00531E20">
        <w:t>II</w:t>
      </w:r>
    </w:p>
    <w:p w14:paraId="7D59F7A4" w14:textId="77777777" w:rsidR="00337DB1" w:rsidRPr="00670DE3" w:rsidRDefault="00337DB1" w:rsidP="00337DB1">
      <w:pPr>
        <w:pStyle w:val="SingleTxtG"/>
      </w:pPr>
      <w:r w:rsidRPr="00670DE3">
        <w:t>19.</w:t>
      </w:r>
      <w:r w:rsidRPr="00670DE3">
        <w:tab/>
        <w:t>В</w:t>
      </w:r>
      <w:r>
        <w:t xml:space="preserve"> дальнейшем</w:t>
      </w:r>
      <w:r w:rsidRPr="00670DE3">
        <w:t xml:space="preserve">, если общий подход к оборудованию, </w:t>
      </w:r>
      <w:r>
        <w:t xml:space="preserve">зависящему от </w:t>
      </w:r>
      <w:r w:rsidRPr="00670DE3">
        <w:t>пересмотр</w:t>
      </w:r>
      <w:r>
        <w:t>а</w:t>
      </w:r>
      <w:r w:rsidRPr="00670DE3">
        <w:t xml:space="preserve"> стандартов/норм, не будет принят, Комитету </w:t>
      </w:r>
      <w:r>
        <w:t>по вопросам безопасности</w:t>
      </w:r>
      <w:r w:rsidRPr="00670DE3">
        <w:t xml:space="preserve"> ВОПОГ предлагается обсудить вопрос об изменении требования к конкретному стандарту на </w:t>
      </w:r>
      <w:r>
        <w:t>индикатор</w:t>
      </w:r>
      <w:r w:rsidRPr="00670DE3">
        <w:t xml:space="preserve"> </w:t>
      </w:r>
      <w:r w:rsidRPr="00A476D3">
        <w:t xml:space="preserve">воспламеняющихся </w:t>
      </w:r>
      <w:r w:rsidRPr="00670DE3">
        <w:t xml:space="preserve">газов, как указано в пункте 17 раздела </w:t>
      </w:r>
      <w:r w:rsidRPr="00D42DB1">
        <w:t>II</w:t>
      </w:r>
      <w:r w:rsidRPr="00670DE3">
        <w:t xml:space="preserve"> </w:t>
      </w:r>
      <w:r>
        <w:t>настоящего</w:t>
      </w:r>
      <w:r w:rsidRPr="00670DE3">
        <w:t xml:space="preserve"> документа.</w:t>
      </w:r>
    </w:p>
    <w:p w14:paraId="7F7E3776" w14:textId="663A3656" w:rsidR="00337DB1" w:rsidRPr="00670DE3" w:rsidRDefault="00337DB1" w:rsidP="00337DB1">
      <w:pPr>
        <w:pStyle w:val="SingleTxtG"/>
      </w:pPr>
      <w:r w:rsidRPr="00670DE3">
        <w:t>20.</w:t>
      </w:r>
      <w:r w:rsidRPr="00670DE3">
        <w:tab/>
        <w:t xml:space="preserve">Во избежание ненужных инвестиций и образования отходов </w:t>
      </w:r>
      <w:r w:rsidRPr="009D56DC">
        <w:t>ЕСРС/ЕОС</w:t>
      </w:r>
      <w:r w:rsidRPr="00670DE3">
        <w:t xml:space="preserve"> предлагает внести следующую поправку в переходное положение 1.6.7.2.2.2 об определении </w:t>
      </w:r>
      <w:r>
        <w:t>индикатора газов</w:t>
      </w:r>
      <w:r w:rsidRPr="00670DE3">
        <w:t xml:space="preserve"> (следующий текст выделен жирным шрифтом, удаленный текст </w:t>
      </w:r>
      <w:r w:rsidR="008852D9" w:rsidRPr="008852D9">
        <w:t>—</w:t>
      </w:r>
      <w:r w:rsidRPr="00670DE3">
        <w:t xml:space="preserve"> зачеркнутым):</w:t>
      </w:r>
    </w:p>
    <w:p w14:paraId="532E59F1" w14:textId="742D840A" w:rsidR="00337DB1" w:rsidRPr="00670DE3" w:rsidRDefault="00337DB1" w:rsidP="00337DB1">
      <w:pPr>
        <w:pStyle w:val="H23G"/>
      </w:pPr>
      <w:r w:rsidRPr="00670DE3">
        <w:tab/>
      </w:r>
      <w:r w:rsidRPr="00670DE3">
        <w:tab/>
      </w:r>
      <w:r w:rsidR="008852D9">
        <w:rPr>
          <w:b w:val="0"/>
          <w:bCs/>
        </w:rPr>
        <w:t>«</w:t>
      </w:r>
      <w:r w:rsidRPr="00670DE3">
        <w:t>1.6.7.2.2.2 Таблица общих переходных положений: Танковые суда</w:t>
      </w:r>
    </w:p>
    <w:tbl>
      <w:tblPr>
        <w:tblStyle w:val="ac"/>
        <w:tblW w:w="0" w:type="auto"/>
        <w:tblInd w:w="1129" w:type="dxa"/>
        <w:tblLook w:val="04A0" w:firstRow="1" w:lastRow="0" w:firstColumn="1" w:lastColumn="0" w:noHBand="0" w:noVBand="1"/>
      </w:tblPr>
      <w:tblGrid>
        <w:gridCol w:w="1891"/>
        <w:gridCol w:w="3021"/>
        <w:gridCol w:w="3021"/>
      </w:tblGrid>
      <w:tr w:rsidR="00337DB1" w:rsidRPr="00C211DE" w14:paraId="08278D01" w14:textId="77777777" w:rsidTr="00220807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6906" w14:textId="64816A3A" w:rsidR="00337DB1" w:rsidRDefault="00337DB1" w:rsidP="00220807">
            <w:pPr>
              <w:spacing w:line="240" w:lineRule="auto"/>
            </w:pPr>
            <w:r>
              <w:t>1.2.1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D582" w14:textId="77777777" w:rsidR="00337DB1" w:rsidRPr="00670DE3" w:rsidRDefault="00337DB1" w:rsidP="00220807">
            <w:pPr>
              <w:spacing w:after="120" w:line="240" w:lineRule="auto"/>
            </w:pPr>
            <w:r w:rsidRPr="00670DE3">
              <w:t>Детектор газа</w:t>
            </w:r>
          </w:p>
          <w:p w14:paraId="28D26F6F" w14:textId="45FAF959" w:rsidR="00337DB1" w:rsidRDefault="00337DB1" w:rsidP="008852D9">
            <w:pPr>
              <w:spacing w:line="240" w:lineRule="auto"/>
            </w:pPr>
            <w:r w:rsidRPr="00670DE3">
              <w:t xml:space="preserve">Испытание в соответствии </w:t>
            </w:r>
            <w:r w:rsidR="008852D9">
              <w:br/>
            </w:r>
            <w:r w:rsidRPr="00670DE3">
              <w:t>с</w:t>
            </w:r>
            <w:r w:rsidR="008852D9">
              <w:t xml:space="preserve"> </w:t>
            </w:r>
            <w:r>
              <w:t>IEC 60079-29-1:2016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C2BA" w14:textId="77777777" w:rsidR="00337DB1" w:rsidRPr="00670DE3" w:rsidRDefault="00337DB1" w:rsidP="00220807">
            <w:pPr>
              <w:spacing w:line="240" w:lineRule="auto"/>
            </w:pPr>
            <w:r w:rsidRPr="00670DE3">
              <w:t>Н.Р.М. с 1 января 2019 года</w:t>
            </w:r>
          </w:p>
          <w:p w14:paraId="0D802567" w14:textId="09F59D1C" w:rsidR="00337DB1" w:rsidRPr="00670DE3" w:rsidRDefault="00337DB1" w:rsidP="00220807">
            <w:pPr>
              <w:spacing w:line="240" w:lineRule="auto"/>
            </w:pPr>
            <w:r w:rsidRPr="00670DE3">
              <w:t xml:space="preserve">Продление свидетельства об утверждении после 31 декабря </w:t>
            </w:r>
            <w:r w:rsidRPr="00670DE3">
              <w:rPr>
                <w:strike/>
              </w:rPr>
              <w:t>2020</w:t>
            </w:r>
            <w:r w:rsidR="008852D9" w:rsidRPr="00670DE3">
              <w:rPr>
                <w:b/>
                <w:bCs/>
                <w:u w:val="single"/>
              </w:rPr>
              <w:t>2034</w:t>
            </w:r>
            <w:r w:rsidRPr="008852D9">
              <w:t xml:space="preserve"> года</w:t>
            </w:r>
            <w:r w:rsidR="008852D9" w:rsidRPr="008852D9">
              <w:t>»</w:t>
            </w:r>
          </w:p>
        </w:tc>
      </w:tr>
    </w:tbl>
    <w:p w14:paraId="24A4AEBC" w14:textId="77777777" w:rsidR="00337DB1" w:rsidRPr="00670DE3" w:rsidRDefault="00337DB1" w:rsidP="00337DB1">
      <w:pPr>
        <w:pStyle w:val="HChG"/>
        <w:ind w:left="0" w:firstLine="0"/>
      </w:pPr>
      <w:r w:rsidRPr="00670DE3">
        <w:tab/>
      </w:r>
      <w:r w:rsidRPr="00531E20">
        <w:t>V</w:t>
      </w:r>
      <w:r w:rsidRPr="00670DE3">
        <w:t>.</w:t>
      </w:r>
      <w:r>
        <w:tab/>
      </w:r>
      <w:r w:rsidRPr="00670DE3">
        <w:t>Цели устойчивого развития (ЦУР)</w:t>
      </w:r>
    </w:p>
    <w:p w14:paraId="5CD0347E" w14:textId="25F28DE5" w:rsidR="00337DB1" w:rsidRDefault="00337DB1" w:rsidP="00337DB1">
      <w:pPr>
        <w:pStyle w:val="SingleTxtG"/>
      </w:pPr>
      <w:r w:rsidRPr="00670DE3">
        <w:t>21.</w:t>
      </w:r>
      <w:r w:rsidRPr="00670DE3">
        <w:tab/>
        <w:t xml:space="preserve">Если упомянутое переходное положение будет изменено, то будет достигнута следующая Цель устойчивого развития (ЦУР): Цель 12 </w:t>
      </w:r>
      <w:r w:rsidR="00A57321" w:rsidRPr="00A57321">
        <w:t>—</w:t>
      </w:r>
      <w:r w:rsidRPr="00670DE3">
        <w:t xml:space="preserve"> Ответственное потребление и производство.</w:t>
      </w:r>
    </w:p>
    <w:p w14:paraId="75A9E35A" w14:textId="2E98FD8F" w:rsidR="00E12C5F" w:rsidRPr="008852D9" w:rsidRDefault="00337DB1" w:rsidP="008852D9">
      <w:pPr>
        <w:spacing w:before="240"/>
        <w:jc w:val="center"/>
        <w:rPr>
          <w:u w:val="single"/>
        </w:rPr>
      </w:pPr>
      <w:r w:rsidRPr="00670DE3">
        <w:rPr>
          <w:u w:val="single"/>
        </w:rPr>
        <w:tab/>
      </w:r>
      <w:r w:rsidRPr="00670DE3">
        <w:rPr>
          <w:u w:val="single"/>
        </w:rPr>
        <w:tab/>
      </w:r>
      <w:r w:rsidRPr="00670DE3">
        <w:rPr>
          <w:u w:val="single"/>
        </w:rPr>
        <w:tab/>
      </w:r>
    </w:p>
    <w:sectPr w:rsidR="00E12C5F" w:rsidRPr="008852D9" w:rsidSect="00337DB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625D7" w14:textId="77777777" w:rsidR="008B4644" w:rsidRPr="00A312BC" w:rsidRDefault="008B4644" w:rsidP="00A312BC"/>
  </w:endnote>
  <w:endnote w:type="continuationSeparator" w:id="0">
    <w:p w14:paraId="525AFBBA" w14:textId="77777777" w:rsidR="008B4644" w:rsidRPr="00A312BC" w:rsidRDefault="008B464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3979" w14:textId="73FFB135" w:rsidR="00337DB1" w:rsidRPr="00337DB1" w:rsidRDefault="00337DB1">
    <w:pPr>
      <w:pStyle w:val="a8"/>
    </w:pPr>
    <w:r w:rsidRPr="00337DB1">
      <w:rPr>
        <w:b/>
        <w:sz w:val="18"/>
      </w:rPr>
      <w:fldChar w:fldCharType="begin"/>
    </w:r>
    <w:r w:rsidRPr="00337DB1">
      <w:rPr>
        <w:b/>
        <w:sz w:val="18"/>
      </w:rPr>
      <w:instrText xml:space="preserve"> PAGE  \* MERGEFORMAT </w:instrText>
    </w:r>
    <w:r w:rsidRPr="00337DB1">
      <w:rPr>
        <w:b/>
        <w:sz w:val="18"/>
      </w:rPr>
      <w:fldChar w:fldCharType="separate"/>
    </w:r>
    <w:r w:rsidRPr="00337DB1">
      <w:rPr>
        <w:b/>
        <w:noProof/>
        <w:sz w:val="18"/>
      </w:rPr>
      <w:t>2</w:t>
    </w:r>
    <w:r w:rsidRPr="00337DB1">
      <w:rPr>
        <w:b/>
        <w:sz w:val="18"/>
      </w:rPr>
      <w:fldChar w:fldCharType="end"/>
    </w:r>
    <w:r>
      <w:rPr>
        <w:b/>
        <w:sz w:val="18"/>
      </w:rPr>
      <w:tab/>
    </w:r>
    <w:r>
      <w:t>GE.23-21989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6707" w14:textId="2F667FA1" w:rsidR="00337DB1" w:rsidRPr="00337DB1" w:rsidRDefault="00337DB1" w:rsidP="00337DB1">
    <w:pPr>
      <w:pStyle w:val="a8"/>
      <w:tabs>
        <w:tab w:val="clear" w:pos="9639"/>
        <w:tab w:val="right" w:pos="9638"/>
      </w:tabs>
      <w:rPr>
        <w:b/>
        <w:sz w:val="18"/>
      </w:rPr>
    </w:pPr>
    <w:r>
      <w:t>GE.23-21989</w:t>
    </w:r>
    <w:r>
      <w:tab/>
    </w:r>
    <w:r w:rsidRPr="00337DB1">
      <w:rPr>
        <w:b/>
        <w:sz w:val="18"/>
      </w:rPr>
      <w:fldChar w:fldCharType="begin"/>
    </w:r>
    <w:r w:rsidRPr="00337DB1">
      <w:rPr>
        <w:b/>
        <w:sz w:val="18"/>
      </w:rPr>
      <w:instrText xml:space="preserve"> PAGE  \* MERGEFORMAT </w:instrText>
    </w:r>
    <w:r w:rsidRPr="00337DB1">
      <w:rPr>
        <w:b/>
        <w:sz w:val="18"/>
      </w:rPr>
      <w:fldChar w:fldCharType="separate"/>
    </w:r>
    <w:r w:rsidRPr="00337DB1">
      <w:rPr>
        <w:b/>
        <w:noProof/>
        <w:sz w:val="18"/>
      </w:rPr>
      <w:t>3</w:t>
    </w:r>
    <w:r w:rsidRPr="00337DB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7BA3" w14:textId="312748B4" w:rsidR="00042B72" w:rsidRPr="00337DB1" w:rsidRDefault="00337DB1" w:rsidP="00337DB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7156FD0" wp14:editId="64CDA3B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23-21989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3F38491" wp14:editId="2DF0D79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041223  051223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76CE1" w14:textId="77777777" w:rsidR="008B4644" w:rsidRPr="001075E9" w:rsidRDefault="008B464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4623D8B" w14:textId="77777777" w:rsidR="008B4644" w:rsidRDefault="008B464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9AACB9A" w14:textId="77777777" w:rsidR="00337DB1" w:rsidRPr="00A13FFC" w:rsidRDefault="00337DB1" w:rsidP="00337DB1">
      <w:pPr>
        <w:pStyle w:val="ad"/>
      </w:pPr>
      <w:r>
        <w:tab/>
      </w:r>
      <w:r w:rsidRPr="00337DB1">
        <w:rPr>
          <w:rStyle w:val="aa"/>
          <w:sz w:val="20"/>
          <w:vertAlign w:val="baseline"/>
        </w:rPr>
        <w:t>*</w:t>
      </w:r>
      <w:r>
        <w:tab/>
      </w:r>
      <w:r w:rsidRPr="00A13FFC">
        <w:t>Распространено на немецком языке Центральной комиссией судоходства по Рейну под условным обозначением CCNR-ZKR/ADN/WP.15/AC.2/2024/25.</w:t>
      </w:r>
    </w:p>
  </w:footnote>
  <w:footnote w:id="2">
    <w:p w14:paraId="6851ACA2" w14:textId="77777777" w:rsidR="00337DB1" w:rsidRPr="00A13FFC" w:rsidRDefault="00337DB1" w:rsidP="00337DB1">
      <w:pPr>
        <w:pStyle w:val="ad"/>
      </w:pPr>
      <w:r w:rsidRPr="00A47CD7">
        <w:tab/>
      </w:r>
      <w:r w:rsidRPr="00337DB1">
        <w:rPr>
          <w:rStyle w:val="aa"/>
          <w:sz w:val="20"/>
          <w:vertAlign w:val="baseline"/>
        </w:rPr>
        <w:t>**</w:t>
      </w:r>
      <w:r>
        <w:tab/>
      </w:r>
      <w:r w:rsidRPr="00A13FFC">
        <w:t>A/78/6 (разд. 20), таблица 20.5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F6E5" w14:textId="6BD8A273" w:rsidR="00337DB1" w:rsidRPr="00337DB1" w:rsidRDefault="00337DB1">
    <w:pPr>
      <w:pStyle w:val="a5"/>
    </w:pPr>
    <w:fldSimple w:instr=" TITLE  \* MERGEFORMAT ">
      <w:r w:rsidR="002108CB">
        <w:t>ECE/TRANS/WP.15/AC.2/2024/25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DC110" w14:textId="6CF74C0C" w:rsidR="00337DB1" w:rsidRPr="00337DB1" w:rsidRDefault="00337DB1" w:rsidP="00337DB1">
    <w:pPr>
      <w:pStyle w:val="a5"/>
      <w:jc w:val="right"/>
    </w:pPr>
    <w:fldSimple w:instr=" TITLE  \* MERGEFORMAT ">
      <w:r w:rsidR="002108CB">
        <w:t>ECE/TRANS/WP.15/AC.2/2024/25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8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9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7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7"/>
  </w:num>
  <w:num w:numId="20" w16cid:durableId="807743971">
    <w:abstractNumId w:val="13"/>
  </w:num>
  <w:num w:numId="21" w16cid:durableId="1591162185">
    <w:abstractNumId w:val="15"/>
  </w:num>
  <w:num w:numId="22" w16cid:durableId="642319687">
    <w:abstractNumId w:val="16"/>
  </w:num>
  <w:num w:numId="23" w16cid:durableId="7590589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44"/>
    <w:rsid w:val="00033EE1"/>
    <w:rsid w:val="00042B72"/>
    <w:rsid w:val="000558BD"/>
    <w:rsid w:val="00092917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108CB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7DB1"/>
    <w:rsid w:val="003402C2"/>
    <w:rsid w:val="00342B7D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04780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A4FF1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852D9"/>
    <w:rsid w:val="00894693"/>
    <w:rsid w:val="008A08D7"/>
    <w:rsid w:val="008A37C8"/>
    <w:rsid w:val="008B4644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328B6"/>
    <w:rsid w:val="00A57321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F11FB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15C7A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54C7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D3F7B"/>
  <w15:docId w15:val="{7859297C-C641-4946-AF8F-2D8BEC25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337DB1"/>
    <w:rPr>
      <w:lang w:val="ru-RU" w:eastAsia="en-US"/>
    </w:rPr>
  </w:style>
  <w:style w:type="paragraph" w:customStyle="1" w:styleId="ParNoG">
    <w:name w:val="_ParNo_G"/>
    <w:basedOn w:val="a"/>
    <w:qFormat/>
    <w:rsid w:val="00337DB1"/>
    <w:pPr>
      <w:numPr>
        <w:numId w:val="23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Times New Roman" w:cs="Times New Roman"/>
      <w:szCs w:val="20"/>
      <w:lang w:val="en-GB" w:eastAsia="fr-FR"/>
    </w:rPr>
  </w:style>
  <w:style w:type="character" w:customStyle="1" w:styleId="HChGChar">
    <w:name w:val="_ H _Ch_G Char"/>
    <w:link w:val="HChG"/>
    <w:rsid w:val="00337DB1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EF567C-650D-4A2C-9324-29172A56CF0C}"/>
</file>

<file path=customXml/itemProps2.xml><?xml version="1.0" encoding="utf-8"?>
<ds:datastoreItem xmlns:ds="http://schemas.openxmlformats.org/officeDocument/2006/customXml" ds:itemID="{EF57BC52-705C-4028-BF46-2BE2EF2C589C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1146</Words>
  <Characters>8036</Characters>
  <Application>Microsoft Office Word</Application>
  <DocSecurity>0</DocSecurity>
  <Lines>177</Lines>
  <Paragraphs>65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ECE/TRANS/WP.15/AC.2/2024/25</vt:lpstr>
      <vt:lpstr>A/</vt:lpstr>
      <vt:lpstr>A/</vt:lpstr>
    </vt:vector>
  </TitlesOfParts>
  <Company>DCM</Company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ECE/TRANS/WP.15/AC.2/2024/25</dc:title>
  <dc:subject/>
  <dc:creator>Elena IZOTOVA</dc:creator>
  <cp:keywords/>
  <cp:lastModifiedBy>Elena Izotova</cp:lastModifiedBy>
  <cp:revision>3</cp:revision>
  <cp:lastPrinted>2023-12-05T11:09:00Z</cp:lastPrinted>
  <dcterms:created xsi:type="dcterms:W3CDTF">2023-12-05T11:09:00Z</dcterms:created>
  <dcterms:modified xsi:type="dcterms:W3CDTF">2023-12-05T11:10:00Z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