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AFFC42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D6F4D89" w14:textId="77777777" w:rsidR="002D5AAC" w:rsidRDefault="002D5AAC" w:rsidP="006E169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1FE6E8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8E38206" w14:textId="36E866FE" w:rsidR="002D5AAC" w:rsidRDefault="006E1695" w:rsidP="006E1695">
            <w:pPr>
              <w:jc w:val="right"/>
            </w:pPr>
            <w:r w:rsidRPr="006E1695">
              <w:rPr>
                <w:sz w:val="40"/>
              </w:rPr>
              <w:t>ECE</w:t>
            </w:r>
            <w:r>
              <w:t>/TRANS/WP.15/AC.2/2024/19</w:t>
            </w:r>
          </w:p>
        </w:tc>
      </w:tr>
      <w:tr w:rsidR="002D5AAC" w:rsidRPr="00515381" w14:paraId="464A8D8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114A07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0DCDF50" wp14:editId="046FA84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F5D246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06E2315" w14:textId="77777777" w:rsidR="002D5AAC" w:rsidRDefault="006E169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BC7B008" w14:textId="45E9ED1B" w:rsidR="006E1695" w:rsidRPr="00515381" w:rsidRDefault="00515381" w:rsidP="006E1695">
            <w:pPr>
              <w:spacing w:line="240" w:lineRule="exact"/>
            </w:pPr>
            <w:r w:rsidRPr="00515381">
              <w:rPr>
                <w:lang w:val="en-US"/>
              </w:rPr>
              <w:t>9</w:t>
            </w:r>
            <w:r>
              <w:t xml:space="preserve"> </w:t>
            </w:r>
            <w:r>
              <w:rPr>
                <w:lang w:val="fr-CH"/>
              </w:rPr>
              <w:t>November</w:t>
            </w:r>
            <w:r>
              <w:t xml:space="preserve"> 2023</w:t>
            </w:r>
          </w:p>
          <w:p w14:paraId="076A5B7E" w14:textId="77777777" w:rsidR="006E1695" w:rsidRDefault="006E1695" w:rsidP="006E169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34AC3E8" w14:textId="61F68193" w:rsidR="006E1695" w:rsidRPr="008D53B6" w:rsidRDefault="006E1695" w:rsidP="006E169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5250DC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F507DAF" w14:textId="77777777" w:rsidR="006E1695" w:rsidRPr="0038285B" w:rsidRDefault="006E1695" w:rsidP="006E1695">
      <w:pPr>
        <w:spacing w:before="120"/>
        <w:rPr>
          <w:sz w:val="28"/>
          <w:szCs w:val="28"/>
        </w:rPr>
      </w:pPr>
      <w:r w:rsidRPr="0038285B">
        <w:rPr>
          <w:sz w:val="28"/>
          <w:szCs w:val="28"/>
        </w:rPr>
        <w:t>Комитет по внутреннему транспорту</w:t>
      </w:r>
    </w:p>
    <w:p w14:paraId="4DF28BEC" w14:textId="77777777" w:rsidR="006E1695" w:rsidRPr="0038285B" w:rsidRDefault="006E1695" w:rsidP="006E1695">
      <w:pPr>
        <w:spacing w:before="120"/>
        <w:rPr>
          <w:b/>
          <w:sz w:val="24"/>
          <w:szCs w:val="24"/>
        </w:rPr>
      </w:pPr>
      <w:r w:rsidRPr="0038285B">
        <w:rPr>
          <w:b/>
          <w:bCs/>
          <w:sz w:val="24"/>
          <w:szCs w:val="24"/>
        </w:rPr>
        <w:t>Рабочая группа по перевозкам опасных грузов</w:t>
      </w:r>
    </w:p>
    <w:p w14:paraId="6CEEC58E" w14:textId="147AE292" w:rsidR="006E1695" w:rsidRPr="003A06A8" w:rsidRDefault="006E1695" w:rsidP="006E1695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 w:rsidR="0038285B"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 w:rsidR="0038285B"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 w:rsidR="0038285B">
        <w:rPr>
          <w:b/>
          <w:bCs/>
        </w:rPr>
        <w:br/>
      </w:r>
      <w:r>
        <w:rPr>
          <w:b/>
          <w:bCs/>
        </w:rPr>
        <w:t xml:space="preserve">по внутренним водным путям (ВОПОГ) </w:t>
      </w:r>
      <w:r w:rsidR="0038285B"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</w:p>
    <w:p w14:paraId="1F1DDD36" w14:textId="77777777" w:rsidR="006E1695" w:rsidRPr="003A06A8" w:rsidRDefault="006E1695" w:rsidP="006E1695">
      <w:pPr>
        <w:spacing w:before="120"/>
        <w:rPr>
          <w:b/>
        </w:rPr>
      </w:pPr>
      <w:r>
        <w:rPr>
          <w:b/>
          <w:bCs/>
        </w:rPr>
        <w:t>Сорок третья сессия</w:t>
      </w:r>
    </w:p>
    <w:p w14:paraId="57BC2793" w14:textId="289196E2" w:rsidR="006E1695" w:rsidRPr="003A06A8" w:rsidRDefault="006E1695" w:rsidP="006E1695">
      <w:r>
        <w:t>Женева, 22–26 января 2024</w:t>
      </w:r>
      <w:r w:rsidR="0038285B">
        <w:t> год</w:t>
      </w:r>
      <w:r>
        <w:t>а</w:t>
      </w:r>
    </w:p>
    <w:p w14:paraId="68470CC4" w14:textId="77777777" w:rsidR="006E1695" w:rsidRPr="003A06A8" w:rsidRDefault="006E1695" w:rsidP="006E1695">
      <w:r>
        <w:t>Пункт 5 b) предварительной повестки дня</w:t>
      </w:r>
    </w:p>
    <w:p w14:paraId="05D5D4CB" w14:textId="7953799B" w:rsidR="006E1695" w:rsidRPr="003A06A8" w:rsidRDefault="006E1695" w:rsidP="006E1695">
      <w:pPr>
        <w:contextualSpacing/>
        <w:rPr>
          <w:b/>
          <w:bCs/>
        </w:rPr>
      </w:pPr>
      <w:r>
        <w:rPr>
          <w:b/>
          <w:bCs/>
        </w:rPr>
        <w:t xml:space="preserve">Предложения о внесении поправок в Правила, </w:t>
      </w:r>
      <w:r w:rsidR="0038285B">
        <w:rPr>
          <w:b/>
          <w:bCs/>
        </w:rPr>
        <w:br/>
      </w:r>
      <w:r>
        <w:rPr>
          <w:b/>
          <w:bCs/>
        </w:rPr>
        <w:t>прилагаемые к ВОПОГ:</w:t>
      </w:r>
      <w:r w:rsidR="00DD02F0" w:rsidRPr="00DD02F0">
        <w:rPr>
          <w:b/>
          <w:bCs/>
        </w:rPr>
        <w:t xml:space="preserve"> </w:t>
      </w:r>
      <w:r>
        <w:rPr>
          <w:b/>
          <w:bCs/>
        </w:rPr>
        <w:t>другие предложения</w:t>
      </w:r>
    </w:p>
    <w:p w14:paraId="77511A3A" w14:textId="2B5F7194" w:rsidR="006E1695" w:rsidRPr="003A06A8" w:rsidRDefault="006E1695" w:rsidP="006E1695">
      <w:pPr>
        <w:pStyle w:val="HChG"/>
      </w:pPr>
      <w:r>
        <w:tab/>
      </w:r>
      <w:r>
        <w:tab/>
      </w:r>
      <w:r>
        <w:rPr>
          <w:bCs/>
        </w:rPr>
        <w:t>Определение (главного) машинного отделения и</w:t>
      </w:r>
      <w:r w:rsidR="0038285B">
        <w:rPr>
          <w:bCs/>
          <w:lang w:val="fr-CH"/>
        </w:rPr>
        <w:t> </w:t>
      </w:r>
      <w:r>
        <w:rPr>
          <w:bCs/>
        </w:rPr>
        <w:t>котельного отделения</w:t>
      </w:r>
    </w:p>
    <w:p w14:paraId="7D6822E5" w14:textId="77777777" w:rsidR="006E1695" w:rsidRPr="003A06A8" w:rsidRDefault="006E1695" w:rsidP="006E1695">
      <w:pPr>
        <w:pStyle w:val="H1G"/>
      </w:pPr>
      <w:r>
        <w:tab/>
      </w:r>
      <w:r>
        <w:tab/>
      </w:r>
      <w:r>
        <w:rPr>
          <w:bCs/>
        </w:rPr>
        <w:t>Передано неофициальной группой Рекомендованных классификационных обществ ВОПОГ</w:t>
      </w:r>
      <w:r w:rsidRPr="0038285B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>
        <w:rPr>
          <w:sz w:val="20"/>
        </w:rPr>
        <w:t xml:space="preserve"> </w:t>
      </w:r>
      <w:r w:rsidRPr="0038285B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>
        <w:t xml:space="preserve"> </w:t>
      </w:r>
    </w:p>
    <w:p w14:paraId="1F0FA6E6" w14:textId="77777777" w:rsidR="006E1695" w:rsidRPr="00184C88" w:rsidRDefault="006E1695" w:rsidP="006E1695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36829B33" w14:textId="013D6C58" w:rsidR="006E1695" w:rsidRPr="003A06A8" w:rsidRDefault="006E1695" w:rsidP="006E1695">
      <w:pPr>
        <w:pStyle w:val="SingleTxtG"/>
      </w:pPr>
      <w:r>
        <w:t>1.</w:t>
      </w:r>
      <w:r>
        <w:tab/>
        <w:t xml:space="preserve">В документе ECE/TRANS/WP.15/AC.2/2023/22 </w:t>
      </w:r>
      <w:r w:rsidR="00DD02F0" w:rsidRPr="00DD02F0">
        <w:t>—</w:t>
      </w:r>
      <w:r>
        <w:t xml:space="preserve"> </w:t>
      </w:r>
      <w:r w:rsidR="0038285B">
        <w:t>«</w:t>
      </w:r>
      <w:r>
        <w:t>Отчет о работе двадцать третьего совещания Группы Рекомендованных классификационных обществ ВОПОГ</w:t>
      </w:r>
      <w:r w:rsidR="0038285B">
        <w:t>»</w:t>
      </w:r>
      <w:r>
        <w:t xml:space="preserve"> содержится следующее:</w:t>
      </w:r>
    </w:p>
    <w:p w14:paraId="4B88BE9B" w14:textId="3163C7A2" w:rsidR="006E1695" w:rsidRPr="003A06A8" w:rsidRDefault="0038285B" w:rsidP="006E1695">
      <w:pPr>
        <w:pStyle w:val="SingleTxtG"/>
        <w:ind w:left="1701"/>
        <w:rPr>
          <w:color w:val="000000"/>
        </w:rPr>
      </w:pPr>
      <w:r>
        <w:t>«</w:t>
      </w:r>
      <w:r w:rsidR="006E1695">
        <w:t xml:space="preserve">Пункт 5.d) </w:t>
      </w:r>
      <w:r w:rsidR="00DD02F0" w:rsidRPr="00DD02F0">
        <w:t>—</w:t>
      </w:r>
      <w:r w:rsidR="006E1695">
        <w:t xml:space="preserve"> Документ 25.IG.05 — Служебное помещение</w:t>
      </w:r>
    </w:p>
    <w:p w14:paraId="58051A4C" w14:textId="6F220B89" w:rsidR="006E1695" w:rsidRPr="00DD02F0" w:rsidRDefault="006E1695" w:rsidP="006E1695">
      <w:pPr>
        <w:pStyle w:val="SingleTxtG"/>
        <w:ind w:left="1701"/>
        <w:rPr>
          <w:color w:val="000000"/>
        </w:rPr>
      </w:pPr>
      <w:r>
        <w:t xml:space="preserve">...После некоторого обсуждения было решено также подготовить предложение о включении определения термина </w:t>
      </w:r>
      <w:r w:rsidR="0038285B">
        <w:t>«</w:t>
      </w:r>
      <w:r>
        <w:t>Машинное отделение</w:t>
      </w:r>
      <w:r w:rsidR="0038285B">
        <w:t>»</w:t>
      </w:r>
      <w:r>
        <w:t xml:space="preserve"> в ВОПОГ (ответственный участник: BV).</w:t>
      </w:r>
      <w:r w:rsidR="00DD02F0" w:rsidRPr="00DD02F0">
        <w:t>»</w:t>
      </w:r>
    </w:p>
    <w:p w14:paraId="56CEB538" w14:textId="358D095D" w:rsidR="006E1695" w:rsidRPr="003A06A8" w:rsidRDefault="006E1695" w:rsidP="006E1695">
      <w:pPr>
        <w:pStyle w:val="SingleTxtG"/>
      </w:pPr>
      <w:r>
        <w:t>2.</w:t>
      </w:r>
      <w:r>
        <w:tab/>
        <w:t xml:space="preserve">Цель данного документа </w:t>
      </w:r>
      <w:r w:rsidR="000815E0" w:rsidRPr="000815E0">
        <w:t>—</w:t>
      </w:r>
      <w:r>
        <w:t xml:space="preserve"> предложить определение понятия </w:t>
      </w:r>
      <w:r w:rsidR="0038285B">
        <w:t>«</w:t>
      </w:r>
      <w:r>
        <w:t>машинное отделение</w:t>
      </w:r>
      <w:r w:rsidR="0038285B">
        <w:t>»</w:t>
      </w:r>
      <w:r>
        <w:t xml:space="preserve">; кроме того, будут предложены определения </w:t>
      </w:r>
      <w:r w:rsidR="0038285B">
        <w:t>«</w:t>
      </w:r>
      <w:r>
        <w:t>главное машинное отделение</w:t>
      </w:r>
      <w:r w:rsidR="0038285B">
        <w:t>»</w:t>
      </w:r>
      <w:r>
        <w:t xml:space="preserve"> и </w:t>
      </w:r>
      <w:r w:rsidR="0038285B">
        <w:t>«</w:t>
      </w:r>
      <w:r>
        <w:t>котельное отделение</w:t>
      </w:r>
      <w:r w:rsidR="0038285B">
        <w:t>»</w:t>
      </w:r>
      <w:r>
        <w:t xml:space="preserve">. </w:t>
      </w:r>
    </w:p>
    <w:p w14:paraId="530AF67E" w14:textId="77777777" w:rsidR="006E1695" w:rsidRDefault="006E1695" w:rsidP="006E1695">
      <w:pPr>
        <w:pStyle w:val="HChG"/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Машинное отделение</w:t>
      </w:r>
      <w:r>
        <w:t xml:space="preserve"> </w:t>
      </w:r>
    </w:p>
    <w:p w14:paraId="669F0EBF" w14:textId="1883BFF7" w:rsidR="006E1695" w:rsidRPr="003A06A8" w:rsidRDefault="006E1695" w:rsidP="006E1695">
      <w:pPr>
        <w:pStyle w:val="SingleTxtG"/>
      </w:pPr>
      <w:r>
        <w:t>3.</w:t>
      </w:r>
      <w:r>
        <w:tab/>
        <w:t xml:space="preserve">В тексте ВОПОГ на английском языке формулировка </w:t>
      </w:r>
      <w:r w:rsidR="0038285B">
        <w:t>«</w:t>
      </w:r>
      <w:r>
        <w:t>Engine room(s)</w:t>
      </w:r>
      <w:r w:rsidR="0038285B">
        <w:t>»</w:t>
      </w:r>
      <w:r>
        <w:t xml:space="preserve"> (</w:t>
      </w:r>
      <w:r w:rsidR="0038285B">
        <w:t>«</w:t>
      </w:r>
      <w:r>
        <w:t>машинное(ые) отделение(я)) используется 140 раз.</w:t>
      </w:r>
    </w:p>
    <w:p w14:paraId="7F05A075" w14:textId="2EB91551" w:rsidR="006E1695" w:rsidRPr="003A06A8" w:rsidRDefault="006E1695" w:rsidP="006E1695">
      <w:pPr>
        <w:pStyle w:val="SingleTxtG"/>
      </w:pPr>
      <w:r>
        <w:t>4.</w:t>
      </w:r>
      <w:r>
        <w:tab/>
        <w:t xml:space="preserve">В тексте ВОПОГ на французском языке формулировка </w:t>
      </w:r>
      <w:r w:rsidR="0038285B">
        <w:t>«</w:t>
      </w:r>
      <w:r>
        <w:t>Salle(s) de(s) machines</w:t>
      </w:r>
      <w:r w:rsidR="0038285B">
        <w:t>»</w:t>
      </w:r>
      <w:r>
        <w:t xml:space="preserve"> (</w:t>
      </w:r>
      <w:r w:rsidR="0038285B">
        <w:t>«</w:t>
      </w:r>
      <w:r>
        <w:t>машинное(ые) отделение(я)</w:t>
      </w:r>
      <w:r w:rsidR="0038285B">
        <w:t>»</w:t>
      </w:r>
      <w:r>
        <w:t>) используется 136 раз.</w:t>
      </w:r>
    </w:p>
    <w:p w14:paraId="15E99800" w14:textId="08980C17" w:rsidR="006E1695" w:rsidRPr="003A06A8" w:rsidRDefault="006E1695" w:rsidP="006E1695">
      <w:pPr>
        <w:pStyle w:val="SingleTxtG"/>
      </w:pPr>
      <w:r>
        <w:t>5.</w:t>
      </w:r>
      <w:r>
        <w:tab/>
        <w:t xml:space="preserve">Формулировка </w:t>
      </w:r>
      <w:r w:rsidR="0038285B">
        <w:t>«</w:t>
      </w:r>
      <w:r>
        <w:t>Chambre(s) des machines</w:t>
      </w:r>
      <w:r w:rsidR="0038285B">
        <w:t>»</w:t>
      </w:r>
      <w:r>
        <w:t xml:space="preserve"> дважды используется в тексте ВОПОГ на французском языке, в тех местах, где в тексте на английском языке она переводится как </w:t>
      </w:r>
      <w:r w:rsidR="000815E0" w:rsidRPr="000815E0">
        <w:t>«</w:t>
      </w:r>
      <w:r>
        <w:t>engine room(s)</w:t>
      </w:r>
      <w:r w:rsidR="000815E0">
        <w:t xml:space="preserve">» </w:t>
      </w:r>
      <w:r>
        <w:t>(</w:t>
      </w:r>
      <w:r w:rsidR="0038285B">
        <w:t>«</w:t>
      </w:r>
      <w:r>
        <w:t>машинное(ые) отделение(я)</w:t>
      </w:r>
      <w:r w:rsidR="0038285B">
        <w:t>»</w:t>
      </w:r>
      <w:r>
        <w:t>). Было бы лучше использовать одну и ту же формулировку.</w:t>
      </w:r>
    </w:p>
    <w:p w14:paraId="3D78F644" w14:textId="7F5E1695" w:rsidR="006E1695" w:rsidRPr="003A06A8" w:rsidRDefault="006E1695" w:rsidP="006E1695">
      <w:pPr>
        <w:pStyle w:val="SingleTxtG"/>
      </w:pPr>
      <w:r>
        <w:t>6.</w:t>
      </w:r>
      <w:r>
        <w:tab/>
        <w:t xml:space="preserve">В тексте ВОПОГ на немецком языке формулировка </w:t>
      </w:r>
      <w:r w:rsidR="0038285B">
        <w:t>«</w:t>
      </w:r>
      <w:r>
        <w:t>Maschinenraum/</w:t>
      </w:r>
      <w:r w:rsidR="004E104E">
        <w:br/>
      </w:r>
      <w:r>
        <w:t>Maschinenräume</w:t>
      </w:r>
      <w:r w:rsidR="0038285B">
        <w:t>»</w:t>
      </w:r>
      <w:r>
        <w:t xml:space="preserve"> (</w:t>
      </w:r>
      <w:r w:rsidR="0038285B">
        <w:t>«</w:t>
      </w:r>
      <w:r>
        <w:t>машинное отделение/машинные отделения</w:t>
      </w:r>
      <w:r w:rsidR="0038285B">
        <w:t>»</w:t>
      </w:r>
      <w:r>
        <w:t>) используется 134</w:t>
      </w:r>
      <w:r w:rsidR="000C6AD5">
        <w:t> </w:t>
      </w:r>
      <w:r>
        <w:t>раза.</w:t>
      </w:r>
    </w:p>
    <w:p w14:paraId="648C665E" w14:textId="4DE881AF" w:rsidR="006E1695" w:rsidRPr="003A06A8" w:rsidRDefault="006E1695" w:rsidP="006E1695">
      <w:pPr>
        <w:pStyle w:val="SingleTxtG"/>
      </w:pPr>
      <w:r>
        <w:t>7.</w:t>
      </w:r>
      <w:r>
        <w:tab/>
        <w:t xml:space="preserve">Определение </w:t>
      </w:r>
      <w:r w:rsidR="000C6AD5">
        <w:t>«</w:t>
      </w:r>
      <w:r>
        <w:t>engine room</w:t>
      </w:r>
      <w:r w:rsidR="000C6AD5">
        <w:t>»</w:t>
      </w:r>
      <w:r>
        <w:t xml:space="preserve"> (на французском/немецком/русском языках: </w:t>
      </w:r>
      <w:r w:rsidR="0038285B">
        <w:t>«</w:t>
      </w:r>
      <w:r>
        <w:t>salle/chambre de(s) machines</w:t>
      </w:r>
      <w:r w:rsidR="0038285B">
        <w:t>»</w:t>
      </w:r>
      <w:r>
        <w:t>/Maschinenraum/машинное отделение) в ВОПОГ отсутствует.</w:t>
      </w:r>
    </w:p>
    <w:p w14:paraId="794011EA" w14:textId="77777777" w:rsidR="006E1695" w:rsidRPr="003A06A8" w:rsidRDefault="006E1695" w:rsidP="006E1695">
      <w:pPr>
        <w:pStyle w:val="H1G"/>
      </w:pPr>
      <w:r>
        <w:tab/>
      </w:r>
      <w:r>
        <w:tab/>
      </w:r>
      <w:r>
        <w:rPr>
          <w:bCs/>
        </w:rPr>
        <w:t>Предложение</w:t>
      </w:r>
    </w:p>
    <w:p w14:paraId="29FC422F" w14:textId="31DC66B2" w:rsidR="006E1695" w:rsidRPr="003A06A8" w:rsidRDefault="006E1695" w:rsidP="006E1695">
      <w:pPr>
        <w:pStyle w:val="SingleTxtG"/>
      </w:pPr>
      <w:r>
        <w:t>8.</w:t>
      </w:r>
      <w:r>
        <w:tab/>
        <w:t xml:space="preserve">Включить в раздел 1.2.1 определение </w:t>
      </w:r>
      <w:r w:rsidR="0038285B">
        <w:t>«</w:t>
      </w:r>
      <w:r>
        <w:t>машинное отделение</w:t>
      </w:r>
      <w:r w:rsidR="0038285B">
        <w:t>»</w:t>
      </w:r>
      <w:r>
        <w:t xml:space="preserve">, используя то же определение, что и в Европейском стандарте, устанавливающем технические требования для судов внутреннего плавания (ЕС-ТТСВП) (ст. 1.01, п. 3.2)): </w:t>
      </w:r>
    </w:p>
    <w:p w14:paraId="4D83C86F" w14:textId="5B2CD592" w:rsidR="006E1695" w:rsidRPr="003A06A8" w:rsidRDefault="0038285B" w:rsidP="006E1695">
      <w:pPr>
        <w:pStyle w:val="SingleTxtG"/>
      </w:pPr>
      <w:r>
        <w:t>«</w:t>
      </w:r>
      <w:r w:rsidR="002F2830" w:rsidRPr="002F2830">
        <w:t>“</w:t>
      </w:r>
      <w:r w:rsidR="006E1695">
        <w:t>машинное отделение</w:t>
      </w:r>
      <w:r w:rsidR="000C6AD5" w:rsidRPr="000C6AD5">
        <w:t>”</w:t>
      </w:r>
      <w:r w:rsidR="006E1695">
        <w:t xml:space="preserve"> </w:t>
      </w:r>
      <w:r>
        <w:t>—</w:t>
      </w:r>
      <w:r w:rsidR="000C6AD5">
        <w:t xml:space="preserve"> </w:t>
      </w:r>
      <w:r w:rsidR="006E1695">
        <w:t>помещение, в котором установлены двигатели внутреннего сгорания;</w:t>
      </w:r>
      <w:r>
        <w:t>»</w:t>
      </w:r>
      <w:r w:rsidR="006E1695">
        <w:t xml:space="preserve">. </w:t>
      </w:r>
    </w:p>
    <w:p w14:paraId="53AD2F7A" w14:textId="77777777" w:rsidR="006E1695" w:rsidRPr="00343E3C" w:rsidRDefault="006E1695" w:rsidP="00F9349B">
      <w:pPr>
        <w:pStyle w:val="SingleTxtG"/>
        <w:suppressAutoHyphens w:val="0"/>
        <w:rPr>
          <w:color w:val="1F497D" w:themeColor="text2"/>
          <w:lang w:val="en-GB" w:eastAsia="fr-FR"/>
        </w:rPr>
      </w:pPr>
      <w:r w:rsidRPr="00F9349B">
        <w:rPr>
          <w:b/>
          <w:bCs/>
          <w:i/>
          <w:iCs/>
          <w:color w:val="1F497D" w:themeColor="text2"/>
          <w:lang w:val="en-GB" w:eastAsia="fr-FR"/>
        </w:rPr>
        <w:t>Примечание секретариата:</w:t>
      </w:r>
      <w:r w:rsidRPr="00F9349B">
        <w:rPr>
          <w:i/>
          <w:iCs/>
          <w:color w:val="1F497D" w:themeColor="text2"/>
          <w:lang w:val="en-GB" w:eastAsia="fr-FR"/>
        </w:rPr>
        <w:t xml:space="preserve"> </w:t>
      </w:r>
      <w:r w:rsidRPr="00343E3C">
        <w:rPr>
          <w:color w:val="1F497D" w:themeColor="text2"/>
          <w:lang w:val="en-GB" w:eastAsia="fr-FR"/>
        </w:rPr>
        <w:t>Предпочтительно приблизить определение к стилю, используемому в ВОПОГ, т. е.:</w:t>
      </w:r>
    </w:p>
    <w:p w14:paraId="36033D67" w14:textId="1D640206" w:rsidR="006E1695" w:rsidRPr="00E03F7F" w:rsidRDefault="0038285B" w:rsidP="00F9349B">
      <w:pPr>
        <w:pStyle w:val="SingleTxtG"/>
        <w:suppressAutoHyphens w:val="0"/>
        <w:rPr>
          <w:color w:val="1F497D" w:themeColor="text2"/>
          <w:lang w:val="en-GB" w:eastAsia="fr-FR"/>
        </w:rPr>
      </w:pPr>
      <w:r w:rsidRPr="00E03F7F">
        <w:rPr>
          <w:color w:val="1F497D" w:themeColor="text2"/>
          <w:lang w:val="en-GB" w:eastAsia="fr-FR"/>
        </w:rPr>
        <w:t>«</w:t>
      </w:r>
      <w:r w:rsidR="006E1695" w:rsidRPr="00F9349B">
        <w:rPr>
          <w:i/>
          <w:iCs/>
          <w:color w:val="1F497D" w:themeColor="text2"/>
          <w:lang w:val="en-GB" w:eastAsia="fr-FR"/>
        </w:rPr>
        <w:t xml:space="preserve">машинное отделение </w:t>
      </w:r>
      <w:r w:rsidR="006E1695" w:rsidRPr="00E03F7F">
        <w:rPr>
          <w:color w:val="1F497D" w:themeColor="text2"/>
          <w:lang w:val="en-GB" w:eastAsia="fr-FR"/>
        </w:rPr>
        <w:t>означает помещение, в котором установлены двигатели внутреннего сгорания;</w:t>
      </w:r>
      <w:r w:rsidRPr="00E03F7F">
        <w:rPr>
          <w:color w:val="1F497D" w:themeColor="text2"/>
          <w:lang w:val="en-GB" w:eastAsia="fr-FR"/>
        </w:rPr>
        <w:t>»</w:t>
      </w:r>
      <w:r w:rsidR="006E1695" w:rsidRPr="00E03F7F">
        <w:rPr>
          <w:color w:val="1F497D" w:themeColor="text2"/>
          <w:lang w:val="en-GB" w:eastAsia="fr-FR"/>
        </w:rPr>
        <w:t>.</w:t>
      </w:r>
    </w:p>
    <w:p w14:paraId="35576957" w14:textId="77777777" w:rsidR="006E1695" w:rsidRPr="003A06A8" w:rsidRDefault="006E1695" w:rsidP="008F1131">
      <w:pPr>
        <w:pStyle w:val="H1G"/>
      </w:pPr>
      <w:r>
        <w:tab/>
      </w:r>
      <w:r>
        <w:tab/>
        <w:t xml:space="preserve">Примечание </w:t>
      </w:r>
    </w:p>
    <w:p w14:paraId="75710F09" w14:textId="6A5BCE06" w:rsidR="006E1695" w:rsidRPr="003A06A8" w:rsidRDefault="006E1695" w:rsidP="006E1695">
      <w:pPr>
        <w:pStyle w:val="SingleTxtG"/>
      </w:pPr>
      <w:r>
        <w:t>9.</w:t>
      </w:r>
      <w:r>
        <w:tab/>
        <w:t xml:space="preserve">В сноске 4 к пункту 9.3.2.40.2.15/9.3.3.40.2.15 использована формулировка </w:t>
      </w:r>
      <w:r w:rsidR="0038285B">
        <w:t>«</w:t>
      </w:r>
      <w:r>
        <w:t>машинные отделения</w:t>
      </w:r>
      <w:r w:rsidR="0038285B">
        <w:t>»</w:t>
      </w:r>
      <w:r>
        <w:t xml:space="preserve"> (</w:t>
      </w:r>
      <w:r w:rsidR="0038285B">
        <w:t>«</w:t>
      </w:r>
      <w:r>
        <w:t>locaux de machines</w:t>
      </w:r>
      <w:r w:rsidR="0038285B">
        <w:t>»</w:t>
      </w:r>
      <w:r>
        <w:t>):</w:t>
      </w:r>
    </w:p>
    <w:p w14:paraId="0D5AC3B5" w14:textId="19E4E799" w:rsidR="006E1695" w:rsidRPr="003A06A8" w:rsidRDefault="006E1695" w:rsidP="006E1695">
      <w:pPr>
        <w:pStyle w:val="SingleTxtG"/>
        <w:rPr>
          <w:rFonts w:ascii="TimesNewRomanPS-ItalicMT" w:hAnsi="TimesNewRomanPS-ItalicMT" w:cs="TimesNewRomanPS-ItalicMT"/>
          <w:i/>
          <w:iCs/>
        </w:rPr>
      </w:pPr>
      <w:r w:rsidRPr="003A06A8">
        <w:rPr>
          <w:i/>
          <w:iCs/>
          <w:lang w:val="en-US"/>
        </w:rPr>
        <w:t>“International Maritime Organization Circular MSC/Circ.</w:t>
      </w:r>
      <w:r w:rsidRPr="003A06A8">
        <w:rPr>
          <w:lang w:val="en-US"/>
        </w:rPr>
        <w:t xml:space="preserve"> </w:t>
      </w:r>
      <w:r w:rsidRPr="003A06A8">
        <w:rPr>
          <w:i/>
          <w:iCs/>
          <w:lang w:val="en-US"/>
        </w:rPr>
        <w:t xml:space="preserve">1270 and corrigenda — Revised Guidelines for the approval of fixed aerosol fire-extinguishing systems equivalent to fixed gas extinguishing systems, as referred to in SOLAS 1974, for machinery spaces — adopted on 4 June 2008”. </w:t>
      </w:r>
      <w:r>
        <w:rPr>
          <w:i/>
          <w:iCs/>
        </w:rPr>
        <w:t>(</w:t>
      </w:r>
      <w:r w:rsidR="0038285B">
        <w:rPr>
          <w:i/>
          <w:iCs/>
        </w:rPr>
        <w:t>«</w:t>
      </w:r>
      <w:r>
        <w:rPr>
          <w:i/>
          <w:iCs/>
        </w:rPr>
        <w:t xml:space="preserve">Циркулярное письмо Международной морской организации MSC/Circ.1270 и исправления </w:t>
      </w:r>
      <w:r w:rsidR="00662AEE">
        <w:rPr>
          <w:i/>
          <w:iCs/>
        </w:rPr>
        <w:t>—</w:t>
      </w:r>
      <w:r>
        <w:rPr>
          <w:i/>
          <w:iCs/>
        </w:rPr>
        <w:t xml:space="preserve"> Пересмотренные руководящие указания для утверждения предназначенных для машинных отделений стационарных систем аэрозольного пожаротушения, эквивалентных стационарным системам газового пожаротушения, упомянутым в СОЛАС 1974</w:t>
      </w:r>
      <w:r w:rsidR="0038285B">
        <w:rPr>
          <w:i/>
          <w:iCs/>
        </w:rPr>
        <w:t> год</w:t>
      </w:r>
      <w:r>
        <w:rPr>
          <w:i/>
          <w:iCs/>
        </w:rPr>
        <w:t>а, принятые 4 июня 2008</w:t>
      </w:r>
      <w:r w:rsidR="0038285B">
        <w:rPr>
          <w:i/>
          <w:iCs/>
        </w:rPr>
        <w:t> год</w:t>
      </w:r>
      <w:r>
        <w:rPr>
          <w:i/>
          <w:iCs/>
        </w:rPr>
        <w:t>а</w:t>
      </w:r>
      <w:r w:rsidR="0038285B">
        <w:rPr>
          <w:i/>
          <w:iCs/>
        </w:rPr>
        <w:t>»</w:t>
      </w:r>
      <w:r>
        <w:rPr>
          <w:i/>
          <w:iCs/>
        </w:rPr>
        <w:t>).</w:t>
      </w:r>
      <w:r>
        <w:t xml:space="preserve"> </w:t>
      </w:r>
    </w:p>
    <w:p w14:paraId="6E12BEE8" w14:textId="1D45ACE1" w:rsidR="006E1695" w:rsidRPr="003A06A8" w:rsidRDefault="0038285B" w:rsidP="006E1695">
      <w:pPr>
        <w:pStyle w:val="SingleTxtG"/>
        <w:rPr>
          <w:rFonts w:ascii="TimesNewRomanPS-ItalicMT" w:hAnsi="TimesNewRomanPS-ItalicMT" w:cs="TimesNewRomanPS-ItalicMT"/>
          <w:i/>
          <w:iCs/>
          <w:lang w:val="fr-CH"/>
        </w:rPr>
      </w:pPr>
      <w:r>
        <w:rPr>
          <w:i/>
          <w:iCs/>
          <w:lang w:val="fr-CH"/>
        </w:rPr>
        <w:t>«</w:t>
      </w:r>
      <w:r w:rsidR="006E1695" w:rsidRPr="003A06A8">
        <w:rPr>
          <w:i/>
          <w:iCs/>
          <w:lang w:val="fr-CH"/>
        </w:rPr>
        <w:t>Circulaire MSC/Circ.</w:t>
      </w:r>
      <w:r w:rsidR="006E1695" w:rsidRPr="003A06A8">
        <w:rPr>
          <w:lang w:val="fr-CH"/>
        </w:rPr>
        <w:t xml:space="preserve"> </w:t>
      </w:r>
      <w:r w:rsidR="006E1695" w:rsidRPr="003A06A8">
        <w:rPr>
          <w:i/>
          <w:iCs/>
          <w:lang w:val="fr-CH"/>
        </w:rPr>
        <w:t>1270 et rectificatifs de l’Organisation maritime internationale − Directives révisées pour l’approbation des dispositifs fixes d’extinction de l’incendie à aérosol équivalant aux dispositifs fixes d’extinction de l’incendie par le gaz, visés par la convention SOLAS de 1974, qui sont destinés aux locaux de machines −adoptée le 4 juin 2008</w:t>
      </w:r>
      <w:r>
        <w:rPr>
          <w:i/>
          <w:iCs/>
          <w:lang w:val="fr-CH"/>
        </w:rPr>
        <w:t>»</w:t>
      </w:r>
      <w:r w:rsidR="006E1695" w:rsidRPr="003A06A8">
        <w:rPr>
          <w:i/>
          <w:iCs/>
          <w:lang w:val="fr-CH"/>
        </w:rPr>
        <w:t>.</w:t>
      </w:r>
      <w:r w:rsidR="006E1695" w:rsidRPr="003A06A8">
        <w:rPr>
          <w:lang w:val="fr-CH"/>
        </w:rPr>
        <w:t xml:space="preserve"> </w:t>
      </w:r>
    </w:p>
    <w:p w14:paraId="6032C769" w14:textId="77777777" w:rsidR="006E1695" w:rsidRPr="003A06A8" w:rsidRDefault="006E1695" w:rsidP="006E1695">
      <w:pPr>
        <w:pStyle w:val="SingleTxtG"/>
      </w:pPr>
      <w:r>
        <w:t>10.</w:t>
      </w:r>
      <w:r>
        <w:tab/>
        <w:t xml:space="preserve">Эта формулировка не может быть изменена, поскольку является названием официального циркулярного </w:t>
      </w:r>
      <w:r w:rsidRPr="007E4259">
        <w:t>письм</w:t>
      </w:r>
      <w:r>
        <w:t>а</w:t>
      </w:r>
      <w:r w:rsidRPr="007E4259">
        <w:t xml:space="preserve"> </w:t>
      </w:r>
      <w:r>
        <w:t>Международной морской организации (ИМО).</w:t>
      </w:r>
    </w:p>
    <w:p w14:paraId="1718EE2C" w14:textId="77777777" w:rsidR="006E1695" w:rsidRPr="00A3409E" w:rsidRDefault="006E1695" w:rsidP="006E1695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Главное машинное отделение</w:t>
      </w:r>
      <w:r>
        <w:t xml:space="preserve"> </w:t>
      </w:r>
    </w:p>
    <w:p w14:paraId="3275DE75" w14:textId="7BA9A861" w:rsidR="006E1695" w:rsidRPr="003A06A8" w:rsidRDefault="006E1695" w:rsidP="006E1695">
      <w:pPr>
        <w:pStyle w:val="SingleTxtG"/>
      </w:pPr>
      <w:r>
        <w:t>11.</w:t>
      </w:r>
      <w:r>
        <w:tab/>
        <w:t xml:space="preserve">В тексте ВОПОГ на английском языке формулировка </w:t>
      </w:r>
      <w:r w:rsidR="0038285B">
        <w:t>«</w:t>
      </w:r>
      <w:r>
        <w:t>Main engine room(s)</w:t>
      </w:r>
      <w:r w:rsidR="0038285B">
        <w:t>»</w:t>
      </w:r>
      <w:r>
        <w:t xml:space="preserve"> (</w:t>
      </w:r>
      <w:r w:rsidR="0038285B">
        <w:t>«</w:t>
      </w:r>
      <w:r>
        <w:t>главное(ые) машинное(ые) отделение(я)</w:t>
      </w:r>
      <w:r w:rsidR="0038285B">
        <w:t>»</w:t>
      </w:r>
      <w:r>
        <w:t>) используется 17 раз.</w:t>
      </w:r>
    </w:p>
    <w:p w14:paraId="6EE40B7D" w14:textId="51A3D8D4" w:rsidR="006E1695" w:rsidRDefault="006E1695" w:rsidP="006E1695">
      <w:pPr>
        <w:pStyle w:val="SingleTxtG"/>
      </w:pPr>
      <w:r>
        <w:t>12.</w:t>
      </w:r>
      <w:r>
        <w:tab/>
        <w:t xml:space="preserve">В тексте ВОПОГ на французском языке формулировка </w:t>
      </w:r>
      <w:r w:rsidR="0038285B">
        <w:t>«</w:t>
      </w:r>
      <w:r>
        <w:t>Salle(s) de(s) machines principale(s)</w:t>
      </w:r>
      <w:r w:rsidR="0038285B">
        <w:t>»</w:t>
      </w:r>
      <w:r>
        <w:t xml:space="preserve"> (</w:t>
      </w:r>
      <w:r w:rsidR="0038285B">
        <w:t>«</w:t>
      </w:r>
      <w:r>
        <w:t>главное(ые) машинное(ые) отделение(я)</w:t>
      </w:r>
      <w:r w:rsidR="0038285B">
        <w:t>»</w:t>
      </w:r>
      <w:r>
        <w:t xml:space="preserve">) используется 17 раз. </w:t>
      </w:r>
      <w:r w:rsidRPr="00057006">
        <w:t>Было бы лучше использовать одну и ту же формулировку</w:t>
      </w:r>
      <w:r>
        <w:t>.</w:t>
      </w:r>
    </w:p>
    <w:p w14:paraId="3D99A436" w14:textId="54B17156" w:rsidR="006E1695" w:rsidRPr="003A06A8" w:rsidRDefault="006E1695" w:rsidP="006E1695">
      <w:pPr>
        <w:pStyle w:val="SingleTxtG"/>
      </w:pPr>
      <w:r>
        <w:t>13.</w:t>
      </w:r>
      <w:r>
        <w:tab/>
        <w:t xml:space="preserve">В тексте ВОПОГ на немецком языке формулировка </w:t>
      </w:r>
      <w:r w:rsidR="0038285B">
        <w:t>«</w:t>
      </w:r>
      <w:r>
        <w:t>Hauptmaschinenraum/</w:t>
      </w:r>
      <w:r w:rsidR="00A70A7F">
        <w:br/>
      </w:r>
      <w:r>
        <w:t>Hauptmaschinenräume</w:t>
      </w:r>
      <w:r w:rsidR="0038285B">
        <w:t>»</w:t>
      </w:r>
      <w:r>
        <w:t xml:space="preserve"> (</w:t>
      </w:r>
      <w:r w:rsidR="0038285B">
        <w:t>«</w:t>
      </w:r>
      <w:r>
        <w:t>главное машинное отделение/главные машинные отделения</w:t>
      </w:r>
      <w:r w:rsidR="0038285B">
        <w:t>»</w:t>
      </w:r>
      <w:r>
        <w:t>) используется 17 раз.</w:t>
      </w:r>
    </w:p>
    <w:p w14:paraId="4A3D7160" w14:textId="6D01FD87" w:rsidR="006E1695" w:rsidRPr="003A06A8" w:rsidRDefault="006E1695" w:rsidP="006E1695">
      <w:pPr>
        <w:pStyle w:val="SingleTxtG"/>
      </w:pPr>
      <w:r>
        <w:t>14.</w:t>
      </w:r>
      <w:r>
        <w:tab/>
        <w:t xml:space="preserve">Определение </w:t>
      </w:r>
      <w:r w:rsidR="00B6264A">
        <w:t>«</w:t>
      </w:r>
      <w:r>
        <w:t>main engine room</w:t>
      </w:r>
      <w:r w:rsidR="00B6264A">
        <w:t>»</w:t>
      </w:r>
      <w:r>
        <w:t xml:space="preserve"> </w:t>
      </w:r>
      <w:r w:rsidRPr="00B6264A">
        <w:rPr>
          <w:i/>
          <w:iCs/>
        </w:rPr>
        <w:t>(</w:t>
      </w:r>
      <w:r w:rsidR="0038285B" w:rsidRPr="00B6264A">
        <w:rPr>
          <w:i/>
          <w:iCs/>
        </w:rPr>
        <w:t>«</w:t>
      </w:r>
      <w:r w:rsidRPr="00B6264A">
        <w:rPr>
          <w:i/>
          <w:iCs/>
        </w:rPr>
        <w:t>salle/chambre de(s) machines principales/</w:t>
      </w:r>
      <w:r w:rsidR="00B6264A" w:rsidRPr="00B6264A">
        <w:rPr>
          <w:i/>
          <w:iCs/>
        </w:rPr>
        <w:br/>
      </w:r>
      <w:r w:rsidRPr="00B6264A">
        <w:rPr>
          <w:i/>
          <w:iCs/>
        </w:rPr>
        <w:t>Hauptmaschinenraum/главное машинное отделение</w:t>
      </w:r>
      <w:r w:rsidR="0038285B" w:rsidRPr="00B6264A">
        <w:rPr>
          <w:i/>
          <w:iCs/>
        </w:rPr>
        <w:t>»</w:t>
      </w:r>
      <w:r w:rsidRPr="00B6264A">
        <w:rPr>
          <w:i/>
          <w:iCs/>
        </w:rPr>
        <w:t>)</w:t>
      </w:r>
      <w:r>
        <w:t xml:space="preserve"> в ВОПОГ отсутствует.</w:t>
      </w:r>
    </w:p>
    <w:p w14:paraId="32334DD6" w14:textId="77777777" w:rsidR="006E1695" w:rsidRPr="003A06A8" w:rsidRDefault="006E1695" w:rsidP="006E1695">
      <w:pPr>
        <w:pStyle w:val="H1G"/>
      </w:pPr>
      <w:r>
        <w:tab/>
      </w:r>
      <w:r>
        <w:tab/>
      </w:r>
      <w:r>
        <w:rPr>
          <w:bCs/>
        </w:rPr>
        <w:t>Предложение</w:t>
      </w:r>
    </w:p>
    <w:p w14:paraId="753DDC09" w14:textId="741D852F" w:rsidR="006E1695" w:rsidRPr="003A06A8" w:rsidRDefault="006E1695" w:rsidP="006E1695">
      <w:pPr>
        <w:pStyle w:val="SingleTxtG"/>
      </w:pPr>
      <w:r>
        <w:t>15.</w:t>
      </w:r>
      <w:r>
        <w:tab/>
        <w:t xml:space="preserve">Включить в раздел 1.2.1 определение </w:t>
      </w:r>
      <w:r w:rsidR="0038285B">
        <w:t>«</w:t>
      </w:r>
      <w:r>
        <w:t>главное машинное отделение</w:t>
      </w:r>
      <w:r w:rsidR="0038285B">
        <w:t>»</w:t>
      </w:r>
      <w:r>
        <w:t xml:space="preserve">, используя то же определение, что и в ЕС-ТТСВП (ст. 1.01, п. 3.1)): </w:t>
      </w:r>
    </w:p>
    <w:p w14:paraId="612F488B" w14:textId="5DF8282C" w:rsidR="006E1695" w:rsidRPr="003A06A8" w:rsidRDefault="0038285B" w:rsidP="006E1695">
      <w:pPr>
        <w:pStyle w:val="SingleTxtG"/>
      </w:pPr>
      <w:r>
        <w:t>«</w:t>
      </w:r>
      <w:r w:rsidR="00717DBD" w:rsidRPr="00717DBD">
        <w:t>“</w:t>
      </w:r>
      <w:r w:rsidR="006E1695">
        <w:t>главное машинное отделение</w:t>
      </w:r>
      <w:r w:rsidR="00A77EE9" w:rsidRPr="00A77EE9">
        <w:t>”</w:t>
      </w:r>
      <w:r w:rsidR="00A77EE9">
        <w:t xml:space="preserve"> —</w:t>
      </w:r>
      <w:r w:rsidR="006E1695">
        <w:t xml:space="preserve"> помещение, в котором установлены главные двигатели внутреннего сгорания;</w:t>
      </w:r>
      <w:r>
        <w:t>»</w:t>
      </w:r>
      <w:r w:rsidR="006E1695">
        <w:t>.</w:t>
      </w:r>
    </w:p>
    <w:p w14:paraId="6DFEDF53" w14:textId="77777777" w:rsidR="006E1695" w:rsidRPr="003A06A8" w:rsidRDefault="006E1695" w:rsidP="006E1695">
      <w:pPr>
        <w:pStyle w:val="HChG"/>
      </w:pPr>
      <w:r>
        <w:rPr>
          <w:bCs/>
        </w:rPr>
        <w:tab/>
        <w:t>III.</w:t>
      </w:r>
      <w:r>
        <w:tab/>
        <w:t xml:space="preserve">Котельное отделение </w:t>
      </w:r>
    </w:p>
    <w:p w14:paraId="65CA6365" w14:textId="142A0597" w:rsidR="006E1695" w:rsidRPr="003A06A8" w:rsidRDefault="006E1695" w:rsidP="006E1695">
      <w:pPr>
        <w:pStyle w:val="SingleTxtG"/>
      </w:pPr>
      <w:r>
        <w:t>16.</w:t>
      </w:r>
      <w:r>
        <w:tab/>
        <w:t>В тексте ВОПОГ на английском языке формулировка “Boiler room(s)” (</w:t>
      </w:r>
      <w:r w:rsidR="0038285B">
        <w:t>«</w:t>
      </w:r>
      <w:r>
        <w:t>котельное(ые) отделение(я)</w:t>
      </w:r>
      <w:r w:rsidR="0038285B">
        <w:t>»</w:t>
      </w:r>
      <w:r>
        <w:t>) используется четыре раза.</w:t>
      </w:r>
    </w:p>
    <w:p w14:paraId="2053F76E" w14:textId="1D167FAF" w:rsidR="006E1695" w:rsidRPr="003A06A8" w:rsidRDefault="006E1695" w:rsidP="006E1695">
      <w:pPr>
        <w:pStyle w:val="SingleTxtG"/>
      </w:pPr>
      <w:r>
        <w:t>17.</w:t>
      </w:r>
      <w:r>
        <w:tab/>
        <w:t>В тексте ВОПОГ на французском языке формулировка “Salle(s) de chauffe” (</w:t>
      </w:r>
      <w:r w:rsidR="0038285B">
        <w:t>«</w:t>
      </w:r>
      <w:r>
        <w:t>котельное(ые) отделение(я)</w:t>
      </w:r>
      <w:r w:rsidR="0038285B">
        <w:t>»</w:t>
      </w:r>
      <w:r>
        <w:t>) используется четыре раза.</w:t>
      </w:r>
    </w:p>
    <w:p w14:paraId="5047F35A" w14:textId="77777777" w:rsidR="006E1695" w:rsidRPr="003A06A8" w:rsidRDefault="006E1695" w:rsidP="00E176A0">
      <w:pPr>
        <w:pStyle w:val="SingleTxtG"/>
      </w:pPr>
      <w:r>
        <w:t>18.</w:t>
      </w:r>
      <w:r>
        <w:tab/>
        <w:t xml:space="preserve">Пункты 9.1.0.40.2.1; 9.3.1.40.2.1; 9.3.2.40.2.1; и 9.3.3.40.2.1 читать следующим образом: </w:t>
      </w:r>
    </w:p>
    <w:p w14:paraId="734FACF7" w14:textId="3D90F358" w:rsidR="006E1695" w:rsidRPr="003A06A8" w:rsidRDefault="00E176A0" w:rsidP="006E1695">
      <w:pPr>
        <w:pStyle w:val="SingleTxtG"/>
        <w:ind w:left="1666" w:firstLine="14"/>
      </w:pPr>
      <w:r w:rsidRPr="00E176A0">
        <w:rPr>
          <w:lang w:val="en-US"/>
        </w:rPr>
        <w:t>«</w:t>
      </w:r>
      <w:r w:rsidR="006E1695" w:rsidRPr="00E176A0">
        <w:rPr>
          <w:lang w:val="en-US"/>
        </w:rPr>
        <w:t>For the protection of spaces in engine rooms, boiler rooms and pump rooms, only permanently fixed fire-extinguishing systems using the following extinguishing agents are permitted: …</w:t>
      </w:r>
      <w:r w:rsidRPr="00E176A0">
        <w:rPr>
          <w:lang w:val="en-US"/>
        </w:rPr>
        <w:t xml:space="preserve">» </w:t>
      </w:r>
      <w:r w:rsidR="006E1695">
        <w:t>(</w:t>
      </w:r>
      <w:r w:rsidR="0038285B">
        <w:t>«</w:t>
      </w:r>
      <w:r w:rsidR="006E1695">
        <w:t>Для обеспечения защиты помещений в машинных отделениях, котельных и насосных отделениях допускаются только те стационарные системы пожаротушения, в которых используются следующие огнетушащие составы: ...</w:t>
      </w:r>
      <w:r w:rsidR="0038285B">
        <w:t>»</w:t>
      </w:r>
      <w:r w:rsidR="006E1695">
        <w:t>).</w:t>
      </w:r>
    </w:p>
    <w:p w14:paraId="52AB87CD" w14:textId="6C529683" w:rsidR="006E1695" w:rsidRPr="003D52F0" w:rsidRDefault="0038285B" w:rsidP="006E1695">
      <w:pPr>
        <w:pStyle w:val="SingleTxtG"/>
        <w:ind w:left="1666" w:firstLine="14"/>
        <w:rPr>
          <w:lang w:val="fr-CH"/>
        </w:rPr>
      </w:pPr>
      <w:r>
        <w:rPr>
          <w:lang w:val="fr-CH"/>
        </w:rPr>
        <w:t>«</w:t>
      </w:r>
      <w:r w:rsidR="006E1695" w:rsidRPr="003A06A8">
        <w:rPr>
          <w:lang w:val="fr-CH"/>
        </w:rPr>
        <w:t>Pour la protection du local dans les salles des machines, salles de chauffe et salles des pompes, seules sont admises les installations d'extinction d'incendie fixées à demeure utilisant les agents extincteurs suivants: ...</w:t>
      </w:r>
      <w:r w:rsidR="003D52F0" w:rsidRPr="003D52F0">
        <w:rPr>
          <w:lang w:val="fr-CH"/>
        </w:rPr>
        <w:t>»</w:t>
      </w:r>
    </w:p>
    <w:p w14:paraId="198597EB" w14:textId="40E0519F" w:rsidR="006E1695" w:rsidRPr="003A06A8" w:rsidRDefault="006E1695" w:rsidP="006E1695">
      <w:pPr>
        <w:pStyle w:val="SingleTxtG"/>
      </w:pPr>
      <w:r>
        <w:t>19.</w:t>
      </w:r>
      <w:r>
        <w:tab/>
        <w:t xml:space="preserve">В тексте ВОПОГ на немецком языке формулировка </w:t>
      </w:r>
      <w:r w:rsidR="0038285B">
        <w:t>«</w:t>
      </w:r>
      <w:r>
        <w:t>Kesselraum</w:t>
      </w:r>
      <w:r w:rsidR="0038285B">
        <w:t>»</w:t>
      </w:r>
      <w:r>
        <w:t xml:space="preserve"> употребляется четыре раза.</w:t>
      </w:r>
    </w:p>
    <w:p w14:paraId="3521E10C" w14:textId="3794C0B8" w:rsidR="006E1695" w:rsidRPr="003A06A8" w:rsidRDefault="006E1695" w:rsidP="006E1695">
      <w:pPr>
        <w:pStyle w:val="SingleTxtG"/>
      </w:pPr>
      <w:r>
        <w:t>20.</w:t>
      </w:r>
      <w:r>
        <w:tab/>
        <w:t xml:space="preserve">В ВОПОГ отсутствует определение </w:t>
      </w:r>
      <w:r w:rsidR="0038285B">
        <w:t>«</w:t>
      </w:r>
      <w:r>
        <w:t>котельное(ые) отделение(я)</w:t>
      </w:r>
      <w:r w:rsidR="0038285B">
        <w:t>»</w:t>
      </w:r>
      <w:r>
        <w:t>. Вместе с тем в ЕС-ТТСВП таковое имеется.</w:t>
      </w:r>
    </w:p>
    <w:p w14:paraId="6FC3588E" w14:textId="77777777" w:rsidR="006E1695" w:rsidRPr="003A06A8" w:rsidRDefault="006E1695" w:rsidP="006E1695">
      <w:pPr>
        <w:pStyle w:val="SingleTxtG"/>
      </w:pPr>
      <w:r>
        <w:t>21.</w:t>
      </w:r>
      <w:r>
        <w:tab/>
        <w:t>В тексте ЕС-ТТСВП на французском языке присутствуют две разные формулировки:</w:t>
      </w:r>
    </w:p>
    <w:p w14:paraId="34293F91" w14:textId="11911823" w:rsidR="006E1695" w:rsidRPr="003A06A8" w:rsidRDefault="00CB60AA" w:rsidP="006E1695">
      <w:pPr>
        <w:pStyle w:val="Bullet1G"/>
        <w:numPr>
          <w:ilvl w:val="0"/>
          <w:numId w:val="22"/>
        </w:numPr>
        <w:suppressAutoHyphens w:val="0"/>
      </w:pPr>
      <w:r>
        <w:t>«</w:t>
      </w:r>
      <w:r w:rsidR="006E1695">
        <w:t>salle des chaudières</w:t>
      </w:r>
      <w:r w:rsidR="00673F47">
        <w:t>»</w:t>
      </w:r>
      <w:r w:rsidR="006E1695">
        <w:t xml:space="preserve"> (для которого существует определение);</w:t>
      </w:r>
      <w:r w:rsidR="007756D3">
        <w:t xml:space="preserve"> и</w:t>
      </w:r>
    </w:p>
    <w:p w14:paraId="2D785A72" w14:textId="5D071923" w:rsidR="006E1695" w:rsidRPr="003A06A8" w:rsidRDefault="00673F47" w:rsidP="006E1695">
      <w:pPr>
        <w:pStyle w:val="Bullet1G"/>
        <w:numPr>
          <w:ilvl w:val="0"/>
          <w:numId w:val="22"/>
        </w:numPr>
        <w:suppressAutoHyphens w:val="0"/>
      </w:pPr>
      <w:r>
        <w:t>«</w:t>
      </w:r>
      <w:r w:rsidR="006E1695">
        <w:t>salle de chauffe</w:t>
      </w:r>
      <w:r>
        <w:t>»</w:t>
      </w:r>
      <w:r w:rsidR="006E1695">
        <w:t xml:space="preserve"> (без определения), которое на английский язык переведен</w:t>
      </w:r>
      <w:r w:rsidR="007756D3">
        <w:t>о</w:t>
      </w:r>
      <w:r w:rsidR="006E1695">
        <w:t xml:space="preserve"> как </w:t>
      </w:r>
      <w:r>
        <w:t>«</w:t>
      </w:r>
      <w:r w:rsidR="006E1695">
        <w:t>boiler room</w:t>
      </w:r>
      <w:r>
        <w:t>»</w:t>
      </w:r>
      <w:r w:rsidR="006E1695">
        <w:t xml:space="preserve"> (тот же перевод, что и для </w:t>
      </w:r>
      <w:r>
        <w:t>«</w:t>
      </w:r>
      <w:r w:rsidR="006E1695">
        <w:t>salle des chaudières</w:t>
      </w:r>
      <w:r>
        <w:t>»</w:t>
      </w:r>
      <w:r w:rsidR="006E1695">
        <w:t>).</w:t>
      </w:r>
    </w:p>
    <w:p w14:paraId="7D3286CD" w14:textId="77777777" w:rsidR="006E1695" w:rsidRPr="003A06A8" w:rsidRDefault="006E1695" w:rsidP="006E1695">
      <w:pPr>
        <w:pStyle w:val="H1G"/>
      </w:pPr>
      <w:r>
        <w:tab/>
      </w:r>
      <w:r>
        <w:tab/>
      </w:r>
      <w:r>
        <w:rPr>
          <w:bCs/>
        </w:rPr>
        <w:t>Предложение</w:t>
      </w:r>
      <w:r>
        <w:t xml:space="preserve"> </w:t>
      </w:r>
    </w:p>
    <w:p w14:paraId="166A59F1" w14:textId="7E128BB7" w:rsidR="006E1695" w:rsidRPr="003A06A8" w:rsidRDefault="006E1695" w:rsidP="006E1695">
      <w:pPr>
        <w:pStyle w:val="SingleTxtG"/>
      </w:pPr>
      <w:r>
        <w:t>22.</w:t>
      </w:r>
      <w:r>
        <w:tab/>
        <w:t xml:space="preserve">Включить в раздел 1.2.1 определение </w:t>
      </w:r>
      <w:r w:rsidR="0038285B">
        <w:t>«</w:t>
      </w:r>
      <w:r>
        <w:t>котельное отделение</w:t>
      </w:r>
      <w:r w:rsidR="0038285B">
        <w:t>»</w:t>
      </w:r>
      <w:r>
        <w:t>, используя то же определение, что и в ЕС-ТТСВП (ст. 1.01, п. 3.3)):</w:t>
      </w:r>
    </w:p>
    <w:p w14:paraId="09092295" w14:textId="1BADFD02" w:rsidR="006E1695" w:rsidRPr="003A06A8" w:rsidRDefault="0038285B" w:rsidP="006E1695">
      <w:pPr>
        <w:pStyle w:val="SingleTxtG"/>
      </w:pPr>
      <w:r>
        <w:t>«</w:t>
      </w:r>
      <w:r w:rsidR="00936D5A" w:rsidRPr="00936D5A">
        <w:t>“</w:t>
      </w:r>
      <w:r w:rsidR="006E1695">
        <w:t>котельное отделение</w:t>
      </w:r>
      <w:r w:rsidR="00936D5A" w:rsidRPr="00936D5A">
        <w:t>” —</w:t>
      </w:r>
      <w:r w:rsidR="006E1695">
        <w:t xml:space="preserve"> помещение, в котором установлена работающая на топливе установка, предназначенная для производства пара и жидкого теплоносителя;</w:t>
      </w:r>
      <w:r>
        <w:t>»</w:t>
      </w:r>
      <w:r w:rsidR="006E1695">
        <w:t>.</w:t>
      </w:r>
    </w:p>
    <w:p w14:paraId="3E80722A" w14:textId="77777777" w:rsidR="006E1695" w:rsidRPr="001C017D" w:rsidRDefault="006E1695" w:rsidP="006E169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E1695" w:rsidRPr="001C017D" w:rsidSect="006E16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F4FCC" w14:textId="77777777" w:rsidR="0033716C" w:rsidRPr="00A312BC" w:rsidRDefault="0033716C" w:rsidP="00A312BC"/>
  </w:endnote>
  <w:endnote w:type="continuationSeparator" w:id="0">
    <w:p w14:paraId="13522B44" w14:textId="77777777" w:rsidR="0033716C" w:rsidRPr="00A312BC" w:rsidRDefault="0033716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A74D2" w14:textId="6CFFB1EC" w:rsidR="006E1695" w:rsidRPr="006E1695" w:rsidRDefault="006E1695">
    <w:pPr>
      <w:pStyle w:val="a8"/>
    </w:pPr>
    <w:r w:rsidRPr="006E1695">
      <w:rPr>
        <w:b/>
        <w:sz w:val="18"/>
      </w:rPr>
      <w:fldChar w:fldCharType="begin"/>
    </w:r>
    <w:r w:rsidRPr="006E1695">
      <w:rPr>
        <w:b/>
        <w:sz w:val="18"/>
      </w:rPr>
      <w:instrText xml:space="preserve"> PAGE  \* MERGEFORMAT </w:instrText>
    </w:r>
    <w:r w:rsidRPr="006E1695">
      <w:rPr>
        <w:b/>
        <w:sz w:val="18"/>
      </w:rPr>
      <w:fldChar w:fldCharType="separate"/>
    </w:r>
    <w:r w:rsidRPr="006E1695">
      <w:rPr>
        <w:b/>
        <w:noProof/>
        <w:sz w:val="18"/>
      </w:rPr>
      <w:t>2</w:t>
    </w:r>
    <w:r w:rsidRPr="006E1695">
      <w:rPr>
        <w:b/>
        <w:sz w:val="18"/>
      </w:rPr>
      <w:fldChar w:fldCharType="end"/>
    </w:r>
    <w:r>
      <w:rPr>
        <w:b/>
        <w:sz w:val="18"/>
      </w:rPr>
      <w:tab/>
    </w:r>
    <w:r>
      <w:t>GE.23-21816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BBA6E" w14:textId="21AFABA8" w:rsidR="006E1695" w:rsidRPr="006E1695" w:rsidRDefault="006E1695" w:rsidP="006E1695">
    <w:pPr>
      <w:pStyle w:val="a8"/>
      <w:tabs>
        <w:tab w:val="clear" w:pos="9639"/>
        <w:tab w:val="right" w:pos="9638"/>
      </w:tabs>
      <w:rPr>
        <w:b/>
        <w:sz w:val="18"/>
      </w:rPr>
    </w:pPr>
    <w:r>
      <w:t>GE.23-21816</w:t>
    </w:r>
    <w:r>
      <w:tab/>
    </w:r>
    <w:r w:rsidRPr="006E1695">
      <w:rPr>
        <w:b/>
        <w:sz w:val="18"/>
      </w:rPr>
      <w:fldChar w:fldCharType="begin"/>
    </w:r>
    <w:r w:rsidRPr="006E1695">
      <w:rPr>
        <w:b/>
        <w:sz w:val="18"/>
      </w:rPr>
      <w:instrText xml:space="preserve"> PAGE  \* MERGEFORMAT </w:instrText>
    </w:r>
    <w:r w:rsidRPr="006E1695">
      <w:rPr>
        <w:b/>
        <w:sz w:val="18"/>
      </w:rPr>
      <w:fldChar w:fldCharType="separate"/>
    </w:r>
    <w:r w:rsidRPr="006E1695">
      <w:rPr>
        <w:b/>
        <w:noProof/>
        <w:sz w:val="18"/>
      </w:rPr>
      <w:t>3</w:t>
    </w:r>
    <w:r w:rsidRPr="006E169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DF7D" w14:textId="0A624128" w:rsidR="00042B72" w:rsidRPr="006E1695" w:rsidRDefault="006E1695" w:rsidP="006E1695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5432198" wp14:editId="467DFF9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23-21816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4B7C641" wp14:editId="3E38406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211123  221123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85A34" w14:textId="77777777" w:rsidR="0033716C" w:rsidRPr="001075E9" w:rsidRDefault="0033716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4A68EE2" w14:textId="77777777" w:rsidR="0033716C" w:rsidRDefault="0033716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D1F0869" w14:textId="77777777" w:rsidR="006E1695" w:rsidRPr="003A06A8" w:rsidRDefault="006E1695" w:rsidP="006E1695">
      <w:pPr>
        <w:pStyle w:val="ad"/>
        <w:rPr>
          <w:szCs w:val="18"/>
        </w:rPr>
      </w:pPr>
      <w:r>
        <w:tab/>
      </w:r>
      <w:r w:rsidRPr="0038285B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CCNR-ZKR/ADN/WP.15/AC.2/2024/19.</w:t>
      </w:r>
    </w:p>
  </w:footnote>
  <w:footnote w:id="2">
    <w:p w14:paraId="6A927870" w14:textId="77777777" w:rsidR="006E1695" w:rsidRPr="00ED34FF" w:rsidRDefault="006E1695" w:rsidP="006E1695">
      <w:pPr>
        <w:pStyle w:val="ad"/>
        <w:rPr>
          <w:szCs w:val="18"/>
        </w:rPr>
      </w:pPr>
      <w:r>
        <w:tab/>
      </w:r>
      <w:r w:rsidRPr="0038285B">
        <w:rPr>
          <w:sz w:val="20"/>
        </w:rPr>
        <w:t>**</w:t>
      </w:r>
      <w:r>
        <w:tab/>
        <w:t>A/78/6 (разд. 20), таблица 20.5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CDCB" w14:textId="27D95D99" w:rsidR="006E1695" w:rsidRPr="006E1695" w:rsidRDefault="006E1695">
    <w:pPr>
      <w:pStyle w:val="a5"/>
    </w:pPr>
    <w:fldSimple w:instr=" TITLE  \* MERGEFORMAT ">
      <w:r w:rsidR="00C821FB">
        <w:t>ECE/TRANS/WP.15/AC.2/2024/19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30AB5" w14:textId="6819C908" w:rsidR="006E1695" w:rsidRPr="006E1695" w:rsidRDefault="006E1695" w:rsidP="006E1695">
    <w:pPr>
      <w:pStyle w:val="a5"/>
      <w:jc w:val="right"/>
    </w:pPr>
    <w:fldSimple w:instr=" TITLE  \* MERGEFORMAT ">
      <w:r w:rsidR="00C821FB">
        <w:t>ECE/TRANS/WP.15/AC.2/2024/19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EFDB" w14:textId="77777777" w:rsidR="006E1695" w:rsidRDefault="006E1695" w:rsidP="006E169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8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6"/>
  </w:num>
  <w:num w:numId="20" w16cid:durableId="807743971">
    <w:abstractNumId w:val="12"/>
  </w:num>
  <w:num w:numId="21" w16cid:durableId="1591162185">
    <w:abstractNumId w:val="14"/>
  </w:num>
  <w:num w:numId="22" w16cid:durableId="629866545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16C"/>
    <w:rsid w:val="00033EE1"/>
    <w:rsid w:val="00042B72"/>
    <w:rsid w:val="000558BD"/>
    <w:rsid w:val="000815E0"/>
    <w:rsid w:val="000B57E7"/>
    <w:rsid w:val="000B6373"/>
    <w:rsid w:val="000C6AD5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2830"/>
    <w:rsid w:val="002F405F"/>
    <w:rsid w:val="002F7EEC"/>
    <w:rsid w:val="00301299"/>
    <w:rsid w:val="00305C08"/>
    <w:rsid w:val="00307FB6"/>
    <w:rsid w:val="00317339"/>
    <w:rsid w:val="00322004"/>
    <w:rsid w:val="0033716C"/>
    <w:rsid w:val="003402C2"/>
    <w:rsid w:val="00343E3C"/>
    <w:rsid w:val="0037746F"/>
    <w:rsid w:val="00381C24"/>
    <w:rsid w:val="0038285B"/>
    <w:rsid w:val="00387CD4"/>
    <w:rsid w:val="003958D0"/>
    <w:rsid w:val="003A0D43"/>
    <w:rsid w:val="003A48CE"/>
    <w:rsid w:val="003B00E5"/>
    <w:rsid w:val="003D52F0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4E104E"/>
    <w:rsid w:val="0050108D"/>
    <w:rsid w:val="00513081"/>
    <w:rsid w:val="005153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62AEE"/>
    <w:rsid w:val="00673F47"/>
    <w:rsid w:val="00680D03"/>
    <w:rsid w:val="00681A10"/>
    <w:rsid w:val="006A1ED8"/>
    <w:rsid w:val="006C2031"/>
    <w:rsid w:val="006D461A"/>
    <w:rsid w:val="006E1695"/>
    <w:rsid w:val="006F35EE"/>
    <w:rsid w:val="007021FF"/>
    <w:rsid w:val="00712895"/>
    <w:rsid w:val="00717DBD"/>
    <w:rsid w:val="00734ACB"/>
    <w:rsid w:val="00757357"/>
    <w:rsid w:val="007756D3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1131"/>
    <w:rsid w:val="008F7609"/>
    <w:rsid w:val="00906890"/>
    <w:rsid w:val="00911BE4"/>
    <w:rsid w:val="00936D5A"/>
    <w:rsid w:val="00951972"/>
    <w:rsid w:val="009608F3"/>
    <w:rsid w:val="009A24AC"/>
    <w:rsid w:val="009C59D7"/>
    <w:rsid w:val="009C6FE6"/>
    <w:rsid w:val="009D7E7D"/>
    <w:rsid w:val="00A14DA8"/>
    <w:rsid w:val="00A312BC"/>
    <w:rsid w:val="00A50993"/>
    <w:rsid w:val="00A70A7F"/>
    <w:rsid w:val="00A77EE9"/>
    <w:rsid w:val="00A84021"/>
    <w:rsid w:val="00A84D35"/>
    <w:rsid w:val="00A917B3"/>
    <w:rsid w:val="00AB4B51"/>
    <w:rsid w:val="00B10CC7"/>
    <w:rsid w:val="00B36DF7"/>
    <w:rsid w:val="00B539E7"/>
    <w:rsid w:val="00B62458"/>
    <w:rsid w:val="00B6264A"/>
    <w:rsid w:val="00BC18B2"/>
    <w:rsid w:val="00BD33EE"/>
    <w:rsid w:val="00BE1CC7"/>
    <w:rsid w:val="00C106D6"/>
    <w:rsid w:val="00C119AE"/>
    <w:rsid w:val="00C60F0C"/>
    <w:rsid w:val="00C71E84"/>
    <w:rsid w:val="00C805C9"/>
    <w:rsid w:val="00C821FB"/>
    <w:rsid w:val="00C92939"/>
    <w:rsid w:val="00CA1679"/>
    <w:rsid w:val="00CB151C"/>
    <w:rsid w:val="00CB60AA"/>
    <w:rsid w:val="00CE5A1A"/>
    <w:rsid w:val="00CF55F6"/>
    <w:rsid w:val="00D33D63"/>
    <w:rsid w:val="00D5253A"/>
    <w:rsid w:val="00D873A8"/>
    <w:rsid w:val="00D90028"/>
    <w:rsid w:val="00D90138"/>
    <w:rsid w:val="00D9145B"/>
    <w:rsid w:val="00DD02F0"/>
    <w:rsid w:val="00DD78D1"/>
    <w:rsid w:val="00DE32CD"/>
    <w:rsid w:val="00DF5767"/>
    <w:rsid w:val="00DF71B9"/>
    <w:rsid w:val="00E03F7F"/>
    <w:rsid w:val="00E12C5F"/>
    <w:rsid w:val="00E176A0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349B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9D9104"/>
  <w15:docId w15:val="{2C594D6F-03AD-4716-8BE7-33DE18E7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6E1695"/>
    <w:rPr>
      <w:lang w:val="ru-RU" w:eastAsia="en-US"/>
    </w:rPr>
  </w:style>
  <w:style w:type="character" w:customStyle="1" w:styleId="H1GChar">
    <w:name w:val="_ H_1_G Char"/>
    <w:link w:val="H1G"/>
    <w:rsid w:val="006E1695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6E1695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15196E-8FC0-45BE-818E-FCAD8690BEAC}"/>
</file>

<file path=customXml/itemProps2.xml><?xml version="1.0" encoding="utf-8"?>
<ds:datastoreItem xmlns:ds="http://schemas.openxmlformats.org/officeDocument/2006/customXml" ds:itemID="{CF9EDECB-836F-4504-9002-C1389CFB1AE2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4</Pages>
  <Words>823</Words>
  <Characters>5953</Characters>
  <Application>Microsoft Office Word</Application>
  <DocSecurity>0</DocSecurity>
  <Lines>541</Lines>
  <Paragraphs>225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13" baseType="lpstr">
      <vt:lpstr>ECE/TRANS/WP.15/AC.2/2024/19</vt:lpstr>
      <vt:lpstr>    Определение (главного) машинного отделения и котельного отделения</vt:lpstr>
      <vt:lpstr>        Передано неофициальной группой Рекомендованных классификационных обществ ВОПОГ</vt:lpstr>
      <vt:lpstr>    Введение</vt:lpstr>
      <vt:lpstr>    I.	Машинное отделение </vt:lpstr>
      <vt:lpstr>        Предложение</vt:lpstr>
      <vt:lpstr>        Примечание </vt:lpstr>
      <vt:lpstr>    II.	Главное машинное отделение </vt:lpstr>
      <vt:lpstr>        Предложение</vt:lpstr>
      <vt:lpstr>    III.	Котельное отделение </vt:lpstr>
      <vt:lpstr>        Предложение </vt:lpstr>
      <vt:lpstr>A/</vt:lpstr>
      <vt:lpstr>A/</vt:lpstr>
    </vt:vector>
  </TitlesOfParts>
  <Company>DCM</Company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ECE/TRANS/WP.15/AC.2/2024/19</dc:title>
  <dc:subject/>
  <dc:creator>Olga OVTCHINNIKOVA</dc:creator>
  <cp:keywords/>
  <cp:lastModifiedBy>Olga Ovchinnikova</cp:lastModifiedBy>
  <cp:revision>2</cp:revision>
  <cp:lastPrinted>2008-01-15T07:58:00Z</cp:lastPrinted>
  <dcterms:created xsi:type="dcterms:W3CDTF">2023-11-22T07:58:00Z</dcterms:created>
  <dcterms:modified xsi:type="dcterms:W3CDTF">2023-11-22T07:58:00Z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