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197F3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5955E7" w14:textId="77777777" w:rsidR="002D5AAC" w:rsidRDefault="002D5AAC" w:rsidP="00092E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41678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2D22AC" w14:textId="64AED174" w:rsidR="002D5AAC" w:rsidRDefault="00092EBC" w:rsidP="00092EBC">
            <w:pPr>
              <w:jc w:val="right"/>
            </w:pPr>
            <w:r w:rsidRPr="00092EBC">
              <w:rPr>
                <w:sz w:val="40"/>
              </w:rPr>
              <w:t>ECE</w:t>
            </w:r>
            <w:r>
              <w:t>/TRANS/WP.15/AC.2/2024/17</w:t>
            </w:r>
          </w:p>
        </w:tc>
      </w:tr>
      <w:tr w:rsidR="002D5AAC" w14:paraId="211431B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6B3F5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008542" wp14:editId="6C052DF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698EC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3ED2CB" w14:textId="77777777" w:rsidR="002D5AAC" w:rsidRDefault="00092E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EF6855" w14:textId="77777777" w:rsidR="00092EBC" w:rsidRDefault="00092EBC" w:rsidP="00092E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2023</w:t>
            </w:r>
          </w:p>
          <w:p w14:paraId="28AA71D3" w14:textId="77777777" w:rsidR="00092EBC" w:rsidRDefault="00092EBC" w:rsidP="00092E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97152D" w14:textId="2285B06B" w:rsidR="00092EBC" w:rsidRPr="008D53B6" w:rsidRDefault="00092EBC" w:rsidP="00092E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C3450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57AC4B" w14:textId="77777777" w:rsidR="00092EBC" w:rsidRPr="00092EBC" w:rsidRDefault="00092EBC" w:rsidP="00092EBC">
      <w:pPr>
        <w:spacing w:before="120"/>
        <w:rPr>
          <w:sz w:val="28"/>
          <w:szCs w:val="28"/>
        </w:rPr>
      </w:pPr>
      <w:r w:rsidRPr="00092EBC">
        <w:rPr>
          <w:sz w:val="28"/>
          <w:szCs w:val="28"/>
        </w:rPr>
        <w:t>Комитет по внутреннему транспорту</w:t>
      </w:r>
    </w:p>
    <w:p w14:paraId="6579AC1C" w14:textId="77777777" w:rsidR="00092EBC" w:rsidRPr="00092EBC" w:rsidRDefault="00092EBC" w:rsidP="00092EBC">
      <w:pPr>
        <w:spacing w:before="120"/>
        <w:rPr>
          <w:b/>
          <w:sz w:val="24"/>
          <w:szCs w:val="24"/>
        </w:rPr>
      </w:pPr>
      <w:r w:rsidRPr="00092EBC">
        <w:rPr>
          <w:b/>
          <w:bCs/>
          <w:sz w:val="24"/>
          <w:szCs w:val="24"/>
        </w:rPr>
        <w:t>Рабочая группа по перевозкам опасных грузов</w:t>
      </w:r>
    </w:p>
    <w:p w14:paraId="07CC9979" w14:textId="603C4756" w:rsidR="00092EBC" w:rsidRPr="00906622" w:rsidRDefault="00092EBC" w:rsidP="00092EB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4F286EA1" w14:textId="77777777" w:rsidR="00092EBC" w:rsidRPr="00906622" w:rsidRDefault="00092EBC" w:rsidP="00092EBC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5D28EEC1" w14:textId="77777777" w:rsidR="00092EBC" w:rsidRPr="00906622" w:rsidRDefault="00092EBC" w:rsidP="00092EBC">
      <w:r>
        <w:t>Женева, 22–26 января 2024 года</w:t>
      </w:r>
    </w:p>
    <w:p w14:paraId="065C3AE8" w14:textId="77777777" w:rsidR="00092EBC" w:rsidRPr="00906622" w:rsidRDefault="00092EBC" w:rsidP="00092EBC">
      <w:r>
        <w:t>Пункт 5 b) предварительной повестки дня</w:t>
      </w:r>
    </w:p>
    <w:p w14:paraId="63B4F8FB" w14:textId="3028EF9F" w:rsidR="00092EBC" w:rsidRPr="00906622" w:rsidRDefault="00092EBC" w:rsidP="00092EBC">
      <w:pPr>
        <w:contextualSpacing/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30C0A487" w14:textId="09338A5F" w:rsidR="00092EBC" w:rsidRPr="00906622" w:rsidRDefault="00092EBC" w:rsidP="00092EBC">
      <w:pPr>
        <w:pStyle w:val="HChG"/>
      </w:pPr>
      <w:r>
        <w:tab/>
      </w:r>
      <w:r>
        <w:tab/>
        <w:t xml:space="preserve">Предложение о внесении двух дополнительных положений в подраздел 1.6.7.2 </w:t>
      </w:r>
      <w:r w:rsidRPr="00092EBC">
        <w:t>—</w:t>
      </w:r>
      <w:r>
        <w:t xml:space="preserve"> Общие переходные положения</w:t>
      </w:r>
    </w:p>
    <w:p w14:paraId="6974A5BC" w14:textId="7003D7DC" w:rsidR="00092EBC" w:rsidRPr="00906622" w:rsidRDefault="00092EBC" w:rsidP="00092EBC">
      <w:pPr>
        <w:pStyle w:val="H1G"/>
      </w:pPr>
      <w:r>
        <w:tab/>
      </w:r>
      <w:r>
        <w:tab/>
      </w:r>
      <w:r>
        <w:rPr>
          <w:bCs/>
        </w:rPr>
        <w:t>Передано правительством Бельгии</w:t>
      </w:r>
      <w:r w:rsidRPr="00092EB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92EBC">
        <w:rPr>
          <w:b w:val="0"/>
          <w:bCs/>
          <w:sz w:val="20"/>
          <w:vertAlign w:val="superscript"/>
        </w:rPr>
        <w:t>,</w:t>
      </w:r>
      <w:r w:rsidRPr="00092EBC">
        <w:rPr>
          <w:b w:val="0"/>
          <w:bCs/>
          <w:sz w:val="20"/>
        </w:rPr>
        <w:t xml:space="preserve"> </w:t>
      </w:r>
      <w:r w:rsidRPr="00092EBC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092EBC">
        <w:rPr>
          <w:b w:val="0"/>
          <w:bCs/>
        </w:rPr>
        <w:t xml:space="preserve"> </w:t>
      </w:r>
    </w:p>
    <w:p w14:paraId="3B06FD35" w14:textId="77777777" w:rsidR="00092EBC" w:rsidRPr="00906622" w:rsidRDefault="00092EBC" w:rsidP="00092EBC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62CA0EA" w14:textId="77777777" w:rsidR="00092EBC" w:rsidRPr="00906622" w:rsidRDefault="00092EBC" w:rsidP="00092EBC">
      <w:pPr>
        <w:pStyle w:val="SingleTxtG"/>
      </w:pPr>
      <w:bookmarkStart w:id="0" w:name="_Hlk87882230"/>
      <w:r>
        <w:t>1.</w:t>
      </w:r>
      <w:r>
        <w:tab/>
        <w:t xml:space="preserve">На своей сорок второй сессии Комитет по вопросам безопасности ВОПОГ обсудил неофициальный документ INF.21, переданный Европейским союзом речного судоходства и Европейской организацией судоводителей (ЕСРС/ЕОС), касающийся предложения о переходных положениях </w:t>
      </w:r>
      <w:r w:rsidRPr="00BA3E1D">
        <w:t>для индикаторов газов</w:t>
      </w:r>
      <w:r>
        <w:t>.</w:t>
      </w:r>
      <w:r w:rsidRPr="00BA3E1D">
        <w:t xml:space="preserve"> </w:t>
      </w:r>
    </w:p>
    <w:p w14:paraId="4925EF7F" w14:textId="292524F6" w:rsidR="00092EBC" w:rsidRPr="00906622" w:rsidRDefault="00092EBC" w:rsidP="00092EBC">
      <w:pPr>
        <w:pStyle w:val="SingleTxtG"/>
      </w:pPr>
      <w:r>
        <w:t>2.</w:t>
      </w:r>
      <w:r>
        <w:tab/>
        <w:t xml:space="preserve">В ходе обсуждения делегация Бельгии сослалась на общее правило, содержащееся в статье 32.04 6) Европейского стандарта (ЕС-ТТСВП), согласно которому оборудование или его части могут продолжать использоваться еще в течение </w:t>
      </w:r>
      <w:r>
        <w:t>20</w:t>
      </w:r>
      <w:r>
        <w:t xml:space="preserve"> лет после пересмотра или новых публикаций европейского или международного стандарта. Делегация Бельгии выразила намерение представить соответствующий документ.</w:t>
      </w:r>
    </w:p>
    <w:p w14:paraId="4F61C7B5" w14:textId="77777777" w:rsidR="00092EBC" w:rsidRPr="00906622" w:rsidRDefault="00092EBC" w:rsidP="00092EBC">
      <w:pPr>
        <w:pStyle w:val="SingleTxtG"/>
      </w:pPr>
      <w:r>
        <w:t>3.</w:t>
      </w:r>
      <w:r>
        <w:tab/>
        <w:t>ЕС-ТТСВП, статья 32.04 6) гласит следующее:</w:t>
      </w:r>
    </w:p>
    <w:p w14:paraId="75374C28" w14:textId="16C55C1F" w:rsidR="00092EBC" w:rsidRPr="00906622" w:rsidRDefault="00092EBC" w:rsidP="00092EBC">
      <w:pPr>
        <w:pStyle w:val="SingleTxtG"/>
        <w:ind w:left="1701"/>
      </w:pPr>
      <w:r>
        <w:t>«</w:t>
      </w:r>
      <w:r>
        <w:t>Если, в связи с требованиями к конструкции, данное положение содержит ссылку на европейский или международный стандарт:</w:t>
      </w:r>
    </w:p>
    <w:p w14:paraId="65719FD4" w14:textId="4ED91681" w:rsidR="00092EBC" w:rsidRPr="00906622" w:rsidRDefault="00092EBC" w:rsidP="00092EBC">
      <w:pPr>
        <w:pStyle w:val="SingleTxtG"/>
        <w:ind w:left="1701"/>
      </w:pPr>
      <w:r>
        <w:lastRenderedPageBreak/>
        <w:t>a)</w:t>
      </w:r>
      <w:r>
        <w:tab/>
        <w:t xml:space="preserve">по отношению к незакрепленным элементам оборудования </w:t>
      </w:r>
      <w:r>
        <w:t>—</w:t>
      </w:r>
      <w:r>
        <w:t xml:space="preserve"> эти элементы могут, после опубликования любого нового издания или пересмотра этого стандарта, по-прежнему эксплуатироваться в течение еще 20 лет после опубликования нового издания или пересмотра этого стандарта,</w:t>
      </w:r>
    </w:p>
    <w:p w14:paraId="530D6740" w14:textId="192E2636" w:rsidR="00092EBC" w:rsidRPr="00906622" w:rsidRDefault="00092EBC" w:rsidP="00092EBC">
      <w:pPr>
        <w:pStyle w:val="SingleTxtG"/>
        <w:ind w:left="1701"/>
      </w:pPr>
      <w:r>
        <w:t>b)</w:t>
      </w:r>
      <w:r>
        <w:tab/>
        <w:t xml:space="preserve">по отношению к стационарным элементам оборудования </w:t>
      </w:r>
      <w:r>
        <w:t>—</w:t>
      </w:r>
      <w:r>
        <w:t xml:space="preserve"> эти элементы могут по-прежнему эксплуатироваться до их замены или модернизации мест их установки</w:t>
      </w:r>
      <w:r>
        <w:t>»</w:t>
      </w:r>
      <w:r>
        <w:t>.</w:t>
      </w:r>
    </w:p>
    <w:p w14:paraId="443ED6EB" w14:textId="77777777" w:rsidR="00092EBC" w:rsidRPr="00906622" w:rsidRDefault="00092EBC" w:rsidP="00092EBC">
      <w:pPr>
        <w:pStyle w:val="SingleTxtG"/>
      </w:pPr>
      <w:r>
        <w:t>4.</w:t>
      </w:r>
      <w:r>
        <w:tab/>
        <w:t>Рассматриваемые стандарты связаны с данной отраслью и рынком, по крайней мере, большинство из них. Они не всегда пересматриваются из соображений безопасности, но и в силу того, что техника эволюционирует. Имеются следующие весомые аргументы в пользу того, чтобы предусмотреть переходное положение для оборудования, соответствующего положению, которое содержит ссылку на европейский или международный стандарт:</w:t>
      </w:r>
    </w:p>
    <w:p w14:paraId="39C7D8F4" w14:textId="77777777" w:rsidR="00092EBC" w:rsidRPr="00906622" w:rsidRDefault="00092EBC" w:rsidP="00092EBC">
      <w:pPr>
        <w:pStyle w:val="Bullet1G"/>
        <w:numPr>
          <w:ilvl w:val="0"/>
          <w:numId w:val="22"/>
        </w:numPr>
        <w:suppressAutoHyphens w:val="0"/>
      </w:pPr>
      <w:r>
        <w:t>для устройств, используемых в настоящее время на судах, находящихся в эксплуатации, вопрос безопасности не стоит, если только проблема безопасности не будет доказана в ходе пересмотра этого стандарта. Таким образом, нет ничего плохого в том, чтобы использовать существующее оборудование, основанное на старой версии данного стандарта;</w:t>
      </w:r>
    </w:p>
    <w:p w14:paraId="42DACB7A" w14:textId="77777777" w:rsidR="00092EBC" w:rsidRPr="00906622" w:rsidRDefault="00092EBC" w:rsidP="00092EBC">
      <w:pPr>
        <w:pStyle w:val="Bullet1G"/>
        <w:numPr>
          <w:ilvl w:val="0"/>
          <w:numId w:val="22"/>
        </w:numPr>
        <w:suppressAutoHyphens w:val="0"/>
      </w:pPr>
      <w:r>
        <w:t>в ряде случаев отрасль просто не в состоянии поставить новое оборудование в соответствии с новым пересмотренным вариантом данного стандарта, причем такая задержка может длиться несколько лет. У судовладельца могут возникнуть проблемы в том случае, если он окажется не в состоянии приобрести оборудование в соответствии с новым изданием стандарта;</w:t>
      </w:r>
    </w:p>
    <w:p w14:paraId="5EBCE20F" w14:textId="77777777" w:rsidR="00092EBC" w:rsidRPr="00906622" w:rsidRDefault="00092EBC" w:rsidP="00092EBC">
      <w:pPr>
        <w:pStyle w:val="Bullet1G"/>
        <w:numPr>
          <w:ilvl w:val="0"/>
          <w:numId w:val="22"/>
        </w:numPr>
        <w:suppressAutoHyphens w:val="0"/>
      </w:pPr>
      <w:r>
        <w:t>в некоторых случаях такое оборудование встроено в установки судна, что может потребовать демонтажа стационарного оборудования с целью его замены на новое.</w:t>
      </w:r>
    </w:p>
    <w:p w14:paraId="0F393205" w14:textId="77777777" w:rsidR="00092EBC" w:rsidRPr="00906622" w:rsidRDefault="00092EBC" w:rsidP="00092EBC">
      <w:pPr>
        <w:pStyle w:val="SingleTxtG"/>
      </w:pPr>
      <w:r>
        <w:t>5.</w:t>
      </w:r>
      <w:r>
        <w:tab/>
        <w:t xml:space="preserve">С </w:t>
      </w:r>
      <w:proofErr w:type="gramStart"/>
      <w:r>
        <w:t>тем</w:t>
      </w:r>
      <w:proofErr w:type="gramEnd"/>
      <w:r>
        <w:t xml:space="preserve"> чтобы иметь возможность определить иной переходный период для некоторых положений в случае обнаружения проблем с безопасностью, приводящих к пересмотру соответствующего стандарта, в данное положение ЕС-ТТСВП были внесены некоторые изменения. В случае иного периода соответствующее переходное положение должно быть прямо указано в таблицах в пунктах 1.6.7.2.1.1 и 1.6.7.2.2.1 ВОПОГ.</w:t>
      </w:r>
    </w:p>
    <w:p w14:paraId="204091C1" w14:textId="77777777" w:rsidR="00092EBC" w:rsidRPr="00906622" w:rsidRDefault="00092EBC" w:rsidP="00092EBC">
      <w:pPr>
        <w:pStyle w:val="SingleTxtG"/>
      </w:pPr>
      <w:r>
        <w:t>6.</w:t>
      </w:r>
      <w:r>
        <w:tab/>
        <w:t>Кроме того, это положение приведено в соответствие с формулировками, используемыми в ВОПОГ.</w:t>
      </w:r>
    </w:p>
    <w:bookmarkEnd w:id="0"/>
    <w:p w14:paraId="68246BD5" w14:textId="77777777" w:rsidR="00092EBC" w:rsidRPr="00906622" w:rsidRDefault="00092EBC" w:rsidP="00092EBC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849B899" w14:textId="77777777" w:rsidR="00092EBC" w:rsidRPr="00906622" w:rsidRDefault="00092EBC" w:rsidP="00092EBC">
      <w:pPr>
        <w:pStyle w:val="SingleTxtG"/>
      </w:pPr>
      <w:r>
        <w:t>7.</w:t>
      </w:r>
      <w:r>
        <w:tab/>
        <w:t>Делегация Бельгии предлагает включить в пункты 1.6.7.2.1.1 и 1.6.7.2.2.1 два новых общих переходных положения, которые гласят следующее (новый текст выделен жирным шрифтом):</w:t>
      </w:r>
    </w:p>
    <w:p w14:paraId="1F3BA6D7" w14:textId="00B838B5" w:rsidR="00092EBC" w:rsidRPr="00906622" w:rsidRDefault="00092EBC" w:rsidP="00092EBC">
      <w:pPr>
        <w:pStyle w:val="SingleTxtG"/>
        <w:ind w:left="1701"/>
        <w:rPr>
          <w:b/>
          <w:bCs/>
        </w:rPr>
      </w:pPr>
      <w:r>
        <w:t>«</w:t>
      </w:r>
      <w:r>
        <w:t xml:space="preserve">Конструкция и оборудование судов, находящихся в эксплуатации, должны соответствовать по меньшей мере прежнему уровню безопасности. </w:t>
      </w:r>
    </w:p>
    <w:p w14:paraId="4E7C571A" w14:textId="77777777" w:rsidR="00092EBC" w:rsidRPr="00906622" w:rsidRDefault="00092EBC" w:rsidP="00092EBC">
      <w:pPr>
        <w:pStyle w:val="SingleTxtG"/>
        <w:ind w:left="1701"/>
        <w:rPr>
          <w:b/>
          <w:bCs/>
        </w:rPr>
      </w:pPr>
      <w:r>
        <w:rPr>
          <w:b/>
          <w:bCs/>
        </w:rPr>
        <w:t>Если, в связи с требованиями к конструкции, требования данных пунктов содержат ссылку на европейский или международный стандарт:</w:t>
      </w:r>
    </w:p>
    <w:p w14:paraId="132667D9" w14:textId="3D343897" w:rsidR="00092EBC" w:rsidRPr="00906622" w:rsidRDefault="00092EBC" w:rsidP="00092EBC">
      <w:pPr>
        <w:pStyle w:val="SingleTxtG"/>
        <w:ind w:left="2268" w:hanging="567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 xml:space="preserve">по отношению к незакрепленным элементам оборудования </w:t>
      </w:r>
      <w:r>
        <w:rPr>
          <w:b/>
          <w:bCs/>
        </w:rPr>
        <w:t>—</w:t>
      </w:r>
      <w:r>
        <w:rPr>
          <w:b/>
          <w:bCs/>
        </w:rPr>
        <w:t xml:space="preserve"> эти элементы могут, после опубликования любого нового издания или пересмотра этого стандарта, по-прежнему эксплуатироваться в течение еще 20 лет после опубликования нового издания или пересмотра этого стандарта,</w:t>
      </w:r>
    </w:p>
    <w:p w14:paraId="436ABCC9" w14:textId="1B06904D" w:rsidR="00092EBC" w:rsidRPr="00906622" w:rsidRDefault="00092EBC" w:rsidP="00092EBC">
      <w:pPr>
        <w:pStyle w:val="SingleTxtG"/>
        <w:ind w:left="2268" w:hanging="567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 xml:space="preserve">по отношению к стационарным элементам оборудования </w:t>
      </w:r>
      <w:r>
        <w:rPr>
          <w:b/>
          <w:bCs/>
        </w:rPr>
        <w:t>—</w:t>
      </w:r>
      <w:r>
        <w:rPr>
          <w:b/>
          <w:bCs/>
        </w:rPr>
        <w:t xml:space="preserve"> эти элементы могут по-прежнему эксплуатироваться до их замены или модернизации мест их установки,</w:t>
      </w:r>
    </w:p>
    <w:p w14:paraId="70D93366" w14:textId="42650875" w:rsidR="00092EBC" w:rsidRPr="00906622" w:rsidRDefault="00092EBC" w:rsidP="00092EBC">
      <w:pPr>
        <w:pStyle w:val="SingleTxtG"/>
        <w:ind w:left="1701"/>
        <w:rPr>
          <w:b/>
          <w:bCs/>
        </w:rPr>
      </w:pPr>
      <w:r w:rsidRPr="00006521">
        <w:rPr>
          <w:b/>
          <w:bCs/>
        </w:rPr>
        <w:lastRenderedPageBreak/>
        <w:t>за исключением случаев, когда требования пунктов особо указаны в таблице ниже с другим переходным периодом</w:t>
      </w:r>
      <w:r w:rsidR="00006521">
        <w:t>»</w:t>
      </w:r>
      <w:r>
        <w:t>.</w:t>
      </w:r>
    </w:p>
    <w:p w14:paraId="5795BBBA" w14:textId="77777777" w:rsidR="00092EBC" w:rsidRPr="00906622" w:rsidRDefault="00092EBC" w:rsidP="00006521">
      <w:pPr>
        <w:pStyle w:val="HChG"/>
      </w:pPr>
      <w:r>
        <w:tab/>
      </w:r>
      <w:r>
        <w:tab/>
      </w:r>
      <w:r w:rsidRPr="00006521">
        <w:t>Обоснование</w:t>
      </w:r>
    </w:p>
    <w:p w14:paraId="264FA929" w14:textId="4F7F0F33" w:rsidR="00092EBC" w:rsidRPr="00906622" w:rsidRDefault="00092EBC" w:rsidP="00006521">
      <w:pPr>
        <w:pStyle w:val="SingleTxtG"/>
      </w:pPr>
      <w:r>
        <w:t>8.</w:t>
      </w:r>
      <w:r>
        <w:tab/>
        <w:t>Делегация Бельгии считает, что безопасность не может быть поставлена под угрозу. Вместе с тем благодаря этой поправке мы достигаем Цели в области устойчивого развития (ЦУР) по снижению нагрузки на окружающую среду и более устойчивому использованию ресурсов. В частности, ЦУР 12, касающаяся ответственного потребления и производства, позволяет достичь снижения негативного воздействия на окружающую среду, поскольку оборудование, которое все еще является надежным, по-прежнему находится на борту, а не выбрасывается из-за того, что соответствующий стандарт был пересмотрен.</w:t>
      </w:r>
    </w:p>
    <w:p w14:paraId="59195486" w14:textId="77777777" w:rsidR="00092EBC" w:rsidRPr="00906622" w:rsidRDefault="00092EBC" w:rsidP="00092EBC">
      <w:pPr>
        <w:pStyle w:val="HChG"/>
      </w:pPr>
      <w:r>
        <w:tab/>
      </w:r>
      <w:r>
        <w:tab/>
      </w:r>
      <w:r>
        <w:rPr>
          <w:bCs/>
        </w:rPr>
        <w:t>Предлагаемое решение</w:t>
      </w:r>
    </w:p>
    <w:p w14:paraId="3BCC6F39" w14:textId="77777777" w:rsidR="00092EBC" w:rsidRPr="00906622" w:rsidRDefault="00092EBC" w:rsidP="00092EBC">
      <w:pPr>
        <w:pStyle w:val="SingleTxtG"/>
      </w:pPr>
      <w:r>
        <w:t>9.</w:t>
      </w:r>
      <w:r>
        <w:tab/>
        <w:t>Комитету по вопросам безопасности предлагается рассмотреть предложение о включении дополнительных положений, содержащееся в пункте 7 выше, и принять решение, которое он сочтет целесообразным.</w:t>
      </w:r>
    </w:p>
    <w:p w14:paraId="28549B55" w14:textId="54C6BBB3" w:rsidR="00E12C5F" w:rsidRPr="008D53B6" w:rsidRDefault="00092EBC" w:rsidP="00092EBC">
      <w:pPr>
        <w:spacing w:before="240"/>
        <w:jc w:val="center"/>
      </w:pPr>
      <w:r w:rsidRPr="00906622">
        <w:rPr>
          <w:u w:val="single"/>
        </w:rPr>
        <w:tab/>
      </w:r>
      <w:r w:rsidRPr="00906622">
        <w:rPr>
          <w:u w:val="single"/>
        </w:rPr>
        <w:tab/>
      </w:r>
      <w:r w:rsidRPr="00906622">
        <w:rPr>
          <w:u w:val="single"/>
        </w:rPr>
        <w:tab/>
      </w:r>
    </w:p>
    <w:sectPr w:rsidR="00E12C5F" w:rsidRPr="008D53B6" w:rsidSect="00092E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81FA" w14:textId="77777777" w:rsidR="00344A66" w:rsidRPr="00A312BC" w:rsidRDefault="00344A66" w:rsidP="00A312BC"/>
  </w:endnote>
  <w:endnote w:type="continuationSeparator" w:id="0">
    <w:p w14:paraId="31B26960" w14:textId="77777777" w:rsidR="00344A66" w:rsidRPr="00A312BC" w:rsidRDefault="00344A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C5DE" w14:textId="010484FF" w:rsidR="00092EBC" w:rsidRPr="00092EBC" w:rsidRDefault="00092EBC">
    <w:pPr>
      <w:pStyle w:val="a8"/>
    </w:pPr>
    <w:r w:rsidRPr="00092EBC">
      <w:rPr>
        <w:b/>
        <w:sz w:val="18"/>
      </w:rPr>
      <w:fldChar w:fldCharType="begin"/>
    </w:r>
    <w:r w:rsidRPr="00092EBC">
      <w:rPr>
        <w:b/>
        <w:sz w:val="18"/>
      </w:rPr>
      <w:instrText xml:space="preserve"> PAGE  \* MERGEFORMAT </w:instrText>
    </w:r>
    <w:r w:rsidRPr="00092EBC">
      <w:rPr>
        <w:b/>
        <w:sz w:val="18"/>
      </w:rPr>
      <w:fldChar w:fldCharType="separate"/>
    </w:r>
    <w:r w:rsidRPr="00092EBC">
      <w:rPr>
        <w:b/>
        <w:noProof/>
        <w:sz w:val="18"/>
      </w:rPr>
      <w:t>2</w:t>
    </w:r>
    <w:r w:rsidRPr="00092EBC">
      <w:rPr>
        <w:b/>
        <w:sz w:val="18"/>
      </w:rPr>
      <w:fldChar w:fldCharType="end"/>
    </w:r>
    <w:r>
      <w:rPr>
        <w:b/>
        <w:sz w:val="18"/>
      </w:rPr>
      <w:tab/>
    </w:r>
    <w:r>
      <w:t>GE.23-21813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847E" w14:textId="765A2F94" w:rsidR="00092EBC" w:rsidRPr="00092EBC" w:rsidRDefault="00092EBC" w:rsidP="00092EBC">
    <w:pPr>
      <w:pStyle w:val="a8"/>
      <w:tabs>
        <w:tab w:val="clear" w:pos="9639"/>
        <w:tab w:val="right" w:pos="9638"/>
      </w:tabs>
      <w:rPr>
        <w:b/>
        <w:sz w:val="18"/>
      </w:rPr>
    </w:pPr>
    <w:r>
      <w:t>GE.23-21813</w:t>
    </w:r>
    <w:r>
      <w:tab/>
    </w:r>
    <w:r w:rsidRPr="00092EBC">
      <w:rPr>
        <w:b/>
        <w:sz w:val="18"/>
      </w:rPr>
      <w:fldChar w:fldCharType="begin"/>
    </w:r>
    <w:r w:rsidRPr="00092EBC">
      <w:rPr>
        <w:b/>
        <w:sz w:val="18"/>
      </w:rPr>
      <w:instrText xml:space="preserve"> PAGE  \* MERGEFORMAT </w:instrText>
    </w:r>
    <w:r w:rsidRPr="00092EBC">
      <w:rPr>
        <w:b/>
        <w:sz w:val="18"/>
      </w:rPr>
      <w:fldChar w:fldCharType="separate"/>
    </w:r>
    <w:r w:rsidRPr="00092EBC">
      <w:rPr>
        <w:b/>
        <w:noProof/>
        <w:sz w:val="18"/>
      </w:rPr>
      <w:t>3</w:t>
    </w:r>
    <w:r w:rsidRPr="00092E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4859" w14:textId="40345EE7" w:rsidR="00042B72" w:rsidRPr="00092EBC" w:rsidRDefault="00092EBC" w:rsidP="00092EB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8FE677" wp14:editId="3C34F8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21813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3EBA22" wp14:editId="064579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301123  011223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03CD" w14:textId="77777777" w:rsidR="00344A66" w:rsidRPr="001075E9" w:rsidRDefault="00344A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24E1C6" w14:textId="77777777" w:rsidR="00344A66" w:rsidRDefault="00344A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249747" w14:textId="77777777" w:rsidR="00092EBC" w:rsidRPr="00906622" w:rsidRDefault="00092EBC" w:rsidP="00092EBC">
      <w:pPr>
        <w:pStyle w:val="ad"/>
        <w:rPr>
          <w:szCs w:val="18"/>
        </w:rPr>
      </w:pPr>
      <w:r>
        <w:tab/>
      </w:r>
      <w:r w:rsidRPr="00092EBC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CCNR-ZKR/ADN/WP.15/AC.2/2024/17.</w:t>
      </w:r>
    </w:p>
  </w:footnote>
  <w:footnote w:id="2">
    <w:p w14:paraId="1BCC4C0C" w14:textId="77777777" w:rsidR="00092EBC" w:rsidRPr="00553434" w:rsidRDefault="00092EBC" w:rsidP="00092EBC">
      <w:pPr>
        <w:pStyle w:val="ad"/>
        <w:rPr>
          <w:szCs w:val="18"/>
        </w:rPr>
      </w:pPr>
      <w:r>
        <w:tab/>
      </w:r>
      <w:r w:rsidRPr="00092EBC">
        <w:rPr>
          <w:sz w:val="20"/>
        </w:rPr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75E0" w14:textId="2440A768" w:rsidR="00092EBC" w:rsidRPr="00092EBC" w:rsidRDefault="00092EBC">
    <w:pPr>
      <w:pStyle w:val="a5"/>
    </w:pPr>
    <w:fldSimple w:instr=" TITLE  \* MERGEFORMAT ">
      <w:r w:rsidR="00E36E33">
        <w:t>ECE/TRANS/WP.15/AC.2/2024/17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84E2" w14:textId="76AB06D2" w:rsidR="00092EBC" w:rsidRPr="00092EBC" w:rsidRDefault="00092EBC" w:rsidP="00092EBC">
    <w:pPr>
      <w:pStyle w:val="a5"/>
      <w:jc w:val="right"/>
    </w:pPr>
    <w:fldSimple w:instr=" TITLE  \* MERGEFORMAT ">
      <w:r w:rsidR="00E36E33">
        <w:t>ECE/TRANS/WP.15/AC.2/2024/17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1095592240">
    <w:abstractNumId w:val="16"/>
  </w:num>
  <w:num w:numId="23" w16cid:durableId="65707567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66"/>
    <w:rsid w:val="00006521"/>
    <w:rsid w:val="00033EE1"/>
    <w:rsid w:val="00042B72"/>
    <w:rsid w:val="000558BD"/>
    <w:rsid w:val="00092EB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A6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0C0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E33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C2E26"/>
  <w15:docId w15:val="{5CAA0D6E-7D8E-49ED-97CA-FE9AC649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92EBC"/>
    <w:rPr>
      <w:lang w:val="ru-RU" w:eastAsia="en-US"/>
    </w:rPr>
  </w:style>
  <w:style w:type="paragraph" w:customStyle="1" w:styleId="ParNoG">
    <w:name w:val="_ParNo_G"/>
    <w:basedOn w:val="a"/>
    <w:qFormat/>
    <w:rsid w:val="00092EBC"/>
    <w:pPr>
      <w:numPr>
        <w:numId w:val="23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711</Words>
  <Characters>4859</Characters>
  <Application>Microsoft Office Word</Application>
  <DocSecurity>0</DocSecurity>
  <Lines>108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ECE/TRANS/WP.15/AC.2/2024/17</vt:lpstr>
      <vt:lpstr>A/</vt:lpstr>
      <vt:lpstr>A/</vt:lpstr>
    </vt:vector>
  </TitlesOfParts>
  <Company>DCM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ECE/TRANS/WP.15/AC.2/2024/17</dc:title>
  <dc:subject/>
  <dc:creator>Marina KOROTKOVA</dc:creator>
  <cp:keywords/>
  <cp:lastModifiedBy>Marina KOROTKOVA</cp:lastModifiedBy>
  <cp:revision>3</cp:revision>
  <cp:lastPrinted>2023-12-01T06:31:00Z</cp:lastPrinted>
  <dcterms:created xsi:type="dcterms:W3CDTF">2023-12-01T06:31:00Z</dcterms:created>
  <dcterms:modified xsi:type="dcterms:W3CDTF">2023-12-01T06:31:00Z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