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7642C3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0A6FAF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0F644D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2BCFDDF" w14:textId="13D9AE4E" w:rsidR="009E6CB7" w:rsidRPr="00D47EEA" w:rsidRDefault="001417D9" w:rsidP="001417D9">
            <w:pPr>
              <w:jc w:val="right"/>
            </w:pPr>
            <w:r w:rsidRPr="001417D9">
              <w:rPr>
                <w:sz w:val="40"/>
              </w:rPr>
              <w:t>ECE</w:t>
            </w:r>
            <w:r>
              <w:t>/TRANS/WP.15/AC.2/2024/17</w:t>
            </w:r>
          </w:p>
        </w:tc>
      </w:tr>
      <w:tr w:rsidR="009E6CB7" w14:paraId="5DFDF1B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90098B7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E2F2EA" wp14:editId="298DFA7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EF6571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DB744C5" w14:textId="77777777" w:rsidR="009E6CB7" w:rsidRDefault="001417D9" w:rsidP="001417D9">
            <w:pPr>
              <w:spacing w:before="240" w:line="240" w:lineRule="exact"/>
            </w:pPr>
            <w:r>
              <w:t>Distr.: General</w:t>
            </w:r>
          </w:p>
          <w:p w14:paraId="462BF3AF" w14:textId="36CE4E0E" w:rsidR="001417D9" w:rsidRDefault="008350B9" w:rsidP="001417D9">
            <w:pPr>
              <w:spacing w:line="240" w:lineRule="exact"/>
            </w:pPr>
            <w:r>
              <w:t>9</w:t>
            </w:r>
            <w:r w:rsidR="001417D9">
              <w:t xml:space="preserve"> November 2023</w:t>
            </w:r>
          </w:p>
          <w:p w14:paraId="1A99A23F" w14:textId="77777777" w:rsidR="001417D9" w:rsidRDefault="001417D9" w:rsidP="001417D9">
            <w:pPr>
              <w:spacing w:line="240" w:lineRule="exact"/>
            </w:pPr>
          </w:p>
          <w:p w14:paraId="59138C65" w14:textId="12F209D4" w:rsidR="001417D9" w:rsidRDefault="001417D9" w:rsidP="001417D9">
            <w:pPr>
              <w:spacing w:line="240" w:lineRule="exact"/>
            </w:pPr>
            <w:r>
              <w:t>Original: English</w:t>
            </w:r>
          </w:p>
        </w:tc>
      </w:tr>
    </w:tbl>
    <w:p w14:paraId="3B545120" w14:textId="77777777" w:rsidR="001417D9" w:rsidRPr="003134DF" w:rsidRDefault="001417D9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2CB91217" w14:textId="77777777" w:rsidR="001417D9" w:rsidRPr="003134DF" w:rsidRDefault="001417D9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52F7D18C" w14:textId="77777777" w:rsidR="001417D9" w:rsidRPr="003134DF" w:rsidRDefault="001417D9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082ED5DC" w14:textId="77777777" w:rsidR="001417D9" w:rsidRPr="003134DF" w:rsidRDefault="001417D9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0D0C8BBB" w14:textId="77777777" w:rsidR="001417D9" w:rsidRPr="008D7010" w:rsidRDefault="001417D9" w:rsidP="001417D9">
      <w:pPr>
        <w:spacing w:before="120"/>
        <w:rPr>
          <w:b/>
        </w:rPr>
      </w:pPr>
      <w:r>
        <w:rPr>
          <w:b/>
        </w:rPr>
        <w:t xml:space="preserve">Forty-third </w:t>
      </w:r>
      <w:r w:rsidRPr="008D7010">
        <w:rPr>
          <w:b/>
        </w:rPr>
        <w:t>session</w:t>
      </w:r>
    </w:p>
    <w:p w14:paraId="35593650" w14:textId="77777777" w:rsidR="001417D9" w:rsidRDefault="001417D9" w:rsidP="001417D9">
      <w:r w:rsidRPr="008D7010">
        <w:t xml:space="preserve">Geneva, </w:t>
      </w:r>
      <w:r>
        <w:t>22-26 January 2024</w:t>
      </w:r>
    </w:p>
    <w:p w14:paraId="3A856970" w14:textId="77777777" w:rsidR="001417D9" w:rsidRDefault="001417D9" w:rsidP="001417D9">
      <w:pPr>
        <w:rPr>
          <w:lang w:val="en-US"/>
        </w:rPr>
      </w:pPr>
      <w:r>
        <w:rPr>
          <w:lang w:val="en-US"/>
        </w:rPr>
        <w:t>Item 5 (b) of the provisional agenda</w:t>
      </w:r>
    </w:p>
    <w:p w14:paraId="2B2AC761" w14:textId="77777777" w:rsidR="001417D9" w:rsidRPr="00A51776" w:rsidRDefault="001417D9" w:rsidP="001417D9">
      <w:pPr>
        <w:contextualSpacing/>
        <w:rPr>
          <w:b/>
        </w:rPr>
      </w:pPr>
      <w:r w:rsidRPr="00A51776">
        <w:rPr>
          <w:b/>
        </w:rPr>
        <w:t>Proposals for amendments to the Regulations annexed to ADN:</w:t>
      </w:r>
    </w:p>
    <w:p w14:paraId="232F97FA" w14:textId="77777777" w:rsidR="001417D9" w:rsidRPr="004671C1" w:rsidRDefault="001417D9" w:rsidP="001417D9">
      <w:pPr>
        <w:contextualSpacing/>
        <w:rPr>
          <w:b/>
          <w:bCs/>
        </w:rPr>
      </w:pPr>
      <w:r w:rsidRPr="00044AD0">
        <w:rPr>
          <w:b/>
          <w:bCs/>
        </w:rPr>
        <w:t>other proposals</w:t>
      </w:r>
    </w:p>
    <w:p w14:paraId="2FA877C1" w14:textId="23953D9D" w:rsidR="001417D9" w:rsidRPr="006852FE" w:rsidRDefault="001417D9" w:rsidP="001417D9">
      <w:pPr>
        <w:pStyle w:val="HChG"/>
      </w:pPr>
      <w:r w:rsidRPr="006852FE">
        <w:tab/>
      </w:r>
      <w:r w:rsidRPr="006852FE">
        <w:tab/>
        <w:t xml:space="preserve">Proposal for </w:t>
      </w:r>
      <w:r>
        <w:t>two additions in 1.6.7.2 General transitional provisions</w:t>
      </w:r>
    </w:p>
    <w:p w14:paraId="6D0705E5" w14:textId="2F69714D" w:rsidR="001417D9" w:rsidRPr="006852FE" w:rsidRDefault="001417D9" w:rsidP="001417D9">
      <w:pPr>
        <w:pStyle w:val="H1G"/>
      </w:pPr>
      <w:r w:rsidRPr="006852FE">
        <w:tab/>
      </w:r>
      <w:r w:rsidRPr="006852FE">
        <w:tab/>
        <w:t>Transmitted by the Government of Belgium</w:t>
      </w:r>
      <w:r w:rsidR="0081388B" w:rsidRPr="00771558">
        <w:rPr>
          <w:rStyle w:val="FootnoteReference"/>
          <w:sz w:val="20"/>
          <w:vertAlign w:val="baseline"/>
        </w:rPr>
        <w:footnoteReference w:customMarkFollows="1" w:id="2"/>
        <w:t>*</w:t>
      </w:r>
      <w:r w:rsidR="0081388B" w:rsidRPr="00404A27">
        <w:rPr>
          <w:sz w:val="20"/>
          <w:vertAlign w:val="superscript"/>
        </w:rPr>
        <w:t xml:space="preserve">, </w:t>
      </w:r>
      <w:r w:rsidR="0081388B" w:rsidRPr="00404A27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17A19C7" w14:textId="77777777" w:rsidR="001417D9" w:rsidRPr="006852FE" w:rsidRDefault="001417D9" w:rsidP="001417D9">
      <w:pPr>
        <w:pStyle w:val="HChG"/>
      </w:pPr>
      <w:r w:rsidRPr="006852FE">
        <w:tab/>
      </w:r>
      <w:r w:rsidRPr="006852FE">
        <w:tab/>
        <w:t>Introduction</w:t>
      </w:r>
    </w:p>
    <w:p w14:paraId="043BBD3D" w14:textId="3E52A9EE" w:rsidR="001417D9" w:rsidRDefault="001417D9" w:rsidP="001417D9">
      <w:pPr>
        <w:pStyle w:val="SingleTxtG"/>
      </w:pPr>
      <w:bookmarkStart w:id="0" w:name="_Hlk87882230"/>
      <w:r w:rsidRPr="006852FE">
        <w:t>1.</w:t>
      </w:r>
      <w:r w:rsidRPr="006852FE">
        <w:tab/>
      </w:r>
      <w:r>
        <w:t xml:space="preserve">During </w:t>
      </w:r>
      <w:r w:rsidR="006358FA">
        <w:t xml:space="preserve">its </w:t>
      </w:r>
      <w:r w:rsidRPr="006852FE">
        <w:t>fort</w:t>
      </w:r>
      <w:r>
        <w:t>y</w:t>
      </w:r>
      <w:r w:rsidR="00546182">
        <w:t>-</w:t>
      </w:r>
      <w:r>
        <w:t>second</w:t>
      </w:r>
      <w:r w:rsidRPr="006852FE">
        <w:t xml:space="preserve"> </w:t>
      </w:r>
      <w:r w:rsidR="00546182">
        <w:t>session</w:t>
      </w:r>
      <w:r w:rsidRPr="006852FE">
        <w:t xml:space="preserve"> the ADN Safety Committee</w:t>
      </w:r>
      <w:r>
        <w:t xml:space="preserve"> discussed </w:t>
      </w:r>
      <w:r w:rsidR="00475864">
        <w:t>i</w:t>
      </w:r>
      <w:r>
        <w:t xml:space="preserve">nformal </w:t>
      </w:r>
      <w:r w:rsidR="00546182">
        <w:t>d</w:t>
      </w:r>
      <w:r>
        <w:t xml:space="preserve">ocument </w:t>
      </w:r>
      <w:r w:rsidR="00546182">
        <w:t>INF.</w:t>
      </w:r>
      <w:r>
        <w:t xml:space="preserve">21, transmitted by </w:t>
      </w:r>
      <w:r w:rsidR="0018012A">
        <w:t xml:space="preserve">the </w:t>
      </w:r>
      <w:r w:rsidR="008E0CEC" w:rsidRPr="008E0CEC">
        <w:t>European Barge Union</w:t>
      </w:r>
      <w:r w:rsidR="0018012A">
        <w:t xml:space="preserve"> and the </w:t>
      </w:r>
      <w:r w:rsidR="00843070" w:rsidRPr="00843070">
        <w:t>European Skippers Organization</w:t>
      </w:r>
      <w:r w:rsidR="008E0CEC" w:rsidRPr="008E0CEC">
        <w:t xml:space="preserve"> </w:t>
      </w:r>
      <w:r w:rsidR="00843070">
        <w:t>(</w:t>
      </w:r>
      <w:r>
        <w:t>EBU/ESO</w:t>
      </w:r>
      <w:r w:rsidR="00843070">
        <w:t>)</w:t>
      </w:r>
      <w:r w:rsidR="002F7D3C">
        <w:t>,</w:t>
      </w:r>
      <w:r>
        <w:t xml:space="preserve"> </w:t>
      </w:r>
      <w:r w:rsidR="002F7D3C">
        <w:t>on</w:t>
      </w:r>
      <w:r>
        <w:t xml:space="preserve"> a proposal regarding transitional provisions of gas detectors.</w:t>
      </w:r>
    </w:p>
    <w:p w14:paraId="02D78DC1" w14:textId="044DF6CB" w:rsidR="001417D9" w:rsidRPr="006852FE" w:rsidRDefault="001417D9" w:rsidP="001417D9">
      <w:pPr>
        <w:pStyle w:val="SingleTxtG"/>
      </w:pPr>
      <w:r>
        <w:t>2.</w:t>
      </w:r>
      <w:r>
        <w:tab/>
      </w:r>
      <w:r w:rsidRPr="006852FE">
        <w:t xml:space="preserve">The Belgian </w:t>
      </w:r>
      <w:r>
        <w:t>delegation</w:t>
      </w:r>
      <w:r w:rsidRPr="006852FE">
        <w:t xml:space="preserve"> </w:t>
      </w:r>
      <w:r>
        <w:t>referred</w:t>
      </w:r>
      <w:r w:rsidRPr="006852FE">
        <w:t xml:space="preserve"> during the</w:t>
      </w:r>
      <w:r>
        <w:t xml:space="preserve"> discussion</w:t>
      </w:r>
      <w:r w:rsidRPr="006852FE">
        <w:t xml:space="preserve"> </w:t>
      </w:r>
      <w:r>
        <w:t xml:space="preserve">to a general rule in the European Standard (ES-TRIN), article 32.04 (6), where equipment or parts of equipment may continue to be used for a further </w:t>
      </w:r>
      <w:r w:rsidR="00A552D7">
        <w:t>twenty</w:t>
      </w:r>
      <w:r>
        <w:t xml:space="preserve"> years following revisions or new publications of a European or an International Standard</w:t>
      </w:r>
      <w:r w:rsidRPr="006852FE">
        <w:t xml:space="preserve">. The </w:t>
      </w:r>
      <w:r>
        <w:t>Belgian delegation intended to submit a document</w:t>
      </w:r>
      <w:r w:rsidRPr="006852FE">
        <w:t>.</w:t>
      </w:r>
    </w:p>
    <w:p w14:paraId="2265C842" w14:textId="4A7EAA9A" w:rsidR="001417D9" w:rsidRDefault="001417D9" w:rsidP="001417D9">
      <w:pPr>
        <w:pStyle w:val="SingleTxtG"/>
      </w:pPr>
      <w:r>
        <w:t>3</w:t>
      </w:r>
      <w:r w:rsidRPr="006852FE">
        <w:t>.</w:t>
      </w:r>
      <w:r w:rsidRPr="006852FE">
        <w:tab/>
      </w:r>
      <w:r>
        <w:t>ES-TRIN, article 32.04 (6) reads as</w:t>
      </w:r>
      <w:r w:rsidR="00155D3F">
        <w:t xml:space="preserve"> follows</w:t>
      </w:r>
      <w:r>
        <w:t>:</w:t>
      </w:r>
    </w:p>
    <w:p w14:paraId="35C046B9" w14:textId="77777777" w:rsidR="001417D9" w:rsidRPr="00E11D1A" w:rsidRDefault="001417D9" w:rsidP="00E11D1A">
      <w:pPr>
        <w:pStyle w:val="SingleTxtG"/>
        <w:ind w:left="1701"/>
      </w:pPr>
      <w:r w:rsidRPr="00E11D1A">
        <w:t>“Where this provision refers to a European or an International Standard, with regard to structural requirements:</w:t>
      </w:r>
    </w:p>
    <w:p w14:paraId="2C660146" w14:textId="787BBC52" w:rsidR="001417D9" w:rsidRPr="00E11D1A" w:rsidRDefault="00A826C1" w:rsidP="00E11D1A">
      <w:pPr>
        <w:pStyle w:val="SingleTxtG"/>
        <w:ind w:left="1701"/>
      </w:pPr>
      <w:r>
        <w:t>(</w:t>
      </w:r>
      <w:r w:rsidR="001417D9" w:rsidRPr="00E11D1A">
        <w:t>a)</w:t>
      </w:r>
      <w:r w:rsidR="00E11D1A">
        <w:tab/>
      </w:r>
      <w:r w:rsidR="001417D9" w:rsidRPr="00E11D1A">
        <w:t>pertaining to free-standing items of equipment, such items of equipment may, after any new publication or revision of the Standard, continue to be used for a further 20 years following the new publication or the revision of this Standard,</w:t>
      </w:r>
    </w:p>
    <w:p w14:paraId="604B9AA4" w14:textId="6F65FAA1" w:rsidR="001417D9" w:rsidRPr="00E11D1A" w:rsidRDefault="00A826C1" w:rsidP="00E11D1A">
      <w:pPr>
        <w:pStyle w:val="SingleTxtG"/>
        <w:ind w:left="1701"/>
      </w:pPr>
      <w:r>
        <w:lastRenderedPageBreak/>
        <w:t>(</w:t>
      </w:r>
      <w:r w:rsidR="001417D9" w:rsidRPr="00E11D1A">
        <w:t>b)</w:t>
      </w:r>
      <w:r w:rsidR="00E11D1A">
        <w:tab/>
      </w:r>
      <w:r w:rsidR="001417D9" w:rsidRPr="00E11D1A">
        <w:t>pertaining to permanently installed equipment parts, equipment parts may continue to be used until they are replaced or the areas in question have been converted.”</w:t>
      </w:r>
    </w:p>
    <w:p w14:paraId="4F7878F8" w14:textId="3E01695E" w:rsidR="001417D9" w:rsidRDefault="001417D9" w:rsidP="00553434">
      <w:pPr>
        <w:pStyle w:val="SingleTxtG"/>
      </w:pPr>
      <w:r>
        <w:t>4</w:t>
      </w:r>
      <w:r w:rsidRPr="006852FE">
        <w:t>.</w:t>
      </w:r>
      <w:r w:rsidRPr="006852FE">
        <w:tab/>
      </w:r>
      <w:r w:rsidRPr="00D47434">
        <w:t xml:space="preserve">The standards </w:t>
      </w:r>
      <w:r>
        <w:t>considered</w:t>
      </w:r>
      <w:r w:rsidRPr="00D47434">
        <w:t xml:space="preserve"> are linked to the industry and the market, at least, most of these standards</w:t>
      </w:r>
      <w:r>
        <w:t>. They</w:t>
      </w:r>
      <w:r w:rsidRPr="00D47434">
        <w:t xml:space="preserve"> </w:t>
      </w:r>
      <w:r>
        <w:t>are</w:t>
      </w:r>
      <w:r w:rsidRPr="00D47434">
        <w:t xml:space="preserve"> not </w:t>
      </w:r>
      <w:r>
        <w:t>always revised</w:t>
      </w:r>
      <w:r w:rsidRPr="00D47434">
        <w:t xml:space="preserve"> because of safety</w:t>
      </w:r>
      <w:r>
        <w:t xml:space="preserve"> reasons</w:t>
      </w:r>
      <w:r w:rsidRPr="00D47434">
        <w:t xml:space="preserve">, but because technique meets evolution. </w:t>
      </w:r>
      <w:r>
        <w:t>There are important arguments of having a transitional provision for equipment complying to a provision</w:t>
      </w:r>
      <w:r w:rsidRPr="0041135B">
        <w:t xml:space="preserve"> </w:t>
      </w:r>
      <w:r>
        <w:t xml:space="preserve">which </w:t>
      </w:r>
      <w:r w:rsidRPr="0041135B">
        <w:t>refers to a European or an International Standard</w:t>
      </w:r>
      <w:r>
        <w:t>:</w:t>
      </w:r>
    </w:p>
    <w:p w14:paraId="5BC59171" w14:textId="4FDB0295" w:rsidR="001417D9" w:rsidRDefault="001417D9" w:rsidP="00A826C1">
      <w:pPr>
        <w:pStyle w:val="Bullet1G"/>
      </w:pPr>
      <w:r>
        <w:t>There is no safety issue for</w:t>
      </w:r>
      <w:r w:rsidRPr="00D47434">
        <w:t xml:space="preserve"> devices</w:t>
      </w:r>
      <w:r>
        <w:t xml:space="preserve"> currently</w:t>
      </w:r>
      <w:r w:rsidRPr="00D47434">
        <w:t xml:space="preserve"> </w:t>
      </w:r>
      <w:r>
        <w:t>used on vessels in service</w:t>
      </w:r>
      <w:r w:rsidRPr="00D47434">
        <w:t xml:space="preserve"> </w:t>
      </w:r>
      <w:r>
        <w:t>unless the safety issue is proven during the revision of the Standard</w:t>
      </w:r>
      <w:r w:rsidRPr="00D47434">
        <w:t>.</w:t>
      </w:r>
      <w:r>
        <w:t xml:space="preserve"> So nothing is wrong </w:t>
      </w:r>
      <w:r w:rsidR="004F7A58">
        <w:t xml:space="preserve">with </w:t>
      </w:r>
      <w:r>
        <w:t>using existing equipment based on an older version of a Standard.</w:t>
      </w:r>
    </w:p>
    <w:p w14:paraId="4569839A" w14:textId="0216569B" w:rsidR="001417D9" w:rsidRDefault="001417D9" w:rsidP="00A826C1">
      <w:pPr>
        <w:pStyle w:val="Bullet1G"/>
      </w:pPr>
      <w:r>
        <w:t xml:space="preserve">In several cases the industry is not </w:t>
      </w:r>
      <w:r w:rsidR="00365B73">
        <w:t xml:space="preserve">even </w:t>
      </w:r>
      <w:r>
        <w:t xml:space="preserve">able to provide new equipment according to the new revision of the standard. This delay may last several years. The vessel owner may have a problem when he cannot obtain an equipment according to a new edition of a </w:t>
      </w:r>
      <w:r w:rsidR="00800730">
        <w:t>s</w:t>
      </w:r>
      <w:r>
        <w:t>tandard</w:t>
      </w:r>
      <w:r w:rsidR="005B0FA2">
        <w:t>.</w:t>
      </w:r>
    </w:p>
    <w:p w14:paraId="7BEA85D4" w14:textId="00959393" w:rsidR="001417D9" w:rsidRDefault="001417D9" w:rsidP="00A826C1">
      <w:pPr>
        <w:pStyle w:val="Bullet1G"/>
      </w:pPr>
      <w:r>
        <w:t xml:space="preserve">In some cases equipment is </w:t>
      </w:r>
      <w:r w:rsidR="00F63D13">
        <w:t>built</w:t>
      </w:r>
      <w:r w:rsidR="00BE0881">
        <w:t>-</w:t>
      </w:r>
      <w:r>
        <w:t>in in the installations of the vessel which may need a deinstallation of permanently installed equipment in order to replace it by new equipment.</w:t>
      </w:r>
    </w:p>
    <w:p w14:paraId="5971E945" w14:textId="03BCE887" w:rsidR="00E61EB9" w:rsidRDefault="001417D9" w:rsidP="001417D9">
      <w:pPr>
        <w:pStyle w:val="SingleTxtG"/>
      </w:pPr>
      <w:r>
        <w:t>5.</w:t>
      </w:r>
      <w:r>
        <w:tab/>
      </w:r>
      <w:r w:rsidR="0016665D">
        <w:t>T</w:t>
      </w:r>
      <w:r>
        <w:t xml:space="preserve">o have the possibility to define a different period of transition for certain provisions in </w:t>
      </w:r>
      <w:r w:rsidR="00800730">
        <w:t xml:space="preserve">the </w:t>
      </w:r>
      <w:r>
        <w:t xml:space="preserve">case a safety issue is detected resulting in a revision of the relevant </w:t>
      </w:r>
      <w:r w:rsidR="00E61EB9">
        <w:t>s</w:t>
      </w:r>
      <w:r>
        <w:t>tandard, the provision of ES-TRIN is slightly amended. In the event of a different period the transitional provision should be mentioned explicitly in the tables of 1.6.7.2.1.1 and 1.6.7.2.2.1</w:t>
      </w:r>
      <w:r w:rsidR="00B60994">
        <w:t xml:space="preserve"> of ADN</w:t>
      </w:r>
      <w:r>
        <w:t>.</w:t>
      </w:r>
    </w:p>
    <w:p w14:paraId="4BCFFE29" w14:textId="4A3E2B6D" w:rsidR="001417D9" w:rsidRDefault="00161642" w:rsidP="00553434">
      <w:pPr>
        <w:pStyle w:val="SingleTxtG"/>
      </w:pPr>
      <w:r>
        <w:t>6.</w:t>
      </w:r>
      <w:r>
        <w:tab/>
      </w:r>
      <w:r w:rsidR="001417D9">
        <w:t>The provision is also adapted to the wordings used in ADN.</w:t>
      </w:r>
    </w:p>
    <w:bookmarkEnd w:id="0"/>
    <w:p w14:paraId="58A63CD5" w14:textId="77777777" w:rsidR="001417D9" w:rsidRPr="006852FE" w:rsidRDefault="001417D9" w:rsidP="001417D9">
      <w:pPr>
        <w:pStyle w:val="HChG"/>
      </w:pPr>
      <w:r w:rsidRPr="006852FE">
        <w:tab/>
      </w:r>
      <w:r w:rsidRPr="006852FE">
        <w:tab/>
        <w:t>Proposal</w:t>
      </w:r>
    </w:p>
    <w:p w14:paraId="7C7891AA" w14:textId="7B9F8555" w:rsidR="001417D9" w:rsidRDefault="00161642" w:rsidP="001417D9">
      <w:pPr>
        <w:pStyle w:val="SingleTxtG"/>
      </w:pPr>
      <w:r>
        <w:t>7</w:t>
      </w:r>
      <w:r w:rsidR="001417D9" w:rsidRPr="006852FE">
        <w:t>.</w:t>
      </w:r>
      <w:r w:rsidR="001417D9" w:rsidRPr="006852FE">
        <w:tab/>
        <w:t xml:space="preserve">The Belgian </w:t>
      </w:r>
      <w:r w:rsidR="001417D9">
        <w:t>delegation</w:t>
      </w:r>
      <w:r w:rsidR="001417D9" w:rsidRPr="006852FE">
        <w:t xml:space="preserve"> propose</w:t>
      </w:r>
      <w:r w:rsidR="001417D9">
        <w:t>s</w:t>
      </w:r>
      <w:r w:rsidR="001417D9" w:rsidRPr="006852FE">
        <w:t xml:space="preserve"> to </w:t>
      </w:r>
      <w:r w:rsidR="001417D9">
        <w:t>add</w:t>
      </w:r>
      <w:r w:rsidR="008D2C1A">
        <w:t xml:space="preserve"> </w:t>
      </w:r>
      <w:r w:rsidR="009A6B31">
        <w:t xml:space="preserve">in 1.6.7.2.1.1 and 1.6.7.2.2.1 </w:t>
      </w:r>
      <w:r w:rsidR="001417D9">
        <w:t>two new general transitional provisions which read as</w:t>
      </w:r>
      <w:r>
        <w:t xml:space="preserve"> follows</w:t>
      </w:r>
      <w:r w:rsidR="00CE2065">
        <w:t xml:space="preserve"> (new text is bold)</w:t>
      </w:r>
      <w:r>
        <w:t>:</w:t>
      </w:r>
    </w:p>
    <w:p w14:paraId="48C3FB00" w14:textId="706ADE65" w:rsidR="00997E65" w:rsidRDefault="00CE2065" w:rsidP="00C37B32">
      <w:pPr>
        <w:pStyle w:val="SingleTxtG"/>
        <w:ind w:left="1701"/>
        <w:rPr>
          <w:b/>
          <w:bCs/>
        </w:rPr>
      </w:pPr>
      <w:r>
        <w:t>“The construction and equipment of vessels in service shall be maintained at least at the previous standard of safety</w:t>
      </w:r>
      <w:r w:rsidR="00997E65">
        <w:t xml:space="preserve">. </w:t>
      </w:r>
    </w:p>
    <w:p w14:paraId="3879223E" w14:textId="31CB1341" w:rsidR="001417D9" w:rsidRPr="00503AAA" w:rsidRDefault="001417D9" w:rsidP="00C37B32">
      <w:pPr>
        <w:pStyle w:val="SingleTxtG"/>
        <w:ind w:left="1701"/>
        <w:rPr>
          <w:b/>
          <w:bCs/>
        </w:rPr>
      </w:pPr>
      <w:r w:rsidRPr="00503AAA">
        <w:rPr>
          <w:b/>
          <w:bCs/>
        </w:rPr>
        <w:t>Where requirements of paragraphs refer to a European or an International Standard, with regard to structural requirements:</w:t>
      </w:r>
    </w:p>
    <w:p w14:paraId="1A236530" w14:textId="7B4DA6D1" w:rsidR="001417D9" w:rsidRPr="00503AAA" w:rsidRDefault="0015078F" w:rsidP="000028F9">
      <w:pPr>
        <w:pStyle w:val="SingleTxtG"/>
        <w:ind w:left="2268" w:hanging="567"/>
        <w:rPr>
          <w:b/>
          <w:bCs/>
        </w:rPr>
      </w:pPr>
      <w:r>
        <w:rPr>
          <w:b/>
          <w:bCs/>
        </w:rPr>
        <w:t>(</w:t>
      </w:r>
      <w:r w:rsidR="001417D9" w:rsidRPr="00503AAA">
        <w:rPr>
          <w:b/>
          <w:bCs/>
        </w:rPr>
        <w:t>a)</w:t>
      </w:r>
      <w:r w:rsidR="001417D9">
        <w:rPr>
          <w:b/>
          <w:bCs/>
        </w:rPr>
        <w:tab/>
      </w:r>
      <w:r w:rsidR="001417D9" w:rsidRPr="00503AAA">
        <w:rPr>
          <w:b/>
          <w:bCs/>
        </w:rPr>
        <w:t xml:space="preserve">pertaining to free-standing items of equipment, such items of equipment may, after any new publication or revision of the </w:t>
      </w:r>
      <w:r w:rsidR="00905AAB">
        <w:rPr>
          <w:b/>
          <w:bCs/>
        </w:rPr>
        <w:t>s</w:t>
      </w:r>
      <w:r w:rsidR="001417D9" w:rsidRPr="00503AAA">
        <w:rPr>
          <w:b/>
          <w:bCs/>
        </w:rPr>
        <w:t xml:space="preserve">tandard, continue to be used for a further 20 years following the new publication or the revision of this </w:t>
      </w:r>
      <w:r w:rsidR="00905AAB">
        <w:rPr>
          <w:b/>
          <w:bCs/>
        </w:rPr>
        <w:t>s</w:t>
      </w:r>
      <w:r w:rsidR="001417D9" w:rsidRPr="00503AAA">
        <w:rPr>
          <w:b/>
          <w:bCs/>
        </w:rPr>
        <w:t>tandard,</w:t>
      </w:r>
    </w:p>
    <w:p w14:paraId="5AEDB2E9" w14:textId="5C6435BF" w:rsidR="001417D9" w:rsidRDefault="0015078F" w:rsidP="000028F9">
      <w:pPr>
        <w:pStyle w:val="SingleTxtG"/>
        <w:ind w:left="2268" w:hanging="567"/>
        <w:rPr>
          <w:b/>
          <w:bCs/>
        </w:rPr>
      </w:pPr>
      <w:r>
        <w:rPr>
          <w:b/>
          <w:bCs/>
        </w:rPr>
        <w:t>(</w:t>
      </w:r>
      <w:r w:rsidR="001417D9" w:rsidRPr="00503AAA">
        <w:rPr>
          <w:b/>
          <w:bCs/>
        </w:rPr>
        <w:t>b)</w:t>
      </w:r>
      <w:r w:rsidR="001417D9">
        <w:rPr>
          <w:b/>
          <w:bCs/>
        </w:rPr>
        <w:tab/>
      </w:r>
      <w:r w:rsidR="001417D9" w:rsidRPr="00503AAA">
        <w:rPr>
          <w:b/>
          <w:bCs/>
        </w:rPr>
        <w:t>pertaining to permanently installed equipment parts, equipment parts may continue to be used until they are replaced or the areas in question have been converted</w:t>
      </w:r>
      <w:r w:rsidR="001417D9">
        <w:rPr>
          <w:b/>
          <w:bCs/>
        </w:rPr>
        <w:t>,</w:t>
      </w:r>
    </w:p>
    <w:p w14:paraId="6BF571A1" w14:textId="20D8D048" w:rsidR="001417D9" w:rsidRPr="00503AAA" w:rsidRDefault="001417D9" w:rsidP="00C37B32">
      <w:pPr>
        <w:pStyle w:val="SingleTxtG"/>
        <w:ind w:left="1701"/>
        <w:rPr>
          <w:b/>
          <w:bCs/>
        </w:rPr>
      </w:pPr>
      <w:r>
        <w:rPr>
          <w:b/>
          <w:bCs/>
        </w:rPr>
        <w:t xml:space="preserve">unless the requirements of paragraphs are specifically mentioned in the table below with a different </w:t>
      </w:r>
      <w:r w:rsidR="00C63D53">
        <w:rPr>
          <w:b/>
          <w:bCs/>
        </w:rPr>
        <w:t xml:space="preserve">transitional </w:t>
      </w:r>
      <w:r>
        <w:rPr>
          <w:b/>
          <w:bCs/>
        </w:rPr>
        <w:t>period</w:t>
      </w:r>
      <w:r w:rsidRPr="00553434">
        <w:t>.”</w:t>
      </w:r>
    </w:p>
    <w:p w14:paraId="470ABB6E" w14:textId="77777777" w:rsidR="001417D9" w:rsidRPr="006852FE" w:rsidRDefault="001417D9" w:rsidP="001417D9">
      <w:pPr>
        <w:pStyle w:val="HChG"/>
      </w:pPr>
      <w:r w:rsidRPr="006852FE">
        <w:tab/>
      </w:r>
      <w:r w:rsidRPr="006852FE">
        <w:tab/>
        <w:t>Justification</w:t>
      </w:r>
    </w:p>
    <w:p w14:paraId="01C547E0" w14:textId="645FA04A" w:rsidR="001417D9" w:rsidRPr="006852FE" w:rsidRDefault="00074D94" w:rsidP="001417D9">
      <w:pPr>
        <w:pStyle w:val="SingleTxtG"/>
      </w:pPr>
      <w:r>
        <w:t>8</w:t>
      </w:r>
      <w:r w:rsidR="001417D9" w:rsidRPr="006852FE">
        <w:t>.</w:t>
      </w:r>
      <w:r w:rsidR="001417D9" w:rsidRPr="006852FE">
        <w:tab/>
      </w:r>
      <w:r w:rsidR="001417D9" w:rsidRPr="001F46DC">
        <w:t xml:space="preserve">The Belgian delegation </w:t>
      </w:r>
      <w:r w:rsidR="001417D9">
        <w:t>is of the opinion</w:t>
      </w:r>
      <w:r w:rsidR="001417D9" w:rsidRPr="001F46DC">
        <w:t xml:space="preserve"> that security cannot be compromised, </w:t>
      </w:r>
      <w:r w:rsidR="001417D9">
        <w:t>however</w:t>
      </w:r>
      <w:r w:rsidR="001417D9" w:rsidRPr="001F46DC">
        <w:t xml:space="preserve"> with this </w:t>
      </w:r>
      <w:r w:rsidR="001417D9">
        <w:t>amendment</w:t>
      </w:r>
      <w:r w:rsidR="001417D9" w:rsidRPr="001F46DC">
        <w:t xml:space="preserve"> we meet </w:t>
      </w:r>
      <w:r w:rsidR="001417D9">
        <w:t xml:space="preserve">the </w:t>
      </w:r>
      <w:r w:rsidR="009437C1">
        <w:t xml:space="preserve">Sustainable Development Goal (SDG) of </w:t>
      </w:r>
      <w:r w:rsidR="001417D9">
        <w:t>reducing environmental pressures and using resources more sustainably</w:t>
      </w:r>
      <w:r w:rsidR="001417D9" w:rsidRPr="006852FE">
        <w:t>.</w:t>
      </w:r>
      <w:r w:rsidR="001417D9">
        <w:t xml:space="preserve"> Particularly</w:t>
      </w:r>
      <w:r w:rsidR="009437C1">
        <w:t>,</w:t>
      </w:r>
      <w:r w:rsidR="001417D9">
        <w:t xml:space="preserve"> </w:t>
      </w:r>
      <w:r w:rsidR="001417D9" w:rsidRPr="00D71F87">
        <w:t>SDG 12</w:t>
      </w:r>
      <w:r w:rsidR="001417D9">
        <w:t xml:space="preserve"> concerning responsible consumption and production applies for reducing negative environmental impact because equipment is kept on board while it is still reliable and not dumped because a </w:t>
      </w:r>
      <w:r w:rsidR="008C00E1">
        <w:t>s</w:t>
      </w:r>
      <w:r w:rsidR="001417D9">
        <w:t>tandard has been revised.</w:t>
      </w:r>
    </w:p>
    <w:p w14:paraId="5CBCE059" w14:textId="77777777" w:rsidR="001417D9" w:rsidRPr="006852FE" w:rsidRDefault="001417D9" w:rsidP="001417D9">
      <w:pPr>
        <w:pStyle w:val="HChG"/>
      </w:pPr>
      <w:r w:rsidRPr="006852FE">
        <w:lastRenderedPageBreak/>
        <w:tab/>
      </w:r>
      <w:r w:rsidRPr="006852FE">
        <w:tab/>
        <w:t>Action to be taken</w:t>
      </w:r>
    </w:p>
    <w:p w14:paraId="54F7AAE9" w14:textId="6C58F94B" w:rsidR="001417D9" w:rsidRPr="006852FE" w:rsidRDefault="00012815" w:rsidP="001417D9">
      <w:pPr>
        <w:pStyle w:val="SingleTxtG"/>
      </w:pPr>
      <w:r>
        <w:t>9</w:t>
      </w:r>
      <w:r w:rsidR="001417D9" w:rsidRPr="006852FE">
        <w:t>.</w:t>
      </w:r>
      <w:r w:rsidR="001417D9" w:rsidRPr="006852FE">
        <w:tab/>
        <w:t xml:space="preserve">The Safety Committee is invited to consider the </w:t>
      </w:r>
      <w:r w:rsidR="001417D9">
        <w:t>additions</w:t>
      </w:r>
      <w:r w:rsidR="001417D9" w:rsidRPr="006852FE">
        <w:t xml:space="preserve"> </w:t>
      </w:r>
      <w:r w:rsidR="00266038" w:rsidRPr="006852FE">
        <w:t xml:space="preserve">proposed </w:t>
      </w:r>
      <w:r w:rsidR="001417D9" w:rsidRPr="006852FE">
        <w:t xml:space="preserve">in paragraph </w:t>
      </w:r>
      <w:r>
        <w:t>7</w:t>
      </w:r>
      <w:r w:rsidRPr="006852FE">
        <w:t xml:space="preserve"> </w:t>
      </w:r>
      <w:r w:rsidR="001417D9" w:rsidRPr="006852FE">
        <w:t>above, and to take action as it deems appropriate.</w:t>
      </w:r>
    </w:p>
    <w:p w14:paraId="78E10532" w14:textId="77777777" w:rsidR="001417D9" w:rsidRPr="00527BA1" w:rsidRDefault="001417D9" w:rsidP="001417D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CAD0D7" w14:textId="77777777" w:rsidR="001C6663" w:rsidRPr="001417D9" w:rsidRDefault="001C6663" w:rsidP="00C411EB"/>
    <w:sectPr w:rsidR="001C6663" w:rsidRPr="001417D9" w:rsidSect="001417D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A6DD" w14:textId="77777777" w:rsidR="00434B2E" w:rsidRDefault="00434B2E"/>
  </w:endnote>
  <w:endnote w:type="continuationSeparator" w:id="0">
    <w:p w14:paraId="176C433C" w14:textId="77777777" w:rsidR="00434B2E" w:rsidRDefault="00434B2E"/>
  </w:endnote>
  <w:endnote w:type="continuationNotice" w:id="1">
    <w:p w14:paraId="77E4608A" w14:textId="77777777" w:rsidR="00434B2E" w:rsidRDefault="00434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DF2F" w14:textId="28878A45" w:rsidR="001417D9" w:rsidRPr="001417D9" w:rsidRDefault="001417D9" w:rsidP="001417D9">
    <w:pPr>
      <w:pStyle w:val="Footer"/>
      <w:tabs>
        <w:tab w:val="right" w:pos="9638"/>
      </w:tabs>
      <w:rPr>
        <w:sz w:val="18"/>
      </w:rPr>
    </w:pPr>
    <w:r w:rsidRPr="001417D9">
      <w:rPr>
        <w:b/>
        <w:sz w:val="18"/>
      </w:rPr>
      <w:fldChar w:fldCharType="begin"/>
    </w:r>
    <w:r w:rsidRPr="001417D9">
      <w:rPr>
        <w:b/>
        <w:sz w:val="18"/>
      </w:rPr>
      <w:instrText xml:space="preserve"> PAGE  \* MERGEFORMAT </w:instrText>
    </w:r>
    <w:r w:rsidRPr="001417D9">
      <w:rPr>
        <w:b/>
        <w:sz w:val="18"/>
      </w:rPr>
      <w:fldChar w:fldCharType="separate"/>
    </w:r>
    <w:r w:rsidRPr="001417D9">
      <w:rPr>
        <w:b/>
        <w:noProof/>
        <w:sz w:val="18"/>
      </w:rPr>
      <w:t>2</w:t>
    </w:r>
    <w:r w:rsidRPr="001417D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2A47" w14:textId="5B7A36AE" w:rsidR="001417D9" w:rsidRPr="001417D9" w:rsidRDefault="001417D9" w:rsidP="001417D9">
    <w:pPr>
      <w:pStyle w:val="Footer"/>
      <w:tabs>
        <w:tab w:val="right" w:pos="9638"/>
      </w:tabs>
      <w:rPr>
        <w:b/>
        <w:sz w:val="18"/>
      </w:rPr>
    </w:pPr>
    <w:r>
      <w:tab/>
    </w:r>
    <w:r w:rsidRPr="001417D9">
      <w:rPr>
        <w:b/>
        <w:sz w:val="18"/>
      </w:rPr>
      <w:fldChar w:fldCharType="begin"/>
    </w:r>
    <w:r w:rsidRPr="001417D9">
      <w:rPr>
        <w:b/>
        <w:sz w:val="18"/>
      </w:rPr>
      <w:instrText xml:space="preserve"> PAGE  \* MERGEFORMAT </w:instrText>
    </w:r>
    <w:r w:rsidRPr="001417D9">
      <w:rPr>
        <w:b/>
        <w:sz w:val="18"/>
      </w:rPr>
      <w:fldChar w:fldCharType="separate"/>
    </w:r>
    <w:r w:rsidRPr="001417D9">
      <w:rPr>
        <w:b/>
        <w:noProof/>
        <w:sz w:val="18"/>
      </w:rPr>
      <w:t>3</w:t>
    </w:r>
    <w:r w:rsidRPr="001417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C3C6" w14:textId="6F87C200" w:rsidR="004E53DE" w:rsidRDefault="004E53DE" w:rsidP="004E53D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BA46496" wp14:editId="5CB38F2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2A7D59" w14:textId="2857E32A" w:rsidR="004E53DE" w:rsidRPr="004E53DE" w:rsidRDefault="004E53DE" w:rsidP="004E53DE">
    <w:pPr>
      <w:pStyle w:val="Footer"/>
      <w:ind w:right="1134"/>
      <w:rPr>
        <w:sz w:val="20"/>
      </w:rPr>
    </w:pPr>
    <w:r>
      <w:rPr>
        <w:sz w:val="20"/>
      </w:rPr>
      <w:t>GE.23-21813(E)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01500B7" wp14:editId="7494B47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B0F4" w14:textId="77777777" w:rsidR="00434B2E" w:rsidRPr="000B175B" w:rsidRDefault="00434B2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8C88A8" w14:textId="77777777" w:rsidR="00434B2E" w:rsidRPr="00FC68B7" w:rsidRDefault="00434B2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3C9737" w14:textId="77777777" w:rsidR="00434B2E" w:rsidRDefault="00434B2E"/>
  </w:footnote>
  <w:footnote w:id="2">
    <w:p w14:paraId="0C236186" w14:textId="5D3BE117" w:rsidR="0081388B" w:rsidRPr="00553434" w:rsidRDefault="0081388B" w:rsidP="0081388B">
      <w:pPr>
        <w:pStyle w:val="FootnoteText"/>
        <w:rPr>
          <w:szCs w:val="18"/>
          <w:lang w:val="en-US"/>
        </w:rPr>
      </w:pPr>
      <w:r w:rsidRPr="00553434">
        <w:rPr>
          <w:rStyle w:val="FootnoteReference"/>
          <w:szCs w:val="18"/>
        </w:rPr>
        <w:tab/>
      </w:r>
      <w:r w:rsidRPr="00553434">
        <w:rPr>
          <w:rStyle w:val="FootnoteReference"/>
          <w:szCs w:val="18"/>
          <w:vertAlign w:val="baseline"/>
        </w:rPr>
        <w:t>*</w:t>
      </w:r>
      <w:r w:rsidRPr="00553434">
        <w:rPr>
          <w:rStyle w:val="FootnoteReference"/>
          <w:szCs w:val="18"/>
          <w:vertAlign w:val="baseline"/>
        </w:rPr>
        <w:tab/>
      </w:r>
      <w:r w:rsidRPr="00553434">
        <w:rPr>
          <w:szCs w:val="18"/>
        </w:rPr>
        <w:t>Distributed in German by the Central Commission for the Navigation of the Rhine under the symbol CCNR-ZKR/ADN/WP.15/AC.2/2024/17</w:t>
      </w:r>
    </w:p>
  </w:footnote>
  <w:footnote w:id="3">
    <w:p w14:paraId="4460FC17" w14:textId="77777777" w:rsidR="0081388B" w:rsidRPr="00553434" w:rsidRDefault="0081388B" w:rsidP="0081388B">
      <w:pPr>
        <w:pStyle w:val="FootnoteText"/>
        <w:rPr>
          <w:szCs w:val="18"/>
          <w:lang w:val="en-US"/>
        </w:rPr>
      </w:pPr>
      <w:r w:rsidRPr="00553434">
        <w:rPr>
          <w:rStyle w:val="FootnoteReference"/>
          <w:szCs w:val="18"/>
        </w:rPr>
        <w:tab/>
      </w:r>
      <w:r w:rsidRPr="00553434">
        <w:rPr>
          <w:rStyle w:val="FootnoteReference"/>
          <w:szCs w:val="18"/>
          <w:vertAlign w:val="baseline"/>
        </w:rPr>
        <w:t>**</w:t>
      </w:r>
      <w:r w:rsidRPr="00553434">
        <w:rPr>
          <w:rStyle w:val="FootnoteReference"/>
          <w:szCs w:val="18"/>
          <w:vertAlign w:val="baseline"/>
        </w:rPr>
        <w:tab/>
      </w:r>
      <w:r w:rsidRPr="00553434">
        <w:rPr>
          <w:szCs w:val="18"/>
        </w:rPr>
        <w:t>A/78/6 (Sect. 20), table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61F8" w14:textId="0BA73828" w:rsidR="001417D9" w:rsidRPr="001417D9" w:rsidRDefault="00B663D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ECE/TRANS/WP.15/AC.2/2024/17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AD7D" w14:textId="1BD52A28" w:rsidR="001417D9" w:rsidRPr="001417D9" w:rsidRDefault="00B663D7" w:rsidP="001417D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ECE/TRANS/WP.15/AC.2/2024/17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599083">
    <w:abstractNumId w:val="1"/>
  </w:num>
  <w:num w:numId="2" w16cid:durableId="942691718">
    <w:abstractNumId w:val="0"/>
  </w:num>
  <w:num w:numId="3" w16cid:durableId="518157846">
    <w:abstractNumId w:val="2"/>
  </w:num>
  <w:num w:numId="4" w16cid:durableId="921724605">
    <w:abstractNumId w:val="3"/>
  </w:num>
  <w:num w:numId="5" w16cid:durableId="726489244">
    <w:abstractNumId w:val="8"/>
  </w:num>
  <w:num w:numId="6" w16cid:durableId="492527383">
    <w:abstractNumId w:val="9"/>
  </w:num>
  <w:num w:numId="7" w16cid:durableId="797140400">
    <w:abstractNumId w:val="7"/>
  </w:num>
  <w:num w:numId="8" w16cid:durableId="643773957">
    <w:abstractNumId w:val="6"/>
  </w:num>
  <w:num w:numId="9" w16cid:durableId="594290170">
    <w:abstractNumId w:val="5"/>
  </w:num>
  <w:num w:numId="10" w16cid:durableId="1103303002">
    <w:abstractNumId w:val="4"/>
  </w:num>
  <w:num w:numId="11" w16cid:durableId="351418166">
    <w:abstractNumId w:val="15"/>
  </w:num>
  <w:num w:numId="12" w16cid:durableId="1405227665">
    <w:abstractNumId w:val="14"/>
  </w:num>
  <w:num w:numId="13" w16cid:durableId="1951231707">
    <w:abstractNumId w:val="10"/>
  </w:num>
  <w:num w:numId="14" w16cid:durableId="983195047">
    <w:abstractNumId w:val="12"/>
  </w:num>
  <w:num w:numId="15" w16cid:durableId="1274825072">
    <w:abstractNumId w:val="16"/>
  </w:num>
  <w:num w:numId="16" w16cid:durableId="1779566505">
    <w:abstractNumId w:val="13"/>
  </w:num>
  <w:num w:numId="17" w16cid:durableId="228658921">
    <w:abstractNumId w:val="17"/>
  </w:num>
  <w:num w:numId="18" w16cid:durableId="1346783778">
    <w:abstractNumId w:val="18"/>
  </w:num>
  <w:num w:numId="19" w16cid:durableId="1727609221">
    <w:abstractNumId w:val="11"/>
  </w:num>
  <w:num w:numId="20" w16cid:durableId="164111159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D9"/>
    <w:rsid w:val="000028F9"/>
    <w:rsid w:val="00002A7D"/>
    <w:rsid w:val="000038A8"/>
    <w:rsid w:val="00006790"/>
    <w:rsid w:val="00012815"/>
    <w:rsid w:val="00027624"/>
    <w:rsid w:val="00050F6B"/>
    <w:rsid w:val="000678CD"/>
    <w:rsid w:val="00072C8C"/>
    <w:rsid w:val="00074D94"/>
    <w:rsid w:val="00081CE0"/>
    <w:rsid w:val="00084D30"/>
    <w:rsid w:val="00090320"/>
    <w:rsid w:val="000931C0"/>
    <w:rsid w:val="0009464C"/>
    <w:rsid w:val="0009732C"/>
    <w:rsid w:val="000A01F9"/>
    <w:rsid w:val="000A2E09"/>
    <w:rsid w:val="000B175B"/>
    <w:rsid w:val="000B3A0F"/>
    <w:rsid w:val="000E0415"/>
    <w:rsid w:val="000F7715"/>
    <w:rsid w:val="001417D9"/>
    <w:rsid w:val="0015078F"/>
    <w:rsid w:val="00155D3F"/>
    <w:rsid w:val="00156B99"/>
    <w:rsid w:val="00161642"/>
    <w:rsid w:val="00166124"/>
    <w:rsid w:val="0016665D"/>
    <w:rsid w:val="0018012A"/>
    <w:rsid w:val="0018334A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7258"/>
    <w:rsid w:val="00257CAC"/>
    <w:rsid w:val="00264441"/>
    <w:rsid w:val="00266038"/>
    <w:rsid w:val="0027237A"/>
    <w:rsid w:val="002974E9"/>
    <w:rsid w:val="002A7F94"/>
    <w:rsid w:val="002B109A"/>
    <w:rsid w:val="002C6D45"/>
    <w:rsid w:val="002D6E53"/>
    <w:rsid w:val="002F046D"/>
    <w:rsid w:val="002F3023"/>
    <w:rsid w:val="002F7D3C"/>
    <w:rsid w:val="00301764"/>
    <w:rsid w:val="003229D8"/>
    <w:rsid w:val="00336C97"/>
    <w:rsid w:val="00337F88"/>
    <w:rsid w:val="00342432"/>
    <w:rsid w:val="0035223F"/>
    <w:rsid w:val="00352D4B"/>
    <w:rsid w:val="0035638C"/>
    <w:rsid w:val="00365B73"/>
    <w:rsid w:val="003663EA"/>
    <w:rsid w:val="003A46BB"/>
    <w:rsid w:val="003A4EC7"/>
    <w:rsid w:val="003A7295"/>
    <w:rsid w:val="003B1F60"/>
    <w:rsid w:val="003C2CC4"/>
    <w:rsid w:val="003C7876"/>
    <w:rsid w:val="003D4B23"/>
    <w:rsid w:val="003E278A"/>
    <w:rsid w:val="00413520"/>
    <w:rsid w:val="00430D57"/>
    <w:rsid w:val="004325CB"/>
    <w:rsid w:val="00434B2E"/>
    <w:rsid w:val="00440A07"/>
    <w:rsid w:val="00453A4A"/>
    <w:rsid w:val="00462880"/>
    <w:rsid w:val="00475864"/>
    <w:rsid w:val="00476F24"/>
    <w:rsid w:val="00497069"/>
    <w:rsid w:val="004C55B0"/>
    <w:rsid w:val="004E53DE"/>
    <w:rsid w:val="004F6BA0"/>
    <w:rsid w:val="004F7A58"/>
    <w:rsid w:val="00503BEA"/>
    <w:rsid w:val="00533616"/>
    <w:rsid w:val="00535ABA"/>
    <w:rsid w:val="0053768B"/>
    <w:rsid w:val="005420F2"/>
    <w:rsid w:val="0054285C"/>
    <w:rsid w:val="00546182"/>
    <w:rsid w:val="00553434"/>
    <w:rsid w:val="00584173"/>
    <w:rsid w:val="00595520"/>
    <w:rsid w:val="005A44B9"/>
    <w:rsid w:val="005B0FA2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358FA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D1F40"/>
    <w:rsid w:val="006D6889"/>
    <w:rsid w:val="006E564B"/>
    <w:rsid w:val="006E7154"/>
    <w:rsid w:val="007003CD"/>
    <w:rsid w:val="0070701E"/>
    <w:rsid w:val="007173E0"/>
    <w:rsid w:val="0072632A"/>
    <w:rsid w:val="007358E8"/>
    <w:rsid w:val="00736ECE"/>
    <w:rsid w:val="0074533B"/>
    <w:rsid w:val="007643BC"/>
    <w:rsid w:val="007801C5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00730"/>
    <w:rsid w:val="00810BAC"/>
    <w:rsid w:val="0081388B"/>
    <w:rsid w:val="008175E9"/>
    <w:rsid w:val="008242D7"/>
    <w:rsid w:val="0082577B"/>
    <w:rsid w:val="008272DD"/>
    <w:rsid w:val="008350B9"/>
    <w:rsid w:val="008413AB"/>
    <w:rsid w:val="00843070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C00E1"/>
    <w:rsid w:val="008C3687"/>
    <w:rsid w:val="008D045E"/>
    <w:rsid w:val="008D2C1A"/>
    <w:rsid w:val="008D3F25"/>
    <w:rsid w:val="008D4D82"/>
    <w:rsid w:val="008E0CEC"/>
    <w:rsid w:val="008E0E46"/>
    <w:rsid w:val="008E7116"/>
    <w:rsid w:val="008F143B"/>
    <w:rsid w:val="008F3882"/>
    <w:rsid w:val="008F4B7C"/>
    <w:rsid w:val="00905AAB"/>
    <w:rsid w:val="0090688D"/>
    <w:rsid w:val="00926E47"/>
    <w:rsid w:val="009437C1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3079"/>
    <w:rsid w:val="009964C4"/>
    <w:rsid w:val="00997E65"/>
    <w:rsid w:val="009A6B31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552D7"/>
    <w:rsid w:val="00A72F22"/>
    <w:rsid w:val="00A733BC"/>
    <w:rsid w:val="00A748A6"/>
    <w:rsid w:val="00A76A69"/>
    <w:rsid w:val="00A826C1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60994"/>
    <w:rsid w:val="00B663D7"/>
    <w:rsid w:val="00B70B63"/>
    <w:rsid w:val="00B72A1E"/>
    <w:rsid w:val="00B81E12"/>
    <w:rsid w:val="00BA339B"/>
    <w:rsid w:val="00BB23CC"/>
    <w:rsid w:val="00BC1E7E"/>
    <w:rsid w:val="00BC74E9"/>
    <w:rsid w:val="00BE0881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37B32"/>
    <w:rsid w:val="00C408B7"/>
    <w:rsid w:val="00C411EB"/>
    <w:rsid w:val="00C463DD"/>
    <w:rsid w:val="00C63D53"/>
    <w:rsid w:val="00C745C3"/>
    <w:rsid w:val="00C978F5"/>
    <w:rsid w:val="00CA24A4"/>
    <w:rsid w:val="00CB348D"/>
    <w:rsid w:val="00CD46F5"/>
    <w:rsid w:val="00CE2065"/>
    <w:rsid w:val="00CE4A8F"/>
    <w:rsid w:val="00CE78F6"/>
    <w:rsid w:val="00CF071D"/>
    <w:rsid w:val="00D0123D"/>
    <w:rsid w:val="00D15B04"/>
    <w:rsid w:val="00D2031B"/>
    <w:rsid w:val="00D25FE2"/>
    <w:rsid w:val="00D315C7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76D8C"/>
    <w:rsid w:val="00D978C6"/>
    <w:rsid w:val="00DA0956"/>
    <w:rsid w:val="00DA357F"/>
    <w:rsid w:val="00DA3E12"/>
    <w:rsid w:val="00DB6908"/>
    <w:rsid w:val="00DC18AD"/>
    <w:rsid w:val="00DF7CAE"/>
    <w:rsid w:val="00E10648"/>
    <w:rsid w:val="00E11D1A"/>
    <w:rsid w:val="00E423C0"/>
    <w:rsid w:val="00E61EB9"/>
    <w:rsid w:val="00E6414C"/>
    <w:rsid w:val="00E7260F"/>
    <w:rsid w:val="00E8702D"/>
    <w:rsid w:val="00E905F4"/>
    <w:rsid w:val="00E916A9"/>
    <w:rsid w:val="00E916DE"/>
    <w:rsid w:val="00E925AD"/>
    <w:rsid w:val="00E96630"/>
    <w:rsid w:val="00ED18B9"/>
    <w:rsid w:val="00ED18DC"/>
    <w:rsid w:val="00ED6201"/>
    <w:rsid w:val="00ED7239"/>
    <w:rsid w:val="00ED7A2A"/>
    <w:rsid w:val="00EF1D7F"/>
    <w:rsid w:val="00F0137E"/>
    <w:rsid w:val="00F21786"/>
    <w:rsid w:val="00F24C01"/>
    <w:rsid w:val="00F3742B"/>
    <w:rsid w:val="00F41FDB"/>
    <w:rsid w:val="00F50596"/>
    <w:rsid w:val="00F56D63"/>
    <w:rsid w:val="00F609A9"/>
    <w:rsid w:val="00F63D13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2B8F0"/>
  <w15:docId w15:val="{6432F199-7A17-4828-B15C-C9E348FB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Revision">
    <w:name w:val="Revision"/>
    <w:hidden/>
    <w:uiPriority w:val="99"/>
    <w:semiHidden/>
    <w:rsid w:val="00A826C1"/>
    <w:pPr>
      <w:spacing w:line="240" w:lineRule="auto"/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4970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70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9706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7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7069"/>
    <w:rPr>
      <w:b/>
      <w:bCs/>
      <w:lang w:val="en-GB"/>
    </w:rPr>
  </w:style>
  <w:style w:type="character" w:styleId="Mention">
    <w:name w:val="Mention"/>
    <w:basedOn w:val="DefaultParagraphFont"/>
    <w:uiPriority w:val="99"/>
    <w:unhideWhenUsed/>
    <w:rsid w:val="00497069"/>
    <w:rPr>
      <w:color w:val="2B579A"/>
      <w:shd w:val="clear" w:color="auto" w:fill="E1DFDD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1388B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02768E-20FF-49A9-B429-301AAC25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3</Pages>
  <Words>762</Words>
  <Characters>4178</Characters>
  <Application>Microsoft Office Word</Application>
  <DocSecurity>0</DocSecurity>
  <Lines>87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ECE/TRANS/WP.15/AC.2/2024/17</dc:title>
  <dc:subject>2321813</dc:subject>
  <dc:creator>Editorial</dc:creator>
  <cp:keywords/>
  <dc:description/>
  <cp:lastModifiedBy>Maria Rosario Corazon Gatmaytan</cp:lastModifiedBy>
  <cp:revision>2</cp:revision>
  <cp:lastPrinted>2023-11-09T07:07:00Z</cp:lastPrinted>
  <dcterms:created xsi:type="dcterms:W3CDTF">2023-11-09T07:08:00Z</dcterms:created>
  <dcterms:modified xsi:type="dcterms:W3CDTF">2023-11-09T07:08:00Z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