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43741202" w:rsidR="00B60659" w:rsidRPr="003946CB"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rPr>
      </w:pPr>
      <w:r w:rsidRPr="003946CB">
        <w:rPr>
          <w:rFonts w:ascii="Arial" w:hAnsi="Arial"/>
          <w:noProof/>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3946CB">
        <w:rPr>
          <w:rFonts w:ascii="Arial" w:hAnsi="Arial"/>
          <w:lang w:eastAsia="de-DE"/>
        </w:rPr>
        <w:t>CCNR-ZKR/ADN/WP.15/AC.2/2024/28</w:t>
      </w:r>
    </w:p>
    <w:p w14:paraId="7C27E3DD" w14:textId="77777777" w:rsidR="00B60659" w:rsidRPr="003946CB"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rPr>
      </w:pPr>
      <w:r w:rsidRPr="003946CB">
        <w:rPr>
          <w:rFonts w:ascii="Arial" w:hAnsi="Arial"/>
          <w:sz w:val="16"/>
          <w:lang w:eastAsia="de-DE"/>
        </w:rPr>
        <w:t>Allgemeine Verteilung</w:t>
      </w:r>
    </w:p>
    <w:p w14:paraId="215D853B" w14:textId="5D954D4C" w:rsidR="00B60659" w:rsidRPr="003946CB" w:rsidRDefault="008E4635"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3946CB">
        <w:rPr>
          <w:rFonts w:ascii="Arial" w:hAnsi="Arial"/>
          <w:lang w:eastAsia="de-DE"/>
        </w:rPr>
        <w:t>10. November 2023</w:t>
      </w:r>
    </w:p>
    <w:p w14:paraId="1BCCEA4C" w14:textId="65DB22B0" w:rsidR="00B60659" w:rsidRPr="003946CB"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proofErr w:type="spellStart"/>
      <w:r w:rsidRPr="003946CB">
        <w:rPr>
          <w:rFonts w:ascii="Arial" w:hAnsi="Arial"/>
          <w:sz w:val="16"/>
          <w:lang w:eastAsia="de-DE"/>
        </w:rPr>
        <w:t>Or</w:t>
      </w:r>
      <w:proofErr w:type="spellEnd"/>
      <w:r w:rsidRPr="003946CB">
        <w:rPr>
          <w:rFonts w:ascii="Arial" w:hAnsi="Arial"/>
          <w:sz w:val="16"/>
          <w:lang w:eastAsia="de-DE"/>
        </w:rPr>
        <w:t xml:space="preserve">. </w:t>
      </w:r>
      <w:r w:rsidRPr="003946CB">
        <w:rPr>
          <w:rFonts w:ascii="Arial" w:hAnsi="Arial"/>
          <w:sz w:val="16"/>
        </w:rPr>
        <w:t>ENGLISCH</w:t>
      </w:r>
    </w:p>
    <w:p w14:paraId="1F45327D" w14:textId="77777777" w:rsidR="00B60659" w:rsidRPr="003946CB"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3946CB"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3946CB">
        <w:rPr>
          <w:rFonts w:ascii="Arial" w:hAnsi="Arial"/>
          <w:sz w:val="16"/>
        </w:rPr>
        <w:t>GEMEINSAME EXPERTENTAGUNG FÜR DIE DEM ÜBEREINKOMMEN ÜBER DIE INTERNATIONALE BEFÖRDERUNG VON GEFÄHRLICHEN GÜTERN AUF BINNENWASSERSTRAẞEN (ADN) BEIGEFÜGTE VERORDNUNG (SICHERHEITSAUSSCHUSS)</w:t>
      </w:r>
    </w:p>
    <w:p w14:paraId="1342B616" w14:textId="220030DA" w:rsidR="00B60659" w:rsidRPr="003946CB"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3946CB">
        <w:rPr>
          <w:rFonts w:ascii="Arial" w:hAnsi="Arial"/>
          <w:sz w:val="16"/>
        </w:rPr>
        <w:t>(43. Tagung, Genf, 22. – 26. Januar 2024)</w:t>
      </w:r>
    </w:p>
    <w:p w14:paraId="01501DC6" w14:textId="5F64690A" w:rsidR="00B60659" w:rsidRPr="003946CB"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3946CB">
        <w:rPr>
          <w:rFonts w:ascii="Arial" w:hAnsi="Arial"/>
          <w:sz w:val="16"/>
          <w:lang w:eastAsia="en-US"/>
        </w:rPr>
        <w:t>Punkt 5 b) der vorläufigen Tagesordnung</w:t>
      </w:r>
    </w:p>
    <w:p w14:paraId="7992D5BF" w14:textId="77777777" w:rsidR="00B60659" w:rsidRPr="003946CB" w:rsidRDefault="00B60659" w:rsidP="00B60659">
      <w:pPr>
        <w:widowControl/>
        <w:overflowPunct/>
        <w:autoSpaceDE/>
        <w:autoSpaceDN/>
        <w:adjustRightInd/>
        <w:spacing w:after="120"/>
        <w:ind w:left="3958" w:firstLine="11"/>
        <w:jc w:val="left"/>
        <w:textAlignment w:val="auto"/>
        <w:rPr>
          <w:rFonts w:ascii="Arial" w:hAnsi="Arial" w:cs="Arial"/>
          <w:b/>
          <w:sz w:val="14"/>
          <w:szCs w:val="16"/>
        </w:rPr>
      </w:pPr>
      <w:r w:rsidRPr="003946CB">
        <w:rPr>
          <w:rFonts w:ascii="Arial" w:hAnsi="Arial"/>
          <w:b/>
          <w:sz w:val="14"/>
          <w:lang w:eastAsia="en-US"/>
        </w:rPr>
        <w:t>Vorschläge für Änderungen der dem ADN beigefügten Verordnung: Weitere Änderungsvorschläge</w:t>
      </w:r>
    </w:p>
    <w:p w14:paraId="57AABC0C" w14:textId="79AEB443" w:rsidR="008D3DAE" w:rsidRPr="003946CB" w:rsidRDefault="00B91C8E" w:rsidP="00B91C8E">
      <w:pPr>
        <w:pStyle w:val="HChG"/>
        <w:snapToGrid/>
      </w:pPr>
      <w:r w:rsidRPr="003946CB">
        <w:tab/>
      </w:r>
      <w:r w:rsidRPr="003946CB">
        <w:tab/>
        <w:t>Maximaler Inhalt pro Gefäß von Ladungsproben an Bord von „Bunkerbooten oder anderen Schiffen, die Schiffsbetriebsstoffe übergeben“ (gemäß den Absätzen 7.2.4.1.3 und 7.2.4.1.4 ADN)</w:t>
      </w:r>
    </w:p>
    <w:p w14:paraId="4BFD03E2" w14:textId="59648438" w:rsidR="008D3DAE" w:rsidRPr="003946CB" w:rsidRDefault="0079361A" w:rsidP="00B91C8E">
      <w:pPr>
        <w:spacing w:after="120"/>
        <w:ind w:right="1132" w:firstLine="0"/>
        <w:jc w:val="left"/>
        <w:rPr>
          <w:b/>
          <w:sz w:val="24"/>
        </w:rPr>
      </w:pPr>
      <w:r w:rsidRPr="003946CB">
        <w:rPr>
          <w:b/>
          <w:sz w:val="24"/>
        </w:rPr>
        <w:t>Eingereicht von der Europäischen Binnenschifffahrts-Union (EBU) und der Europäischen Schifferorganisation (ESO)</w:t>
      </w:r>
      <w:r w:rsidR="008D3DAE" w:rsidRPr="003946CB">
        <w:rPr>
          <w:b/>
          <w:sz w:val="24"/>
        </w:rPr>
        <w:footnoteReference w:customMarkFollows="1" w:id="1"/>
        <w:t xml:space="preserve">*, </w:t>
      </w:r>
      <w:r w:rsidR="008D3DAE" w:rsidRPr="003946CB">
        <w:rPr>
          <w:b/>
          <w:sz w:val="24"/>
        </w:rPr>
        <w:footnoteReference w:customMarkFollows="1" w:id="2"/>
        <w:t>**</w:t>
      </w:r>
    </w:p>
    <w:p w14:paraId="61FA93D9" w14:textId="77777777" w:rsidR="008E4635" w:rsidRPr="003946CB" w:rsidRDefault="008E4635" w:rsidP="00B91C8E">
      <w:pPr>
        <w:spacing w:after="120"/>
        <w:ind w:right="1132" w:firstLine="0"/>
        <w:jc w:val="left"/>
        <w:rPr>
          <w:b/>
          <w:sz w:val="24"/>
        </w:rPr>
      </w:pPr>
    </w:p>
    <w:tbl>
      <w:tblPr>
        <w:tblStyle w:val="Grilledutableau"/>
        <w:tblW w:w="0" w:type="auto"/>
        <w:jc w:val="center"/>
        <w:tblBorders>
          <w:insideH w:val="none" w:sz="0" w:space="0" w:color="auto"/>
        </w:tblBorders>
        <w:tblLook w:val="05E0" w:firstRow="1" w:lastRow="1" w:firstColumn="1" w:lastColumn="1" w:noHBand="0" w:noVBand="1"/>
      </w:tblPr>
      <w:tblGrid>
        <w:gridCol w:w="9060"/>
      </w:tblGrid>
      <w:tr w:rsidR="008E4635" w:rsidRPr="003946CB" w14:paraId="51224735" w14:textId="77777777" w:rsidTr="008E4635">
        <w:trPr>
          <w:jc w:val="center"/>
        </w:trPr>
        <w:tc>
          <w:tcPr>
            <w:tcW w:w="9060" w:type="dxa"/>
            <w:shd w:val="clear" w:color="auto" w:fill="auto"/>
          </w:tcPr>
          <w:p w14:paraId="4A5C4726" w14:textId="23D6E1FA" w:rsidR="008E4635" w:rsidRPr="003946CB" w:rsidRDefault="008E4635" w:rsidP="008E4635">
            <w:pPr>
              <w:widowControl/>
              <w:overflowPunct/>
              <w:autoSpaceDE/>
              <w:autoSpaceDN/>
              <w:adjustRightInd/>
              <w:spacing w:before="240" w:after="120"/>
              <w:ind w:left="255" w:firstLine="0"/>
              <w:jc w:val="left"/>
              <w:textAlignment w:val="auto"/>
              <w:rPr>
                <w:i/>
                <w:sz w:val="24"/>
              </w:rPr>
            </w:pPr>
            <w:r w:rsidRPr="003946CB">
              <w:rPr>
                <w:i/>
                <w:sz w:val="24"/>
              </w:rPr>
              <w:t>Zusammenfassung</w:t>
            </w:r>
          </w:p>
        </w:tc>
      </w:tr>
      <w:tr w:rsidR="008E4635" w:rsidRPr="003946CB" w14:paraId="3E204B0E" w14:textId="77777777" w:rsidTr="008E4635">
        <w:trPr>
          <w:jc w:val="center"/>
        </w:trPr>
        <w:tc>
          <w:tcPr>
            <w:tcW w:w="9060" w:type="dxa"/>
            <w:shd w:val="clear" w:color="auto" w:fill="auto"/>
          </w:tcPr>
          <w:p w14:paraId="2B12A442" w14:textId="420FFAAB" w:rsidR="008E4635" w:rsidRPr="003946CB" w:rsidRDefault="008E4635" w:rsidP="008E4635">
            <w:pPr>
              <w:widowControl/>
              <w:tabs>
                <w:tab w:val="left" w:pos="288"/>
                <w:tab w:val="left" w:pos="1701"/>
                <w:tab w:val="left" w:pos="2268"/>
                <w:tab w:val="left" w:pos="2552"/>
              </w:tabs>
              <w:overflowPunct/>
              <w:autoSpaceDE/>
              <w:autoSpaceDN/>
              <w:adjustRightInd/>
              <w:spacing w:after="120"/>
              <w:ind w:right="1134"/>
              <w:textAlignment w:val="auto"/>
            </w:pPr>
            <w:r w:rsidRPr="003946CB">
              <w:rPr>
                <w:b/>
              </w:rPr>
              <w:tab/>
              <w:t>Verbundene Dokumente:</w:t>
            </w:r>
            <w:r w:rsidRPr="003946CB">
              <w:rPr>
                <w:b/>
              </w:rPr>
              <w:tab/>
            </w:r>
            <w:r w:rsidRPr="003946CB">
              <w:t>Dokument ECE/TRANS/WP.15/AC.2/2023/40 der 42. Sitzung</w:t>
            </w:r>
          </w:p>
          <w:p w14:paraId="05342FF4" w14:textId="220380A8" w:rsidR="008E4635" w:rsidRPr="003946CB" w:rsidRDefault="008E4635" w:rsidP="008E4635">
            <w:pPr>
              <w:widowControl/>
              <w:tabs>
                <w:tab w:val="left" w:pos="1701"/>
                <w:tab w:val="left" w:pos="2268"/>
                <w:tab w:val="left" w:pos="2552"/>
              </w:tabs>
              <w:overflowPunct/>
              <w:autoSpaceDE/>
              <w:autoSpaceDN/>
              <w:adjustRightInd/>
              <w:spacing w:after="120"/>
              <w:ind w:right="1134" w:firstLine="0"/>
              <w:textAlignment w:val="auto"/>
            </w:pPr>
            <w:r w:rsidRPr="003946CB">
              <w:tab/>
            </w:r>
            <w:r w:rsidRPr="003946CB">
              <w:tab/>
            </w:r>
            <w:r w:rsidRPr="003946CB">
              <w:tab/>
              <w:t>ECE/TRANS/WP.15/AC.2/86; Abs. 53 (Protokoll der 42. Sitzung)</w:t>
            </w:r>
          </w:p>
        </w:tc>
      </w:tr>
      <w:tr w:rsidR="008E4635" w:rsidRPr="003946CB" w14:paraId="38A38108" w14:textId="77777777" w:rsidTr="008E4635">
        <w:trPr>
          <w:jc w:val="center"/>
        </w:trPr>
        <w:tc>
          <w:tcPr>
            <w:tcW w:w="9060" w:type="dxa"/>
            <w:shd w:val="clear" w:color="auto" w:fill="auto"/>
          </w:tcPr>
          <w:p w14:paraId="77EC2063" w14:textId="77777777" w:rsidR="008E4635" w:rsidRPr="003946CB" w:rsidRDefault="008E4635" w:rsidP="008E4635">
            <w:pPr>
              <w:widowControl/>
              <w:overflowPunct/>
              <w:autoSpaceDE/>
              <w:autoSpaceDN/>
              <w:adjustRightInd/>
              <w:ind w:left="0" w:firstLine="0"/>
              <w:jc w:val="left"/>
              <w:textAlignment w:val="auto"/>
            </w:pPr>
          </w:p>
        </w:tc>
      </w:tr>
    </w:tbl>
    <w:p w14:paraId="763B61F9" w14:textId="17437532" w:rsidR="008954EE" w:rsidRPr="003946CB" w:rsidRDefault="00830072" w:rsidP="008954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3946CB">
        <w:rPr>
          <w:b/>
          <w:sz w:val="28"/>
        </w:rPr>
        <w:tab/>
      </w:r>
      <w:r w:rsidRPr="003946CB">
        <w:rPr>
          <w:b/>
          <w:sz w:val="28"/>
        </w:rPr>
        <w:tab/>
        <w:t>Einleitung</w:t>
      </w:r>
    </w:p>
    <w:p w14:paraId="5F2A850A" w14:textId="0FB0E62A" w:rsidR="008954EE" w:rsidRPr="003946CB" w:rsidRDefault="008954EE" w:rsidP="005D47CE">
      <w:pPr>
        <w:widowControl/>
        <w:tabs>
          <w:tab w:val="left" w:pos="1701"/>
        </w:tabs>
        <w:suppressAutoHyphens/>
        <w:overflowPunct/>
        <w:autoSpaceDE/>
        <w:autoSpaceDN/>
        <w:adjustRightInd/>
        <w:spacing w:after="120" w:line="240" w:lineRule="atLeast"/>
        <w:ind w:right="1134" w:firstLine="0"/>
        <w:textAlignment w:val="auto"/>
      </w:pPr>
      <w:r w:rsidRPr="003946CB">
        <w:t>1.</w:t>
      </w:r>
      <w:r w:rsidRPr="003946CB">
        <w:tab/>
        <w:t>In Seehäfen übergeben viele ADN-Schiffe vom Typ N 2.3 und Typ C 2.2 Schiffsbrennstoffe an Seeschiffe. Der an diese Schiffe gelieferte Schiffsbrennstoff muss den weltweiten gesetzlichen Anforderungen entsprechen (Bestimmungen von MARPOL, Anlage VI Kapitel 3 Regeln 14 und 18, Gehalt an Schwefeloxiden und Brennstoffqualität). Um diese Bestimmungen zu erfüllen, müssen repräsentative Proben des gelieferten Schiffsbrennstoffs genommen und an Bord dieser Bunkerboote oder anderer Schiffe, die Schiffsbetriebsstoffe übergeben, aufbewahrt werden (gemäß den Absätzen 7.2.4.1.3 und 7.2.4.1.4 ADN).</w:t>
      </w:r>
    </w:p>
    <w:p w14:paraId="5EE4DC78" w14:textId="77777777" w:rsidR="009F38C8" w:rsidRDefault="009F38C8">
      <w:pPr>
        <w:widowControl/>
        <w:overflowPunct/>
        <w:autoSpaceDE/>
        <w:autoSpaceDN/>
        <w:adjustRightInd/>
        <w:ind w:left="0" w:firstLine="0"/>
        <w:jc w:val="left"/>
        <w:textAlignment w:val="auto"/>
      </w:pPr>
      <w:r>
        <w:br w:type="page"/>
      </w:r>
    </w:p>
    <w:p w14:paraId="7D3ECCEF" w14:textId="6471054A" w:rsidR="008954EE" w:rsidRPr="003946CB" w:rsidRDefault="008954EE" w:rsidP="007B209F">
      <w:pPr>
        <w:widowControl/>
        <w:tabs>
          <w:tab w:val="left" w:pos="1701"/>
        </w:tabs>
        <w:suppressAutoHyphens/>
        <w:overflowPunct/>
        <w:autoSpaceDE/>
        <w:autoSpaceDN/>
        <w:adjustRightInd/>
        <w:spacing w:after="120" w:line="240" w:lineRule="atLeast"/>
        <w:ind w:right="1134" w:firstLine="0"/>
        <w:textAlignment w:val="auto"/>
      </w:pPr>
      <w:r w:rsidRPr="003946CB">
        <w:lastRenderedPageBreak/>
        <w:t>2.</w:t>
      </w:r>
      <w:r w:rsidRPr="003946CB">
        <w:tab/>
        <w:t xml:space="preserve">Das Verfahren zur Probenentnahme im Rahmen der oben genannten Vorschriften ist in ISO 13739:2020 – Verfahren für den Transport von Kraftstoffen auf Schiffe – festgelegt. Lieferanten, Kunden, Käufer und Prüfer haben diese Verfahren in ihre Abläufe integriert und liefern und nehmen repräsentative Proben des gelieferten Schiffsbrennstoffs und bewahren diese auf. Die Hafenbehörden sind verpflichtet, die Einhaltung dieser Verfahren zu überprüfen, und nutzen dazu das Port State Control (PSC – </w:t>
      </w:r>
      <w:proofErr w:type="gramStart"/>
      <w:r w:rsidRPr="003946CB">
        <w:t>Hafenstaatkontrolle)-</w:t>
      </w:r>
      <w:proofErr w:type="gramEnd"/>
      <w:r w:rsidRPr="003946CB">
        <w:t>System der Internationalen Seeschifffahrtsorganisation (IMO).</w:t>
      </w:r>
    </w:p>
    <w:p w14:paraId="6D48FA23" w14:textId="77B83314" w:rsidR="008954EE" w:rsidRPr="003946CB" w:rsidRDefault="008954EE" w:rsidP="00EB23B9">
      <w:pPr>
        <w:widowControl/>
        <w:tabs>
          <w:tab w:val="left" w:pos="1701"/>
        </w:tabs>
        <w:suppressAutoHyphens/>
        <w:overflowPunct/>
        <w:autoSpaceDE/>
        <w:autoSpaceDN/>
        <w:adjustRightInd/>
        <w:spacing w:after="120" w:line="240" w:lineRule="atLeast"/>
        <w:ind w:right="1134" w:firstLine="0"/>
        <w:textAlignment w:val="auto"/>
      </w:pPr>
      <w:r w:rsidRPr="003946CB">
        <w:t>3.</w:t>
      </w:r>
      <w:r w:rsidRPr="003946CB">
        <w:tab/>
        <w:t>In Absatz 7.2.4.1.1 ADN („Begrenzung der beförderten Mengen“) wird der maximale Inhalt von Ladungsproben mit 500 ml pro Gefäß angegeben. Die Begrenzung auf 500 ml entspricht jedoch nicht den aktuellen Anforderungen, die auf ISO 13739:2020 – Verfahren für den Transport von Kraftstoffen auf Schiffe, für Schiffe zur Versorgung mit Brennstoffen (Bunkerboote) beruhen. In der Praxis werden an Bord von Bunkerbooten oder anderen Schiffen, die Schiffsbetriebsstoffe übergeben, Proben genommen und an Bord dieser Schiffe aufbewahrt, die diese 500 ml überschreiten. Die Norm wird von Lieferanten, Kunden, Käufern von Bunkerölen und Hafenbehörden befolgt.</w:t>
      </w:r>
    </w:p>
    <w:p w14:paraId="23B100BC" w14:textId="2039C3D8" w:rsidR="008954EE" w:rsidRPr="003946CB" w:rsidRDefault="008954EE" w:rsidP="008954EE">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3946CB">
        <w:rPr>
          <w:b/>
          <w:sz w:val="28"/>
        </w:rPr>
        <w:tab/>
        <w:t>I.</w:t>
      </w:r>
      <w:r w:rsidRPr="003946CB">
        <w:rPr>
          <w:b/>
          <w:sz w:val="28"/>
        </w:rPr>
        <w:tab/>
        <w:t>Problem</w:t>
      </w:r>
    </w:p>
    <w:p w14:paraId="5875F50D" w14:textId="22109BB5" w:rsidR="008954EE" w:rsidRPr="003946CB" w:rsidRDefault="008954EE" w:rsidP="00D27C2D">
      <w:pPr>
        <w:widowControl/>
        <w:tabs>
          <w:tab w:val="left" w:pos="1701"/>
        </w:tabs>
        <w:suppressAutoHyphens/>
        <w:overflowPunct/>
        <w:autoSpaceDE/>
        <w:autoSpaceDN/>
        <w:adjustRightInd/>
        <w:spacing w:after="120" w:line="240" w:lineRule="atLeast"/>
        <w:ind w:right="1134" w:firstLine="0"/>
        <w:textAlignment w:val="auto"/>
      </w:pPr>
      <w:r w:rsidRPr="003946CB">
        <w:t>4.</w:t>
      </w:r>
      <w:r w:rsidRPr="003946CB">
        <w:tab/>
        <w:t>Die erwähnte Vorschrift zur Entnahme repräsentativer Heizölproben nach ISO 13739:2020 (zweite Ausgabe, 2020-02, gültig ab April 2022) besagt zwar, dass repräsentative Proben von Brenn-/Kraftstoffen genommen werden müssen, doch wird kein Mindestinhalt der Probe mehr vorgegeben, in der Praxis werden Proben von 1 Liter (l) genommen und an Bord der Schiffe aufbewahrt (gemäß 7.2.4.1.3 und 7.2.4.1.4 des ADN). Im Falle von Qualitätsproblemen werden nach der Übergabe der Brenn-/Kraftstoffe an ein Schiff zu Kontrollzwecken und zum Nachweis, dass der gelieferte Schiffsbrennstoff den gesetzlichen Vorschriften entspricht, Rückstellproben verwendet.</w:t>
      </w:r>
    </w:p>
    <w:p w14:paraId="4046DBE0" w14:textId="588B5695" w:rsidR="008954EE" w:rsidRPr="003946CB" w:rsidRDefault="008954EE" w:rsidP="00D27C2D">
      <w:pPr>
        <w:widowControl/>
        <w:tabs>
          <w:tab w:val="left" w:pos="1701"/>
        </w:tabs>
        <w:suppressAutoHyphens/>
        <w:overflowPunct/>
        <w:autoSpaceDE/>
        <w:autoSpaceDN/>
        <w:adjustRightInd/>
        <w:spacing w:after="120" w:line="240" w:lineRule="atLeast"/>
        <w:ind w:right="1134" w:firstLine="0"/>
        <w:textAlignment w:val="auto"/>
      </w:pPr>
      <w:r w:rsidRPr="003946CB">
        <w:t>5.</w:t>
      </w:r>
      <w:r w:rsidRPr="003946CB">
        <w:tab/>
        <w:t>In Absatz 7.2.4.1.1 ADN wird ein maximaler Inhalt pro Gefäß von 500 ml angegeben. Gemäß Absatz 7.2.4.1.1 ADN ist die Anzahl der Ladungsproben auf 30 Gefäße begrenzt.</w:t>
      </w:r>
    </w:p>
    <w:p w14:paraId="796DE648" w14:textId="67526436" w:rsidR="008954EE" w:rsidRPr="003946CB" w:rsidRDefault="008954EE" w:rsidP="008954EE">
      <w:pPr>
        <w:widowControl/>
        <w:tabs>
          <w:tab w:val="left" w:pos="1701"/>
        </w:tabs>
        <w:suppressAutoHyphens/>
        <w:overflowPunct/>
        <w:autoSpaceDE/>
        <w:autoSpaceDN/>
        <w:adjustRightInd/>
        <w:spacing w:after="120" w:line="240" w:lineRule="atLeast"/>
        <w:ind w:right="1134" w:firstLine="0"/>
        <w:textAlignment w:val="auto"/>
      </w:pPr>
      <w:r w:rsidRPr="003946CB">
        <w:t>6.</w:t>
      </w:r>
      <w:r w:rsidRPr="003946CB">
        <w:tab/>
        <w:t>In Absatz 7.2.4.1.4 ADN: „An Bord von Bunkerbooten oder anderen Schiffen, die Schiffsbetriebsstoffe übergeben, darf die Anzahl Ladungsproben nach Absatz 7.2.4.1.1 von 30 auf maximal 500 erhöht werden“.</w:t>
      </w:r>
    </w:p>
    <w:p w14:paraId="0828440F" w14:textId="6C5C0F14" w:rsidR="008954EE" w:rsidRPr="003946CB" w:rsidRDefault="008954EE" w:rsidP="008954EE">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3946CB">
        <w:rPr>
          <w:b/>
          <w:sz w:val="28"/>
        </w:rPr>
        <w:tab/>
        <w:t>II.</w:t>
      </w:r>
      <w:r w:rsidRPr="003946CB">
        <w:rPr>
          <w:b/>
          <w:sz w:val="28"/>
        </w:rPr>
        <w:tab/>
        <w:t>Vorschlag</w:t>
      </w:r>
    </w:p>
    <w:p w14:paraId="0BC79625" w14:textId="56D14D6C" w:rsidR="008954EE" w:rsidRPr="003946CB" w:rsidRDefault="008954EE" w:rsidP="00023B3E">
      <w:pPr>
        <w:widowControl/>
        <w:tabs>
          <w:tab w:val="left" w:pos="1701"/>
        </w:tabs>
        <w:suppressAutoHyphens/>
        <w:overflowPunct/>
        <w:autoSpaceDE/>
        <w:autoSpaceDN/>
        <w:adjustRightInd/>
        <w:spacing w:after="120" w:line="240" w:lineRule="atLeast"/>
        <w:ind w:right="1134" w:firstLine="0"/>
        <w:textAlignment w:val="auto"/>
      </w:pPr>
      <w:r w:rsidRPr="003946CB">
        <w:t>7.</w:t>
      </w:r>
      <w:r w:rsidRPr="003946CB">
        <w:tab/>
        <w:t>EBU/ESO schlägt vor, Absatz 7.2.4.1.4 ADN wie folgt zu ändern (Änderungen sind fett markiert, kursiv und unterstrichen):</w:t>
      </w:r>
    </w:p>
    <w:p w14:paraId="13231F86" w14:textId="3D30FB6A" w:rsidR="008F6763" w:rsidRPr="003946CB" w:rsidRDefault="008F6763" w:rsidP="008F6763">
      <w:pPr>
        <w:widowControl/>
        <w:tabs>
          <w:tab w:val="left" w:pos="1701"/>
          <w:tab w:val="left" w:pos="2268"/>
          <w:tab w:val="left" w:pos="2835"/>
        </w:tabs>
        <w:overflowPunct/>
        <w:autoSpaceDE/>
        <w:autoSpaceDN/>
        <w:adjustRightInd/>
        <w:spacing w:after="120" w:line="240" w:lineRule="atLeast"/>
        <w:ind w:right="1134" w:firstLine="0"/>
        <w:textAlignment w:val="auto"/>
      </w:pPr>
      <w:r w:rsidRPr="003946CB">
        <w:t>„7.2.4.1.4.</w:t>
      </w:r>
      <w:r w:rsidRPr="003946CB">
        <w:tab/>
        <w:t xml:space="preserve">An Bord von Bunkerbooten oder anderen Schiffen, die Schiffsbetriebsstoffe übergeben, </w:t>
      </w:r>
      <w:r w:rsidRPr="003946CB">
        <w:rPr>
          <w:b/>
          <w:i/>
          <w:u w:val="single"/>
        </w:rPr>
        <w:t>darf der maximale Inhalt pro Gefäß von Ladungsproben nach Absatz 7.2.4.1.1 auf maximal 1 Liter pro Gefäß erhöht werden. Die Gesamtmenge der Ladungsproben in Litern darf 250 Liter an Bord des Schiffes nicht überschreiten.“</w:t>
      </w:r>
      <w:r w:rsidR="004B2627" w:rsidRPr="003946CB">
        <w:t>.</w:t>
      </w:r>
    </w:p>
    <w:p w14:paraId="4CF43C77" w14:textId="77777777" w:rsidR="009F38C8" w:rsidRDefault="009F38C8">
      <w:pPr>
        <w:widowControl/>
        <w:overflowPunct/>
        <w:autoSpaceDE/>
        <w:autoSpaceDN/>
        <w:adjustRightInd/>
        <w:ind w:left="0" w:firstLine="0"/>
        <w:jc w:val="left"/>
        <w:textAlignment w:val="auto"/>
        <w:rPr>
          <w:b/>
          <w:sz w:val="28"/>
        </w:rPr>
      </w:pPr>
      <w:r>
        <w:rPr>
          <w:b/>
          <w:sz w:val="28"/>
        </w:rPr>
        <w:br w:type="page"/>
      </w:r>
    </w:p>
    <w:p w14:paraId="2A09EE73" w14:textId="58E4649A" w:rsidR="008954EE" w:rsidRPr="003946CB" w:rsidRDefault="008954EE" w:rsidP="00A00BA4">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3946CB">
        <w:rPr>
          <w:b/>
          <w:sz w:val="28"/>
        </w:rPr>
        <w:lastRenderedPageBreak/>
        <w:tab/>
        <w:t>III.</w:t>
      </w:r>
      <w:r w:rsidRPr="003946CB">
        <w:rPr>
          <w:b/>
          <w:sz w:val="28"/>
        </w:rPr>
        <w:tab/>
        <w:t>Bemerkung</w:t>
      </w:r>
    </w:p>
    <w:p w14:paraId="5A0D78CF" w14:textId="06343523" w:rsidR="008954EE" w:rsidRPr="003946CB" w:rsidRDefault="008954EE" w:rsidP="0042641A">
      <w:pPr>
        <w:widowControl/>
        <w:tabs>
          <w:tab w:val="left" w:pos="1701"/>
        </w:tabs>
        <w:suppressAutoHyphens/>
        <w:overflowPunct/>
        <w:autoSpaceDE/>
        <w:autoSpaceDN/>
        <w:adjustRightInd/>
        <w:spacing w:after="120" w:line="240" w:lineRule="atLeast"/>
        <w:ind w:right="1134" w:firstLine="0"/>
        <w:textAlignment w:val="auto"/>
      </w:pPr>
      <w:r w:rsidRPr="003946CB">
        <w:t>8.</w:t>
      </w:r>
      <w:r w:rsidRPr="003946CB">
        <w:tab/>
        <w:t>Mit dieser Änderung wird die Vorschrift des ADN an die Branchenpraxis und die Anforderungen der Hafenbehörden angeglichen.</w:t>
      </w:r>
    </w:p>
    <w:p w14:paraId="51E09589" w14:textId="464B705A" w:rsidR="008954EE" w:rsidRPr="003946CB" w:rsidRDefault="008954EE" w:rsidP="0042641A">
      <w:pPr>
        <w:widowControl/>
        <w:tabs>
          <w:tab w:val="left" w:pos="1701"/>
        </w:tabs>
        <w:suppressAutoHyphens/>
        <w:overflowPunct/>
        <w:autoSpaceDE/>
        <w:autoSpaceDN/>
        <w:adjustRightInd/>
        <w:spacing w:after="120" w:line="240" w:lineRule="atLeast"/>
        <w:ind w:right="1134" w:firstLine="0"/>
        <w:textAlignment w:val="auto"/>
      </w:pPr>
      <w:r w:rsidRPr="003946CB">
        <w:t>9.</w:t>
      </w:r>
      <w:r w:rsidRPr="003946CB">
        <w:tab/>
        <w:t>Absatz 7.2.4.1.1 zweiter Spiegelstrich bleibt unverändert, sodass „[d]</w:t>
      </w:r>
      <w:proofErr w:type="spellStart"/>
      <w:r w:rsidRPr="003946CB">
        <w:t>ie</w:t>
      </w:r>
      <w:proofErr w:type="spellEnd"/>
      <w:r w:rsidRPr="003946CB">
        <w:t xml:space="preserve"> Gefäße […] den Verpackungsvorschriften in Teil 4 des ADR entsprechen und an Bord an einem bestimmten Platz innerhalb des Ladungsbereichs aufbewahrt und so aufgestellt werden [müssen], dass sie unter normalen Beförderungsbedingungen nicht zerbrechen oder durchlöchert werden können oder deren Inhalt nicht in den Aufstellungsraum austreten kann. Zerbrechliche Probeflaschen müssen mit geeigneten Polsterstoffen eingebettet werden.“.</w:t>
      </w:r>
    </w:p>
    <w:p w14:paraId="2FD577AC" w14:textId="3A6FE922" w:rsidR="008954EE" w:rsidRPr="003946CB" w:rsidRDefault="008954EE" w:rsidP="00865354">
      <w:pPr>
        <w:widowControl/>
        <w:tabs>
          <w:tab w:val="left" w:pos="1701"/>
        </w:tabs>
        <w:suppressAutoHyphens/>
        <w:overflowPunct/>
        <w:autoSpaceDE/>
        <w:autoSpaceDN/>
        <w:adjustRightInd/>
        <w:spacing w:after="120" w:line="240" w:lineRule="atLeast"/>
        <w:ind w:right="1134" w:firstLine="0"/>
        <w:textAlignment w:val="auto"/>
      </w:pPr>
      <w:r w:rsidRPr="003946CB">
        <w:t>10.</w:t>
      </w:r>
      <w:r w:rsidRPr="003946CB">
        <w:tab/>
        <w:t xml:space="preserve">Gemäß MARPOL Anlage </w:t>
      </w:r>
      <w:proofErr w:type="gramStart"/>
      <w:r w:rsidRPr="003946CB">
        <w:t>VI</w:t>
      </w:r>
      <w:proofErr w:type="gramEnd"/>
      <w:r w:rsidRPr="003946CB">
        <w:t xml:space="preserve"> Kapitel 3 Regeln 14 und 18 in Verbindung mit ISO 13739:2020 beträgt die Aufbewahrungsfrist für diese gelieferten repräsentativen Schiffsbrennstoffproben ein Jahr. Nach Angaben von Vertretern des Bunkergewerbes wird die Gesamtmenge der Ladungsproben in Litern die Menge von 250 Liter pro Jahr nicht überschreiten.</w:t>
      </w:r>
    </w:p>
    <w:p w14:paraId="6C63937C" w14:textId="77777777" w:rsidR="008F6763" w:rsidRPr="003946CB" w:rsidRDefault="008954EE" w:rsidP="008F6763">
      <w:pPr>
        <w:pStyle w:val="SingleTxtG"/>
        <w:tabs>
          <w:tab w:val="left" w:pos="1701"/>
        </w:tabs>
      </w:pPr>
      <w:r w:rsidRPr="003946CB">
        <w:t>11.</w:t>
      </w:r>
      <w:r w:rsidRPr="003946CB">
        <w:tab/>
        <w:t>Eine Erhöhung der Menge je Gefäß bis zu einer Menge von maximal 250 Litern wird sich verglichen mit den aktuellen Vorschriften nicht nachteilig auf die Sicherheit auswirken und wird die Stabilität dieser Schiffe verglichen mit den aktuellen Vorschriften nicht in einer Weise beeinträchtigen, dass sie die Mindeststabilitätsanforderungen nicht erfüllen.</w:t>
      </w:r>
    </w:p>
    <w:p w14:paraId="258CF0B9" w14:textId="68E4687C" w:rsidR="00751575" w:rsidRPr="00142C02" w:rsidRDefault="00B60659" w:rsidP="0079361A">
      <w:pPr>
        <w:tabs>
          <w:tab w:val="left" w:pos="567"/>
          <w:tab w:val="left" w:pos="1418"/>
        </w:tabs>
        <w:spacing w:line="240" w:lineRule="atLeast"/>
        <w:ind w:firstLine="0"/>
        <w:jc w:val="center"/>
      </w:pPr>
      <w:r w:rsidRPr="003946CB">
        <w:t>***</w:t>
      </w:r>
    </w:p>
    <w:sectPr w:rsidR="00751575" w:rsidRPr="00142C02"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D121" w14:textId="77777777" w:rsidR="005F0738" w:rsidRDefault="005F0738" w:rsidP="0011702A">
      <w:r>
        <w:separator/>
      </w:r>
    </w:p>
  </w:endnote>
  <w:endnote w:type="continuationSeparator" w:id="0">
    <w:p w14:paraId="25158267" w14:textId="77777777" w:rsidR="005F0738" w:rsidRDefault="005F0738"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7EE1EF52" w:rsidR="00915307" w:rsidRPr="004B2627" w:rsidRDefault="00F0142E" w:rsidP="008D3DAE">
    <w:pPr>
      <w:suppressAutoHyphens/>
      <w:jc w:val="right"/>
      <w:rPr>
        <w:lang w:val="nl-NL"/>
      </w:rPr>
    </w:pPr>
    <w:proofErr w:type="spellStart"/>
    <w:r w:rsidRPr="00142C02">
      <w:rPr>
        <w:rFonts w:ascii="Arial" w:hAnsi="Arial"/>
        <w:snapToGrid w:val="0"/>
        <w:sz w:val="12"/>
        <w:lang w:val="nl-NL"/>
      </w:rPr>
      <w:t>Extern_uh_mm</w:t>
    </w:r>
    <w:proofErr w:type="spellEnd"/>
    <w:r w:rsidRPr="00142C02">
      <w:rPr>
        <w:rFonts w:ascii="Arial" w:hAnsi="Arial"/>
        <w:snapToGrid w:val="0"/>
        <w:sz w:val="12"/>
        <w:lang w:val="nl-NL"/>
      </w:rPr>
      <w:t>/adn_wp15_ac2_202</w:t>
    </w:r>
    <w:r w:rsidR="004B2627">
      <w:rPr>
        <w:rFonts w:ascii="Arial" w:hAnsi="Arial"/>
        <w:snapToGrid w:val="0"/>
        <w:sz w:val="12"/>
        <w:lang w:val="nl-NL"/>
      </w:rPr>
      <w:t>4</w:t>
    </w:r>
    <w:r w:rsidRPr="00142C02">
      <w:rPr>
        <w:rFonts w:ascii="Arial" w:hAnsi="Arial"/>
        <w:snapToGrid w:val="0"/>
        <w:sz w:val="12"/>
        <w:lang w:val="nl-NL"/>
      </w:rPr>
      <w:t>_28de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4349BA04" w:rsidR="00455E11" w:rsidRPr="004B2627" w:rsidRDefault="004B2627" w:rsidP="004B2627">
    <w:pPr>
      <w:suppressAutoHyphens/>
      <w:jc w:val="right"/>
      <w:rPr>
        <w:lang w:val="nl-NL"/>
      </w:rPr>
    </w:pPr>
    <w:proofErr w:type="spellStart"/>
    <w:r w:rsidRPr="00142C02">
      <w:rPr>
        <w:rFonts w:ascii="Arial" w:hAnsi="Arial"/>
        <w:snapToGrid w:val="0"/>
        <w:sz w:val="12"/>
        <w:lang w:val="nl-NL"/>
      </w:rPr>
      <w:t>Extern_uh_mm</w:t>
    </w:r>
    <w:proofErr w:type="spellEnd"/>
    <w:r w:rsidRPr="00142C02">
      <w:rPr>
        <w:rFonts w:ascii="Arial" w:hAnsi="Arial"/>
        <w:snapToGrid w:val="0"/>
        <w:sz w:val="12"/>
        <w:lang w:val="nl-NL"/>
      </w:rPr>
      <w:t>/adn_wp15_ac2_202</w:t>
    </w:r>
    <w:r>
      <w:rPr>
        <w:rFonts w:ascii="Arial" w:hAnsi="Arial"/>
        <w:snapToGrid w:val="0"/>
        <w:sz w:val="12"/>
        <w:lang w:val="nl-NL"/>
      </w:rPr>
      <w:t>4</w:t>
    </w:r>
    <w:r w:rsidRPr="00142C02">
      <w:rPr>
        <w:rFonts w:ascii="Arial" w:hAnsi="Arial"/>
        <w:snapToGrid w:val="0"/>
        <w:sz w:val="12"/>
        <w:lang w:val="nl-NL"/>
      </w:rPr>
      <w:t>_28de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53B1" w14:textId="77777777" w:rsidR="005F0738" w:rsidRDefault="005F0738" w:rsidP="0011702A">
      <w:r>
        <w:separator/>
      </w:r>
    </w:p>
  </w:footnote>
  <w:footnote w:type="continuationSeparator" w:id="0">
    <w:p w14:paraId="70447251" w14:textId="77777777" w:rsidR="005F0738" w:rsidRDefault="005F0738" w:rsidP="0011702A">
      <w:r>
        <w:continuationSeparator/>
      </w:r>
    </w:p>
  </w:footnote>
  <w:footnote w:id="1">
    <w:p w14:paraId="4A90418F" w14:textId="07D96A9E" w:rsidR="008D3DAE" w:rsidRPr="00142C02" w:rsidRDefault="008D3DAE" w:rsidP="008D3DAE">
      <w:pPr>
        <w:pStyle w:val="Notedebasdepage"/>
        <w:rPr>
          <w:sz w:val="16"/>
          <w:szCs w:val="16"/>
        </w:rPr>
      </w:pPr>
      <w:r w:rsidRPr="00142C02">
        <w:rPr>
          <w:rStyle w:val="Appelnotedebasdep"/>
        </w:rPr>
        <w:tab/>
        <w:t>*</w:t>
      </w:r>
      <w:r w:rsidRPr="00142C02">
        <w:rPr>
          <w:rStyle w:val="Appelnotedebasdep"/>
        </w:rPr>
        <w:tab/>
      </w:r>
      <w:r w:rsidRPr="00142C02">
        <w:rPr>
          <w:sz w:val="16"/>
        </w:rPr>
        <w:t>Von der UNECE in Englisch, Französisch und Russisch unter dem Aktenzeichen ECE/TRANS/WP.15/AC.2/2024/28</w:t>
      </w:r>
      <w:r w:rsidR="004B2627">
        <w:rPr>
          <w:sz w:val="16"/>
        </w:rPr>
        <w:t xml:space="preserve"> verteilt</w:t>
      </w:r>
      <w:r w:rsidRPr="00142C02">
        <w:rPr>
          <w:sz w:val="16"/>
        </w:rPr>
        <w:t>.</w:t>
      </w:r>
    </w:p>
  </w:footnote>
  <w:footnote w:id="2">
    <w:p w14:paraId="1B2FF234" w14:textId="0BFD31B5" w:rsidR="008D3DAE" w:rsidRPr="00142C02" w:rsidRDefault="008D3DAE" w:rsidP="008D3DAE">
      <w:pPr>
        <w:pStyle w:val="Notedebasdepage"/>
        <w:rPr>
          <w:sz w:val="16"/>
          <w:szCs w:val="16"/>
        </w:rPr>
      </w:pPr>
      <w:r w:rsidRPr="00142C02">
        <w:rPr>
          <w:rStyle w:val="Appelnotedebasdep"/>
        </w:rPr>
        <w:tab/>
        <w:t>**</w:t>
      </w:r>
      <w:r w:rsidRPr="00142C02">
        <w:rPr>
          <w:rStyle w:val="Appelnotedebasdep"/>
        </w:rPr>
        <w:tab/>
      </w:r>
      <w:r w:rsidRPr="00142C02">
        <w:rPr>
          <w:sz w:val="16"/>
        </w:rPr>
        <w:t>A/78/6 (Kap. 20) Tabelle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0D35B95F" w:rsidR="00DA541A" w:rsidRPr="00142C02"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bookmarkStart w:id="0" w:name="_Hlk138433877"/>
    <w:bookmarkStart w:id="1" w:name="_Hlk138433878"/>
    <w:r w:rsidRPr="00142C02">
      <w:rPr>
        <w:rFonts w:ascii="Arial" w:hAnsi="Arial"/>
        <w:snapToGrid w:val="0"/>
        <w:sz w:val="16"/>
        <w:lang w:val="fr-FR"/>
      </w:rPr>
      <w:t>CCNR-ZKR/ADN/WP.15/AC.2/2024/28</w:t>
    </w:r>
  </w:p>
  <w:p w14:paraId="532A701C" w14:textId="77777777" w:rsidR="00DA541A" w:rsidRPr="00142C02"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142C02">
      <w:rPr>
        <w:rFonts w:ascii="Arial" w:hAnsi="Arial"/>
        <w:snapToGrid w:val="0"/>
        <w:sz w:val="16"/>
      </w:rPr>
      <w:t xml:space="preserve">Seite </w:t>
    </w:r>
    <w:r w:rsidRPr="00142C02">
      <w:rPr>
        <w:rFonts w:ascii="Arial" w:hAnsi="Arial"/>
        <w:snapToGrid w:val="0"/>
        <w:sz w:val="16"/>
      </w:rPr>
      <w:fldChar w:fldCharType="begin"/>
    </w:r>
    <w:r w:rsidRPr="00142C02">
      <w:rPr>
        <w:rFonts w:ascii="Arial" w:hAnsi="Arial"/>
        <w:snapToGrid w:val="0"/>
        <w:sz w:val="16"/>
      </w:rPr>
      <w:instrText xml:space="preserve"> PAGE  \* MERGEFORMAT </w:instrText>
    </w:r>
    <w:r w:rsidRPr="00142C02">
      <w:rPr>
        <w:rFonts w:ascii="Arial" w:hAnsi="Arial"/>
        <w:snapToGrid w:val="0"/>
        <w:sz w:val="16"/>
      </w:rPr>
      <w:fldChar w:fldCharType="separate"/>
    </w:r>
    <w:r w:rsidR="009767E1" w:rsidRPr="00142C02">
      <w:rPr>
        <w:rFonts w:ascii="Arial" w:hAnsi="Arial"/>
        <w:snapToGrid w:val="0"/>
        <w:sz w:val="16"/>
      </w:rPr>
      <w:t>2</w:t>
    </w:r>
    <w:r w:rsidRPr="00142C02">
      <w:rPr>
        <w:rFonts w:ascii="Arial" w:hAnsi="Arial"/>
        <w:snapToGrid w:val="0"/>
        <w:sz w:val="16"/>
      </w:rPr>
      <w:fldChar w:fldCharType="end"/>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CF42" w14:textId="090C1B7F" w:rsidR="00B91C8E" w:rsidRPr="00142C02" w:rsidRDefault="00B91C8E" w:rsidP="00B91C8E">
    <w:pPr>
      <w:widowControl/>
      <w:suppressAutoHyphens/>
      <w:overflowPunct/>
      <w:autoSpaceDE/>
      <w:autoSpaceDN/>
      <w:adjustRightInd/>
      <w:ind w:left="0" w:firstLine="0"/>
      <w:jc w:val="left"/>
      <w:textAlignment w:val="auto"/>
      <w:rPr>
        <w:rFonts w:ascii="Arial" w:hAnsi="Arial"/>
        <w:snapToGrid w:val="0"/>
        <w:sz w:val="16"/>
        <w:szCs w:val="16"/>
      </w:rPr>
    </w:pPr>
    <w:r w:rsidRPr="00142C02">
      <w:rPr>
        <w:rFonts w:ascii="Arial" w:hAnsi="Arial"/>
        <w:snapToGrid w:val="0"/>
        <w:sz w:val="16"/>
        <w:lang w:val="fr-FR"/>
      </w:rPr>
      <w:t>CCNR-ZKR/ADN/WP.15/AC.2/2024/28</w:t>
    </w:r>
  </w:p>
  <w:p w14:paraId="526710C3" w14:textId="58A6D518" w:rsidR="00DA541A" w:rsidRPr="00142C02" w:rsidRDefault="00B91C8E" w:rsidP="00B91C8E">
    <w:pPr>
      <w:widowControl/>
      <w:suppressAutoHyphens/>
      <w:overflowPunct/>
      <w:autoSpaceDE/>
      <w:autoSpaceDN/>
      <w:adjustRightInd/>
      <w:ind w:left="0" w:firstLine="0"/>
      <w:jc w:val="left"/>
      <w:textAlignment w:val="auto"/>
    </w:pPr>
    <w:r w:rsidRPr="00142C02">
      <w:rPr>
        <w:rFonts w:ascii="Arial" w:hAnsi="Arial"/>
        <w:snapToGrid w:val="0"/>
        <w:sz w:val="16"/>
      </w:rPr>
      <w:t xml:space="preserve">Seite </w:t>
    </w:r>
    <w:r w:rsidRPr="00142C02">
      <w:rPr>
        <w:rFonts w:ascii="Arial" w:hAnsi="Arial"/>
        <w:snapToGrid w:val="0"/>
        <w:sz w:val="16"/>
      </w:rPr>
      <w:fldChar w:fldCharType="begin"/>
    </w:r>
    <w:r w:rsidRPr="00142C02">
      <w:rPr>
        <w:rFonts w:ascii="Arial" w:hAnsi="Arial"/>
        <w:snapToGrid w:val="0"/>
        <w:sz w:val="16"/>
      </w:rPr>
      <w:instrText xml:space="preserve"> PAGE  \* MERGEFORMAT </w:instrText>
    </w:r>
    <w:r w:rsidRPr="00142C02">
      <w:rPr>
        <w:rFonts w:ascii="Arial" w:hAnsi="Arial"/>
        <w:snapToGrid w:val="0"/>
        <w:sz w:val="16"/>
      </w:rPr>
      <w:fldChar w:fldCharType="separate"/>
    </w:r>
    <w:r w:rsidRPr="00142C02">
      <w:rPr>
        <w:rFonts w:ascii="Arial" w:hAnsi="Arial"/>
        <w:snapToGrid w:val="0"/>
        <w:sz w:val="16"/>
      </w:rPr>
      <w:t>2</w:t>
    </w:r>
    <w:r w:rsidRPr="00142C02">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8"/>
  </w:num>
  <w:num w:numId="4" w16cid:durableId="58795070">
    <w:abstractNumId w:val="9"/>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 w:numId="10" w16cid:durableId="2094469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075BB"/>
    <w:rsid w:val="000143A3"/>
    <w:rsid w:val="00014D4F"/>
    <w:rsid w:val="00016593"/>
    <w:rsid w:val="00017B2F"/>
    <w:rsid w:val="00023B3E"/>
    <w:rsid w:val="00024358"/>
    <w:rsid w:val="000245FC"/>
    <w:rsid w:val="00025C95"/>
    <w:rsid w:val="00026176"/>
    <w:rsid w:val="0003284B"/>
    <w:rsid w:val="00034828"/>
    <w:rsid w:val="00036FD5"/>
    <w:rsid w:val="000402D6"/>
    <w:rsid w:val="00041328"/>
    <w:rsid w:val="0004134B"/>
    <w:rsid w:val="000415F3"/>
    <w:rsid w:val="000432E3"/>
    <w:rsid w:val="00047E84"/>
    <w:rsid w:val="00052E7E"/>
    <w:rsid w:val="000543C2"/>
    <w:rsid w:val="000563D5"/>
    <w:rsid w:val="00056B10"/>
    <w:rsid w:val="00057DC8"/>
    <w:rsid w:val="0006299C"/>
    <w:rsid w:val="00064B0E"/>
    <w:rsid w:val="0007311B"/>
    <w:rsid w:val="00076F9A"/>
    <w:rsid w:val="00080275"/>
    <w:rsid w:val="00080F60"/>
    <w:rsid w:val="00084B40"/>
    <w:rsid w:val="00090A58"/>
    <w:rsid w:val="0009215A"/>
    <w:rsid w:val="00092D01"/>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17ED7"/>
    <w:rsid w:val="0012236C"/>
    <w:rsid w:val="0012338F"/>
    <w:rsid w:val="00126AA9"/>
    <w:rsid w:val="00131CD7"/>
    <w:rsid w:val="0013261D"/>
    <w:rsid w:val="00132CD8"/>
    <w:rsid w:val="00133436"/>
    <w:rsid w:val="00142C02"/>
    <w:rsid w:val="00143354"/>
    <w:rsid w:val="00144209"/>
    <w:rsid w:val="0014655C"/>
    <w:rsid w:val="00146929"/>
    <w:rsid w:val="001515D6"/>
    <w:rsid w:val="0015578B"/>
    <w:rsid w:val="00156782"/>
    <w:rsid w:val="001568F4"/>
    <w:rsid w:val="00156903"/>
    <w:rsid w:val="00156ACE"/>
    <w:rsid w:val="0016040C"/>
    <w:rsid w:val="00160D9B"/>
    <w:rsid w:val="0016468C"/>
    <w:rsid w:val="0016790C"/>
    <w:rsid w:val="001729A2"/>
    <w:rsid w:val="001735B9"/>
    <w:rsid w:val="001739E9"/>
    <w:rsid w:val="00176072"/>
    <w:rsid w:val="0017767A"/>
    <w:rsid w:val="001878DE"/>
    <w:rsid w:val="00190390"/>
    <w:rsid w:val="0019571F"/>
    <w:rsid w:val="00197393"/>
    <w:rsid w:val="00197CF4"/>
    <w:rsid w:val="001A078E"/>
    <w:rsid w:val="001A35F3"/>
    <w:rsid w:val="001A791F"/>
    <w:rsid w:val="001B26EA"/>
    <w:rsid w:val="001B4F22"/>
    <w:rsid w:val="001B7B3E"/>
    <w:rsid w:val="001C0E5C"/>
    <w:rsid w:val="001C1D1B"/>
    <w:rsid w:val="001C303B"/>
    <w:rsid w:val="001C4ED8"/>
    <w:rsid w:val="001C6CC9"/>
    <w:rsid w:val="001D1B0A"/>
    <w:rsid w:val="001D34F6"/>
    <w:rsid w:val="001E4D07"/>
    <w:rsid w:val="001E515F"/>
    <w:rsid w:val="001E538A"/>
    <w:rsid w:val="0020240A"/>
    <w:rsid w:val="00202E6D"/>
    <w:rsid w:val="0020337F"/>
    <w:rsid w:val="00205465"/>
    <w:rsid w:val="002132D2"/>
    <w:rsid w:val="00215818"/>
    <w:rsid w:val="00221D05"/>
    <w:rsid w:val="00223DF9"/>
    <w:rsid w:val="00231D22"/>
    <w:rsid w:val="00235B56"/>
    <w:rsid w:val="00240203"/>
    <w:rsid w:val="002406C8"/>
    <w:rsid w:val="0024118A"/>
    <w:rsid w:val="002421A1"/>
    <w:rsid w:val="002431F2"/>
    <w:rsid w:val="002445A0"/>
    <w:rsid w:val="002460C4"/>
    <w:rsid w:val="00250FDB"/>
    <w:rsid w:val="00253DB1"/>
    <w:rsid w:val="002546D9"/>
    <w:rsid w:val="00255192"/>
    <w:rsid w:val="00256B18"/>
    <w:rsid w:val="0027414F"/>
    <w:rsid w:val="002748A2"/>
    <w:rsid w:val="00280779"/>
    <w:rsid w:val="00283323"/>
    <w:rsid w:val="00290B95"/>
    <w:rsid w:val="00291CB3"/>
    <w:rsid w:val="002945CA"/>
    <w:rsid w:val="00295C09"/>
    <w:rsid w:val="002A337E"/>
    <w:rsid w:val="002A53A6"/>
    <w:rsid w:val="002B0567"/>
    <w:rsid w:val="002B0630"/>
    <w:rsid w:val="002B365C"/>
    <w:rsid w:val="002B3FEF"/>
    <w:rsid w:val="002B4C67"/>
    <w:rsid w:val="002B5AED"/>
    <w:rsid w:val="002B5AFB"/>
    <w:rsid w:val="002B6A69"/>
    <w:rsid w:val="002B7916"/>
    <w:rsid w:val="002C0469"/>
    <w:rsid w:val="002C382E"/>
    <w:rsid w:val="002C42FC"/>
    <w:rsid w:val="002C47FF"/>
    <w:rsid w:val="002C742A"/>
    <w:rsid w:val="002D1BFB"/>
    <w:rsid w:val="002D4720"/>
    <w:rsid w:val="002D7C79"/>
    <w:rsid w:val="002E0D39"/>
    <w:rsid w:val="002E2DAD"/>
    <w:rsid w:val="002E3745"/>
    <w:rsid w:val="002E3FE8"/>
    <w:rsid w:val="002E6A16"/>
    <w:rsid w:val="002E7227"/>
    <w:rsid w:val="002F4FC6"/>
    <w:rsid w:val="00300A8D"/>
    <w:rsid w:val="00303233"/>
    <w:rsid w:val="003033DD"/>
    <w:rsid w:val="0031144E"/>
    <w:rsid w:val="00316D5A"/>
    <w:rsid w:val="0032045B"/>
    <w:rsid w:val="00320C5F"/>
    <w:rsid w:val="003233C8"/>
    <w:rsid w:val="00325D76"/>
    <w:rsid w:val="00326B14"/>
    <w:rsid w:val="00333721"/>
    <w:rsid w:val="00337284"/>
    <w:rsid w:val="00342BA1"/>
    <w:rsid w:val="003439FC"/>
    <w:rsid w:val="00344C19"/>
    <w:rsid w:val="00351F70"/>
    <w:rsid w:val="00357412"/>
    <w:rsid w:val="00361725"/>
    <w:rsid w:val="00363525"/>
    <w:rsid w:val="0036362E"/>
    <w:rsid w:val="00364E68"/>
    <w:rsid w:val="003702C7"/>
    <w:rsid w:val="00372561"/>
    <w:rsid w:val="0037328B"/>
    <w:rsid w:val="003838C7"/>
    <w:rsid w:val="0038428F"/>
    <w:rsid w:val="003866B8"/>
    <w:rsid w:val="00386A42"/>
    <w:rsid w:val="00387545"/>
    <w:rsid w:val="003946CB"/>
    <w:rsid w:val="00394763"/>
    <w:rsid w:val="00395742"/>
    <w:rsid w:val="00397E52"/>
    <w:rsid w:val="003A2337"/>
    <w:rsid w:val="003B23DA"/>
    <w:rsid w:val="003B6973"/>
    <w:rsid w:val="003C0CEA"/>
    <w:rsid w:val="003C50F0"/>
    <w:rsid w:val="003C61C4"/>
    <w:rsid w:val="003D3605"/>
    <w:rsid w:val="003D5B9B"/>
    <w:rsid w:val="003D7BD0"/>
    <w:rsid w:val="003E328C"/>
    <w:rsid w:val="003E6E61"/>
    <w:rsid w:val="003F334D"/>
    <w:rsid w:val="00400ADD"/>
    <w:rsid w:val="00401179"/>
    <w:rsid w:val="0040118C"/>
    <w:rsid w:val="0040293E"/>
    <w:rsid w:val="00405327"/>
    <w:rsid w:val="00406965"/>
    <w:rsid w:val="00410285"/>
    <w:rsid w:val="00411B22"/>
    <w:rsid w:val="00414E8D"/>
    <w:rsid w:val="00415794"/>
    <w:rsid w:val="004176F9"/>
    <w:rsid w:val="0042641A"/>
    <w:rsid w:val="00427609"/>
    <w:rsid w:val="00427804"/>
    <w:rsid w:val="00430CD0"/>
    <w:rsid w:val="00432779"/>
    <w:rsid w:val="00432C11"/>
    <w:rsid w:val="0043787C"/>
    <w:rsid w:val="00442166"/>
    <w:rsid w:val="00446085"/>
    <w:rsid w:val="0045323C"/>
    <w:rsid w:val="0045350F"/>
    <w:rsid w:val="00454151"/>
    <w:rsid w:val="0045596C"/>
    <w:rsid w:val="00455E11"/>
    <w:rsid w:val="00464867"/>
    <w:rsid w:val="00466FB5"/>
    <w:rsid w:val="00472198"/>
    <w:rsid w:val="004819A4"/>
    <w:rsid w:val="0048292C"/>
    <w:rsid w:val="00483272"/>
    <w:rsid w:val="004847DC"/>
    <w:rsid w:val="00492FA6"/>
    <w:rsid w:val="00494624"/>
    <w:rsid w:val="0049785E"/>
    <w:rsid w:val="004A0752"/>
    <w:rsid w:val="004A3FE7"/>
    <w:rsid w:val="004A46B8"/>
    <w:rsid w:val="004A4944"/>
    <w:rsid w:val="004B0D93"/>
    <w:rsid w:val="004B25CA"/>
    <w:rsid w:val="004B2627"/>
    <w:rsid w:val="004B64C5"/>
    <w:rsid w:val="004B7EA6"/>
    <w:rsid w:val="004C18DE"/>
    <w:rsid w:val="004C3607"/>
    <w:rsid w:val="004D23FB"/>
    <w:rsid w:val="004D323E"/>
    <w:rsid w:val="004E1CB6"/>
    <w:rsid w:val="004E622A"/>
    <w:rsid w:val="004F2E32"/>
    <w:rsid w:val="004F3B7F"/>
    <w:rsid w:val="004F4DE3"/>
    <w:rsid w:val="004F5608"/>
    <w:rsid w:val="004F7A39"/>
    <w:rsid w:val="005009E5"/>
    <w:rsid w:val="005030D3"/>
    <w:rsid w:val="0051114B"/>
    <w:rsid w:val="0051476B"/>
    <w:rsid w:val="00514AB7"/>
    <w:rsid w:val="0051535A"/>
    <w:rsid w:val="00534340"/>
    <w:rsid w:val="00540161"/>
    <w:rsid w:val="00540683"/>
    <w:rsid w:val="005527DA"/>
    <w:rsid w:val="005533B4"/>
    <w:rsid w:val="00561447"/>
    <w:rsid w:val="0056152E"/>
    <w:rsid w:val="0056605A"/>
    <w:rsid w:val="005718EF"/>
    <w:rsid w:val="005739CB"/>
    <w:rsid w:val="00573D3E"/>
    <w:rsid w:val="00576CFF"/>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A6B9B"/>
    <w:rsid w:val="005B6280"/>
    <w:rsid w:val="005C2ECA"/>
    <w:rsid w:val="005C558D"/>
    <w:rsid w:val="005C7246"/>
    <w:rsid w:val="005D47CE"/>
    <w:rsid w:val="005E1804"/>
    <w:rsid w:val="005E2196"/>
    <w:rsid w:val="005E5EF7"/>
    <w:rsid w:val="005F0738"/>
    <w:rsid w:val="005F26AD"/>
    <w:rsid w:val="005F3476"/>
    <w:rsid w:val="005F58DF"/>
    <w:rsid w:val="0060269E"/>
    <w:rsid w:val="00602860"/>
    <w:rsid w:val="006047AC"/>
    <w:rsid w:val="00607B11"/>
    <w:rsid w:val="006105FE"/>
    <w:rsid w:val="00611C20"/>
    <w:rsid w:val="006157A9"/>
    <w:rsid w:val="00616CDB"/>
    <w:rsid w:val="00617A1E"/>
    <w:rsid w:val="00620049"/>
    <w:rsid w:val="00620982"/>
    <w:rsid w:val="00622293"/>
    <w:rsid w:val="006256AF"/>
    <w:rsid w:val="00626C86"/>
    <w:rsid w:val="00630422"/>
    <w:rsid w:val="00635F4A"/>
    <w:rsid w:val="00642215"/>
    <w:rsid w:val="00643AEA"/>
    <w:rsid w:val="00651386"/>
    <w:rsid w:val="00651558"/>
    <w:rsid w:val="00651B28"/>
    <w:rsid w:val="00651FED"/>
    <w:rsid w:val="0066312D"/>
    <w:rsid w:val="00663395"/>
    <w:rsid w:val="006639F3"/>
    <w:rsid w:val="00666284"/>
    <w:rsid w:val="00670028"/>
    <w:rsid w:val="006702A6"/>
    <w:rsid w:val="00672E12"/>
    <w:rsid w:val="006739C8"/>
    <w:rsid w:val="00687426"/>
    <w:rsid w:val="00687752"/>
    <w:rsid w:val="0069164E"/>
    <w:rsid w:val="006920A8"/>
    <w:rsid w:val="006924C5"/>
    <w:rsid w:val="00693A58"/>
    <w:rsid w:val="006970A1"/>
    <w:rsid w:val="006A0959"/>
    <w:rsid w:val="006A1747"/>
    <w:rsid w:val="006A507B"/>
    <w:rsid w:val="006A73AD"/>
    <w:rsid w:val="006A7F94"/>
    <w:rsid w:val="006B2A78"/>
    <w:rsid w:val="006B51FD"/>
    <w:rsid w:val="006B57B7"/>
    <w:rsid w:val="006B5F03"/>
    <w:rsid w:val="006B7C55"/>
    <w:rsid w:val="006C6A7F"/>
    <w:rsid w:val="006D3D56"/>
    <w:rsid w:val="006D594B"/>
    <w:rsid w:val="006E10F5"/>
    <w:rsid w:val="006F3126"/>
    <w:rsid w:val="006F3C42"/>
    <w:rsid w:val="006F4A9E"/>
    <w:rsid w:val="0070287D"/>
    <w:rsid w:val="00702BE6"/>
    <w:rsid w:val="00706883"/>
    <w:rsid w:val="007147BF"/>
    <w:rsid w:val="007225A1"/>
    <w:rsid w:val="007326C6"/>
    <w:rsid w:val="00741D8D"/>
    <w:rsid w:val="00742BD3"/>
    <w:rsid w:val="00742E01"/>
    <w:rsid w:val="00751575"/>
    <w:rsid w:val="00754516"/>
    <w:rsid w:val="0076080D"/>
    <w:rsid w:val="00760FB2"/>
    <w:rsid w:val="007705CB"/>
    <w:rsid w:val="00773B7E"/>
    <w:rsid w:val="0079124E"/>
    <w:rsid w:val="00792E94"/>
    <w:rsid w:val="0079361A"/>
    <w:rsid w:val="00794CE8"/>
    <w:rsid w:val="007A19A7"/>
    <w:rsid w:val="007A3544"/>
    <w:rsid w:val="007A584D"/>
    <w:rsid w:val="007B200A"/>
    <w:rsid w:val="007B209F"/>
    <w:rsid w:val="007B35E7"/>
    <w:rsid w:val="007B5D5A"/>
    <w:rsid w:val="007C1775"/>
    <w:rsid w:val="007C1AA7"/>
    <w:rsid w:val="007D1EF9"/>
    <w:rsid w:val="007D2FA0"/>
    <w:rsid w:val="007D6265"/>
    <w:rsid w:val="007E4902"/>
    <w:rsid w:val="007E7F2A"/>
    <w:rsid w:val="008049F0"/>
    <w:rsid w:val="00805AEB"/>
    <w:rsid w:val="00810504"/>
    <w:rsid w:val="0081450F"/>
    <w:rsid w:val="008149EA"/>
    <w:rsid w:val="00820289"/>
    <w:rsid w:val="008220D9"/>
    <w:rsid w:val="00826787"/>
    <w:rsid w:val="00830072"/>
    <w:rsid w:val="00830EC1"/>
    <w:rsid w:val="00834438"/>
    <w:rsid w:val="00835551"/>
    <w:rsid w:val="00836749"/>
    <w:rsid w:val="00837FB8"/>
    <w:rsid w:val="00841328"/>
    <w:rsid w:val="00854209"/>
    <w:rsid w:val="0086266B"/>
    <w:rsid w:val="0086477D"/>
    <w:rsid w:val="008650FC"/>
    <w:rsid w:val="00865354"/>
    <w:rsid w:val="008677BA"/>
    <w:rsid w:val="0087179D"/>
    <w:rsid w:val="00874E8D"/>
    <w:rsid w:val="0087551D"/>
    <w:rsid w:val="00876F50"/>
    <w:rsid w:val="00882EBF"/>
    <w:rsid w:val="0089413A"/>
    <w:rsid w:val="00894221"/>
    <w:rsid w:val="008954EE"/>
    <w:rsid w:val="00896081"/>
    <w:rsid w:val="008967B7"/>
    <w:rsid w:val="008A42A5"/>
    <w:rsid w:val="008A6928"/>
    <w:rsid w:val="008A6B0F"/>
    <w:rsid w:val="008A6D40"/>
    <w:rsid w:val="008B3106"/>
    <w:rsid w:val="008B56D1"/>
    <w:rsid w:val="008B6668"/>
    <w:rsid w:val="008B7C4B"/>
    <w:rsid w:val="008C30A4"/>
    <w:rsid w:val="008C42D5"/>
    <w:rsid w:val="008C5274"/>
    <w:rsid w:val="008C7A98"/>
    <w:rsid w:val="008D3CEC"/>
    <w:rsid w:val="008D3DAE"/>
    <w:rsid w:val="008E4635"/>
    <w:rsid w:val="008F283A"/>
    <w:rsid w:val="008F4B57"/>
    <w:rsid w:val="008F6763"/>
    <w:rsid w:val="008F7574"/>
    <w:rsid w:val="00901FC4"/>
    <w:rsid w:val="00903D48"/>
    <w:rsid w:val="0090748A"/>
    <w:rsid w:val="009107A5"/>
    <w:rsid w:val="00912A46"/>
    <w:rsid w:val="00915307"/>
    <w:rsid w:val="00926AB5"/>
    <w:rsid w:val="009411AB"/>
    <w:rsid w:val="009422FA"/>
    <w:rsid w:val="0094594F"/>
    <w:rsid w:val="00946D8A"/>
    <w:rsid w:val="00953866"/>
    <w:rsid w:val="009629E6"/>
    <w:rsid w:val="00962E31"/>
    <w:rsid w:val="00965DC5"/>
    <w:rsid w:val="00966CE6"/>
    <w:rsid w:val="00975B09"/>
    <w:rsid w:val="009767E1"/>
    <w:rsid w:val="009771C0"/>
    <w:rsid w:val="009777E8"/>
    <w:rsid w:val="00981397"/>
    <w:rsid w:val="0098158C"/>
    <w:rsid w:val="00987D27"/>
    <w:rsid w:val="0099031A"/>
    <w:rsid w:val="00991BA0"/>
    <w:rsid w:val="00992A56"/>
    <w:rsid w:val="009A4FC8"/>
    <w:rsid w:val="009A5566"/>
    <w:rsid w:val="009B3B1B"/>
    <w:rsid w:val="009C228D"/>
    <w:rsid w:val="009C79C4"/>
    <w:rsid w:val="009E0ED9"/>
    <w:rsid w:val="009E281C"/>
    <w:rsid w:val="009E35BF"/>
    <w:rsid w:val="009E3EBD"/>
    <w:rsid w:val="009E638E"/>
    <w:rsid w:val="009E795B"/>
    <w:rsid w:val="009F2DD9"/>
    <w:rsid w:val="009F38C8"/>
    <w:rsid w:val="009F3B72"/>
    <w:rsid w:val="009F53D9"/>
    <w:rsid w:val="00A0030F"/>
    <w:rsid w:val="00A005D6"/>
    <w:rsid w:val="00A00BA4"/>
    <w:rsid w:val="00A0311E"/>
    <w:rsid w:val="00A05AB3"/>
    <w:rsid w:val="00A05C9B"/>
    <w:rsid w:val="00A0723D"/>
    <w:rsid w:val="00A1154E"/>
    <w:rsid w:val="00A12E60"/>
    <w:rsid w:val="00A1389E"/>
    <w:rsid w:val="00A20E79"/>
    <w:rsid w:val="00A21A7D"/>
    <w:rsid w:val="00A249EB"/>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820AA"/>
    <w:rsid w:val="00A917C1"/>
    <w:rsid w:val="00A94B80"/>
    <w:rsid w:val="00A952F9"/>
    <w:rsid w:val="00AB0162"/>
    <w:rsid w:val="00AB23F2"/>
    <w:rsid w:val="00AB46BA"/>
    <w:rsid w:val="00AB6055"/>
    <w:rsid w:val="00AB6CAD"/>
    <w:rsid w:val="00AC1577"/>
    <w:rsid w:val="00AC3059"/>
    <w:rsid w:val="00AC79AA"/>
    <w:rsid w:val="00AD1D10"/>
    <w:rsid w:val="00AD3F8C"/>
    <w:rsid w:val="00AD68F2"/>
    <w:rsid w:val="00AD69C2"/>
    <w:rsid w:val="00AD6ABA"/>
    <w:rsid w:val="00AE50D2"/>
    <w:rsid w:val="00AE73A7"/>
    <w:rsid w:val="00AE7E9E"/>
    <w:rsid w:val="00AF6E21"/>
    <w:rsid w:val="00B02145"/>
    <w:rsid w:val="00B041A6"/>
    <w:rsid w:val="00B073AA"/>
    <w:rsid w:val="00B11AE6"/>
    <w:rsid w:val="00B152A7"/>
    <w:rsid w:val="00B17A75"/>
    <w:rsid w:val="00B2269A"/>
    <w:rsid w:val="00B26810"/>
    <w:rsid w:val="00B30626"/>
    <w:rsid w:val="00B40836"/>
    <w:rsid w:val="00B41BB5"/>
    <w:rsid w:val="00B45122"/>
    <w:rsid w:val="00B4533C"/>
    <w:rsid w:val="00B47F6F"/>
    <w:rsid w:val="00B51966"/>
    <w:rsid w:val="00B60659"/>
    <w:rsid w:val="00B665FE"/>
    <w:rsid w:val="00B71545"/>
    <w:rsid w:val="00B737F6"/>
    <w:rsid w:val="00B7461E"/>
    <w:rsid w:val="00B76631"/>
    <w:rsid w:val="00B800CC"/>
    <w:rsid w:val="00B80DBC"/>
    <w:rsid w:val="00B81581"/>
    <w:rsid w:val="00B81860"/>
    <w:rsid w:val="00B827ED"/>
    <w:rsid w:val="00B87AB9"/>
    <w:rsid w:val="00B9041B"/>
    <w:rsid w:val="00B91C8E"/>
    <w:rsid w:val="00B91D33"/>
    <w:rsid w:val="00B92BF7"/>
    <w:rsid w:val="00B9368D"/>
    <w:rsid w:val="00B940F8"/>
    <w:rsid w:val="00BA2F7E"/>
    <w:rsid w:val="00BA358B"/>
    <w:rsid w:val="00BA3DD0"/>
    <w:rsid w:val="00BA3F1F"/>
    <w:rsid w:val="00BA6693"/>
    <w:rsid w:val="00BA7369"/>
    <w:rsid w:val="00BB165F"/>
    <w:rsid w:val="00BB2346"/>
    <w:rsid w:val="00BB74E8"/>
    <w:rsid w:val="00BC00D3"/>
    <w:rsid w:val="00BC0C56"/>
    <w:rsid w:val="00BC224B"/>
    <w:rsid w:val="00BC453B"/>
    <w:rsid w:val="00BC4EC9"/>
    <w:rsid w:val="00BD6076"/>
    <w:rsid w:val="00BD77CE"/>
    <w:rsid w:val="00BE5C4D"/>
    <w:rsid w:val="00BE6EB5"/>
    <w:rsid w:val="00BE7FA1"/>
    <w:rsid w:val="00BF2066"/>
    <w:rsid w:val="00BF414C"/>
    <w:rsid w:val="00BF6A72"/>
    <w:rsid w:val="00BF7D16"/>
    <w:rsid w:val="00C01D3D"/>
    <w:rsid w:val="00C0268B"/>
    <w:rsid w:val="00C05BE8"/>
    <w:rsid w:val="00C05CED"/>
    <w:rsid w:val="00C1252B"/>
    <w:rsid w:val="00C161A1"/>
    <w:rsid w:val="00C16233"/>
    <w:rsid w:val="00C17F84"/>
    <w:rsid w:val="00C24FA8"/>
    <w:rsid w:val="00C27690"/>
    <w:rsid w:val="00C321B7"/>
    <w:rsid w:val="00C3512B"/>
    <w:rsid w:val="00C42401"/>
    <w:rsid w:val="00C4703A"/>
    <w:rsid w:val="00C47775"/>
    <w:rsid w:val="00C509C1"/>
    <w:rsid w:val="00C532C5"/>
    <w:rsid w:val="00C64A71"/>
    <w:rsid w:val="00C67BBA"/>
    <w:rsid w:val="00C7003A"/>
    <w:rsid w:val="00C7159B"/>
    <w:rsid w:val="00C7193B"/>
    <w:rsid w:val="00C72A39"/>
    <w:rsid w:val="00C75520"/>
    <w:rsid w:val="00C801B5"/>
    <w:rsid w:val="00C807E3"/>
    <w:rsid w:val="00C82985"/>
    <w:rsid w:val="00C90787"/>
    <w:rsid w:val="00C93A09"/>
    <w:rsid w:val="00C942C1"/>
    <w:rsid w:val="00C945EC"/>
    <w:rsid w:val="00C95218"/>
    <w:rsid w:val="00C96029"/>
    <w:rsid w:val="00CA2B03"/>
    <w:rsid w:val="00CA3E92"/>
    <w:rsid w:val="00CA71CC"/>
    <w:rsid w:val="00CB17EE"/>
    <w:rsid w:val="00CB257D"/>
    <w:rsid w:val="00CC2717"/>
    <w:rsid w:val="00CC62F9"/>
    <w:rsid w:val="00CC7E35"/>
    <w:rsid w:val="00CD1C39"/>
    <w:rsid w:val="00CD7A4F"/>
    <w:rsid w:val="00CE1F32"/>
    <w:rsid w:val="00CE293A"/>
    <w:rsid w:val="00CE77BC"/>
    <w:rsid w:val="00CF2359"/>
    <w:rsid w:val="00CF3B37"/>
    <w:rsid w:val="00CF3E33"/>
    <w:rsid w:val="00CF645B"/>
    <w:rsid w:val="00D02767"/>
    <w:rsid w:val="00D03FC5"/>
    <w:rsid w:val="00D04647"/>
    <w:rsid w:val="00D048ED"/>
    <w:rsid w:val="00D064E0"/>
    <w:rsid w:val="00D12EA3"/>
    <w:rsid w:val="00D16A29"/>
    <w:rsid w:val="00D20ACE"/>
    <w:rsid w:val="00D218BF"/>
    <w:rsid w:val="00D2514D"/>
    <w:rsid w:val="00D27C2D"/>
    <w:rsid w:val="00D32C3C"/>
    <w:rsid w:val="00D33B77"/>
    <w:rsid w:val="00D35074"/>
    <w:rsid w:val="00D35489"/>
    <w:rsid w:val="00D362FF"/>
    <w:rsid w:val="00D4056A"/>
    <w:rsid w:val="00D46495"/>
    <w:rsid w:val="00D474F4"/>
    <w:rsid w:val="00D510D9"/>
    <w:rsid w:val="00D52AF0"/>
    <w:rsid w:val="00D52F95"/>
    <w:rsid w:val="00D53E0F"/>
    <w:rsid w:val="00D566C8"/>
    <w:rsid w:val="00D6320C"/>
    <w:rsid w:val="00D64E2A"/>
    <w:rsid w:val="00D65991"/>
    <w:rsid w:val="00D7150D"/>
    <w:rsid w:val="00D729A3"/>
    <w:rsid w:val="00D80CB1"/>
    <w:rsid w:val="00D8467E"/>
    <w:rsid w:val="00D85731"/>
    <w:rsid w:val="00D9039B"/>
    <w:rsid w:val="00D92E0F"/>
    <w:rsid w:val="00D97C9F"/>
    <w:rsid w:val="00DA0AF9"/>
    <w:rsid w:val="00DA1F54"/>
    <w:rsid w:val="00DA28E2"/>
    <w:rsid w:val="00DA312C"/>
    <w:rsid w:val="00DA3AF6"/>
    <w:rsid w:val="00DA3C01"/>
    <w:rsid w:val="00DA541A"/>
    <w:rsid w:val="00DB2F25"/>
    <w:rsid w:val="00DB57E7"/>
    <w:rsid w:val="00DC66D9"/>
    <w:rsid w:val="00DD2ED1"/>
    <w:rsid w:val="00DE103A"/>
    <w:rsid w:val="00DE554A"/>
    <w:rsid w:val="00DF426C"/>
    <w:rsid w:val="00DF7632"/>
    <w:rsid w:val="00E0097F"/>
    <w:rsid w:val="00E040C4"/>
    <w:rsid w:val="00E1103A"/>
    <w:rsid w:val="00E13946"/>
    <w:rsid w:val="00E14568"/>
    <w:rsid w:val="00E14631"/>
    <w:rsid w:val="00E15BFC"/>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23B9"/>
    <w:rsid w:val="00EB4ADF"/>
    <w:rsid w:val="00EB4D3D"/>
    <w:rsid w:val="00EB5EF1"/>
    <w:rsid w:val="00EC05BE"/>
    <w:rsid w:val="00EC2C52"/>
    <w:rsid w:val="00ED1827"/>
    <w:rsid w:val="00ED49D7"/>
    <w:rsid w:val="00ED557F"/>
    <w:rsid w:val="00ED57DF"/>
    <w:rsid w:val="00EE4226"/>
    <w:rsid w:val="00EE457F"/>
    <w:rsid w:val="00EE5CAB"/>
    <w:rsid w:val="00EF00ED"/>
    <w:rsid w:val="00EF022A"/>
    <w:rsid w:val="00EF6C77"/>
    <w:rsid w:val="00EF7231"/>
    <w:rsid w:val="00F0142E"/>
    <w:rsid w:val="00F07812"/>
    <w:rsid w:val="00F10D47"/>
    <w:rsid w:val="00F12E99"/>
    <w:rsid w:val="00F205EE"/>
    <w:rsid w:val="00F24CA4"/>
    <w:rsid w:val="00F26C2C"/>
    <w:rsid w:val="00F31FEF"/>
    <w:rsid w:val="00F330E1"/>
    <w:rsid w:val="00F42DC0"/>
    <w:rsid w:val="00F46810"/>
    <w:rsid w:val="00F46CBD"/>
    <w:rsid w:val="00F4792F"/>
    <w:rsid w:val="00F52363"/>
    <w:rsid w:val="00F524CA"/>
    <w:rsid w:val="00F52E19"/>
    <w:rsid w:val="00F53526"/>
    <w:rsid w:val="00F54B55"/>
    <w:rsid w:val="00F54B5E"/>
    <w:rsid w:val="00F55DD3"/>
    <w:rsid w:val="00F607DC"/>
    <w:rsid w:val="00F632C8"/>
    <w:rsid w:val="00F63BC2"/>
    <w:rsid w:val="00F660B7"/>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B6B37"/>
    <w:rsid w:val="00FC032F"/>
    <w:rsid w:val="00FC2D7D"/>
    <w:rsid w:val="00FC5E77"/>
    <w:rsid w:val="00FC7393"/>
    <w:rsid w:val="00FC7DE1"/>
    <w:rsid w:val="00FD17D7"/>
    <w:rsid w:val="00FD4BC8"/>
    <w:rsid w:val="00FE2E51"/>
    <w:rsid w:val="00FE2EF4"/>
    <w:rsid w:val="00FE39FF"/>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de-DE" w:eastAsia="en-US"/>
    </w:rPr>
  </w:style>
  <w:style w:type="paragraph" w:customStyle="1" w:styleId="HChG">
    <w:name w:val="_ H _Ch_G"/>
    <w:basedOn w:val="Normal"/>
    <w:next w:val="Normal"/>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24118A"/>
    <w:pPr>
      <w:widowControl/>
      <w:suppressAutoHyphens/>
      <w:overflowPunct/>
      <w:autoSpaceDE/>
      <w:autoSpaceDN/>
      <w:adjustRightInd/>
      <w:spacing w:after="120" w:line="240" w:lineRule="atLeast"/>
      <w:ind w:right="1134" w:firstLine="0"/>
      <w:textAlignment w:val="auto"/>
    </w:pPr>
  </w:style>
  <w:style w:type="character" w:customStyle="1" w:styleId="SingleTxtGChar">
    <w:name w:val="_ Single Txt_G Char"/>
    <w:link w:val="SingleTxtG"/>
    <w:qFormat/>
    <w:locked/>
    <w:rsid w:val="008F6763"/>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13ED6238-8820-4493-8F01-C03E1BAB4971}"/>
</file>

<file path=customXml/itemProps3.xml><?xml version="1.0" encoding="utf-8"?>
<ds:datastoreItem xmlns:ds="http://schemas.openxmlformats.org/officeDocument/2006/customXml" ds:itemID="{08EFDA51-72A9-4C7A-A6EC-A81638DD58C0}"/>
</file>

<file path=customXml/itemProps4.xml><?xml version="1.0" encoding="utf-8"?>
<ds:datastoreItem xmlns:ds="http://schemas.openxmlformats.org/officeDocument/2006/customXml" ds:itemID="{41460371-770E-416E-87A4-7F682CFE5F8A}"/>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4731</Characters>
  <Application>Microsoft Office Word</Application>
  <DocSecurity>0</DocSecurity>
  <Lines>39</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Maximaler Inhalt pro Gefäß von Ladungsproben an Bord von „Bunkerbooten oder anderen Schiffen, die Schiffsbetriebsstoffe übergeben“ (gemäß den Absätzen 7.2.4.1.3 und 7.2.4.1.4 ADN)</vt:lpstr>
      <vt: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Maximaler Inhalt pro Gefäß von Ladungsproben an Bord von „Bunkerbooten oder anderen Schiffen, die Schiffsbetriebsstoffe übergeben“ (gemäß den Absätzen 7.2.4.1.3 und 7.2.4.1.4 ADN)</dc:title>
  <dc:creator>Martine Moench</dc:creator>
  <cp:lastModifiedBy>Martine Moench</cp:lastModifiedBy>
  <cp:revision>2</cp:revision>
  <cp:lastPrinted>2017-06-06T08:16:00Z</cp:lastPrinted>
  <dcterms:created xsi:type="dcterms:W3CDTF">2023-12-18T12:06:00Z</dcterms:created>
  <dcterms:modified xsi:type="dcterms:W3CDTF">2023-12-18T12:06:00Z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