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7C63D591" w:rsidR="00B60659" w:rsidRPr="00E863EA" w:rsidRDefault="00B60659" w:rsidP="006B59D6">
      <w:pPr>
        <w:widowControl/>
        <w:suppressAutoHyphens/>
        <w:overflowPunct/>
        <w:autoSpaceDE/>
        <w:autoSpaceDN/>
        <w:adjustRightInd/>
        <w:snapToGrid w:val="0"/>
        <w:ind w:left="5245" w:right="-286" w:firstLine="0"/>
        <w:jc w:val="left"/>
        <w:textAlignment w:val="auto"/>
        <w:outlineLvl w:val="0"/>
        <w:rPr>
          <w:rFonts w:ascii="Arial" w:eastAsia="Arial" w:hAnsi="Arial" w:cs="Arial"/>
          <w:bCs/>
          <w:szCs w:val="24"/>
        </w:rPr>
      </w:pPr>
      <w:r w:rsidRPr="00E863EA">
        <w:rPr>
          <w:rFonts w:ascii="Arial" w:hAnsi="Arial"/>
          <w:noProof/>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E863EA">
        <w:rPr>
          <w:rFonts w:ascii="Arial" w:hAnsi="Arial"/>
          <w:lang w:eastAsia="de-DE"/>
        </w:rPr>
        <w:t>CCNR-ZKR/ADN/WP.15/AC.2/2024/25</w:t>
      </w:r>
    </w:p>
    <w:p w14:paraId="7C27E3DD" w14:textId="77777777" w:rsidR="00B60659" w:rsidRPr="00E863EA" w:rsidRDefault="00B60659" w:rsidP="006B59D6">
      <w:pPr>
        <w:widowControl/>
        <w:tabs>
          <w:tab w:val="left" w:pos="5670"/>
        </w:tabs>
        <w:overflowPunct/>
        <w:autoSpaceDE/>
        <w:autoSpaceDN/>
        <w:adjustRightInd/>
        <w:snapToGrid w:val="0"/>
        <w:spacing w:after="60"/>
        <w:ind w:left="5245" w:firstLine="0"/>
        <w:jc w:val="left"/>
        <w:textAlignment w:val="auto"/>
        <w:rPr>
          <w:rFonts w:ascii="Arial" w:hAnsi="Arial" w:cs="Arial"/>
          <w:sz w:val="16"/>
          <w:szCs w:val="24"/>
        </w:rPr>
      </w:pPr>
      <w:r w:rsidRPr="00E863EA">
        <w:rPr>
          <w:rFonts w:ascii="Arial" w:hAnsi="Arial"/>
          <w:sz w:val="16"/>
          <w:lang w:eastAsia="de-DE"/>
        </w:rPr>
        <w:t>Allgemeine Verteilung</w:t>
      </w:r>
    </w:p>
    <w:p w14:paraId="215D853B" w14:textId="7919299F" w:rsidR="00B60659" w:rsidRPr="00E863EA" w:rsidRDefault="00585746" w:rsidP="006B59D6">
      <w:pPr>
        <w:widowControl/>
        <w:tabs>
          <w:tab w:val="right" w:pos="3856"/>
          <w:tab w:val="left" w:pos="5670"/>
        </w:tabs>
        <w:overflowPunct/>
        <w:autoSpaceDE/>
        <w:autoSpaceDN/>
        <w:adjustRightInd/>
        <w:snapToGrid w:val="0"/>
        <w:ind w:left="5245" w:firstLine="0"/>
        <w:jc w:val="left"/>
        <w:textAlignment w:val="auto"/>
        <w:rPr>
          <w:rFonts w:ascii="Arial" w:hAnsi="Arial" w:cs="Arial"/>
          <w:szCs w:val="24"/>
        </w:rPr>
      </w:pPr>
      <w:r>
        <w:rPr>
          <w:rFonts w:ascii="Arial" w:hAnsi="Arial"/>
          <w:lang w:eastAsia="de-DE"/>
        </w:rPr>
        <w:t>10</w:t>
      </w:r>
      <w:r w:rsidR="00B35A6E" w:rsidRPr="00E863EA">
        <w:rPr>
          <w:rFonts w:ascii="Arial" w:hAnsi="Arial"/>
          <w:lang w:eastAsia="de-DE"/>
        </w:rPr>
        <w:t>. November 2023</w:t>
      </w:r>
    </w:p>
    <w:p w14:paraId="1BCCEA4C" w14:textId="52EBFCBA" w:rsidR="00B60659" w:rsidRPr="00E863EA" w:rsidRDefault="00B60659" w:rsidP="006B59D6">
      <w:pPr>
        <w:widowControl/>
        <w:tabs>
          <w:tab w:val="right" w:pos="3856"/>
          <w:tab w:val="left" w:pos="5670"/>
        </w:tabs>
        <w:overflowPunct/>
        <w:autoSpaceDE/>
        <w:autoSpaceDN/>
        <w:adjustRightInd/>
        <w:snapToGrid w:val="0"/>
        <w:ind w:left="5245" w:right="565" w:firstLine="0"/>
        <w:jc w:val="left"/>
        <w:textAlignment w:val="auto"/>
        <w:rPr>
          <w:rFonts w:ascii="Arial" w:eastAsia="Arial" w:hAnsi="Arial" w:cs="Arial"/>
          <w:sz w:val="16"/>
          <w:szCs w:val="24"/>
        </w:rPr>
      </w:pPr>
      <w:proofErr w:type="spellStart"/>
      <w:r w:rsidRPr="00E863EA">
        <w:rPr>
          <w:rFonts w:ascii="Arial" w:hAnsi="Arial"/>
          <w:sz w:val="16"/>
          <w:lang w:eastAsia="de-DE"/>
        </w:rPr>
        <w:t>Or</w:t>
      </w:r>
      <w:proofErr w:type="spellEnd"/>
      <w:r w:rsidRPr="00E863EA">
        <w:rPr>
          <w:rFonts w:ascii="Arial" w:hAnsi="Arial"/>
          <w:sz w:val="16"/>
          <w:lang w:eastAsia="de-DE"/>
        </w:rPr>
        <w:t xml:space="preserve">. </w:t>
      </w:r>
      <w:r w:rsidRPr="00E863EA">
        <w:rPr>
          <w:rFonts w:ascii="Arial" w:hAnsi="Arial"/>
          <w:sz w:val="16"/>
        </w:rPr>
        <w:t>ENGLISCH</w:t>
      </w:r>
    </w:p>
    <w:p w14:paraId="1F45327D" w14:textId="77777777" w:rsidR="00B60659" w:rsidRPr="00E863EA"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E863EA"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E863EA">
        <w:rPr>
          <w:rFonts w:ascii="Arial" w:hAnsi="Arial"/>
          <w:sz w:val="16"/>
        </w:rPr>
        <w:t>GEMEINSAME EXPERTENTAGUNG FÜR DIE DEM ÜBEREINKOMMEN ÜBER DIE INTERNATIONALE BEFÖRDERUNG VON GEFÄHRLICHEN GÜTERN AUF BINNENWASSERSTRAẞEN (ADN) BEIGEFÜGTE VERORDNUNG (SICHERHEITSAUSSCHUSS)</w:t>
      </w:r>
    </w:p>
    <w:p w14:paraId="1342B616" w14:textId="2D525468" w:rsidR="00B60659" w:rsidRPr="00E863EA"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E863EA">
        <w:rPr>
          <w:rFonts w:ascii="Arial" w:hAnsi="Arial"/>
          <w:sz w:val="16"/>
        </w:rPr>
        <w:t>(43. Tagung, Genf, 22. – 26. Januar 202</w:t>
      </w:r>
      <w:r w:rsidR="00585746">
        <w:rPr>
          <w:rFonts w:ascii="Arial" w:hAnsi="Arial"/>
          <w:sz w:val="16"/>
        </w:rPr>
        <w:t>4</w:t>
      </w:r>
      <w:r w:rsidRPr="00E863EA">
        <w:rPr>
          <w:rFonts w:ascii="Arial" w:hAnsi="Arial"/>
          <w:sz w:val="16"/>
        </w:rPr>
        <w:t>)</w:t>
      </w:r>
    </w:p>
    <w:p w14:paraId="01501DC6" w14:textId="36DD0976" w:rsidR="00B60659" w:rsidRPr="00E863EA"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E863EA">
        <w:rPr>
          <w:rFonts w:ascii="Arial" w:hAnsi="Arial"/>
          <w:sz w:val="16"/>
          <w:lang w:eastAsia="en-US"/>
        </w:rPr>
        <w:t xml:space="preserve">Punkt </w:t>
      </w:r>
      <w:r w:rsidR="00585746">
        <w:rPr>
          <w:rFonts w:ascii="Arial" w:hAnsi="Arial"/>
          <w:sz w:val="16"/>
          <w:lang w:eastAsia="en-US"/>
        </w:rPr>
        <w:t>5</w:t>
      </w:r>
      <w:r w:rsidRPr="00E863EA">
        <w:rPr>
          <w:rFonts w:ascii="Arial" w:hAnsi="Arial"/>
          <w:sz w:val="16"/>
          <w:lang w:eastAsia="en-US"/>
        </w:rPr>
        <w:t xml:space="preserve"> b) der vorläufigen Tagesordnung</w:t>
      </w:r>
    </w:p>
    <w:p w14:paraId="7992D5BF" w14:textId="77777777" w:rsidR="00B60659" w:rsidRPr="00E863EA" w:rsidRDefault="00B60659" w:rsidP="00B60659">
      <w:pPr>
        <w:widowControl/>
        <w:overflowPunct/>
        <w:autoSpaceDE/>
        <w:autoSpaceDN/>
        <w:adjustRightInd/>
        <w:spacing w:after="120"/>
        <w:ind w:left="3958" w:firstLine="11"/>
        <w:jc w:val="left"/>
        <w:textAlignment w:val="auto"/>
        <w:rPr>
          <w:rFonts w:ascii="Arial" w:hAnsi="Arial" w:cs="Arial"/>
          <w:b/>
          <w:sz w:val="14"/>
          <w:szCs w:val="16"/>
        </w:rPr>
      </w:pPr>
      <w:r w:rsidRPr="00E863EA">
        <w:rPr>
          <w:rFonts w:ascii="Arial" w:hAnsi="Arial"/>
          <w:b/>
          <w:sz w:val="14"/>
          <w:lang w:eastAsia="en-US"/>
        </w:rPr>
        <w:t>Vorschläge für Änderungen der dem ADN beigefügten Verordnung: Weitere Änderungsvorschläge</w:t>
      </w:r>
    </w:p>
    <w:p w14:paraId="69AADAD5" w14:textId="729B2D3C" w:rsidR="00CF378E" w:rsidRPr="00E863EA" w:rsidRDefault="00CF378E" w:rsidP="0085077E">
      <w:pPr>
        <w:pStyle w:val="HChG"/>
        <w:spacing w:line="240" w:lineRule="atLeast"/>
        <w:ind w:right="-142"/>
        <w:rPr>
          <w:sz w:val="32"/>
          <w:szCs w:val="32"/>
        </w:rPr>
      </w:pPr>
      <w:r w:rsidRPr="00E863EA">
        <w:rPr>
          <w:sz w:val="32"/>
        </w:rPr>
        <w:tab/>
      </w:r>
      <w:r w:rsidRPr="00E863EA">
        <w:rPr>
          <w:sz w:val="32"/>
        </w:rPr>
        <w:tab/>
      </w:r>
      <w:r w:rsidRPr="00E863EA">
        <w:t xml:space="preserve">Vorschlag bezüglich </w:t>
      </w:r>
      <w:r w:rsidR="008C5C89" w:rsidRPr="00E863EA">
        <w:t>Übergangsvorschriften</w:t>
      </w:r>
      <w:r w:rsidRPr="00E863EA">
        <w:t xml:space="preserve"> für Gasspürgeräte</w:t>
      </w:r>
    </w:p>
    <w:p w14:paraId="4BFD03E2" w14:textId="08D33074" w:rsidR="008D3DAE" w:rsidRPr="00E863EA" w:rsidRDefault="00B35A6E" w:rsidP="00CD1141">
      <w:pPr>
        <w:spacing w:after="120"/>
        <w:ind w:right="-142" w:firstLine="0"/>
        <w:jc w:val="left"/>
        <w:rPr>
          <w:b/>
          <w:sz w:val="24"/>
        </w:rPr>
      </w:pPr>
      <w:r w:rsidRPr="00E863EA">
        <w:rPr>
          <w:b/>
          <w:sz w:val="24"/>
        </w:rPr>
        <w:t xml:space="preserve">Eingereicht von der Europäischen Binnenschifffahrts-Union (EBU) und der Europäischen Schifferorganisation (ESO) *, </w:t>
      </w:r>
      <w:r w:rsidR="008D3DAE" w:rsidRPr="00E863EA">
        <w:rPr>
          <w:b/>
          <w:sz w:val="24"/>
        </w:rPr>
        <w:footnoteReference w:customMarkFollows="1" w:id="1"/>
        <w:t>*</w:t>
      </w:r>
      <w:r w:rsidR="008D3DAE" w:rsidRPr="00E863EA">
        <w:rPr>
          <w:b/>
          <w:sz w:val="24"/>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8495"/>
      </w:tblGrid>
      <w:tr w:rsidR="00B35A6E" w:rsidRPr="00E863EA" w14:paraId="3EFC015F" w14:textId="77777777" w:rsidTr="00B35A6E">
        <w:trPr>
          <w:jc w:val="center"/>
        </w:trPr>
        <w:tc>
          <w:tcPr>
            <w:tcW w:w="8495" w:type="dxa"/>
            <w:shd w:val="clear" w:color="auto" w:fill="auto"/>
          </w:tcPr>
          <w:p w14:paraId="1498A4EE" w14:textId="63BAC92C" w:rsidR="00B35A6E" w:rsidRPr="00E863EA" w:rsidRDefault="00B35A6E" w:rsidP="00B35A6E">
            <w:pPr>
              <w:widowControl/>
              <w:overflowPunct/>
              <w:autoSpaceDE/>
              <w:autoSpaceDN/>
              <w:adjustRightInd/>
              <w:spacing w:before="240" w:after="120"/>
              <w:ind w:left="255" w:firstLine="0"/>
              <w:jc w:val="left"/>
              <w:textAlignment w:val="auto"/>
              <w:rPr>
                <w:i/>
                <w:sz w:val="24"/>
              </w:rPr>
            </w:pPr>
            <w:r w:rsidRPr="00E863EA">
              <w:rPr>
                <w:i/>
                <w:sz w:val="24"/>
              </w:rPr>
              <w:t>Zusammenfassung</w:t>
            </w:r>
          </w:p>
        </w:tc>
      </w:tr>
      <w:tr w:rsidR="00B35A6E" w:rsidRPr="00E863EA" w14:paraId="55B106EB" w14:textId="77777777" w:rsidTr="00B35A6E">
        <w:trPr>
          <w:jc w:val="center"/>
        </w:trPr>
        <w:tc>
          <w:tcPr>
            <w:tcW w:w="8495" w:type="dxa"/>
            <w:shd w:val="clear" w:color="auto" w:fill="auto"/>
          </w:tcPr>
          <w:p w14:paraId="64CD7B37" w14:textId="62486BF9" w:rsidR="00B35A6E" w:rsidRPr="00E863EA" w:rsidRDefault="00B35A6E" w:rsidP="00B35A6E">
            <w:pPr>
              <w:widowControl/>
              <w:overflowPunct/>
              <w:autoSpaceDE/>
              <w:autoSpaceDN/>
              <w:adjustRightInd/>
              <w:ind w:left="2552" w:right="1125" w:hanging="2268"/>
              <w:jc w:val="left"/>
              <w:textAlignment w:val="auto"/>
              <w:rPr>
                <w:b/>
                <w:bCs/>
              </w:rPr>
            </w:pPr>
            <w:r w:rsidRPr="00E863EA">
              <w:rPr>
                <w:b/>
              </w:rPr>
              <w:t>Verbundene Dokumente:</w:t>
            </w:r>
            <w:r w:rsidRPr="00E863EA">
              <w:rPr>
                <w:b/>
              </w:rPr>
              <w:tab/>
            </w:r>
            <w:r w:rsidRPr="00E863EA">
              <w:t>Informelles Dokument INF.5 der 40. Sitzung</w:t>
            </w:r>
          </w:p>
          <w:p w14:paraId="39FCE7CA" w14:textId="7759E0D8" w:rsidR="00B35A6E" w:rsidRPr="00E863EA" w:rsidRDefault="00B35A6E" w:rsidP="00B35A6E">
            <w:pPr>
              <w:widowControl/>
              <w:overflowPunct/>
              <w:autoSpaceDE/>
              <w:autoSpaceDN/>
              <w:adjustRightInd/>
              <w:ind w:left="2552" w:right="126" w:hanging="2268"/>
              <w:jc w:val="left"/>
              <w:textAlignment w:val="auto"/>
            </w:pPr>
            <w:r w:rsidRPr="00E863EA">
              <w:tab/>
              <w:t>ECE/TRANS/WP.15/AC.2/72; (Protokoll der 36. Sitzung, Addendum)</w:t>
            </w:r>
          </w:p>
          <w:p w14:paraId="3654FF0F" w14:textId="163AF99C" w:rsidR="00B35A6E" w:rsidRPr="00E863EA" w:rsidRDefault="00B35A6E" w:rsidP="00B35A6E">
            <w:pPr>
              <w:widowControl/>
              <w:overflowPunct/>
              <w:autoSpaceDE/>
              <w:autoSpaceDN/>
              <w:adjustRightInd/>
              <w:ind w:left="2552" w:right="1125" w:hanging="2268"/>
              <w:jc w:val="left"/>
              <w:textAlignment w:val="auto"/>
              <w:rPr>
                <w:b/>
                <w:bCs/>
              </w:rPr>
            </w:pPr>
            <w:r w:rsidRPr="00E863EA">
              <w:tab/>
              <w:t>Informelles Dokument INF.21 der 41. Sitzung</w:t>
            </w:r>
          </w:p>
          <w:p w14:paraId="75C9B1A5" w14:textId="4C3D62FC" w:rsidR="00B35A6E" w:rsidRPr="00E863EA" w:rsidRDefault="00B35A6E" w:rsidP="00B35A6E">
            <w:pPr>
              <w:widowControl/>
              <w:tabs>
                <w:tab w:val="left" w:pos="1701"/>
                <w:tab w:val="left" w:pos="2268"/>
                <w:tab w:val="left" w:pos="2835"/>
              </w:tabs>
              <w:overflowPunct/>
              <w:autoSpaceDE/>
              <w:autoSpaceDN/>
              <w:adjustRightInd/>
              <w:spacing w:after="120"/>
              <w:ind w:left="2552" w:right="126" w:firstLine="0"/>
              <w:textAlignment w:val="auto"/>
            </w:pPr>
            <w:r w:rsidRPr="00E863EA">
              <w:t>ECE/TRANS/WP.15/AC.2/86; Abs. 24 (Protokoll der 42. Sitzung)</w:t>
            </w:r>
          </w:p>
        </w:tc>
      </w:tr>
      <w:tr w:rsidR="00B35A6E" w:rsidRPr="00E863EA" w14:paraId="6346230E" w14:textId="77777777" w:rsidTr="00B35A6E">
        <w:trPr>
          <w:jc w:val="center"/>
        </w:trPr>
        <w:tc>
          <w:tcPr>
            <w:tcW w:w="8495" w:type="dxa"/>
            <w:shd w:val="clear" w:color="auto" w:fill="auto"/>
          </w:tcPr>
          <w:p w14:paraId="5A50A7E7" w14:textId="77777777" w:rsidR="00B35A6E" w:rsidRPr="00E863EA" w:rsidRDefault="00B35A6E" w:rsidP="00B35A6E">
            <w:pPr>
              <w:widowControl/>
              <w:overflowPunct/>
              <w:autoSpaceDE/>
              <w:autoSpaceDN/>
              <w:adjustRightInd/>
              <w:ind w:left="0" w:right="1125" w:firstLine="0"/>
              <w:jc w:val="left"/>
              <w:textAlignment w:val="auto"/>
              <w:rPr>
                <w:b/>
                <w:bCs/>
              </w:rPr>
            </w:pPr>
          </w:p>
        </w:tc>
      </w:tr>
    </w:tbl>
    <w:p w14:paraId="03634881" w14:textId="3D06DD3E" w:rsidR="00B35A6E" w:rsidRPr="00E863EA" w:rsidRDefault="00B35A6E" w:rsidP="00B35A6E">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E863EA">
        <w:rPr>
          <w:b/>
          <w:sz w:val="28"/>
        </w:rPr>
        <w:tab/>
      </w:r>
      <w:r w:rsidRPr="00E863EA">
        <w:rPr>
          <w:b/>
          <w:sz w:val="28"/>
        </w:rPr>
        <w:tab/>
        <w:t>Einleitung</w:t>
      </w:r>
    </w:p>
    <w:p w14:paraId="12E13C41" w14:textId="6F5539E9"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1.</w:t>
      </w:r>
      <w:r w:rsidRPr="00E863EA">
        <w:tab/>
        <w:t xml:space="preserve">Auf seiner vierzigsten Sitzung im August 2022 erörterte der ADN-Sicherheitsausschuss das von EBU/ESO eingereichte informelle Dokument INF.5 „Vorschlag bezüglich </w:t>
      </w:r>
      <w:r w:rsidR="008C5C89" w:rsidRPr="00E863EA">
        <w:t>Übergangsvorschriften</w:t>
      </w:r>
      <w:r w:rsidRPr="00E863EA">
        <w:t xml:space="preserve"> für Gasspürgeräte“. Auf seiner zweiundvierzigsten Sitzung im August 2023 erörterte der ADN-Sicherheitsausschuss das ebenfalls von EBU/ESO eingereichte informelle Dokument INF.21 „Vorschlag bezüglich </w:t>
      </w:r>
      <w:r w:rsidR="008C5C89" w:rsidRPr="00E863EA">
        <w:t>Übergangsvorschriften</w:t>
      </w:r>
      <w:r w:rsidRPr="00E863EA">
        <w:t xml:space="preserve"> für Gasspürgeräte“. Mit diesem Dokument möchte EBU/ESO an die Diskussion anknüpfen und einen Vorschlag zur Änderung einer derzeitigen Übergangsvorschrift unterbreiten.</w:t>
      </w:r>
    </w:p>
    <w:p w14:paraId="65D156B6" w14:textId="444AE83F"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2.</w:t>
      </w:r>
      <w:r w:rsidRPr="00E863EA">
        <w:tab/>
        <w:t>Im Binnenschifffahrtsgewerbe werden Gasspürgeräte bereits seit vielen Jahren eingesetzt. Diese Geräte wurden nach der zum Zeitpunkt der Markteinführung gültigen Fassung der Norm geprüft und zugelassen.</w:t>
      </w:r>
    </w:p>
    <w:p w14:paraId="2AF880CD"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3.</w:t>
      </w:r>
      <w:r w:rsidRPr="00E863EA">
        <w:tab/>
        <w:t>Die im ADN 2019 festgelegte Anforderung, dass das Gasgerät eine bestimmte Version der Norm (60079-29-1:2016) erfüllen muss, bedeutet, dass viele dieser Geräte nicht mehr zugelassen werden können.</w:t>
      </w:r>
    </w:p>
    <w:p w14:paraId="0A2C1A8A" w14:textId="77777777" w:rsidR="006E1BDE" w:rsidRDefault="006E1BDE">
      <w:pPr>
        <w:widowControl/>
        <w:overflowPunct/>
        <w:autoSpaceDE/>
        <w:autoSpaceDN/>
        <w:adjustRightInd/>
        <w:ind w:left="0" w:firstLine="0"/>
        <w:jc w:val="left"/>
        <w:textAlignment w:val="auto"/>
      </w:pPr>
      <w:r>
        <w:br w:type="page"/>
      </w:r>
    </w:p>
    <w:p w14:paraId="1A71F58B" w14:textId="74B278E1"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lastRenderedPageBreak/>
        <w:t>4.</w:t>
      </w:r>
      <w:r w:rsidRPr="00E863EA">
        <w:tab/>
        <w:t xml:space="preserve">In der Praxis steht das Gewerbe nun dem Problem gegenüber, dass ein Gasspürgerät seitens der Klassifikationsgesellschaften verlangt wird, welches der Norm EN 60079-29-1:2016 entspricht, bevor ein Zulassungszeugnis ausgestellt werden kann. Dies führt dazu, dass: </w:t>
      </w:r>
    </w:p>
    <w:p w14:paraId="20E58A66" w14:textId="77777777" w:rsidR="00B35A6E" w:rsidRPr="00E863EA" w:rsidRDefault="00B35A6E" w:rsidP="006E1BDE">
      <w:pPr>
        <w:pStyle w:val="Paragraphedeliste"/>
        <w:widowControl/>
        <w:numPr>
          <w:ilvl w:val="0"/>
          <w:numId w:val="10"/>
        </w:numPr>
        <w:tabs>
          <w:tab w:val="num" w:pos="1701"/>
        </w:tabs>
        <w:suppressAutoHyphens/>
        <w:overflowPunct/>
        <w:autoSpaceDE/>
        <w:autoSpaceDN/>
        <w:adjustRightInd/>
        <w:spacing w:after="120" w:line="240" w:lineRule="atLeast"/>
        <w:ind w:left="1560" w:right="1134" w:hanging="426"/>
        <w:textAlignment w:val="auto"/>
      </w:pPr>
      <w:r w:rsidRPr="00E863EA">
        <w:t>einwandfrei funktionierende, zugelassene Geräte entsorgt und durch neu zu erwerbende Geräte ersetzt werden müssen;</w:t>
      </w:r>
    </w:p>
    <w:p w14:paraId="20FB27AD" w14:textId="77777777" w:rsidR="00B35A6E" w:rsidRPr="00E863EA" w:rsidRDefault="00B35A6E" w:rsidP="006E1BDE">
      <w:pPr>
        <w:pStyle w:val="Paragraphedeliste"/>
        <w:widowControl/>
        <w:numPr>
          <w:ilvl w:val="0"/>
          <w:numId w:val="10"/>
        </w:numPr>
        <w:tabs>
          <w:tab w:val="num" w:pos="1701"/>
        </w:tabs>
        <w:suppressAutoHyphens/>
        <w:overflowPunct/>
        <w:autoSpaceDE/>
        <w:autoSpaceDN/>
        <w:adjustRightInd/>
        <w:spacing w:after="120" w:line="240" w:lineRule="atLeast"/>
        <w:ind w:left="1560" w:right="1134" w:hanging="426"/>
        <w:textAlignment w:val="auto"/>
      </w:pPr>
      <w:r w:rsidRPr="00E863EA">
        <w:t>eine frühere Investition zunichte gemacht wird;</w:t>
      </w:r>
    </w:p>
    <w:p w14:paraId="5E2DC94C" w14:textId="77777777" w:rsidR="00B35A6E" w:rsidRPr="00E863EA" w:rsidRDefault="00B35A6E" w:rsidP="006E1BDE">
      <w:pPr>
        <w:pStyle w:val="Paragraphedeliste"/>
        <w:widowControl/>
        <w:numPr>
          <w:ilvl w:val="0"/>
          <w:numId w:val="10"/>
        </w:numPr>
        <w:tabs>
          <w:tab w:val="num" w:pos="1701"/>
        </w:tabs>
        <w:suppressAutoHyphens/>
        <w:overflowPunct/>
        <w:autoSpaceDE/>
        <w:autoSpaceDN/>
        <w:adjustRightInd/>
        <w:spacing w:after="120" w:line="240" w:lineRule="atLeast"/>
        <w:ind w:left="1560" w:right="1134" w:hanging="426"/>
        <w:textAlignment w:val="auto"/>
      </w:pPr>
      <w:r w:rsidRPr="00E863EA">
        <w:t>unnötiger (E-)Abfall erzeugt wird.</w:t>
      </w:r>
    </w:p>
    <w:p w14:paraId="1D906452"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5.</w:t>
      </w:r>
      <w:r w:rsidRPr="00E863EA">
        <w:tab/>
        <w:t>Beispielsweise wurde das Dräger X-am 7000 noch bis 2019 produziert. Es ist jedoch nach der Norm EN 60079-29-1:2007, einer früheren Version der vom ADN 2019 geforderten Norm, geprüft.</w:t>
      </w:r>
    </w:p>
    <w:p w14:paraId="47654CFE"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6.</w:t>
      </w:r>
      <w:r w:rsidRPr="00E863EA">
        <w:tab/>
        <w:t xml:space="preserve">EBU/ESO haben eine Stichprobenuntersuchung in der Branche durchgeführt. Es wurden 214 Gasspürgeräte untersucht, die sich derzeit in Betrieb befinden. Etwa 60 Prozent der Gasspürgeräte (125) entsprachen nicht der Norm EN 60079-29-1:2016. </w:t>
      </w:r>
    </w:p>
    <w:p w14:paraId="144796C0" w14:textId="24E06EE4"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7.</w:t>
      </w:r>
      <w:r w:rsidRPr="00E863EA">
        <w:tab/>
        <w:t xml:space="preserve">Eine Hochrechnung der erwähnten Stichprobe und des Prozentsatzes führt zu der konservativen Schätzung, dass mehr als 600 Gasspürgeräte in der Branche die Norm EN 60079-29-1:2016 nicht erfüllen. </w:t>
      </w:r>
    </w:p>
    <w:p w14:paraId="196EFB80"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8.</w:t>
      </w:r>
      <w:r w:rsidRPr="00E863EA">
        <w:tab/>
        <w:t xml:space="preserve">Des Weiteren haben EBU/ESO Untersuchungen dazu durchgeführt, wie diese Normänderungen an Land umgesetzt werden. Diese Geräte erfüllen weiterhin die zum Zeitpunkt ihrer Anschaffung geltende Norm. Darüber hinaus werden Geräte, die der neuen Norm nicht mehr entsprechen, bei Inkrafttreten der neuen Norm nicht mehr verkauft. Dieses Dokument gilt für Gasspürgeräte, die sich derzeit an Bord von Binnenschiffen in Betrieb befinden. </w:t>
      </w:r>
    </w:p>
    <w:p w14:paraId="51B3165F" w14:textId="27A2A27E"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9.</w:t>
      </w:r>
      <w:r w:rsidRPr="00E863EA">
        <w:tab/>
        <w:t xml:space="preserve">Schließlich werden alle Gasspürgeräte selbstverständlich in regelmäßigen Abständen von akkreditierten Fachorganisationen überprüft. Bei einer Ablehnung wird das entsprechende Gerät außer Betrieb genommen. In diesen Fällen werden Gasspürgeräte gekauft, die den aktuellen/geltenden Normen entsprechen. </w:t>
      </w:r>
    </w:p>
    <w:p w14:paraId="5E6E0F2E" w14:textId="27E5109E" w:rsidR="00B35A6E" w:rsidRPr="00E863EA" w:rsidRDefault="00B35A6E" w:rsidP="00B35A6E">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E863EA">
        <w:rPr>
          <w:b/>
          <w:sz w:val="28"/>
        </w:rPr>
        <w:tab/>
        <w:t>I.</w:t>
      </w:r>
      <w:r w:rsidRPr="00E863EA">
        <w:rPr>
          <w:b/>
          <w:sz w:val="28"/>
        </w:rPr>
        <w:tab/>
        <w:t xml:space="preserve">Aktueller ADN-Text </w:t>
      </w:r>
    </w:p>
    <w:p w14:paraId="3F493B4A"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10.</w:t>
      </w:r>
      <w:r w:rsidRPr="00E863EA">
        <w:tab/>
        <w:t>Im aktuellen ADN 2023 wird zu Gasspürgeräten Folgendes erläutert:</w:t>
      </w:r>
    </w:p>
    <w:p w14:paraId="77746F14" w14:textId="28FF9833" w:rsidR="00B35A6E" w:rsidRPr="00E863EA" w:rsidRDefault="006E1BDE" w:rsidP="00B35A6E">
      <w:pPr>
        <w:widowControl/>
        <w:tabs>
          <w:tab w:val="left" w:pos="1701"/>
          <w:tab w:val="left" w:pos="2268"/>
          <w:tab w:val="left" w:pos="2835"/>
        </w:tabs>
        <w:overflowPunct/>
        <w:autoSpaceDE/>
        <w:autoSpaceDN/>
        <w:adjustRightInd/>
        <w:spacing w:after="120" w:line="240" w:lineRule="atLeast"/>
        <w:ind w:left="1701" w:right="1134" w:firstLine="0"/>
        <w:textAlignment w:val="auto"/>
        <w:rPr>
          <w:b/>
          <w:bCs/>
        </w:rPr>
      </w:pPr>
      <w:r>
        <w:rPr>
          <w:b/>
        </w:rPr>
        <w:t>„</w:t>
      </w:r>
      <w:r w:rsidR="00B35A6E" w:rsidRPr="00E863EA">
        <w:rPr>
          <w:b/>
        </w:rPr>
        <w:t>1.2.1</w:t>
      </w:r>
      <w:r w:rsidR="00B35A6E" w:rsidRPr="00E863EA">
        <w:rPr>
          <w:b/>
        </w:rPr>
        <w:tab/>
        <w:t>Begriffsbestimmungen</w:t>
      </w:r>
    </w:p>
    <w:p w14:paraId="768BB2E3" w14:textId="707EA97A" w:rsidR="00B35A6E" w:rsidRPr="00E863EA" w:rsidRDefault="00B35A6E" w:rsidP="00B35A6E">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E863EA">
        <w:rPr>
          <w:b/>
          <w:i/>
        </w:rPr>
        <w:t>Gasspürgerät</w:t>
      </w:r>
      <w:r w:rsidRPr="00E863EA">
        <w:t>: Ein tragbares Gerät, mit dem bedeutsame Konzentrationen brennbarer Gase unterhalb der UEG gemessen werden können und welches die Konzentration dieser Gase eindeutig anzeigt. Gasspürgeräte können sowohl als Einzelmessgeräte als auch als Kombinations-messgeräte zur Messung von brennbaren Gasen und Sauerstoff ausgeführt sein. Das Gerät muss so beschaffen sein, dass auch Messungen möglich sind, ohne die zu prüfenden Räume zu betreten.</w:t>
      </w:r>
    </w:p>
    <w:p w14:paraId="030E527B" w14:textId="46389C10" w:rsidR="00B35A6E" w:rsidRPr="00E863EA" w:rsidRDefault="00B35A6E" w:rsidP="00B35A6E">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E863EA">
        <w:t>Die Ansprechschwelle der Sensoren beträgt höchstens 5 % der UEG des kritischsten Stoffes der Schiffsstoffliste bei Tankschiffen bzw. der Ladung bei Trockengüterschiffen. Das Gasspürgerät muss nach IEC/EN</w:t>
      </w:r>
      <w:r w:rsidRPr="00E863EA">
        <w:rPr>
          <w:vertAlign w:val="superscript"/>
        </w:rPr>
        <w:t>6</w:t>
      </w:r>
      <w:r w:rsidRPr="00E863EA">
        <w:t>) 60079-29-1:2016, geprüft sein. Wenn es in explosionsgefährdeten Bereichen eingesetzt wird, muss es zusätzlich die Anforderungen für den Einsatz in der jeweiligen Zo-ne erfüllen und es muss nachgewiesen sein, dass es den anwendbaren Anforderungen entspricht (z.B. Konformitätsbewertungsverfahren nach Richtlinie 2014/34/EU</w:t>
      </w:r>
      <w:r w:rsidRPr="00E863EA">
        <w:rPr>
          <w:vertAlign w:val="superscript"/>
        </w:rPr>
        <w:t>3</w:t>
      </w:r>
      <w:r w:rsidRPr="00E863EA">
        <w:t>), IECEx-System</w:t>
      </w:r>
      <w:r w:rsidRPr="00E863EA">
        <w:rPr>
          <w:vertAlign w:val="superscript"/>
        </w:rPr>
        <w:t>4</w:t>
      </w:r>
      <w:r w:rsidRPr="00E863EA">
        <w:t>) oder ECE Trade 391</w:t>
      </w:r>
      <w:r w:rsidRPr="00E863EA">
        <w:rPr>
          <w:vertAlign w:val="superscript"/>
        </w:rPr>
        <w:t>5</w:t>
      </w:r>
      <w:r w:rsidRPr="00E863EA">
        <w:t>) oder mindestens gleichwertig).“</w:t>
      </w:r>
      <w:r w:rsidR="006E1BDE">
        <w:t>.</w:t>
      </w:r>
    </w:p>
    <w:p w14:paraId="4BD5BBA7" w14:textId="77777777" w:rsidR="00B35A6E" w:rsidRPr="00E863EA" w:rsidRDefault="00B35A6E" w:rsidP="00B35A6E">
      <w:pPr>
        <w:keepNext/>
        <w:keepLines/>
        <w:widowControl/>
        <w:tabs>
          <w:tab w:val="left" w:pos="1701"/>
          <w:tab w:val="left" w:pos="2268"/>
          <w:tab w:val="left" w:pos="2835"/>
        </w:tabs>
        <w:overflowPunct/>
        <w:autoSpaceDE/>
        <w:autoSpaceDN/>
        <w:adjustRightInd/>
        <w:spacing w:after="120" w:line="240" w:lineRule="atLeast"/>
        <w:ind w:right="1134" w:firstLine="0"/>
        <w:textAlignment w:val="auto"/>
      </w:pPr>
      <w:r w:rsidRPr="00E863EA">
        <w:lastRenderedPageBreak/>
        <w:t>11.</w:t>
      </w:r>
      <w:r w:rsidRPr="00E863EA">
        <w:tab/>
        <w:t>An späterer Stelle wird die folgende Übergangsvorschrift für Gasspürgeräte dargelegt:</w:t>
      </w:r>
    </w:p>
    <w:p w14:paraId="618CC444" w14:textId="6B9E3277" w:rsidR="00B35A6E" w:rsidRPr="00E863EA" w:rsidRDefault="00F726AD" w:rsidP="00B35A6E">
      <w:pPr>
        <w:widowControl/>
        <w:overflowPunct/>
        <w:autoSpaceDE/>
        <w:autoSpaceDN/>
        <w:adjustRightInd/>
        <w:ind w:left="567" w:firstLine="567"/>
        <w:jc w:val="left"/>
        <w:textAlignment w:val="auto"/>
        <w:rPr>
          <w:b/>
          <w:bCs/>
        </w:rPr>
      </w:pPr>
      <w:bookmarkStart w:id="0" w:name="_Hlk107234558"/>
      <w:r w:rsidRPr="00E863EA">
        <w:rPr>
          <w:b/>
        </w:rPr>
        <w:t>„1.6.7.2.2.2 Tabelle der allgemeinen Übergangsvorschriften für Tankschiffe</w:t>
      </w:r>
    </w:p>
    <w:p w14:paraId="7052534B" w14:textId="77777777" w:rsidR="00B35A6E" w:rsidRPr="00E863EA" w:rsidRDefault="00B35A6E" w:rsidP="00B35A6E">
      <w:pPr>
        <w:widowControl/>
        <w:overflowPunct/>
        <w:autoSpaceDE/>
        <w:autoSpaceDN/>
        <w:adjustRightInd/>
        <w:ind w:left="0" w:firstLine="0"/>
        <w:jc w:val="left"/>
        <w:textAlignment w:val="auto"/>
        <w:rPr>
          <w:b/>
          <w:bCs/>
          <w:u w:val="single"/>
        </w:rPr>
      </w:pPr>
    </w:p>
    <w:tbl>
      <w:tblPr>
        <w:tblW w:w="7508" w:type="dxa"/>
        <w:tblInd w:w="1131" w:type="dxa"/>
        <w:tblLayout w:type="fixed"/>
        <w:tblCellMar>
          <w:left w:w="70" w:type="dxa"/>
          <w:right w:w="70" w:type="dxa"/>
        </w:tblCellMar>
        <w:tblLook w:val="0000" w:firstRow="0" w:lastRow="0" w:firstColumn="0" w:lastColumn="0" w:noHBand="0" w:noVBand="0"/>
      </w:tblPr>
      <w:tblGrid>
        <w:gridCol w:w="1207"/>
        <w:gridCol w:w="2552"/>
        <w:gridCol w:w="3749"/>
      </w:tblGrid>
      <w:tr w:rsidR="00F726AD" w:rsidRPr="00E863EA" w14:paraId="7332B248" w14:textId="77777777" w:rsidTr="00F726AD">
        <w:trPr>
          <w:cantSplit/>
        </w:trPr>
        <w:tc>
          <w:tcPr>
            <w:tcW w:w="1207" w:type="dxa"/>
            <w:tcBorders>
              <w:top w:val="single" w:sz="6" w:space="0" w:color="auto"/>
              <w:left w:val="single" w:sz="6" w:space="0" w:color="auto"/>
              <w:bottom w:val="single" w:sz="6" w:space="0" w:color="auto"/>
              <w:right w:val="single" w:sz="6" w:space="0" w:color="auto"/>
            </w:tcBorders>
          </w:tcPr>
          <w:p w14:paraId="60A87409" w14:textId="77777777" w:rsidR="00F726AD" w:rsidRPr="00E863EA" w:rsidRDefault="00F726AD" w:rsidP="00F726AD">
            <w:pPr>
              <w:spacing w:before="60" w:after="60" w:line="240" w:lineRule="atLeast"/>
              <w:ind w:left="0" w:firstLine="0"/>
              <w:jc w:val="center"/>
            </w:pPr>
            <w:bookmarkStart w:id="1" w:name="_Hlk61886046"/>
            <w:bookmarkEnd w:id="0"/>
            <w:r w:rsidRPr="00E863EA">
              <w:t>1.2.1</w:t>
            </w:r>
          </w:p>
        </w:tc>
        <w:tc>
          <w:tcPr>
            <w:tcW w:w="2552" w:type="dxa"/>
            <w:tcBorders>
              <w:top w:val="single" w:sz="6" w:space="0" w:color="auto"/>
              <w:left w:val="single" w:sz="6" w:space="0" w:color="auto"/>
              <w:bottom w:val="single" w:sz="6" w:space="0" w:color="auto"/>
              <w:right w:val="single" w:sz="6" w:space="0" w:color="auto"/>
            </w:tcBorders>
          </w:tcPr>
          <w:p w14:paraId="39787827" w14:textId="77777777" w:rsidR="00F726AD" w:rsidRPr="00E863EA" w:rsidRDefault="00F726AD" w:rsidP="00F726AD">
            <w:pPr>
              <w:spacing w:before="60" w:after="60" w:line="240" w:lineRule="atLeast"/>
              <w:ind w:left="0" w:firstLine="0"/>
            </w:pPr>
            <w:r w:rsidRPr="00E863EA">
              <w:t>Gasspürgerät</w:t>
            </w:r>
          </w:p>
          <w:p w14:paraId="5DA645CF" w14:textId="77777777" w:rsidR="00F726AD" w:rsidRPr="00E863EA" w:rsidRDefault="00F726AD" w:rsidP="00F726AD">
            <w:pPr>
              <w:spacing w:before="60" w:after="60" w:line="240" w:lineRule="atLeast"/>
              <w:ind w:left="0" w:firstLine="0"/>
            </w:pPr>
            <w:r w:rsidRPr="00E863EA">
              <w:t>Prüfung nach der Norm IEC 60079-29-1:2016</w:t>
            </w:r>
          </w:p>
        </w:tc>
        <w:tc>
          <w:tcPr>
            <w:tcW w:w="3749" w:type="dxa"/>
            <w:tcBorders>
              <w:top w:val="single" w:sz="6" w:space="0" w:color="auto"/>
              <w:left w:val="single" w:sz="6" w:space="0" w:color="auto"/>
              <w:bottom w:val="single" w:sz="6" w:space="0" w:color="auto"/>
              <w:right w:val="single" w:sz="6" w:space="0" w:color="auto"/>
            </w:tcBorders>
          </w:tcPr>
          <w:p w14:paraId="4ED107A4" w14:textId="77777777" w:rsidR="00F726AD" w:rsidRPr="00E863EA" w:rsidRDefault="00F726AD" w:rsidP="00F726AD">
            <w:pPr>
              <w:spacing w:before="60" w:after="60" w:line="240" w:lineRule="atLeast"/>
              <w:ind w:left="0" w:firstLine="0"/>
              <w:jc w:val="left"/>
            </w:pPr>
            <w:r w:rsidRPr="00E863EA">
              <w:t>N.E.U. ab 1. Januar 2019</w:t>
            </w:r>
          </w:p>
          <w:p w14:paraId="441EF891" w14:textId="77777777" w:rsidR="00F726AD" w:rsidRPr="00E863EA" w:rsidRDefault="00F726AD" w:rsidP="00F726AD">
            <w:pPr>
              <w:spacing w:before="60" w:after="60" w:line="240" w:lineRule="atLeast"/>
              <w:ind w:left="0" w:firstLine="0"/>
            </w:pPr>
            <w:r w:rsidRPr="00E863EA">
              <w:t>Erneuerung des Zulassungszeugnisses nach dem 31. Dezember 2020</w:t>
            </w:r>
          </w:p>
        </w:tc>
      </w:tr>
    </w:tbl>
    <w:p w14:paraId="15F3B058" w14:textId="6025457E" w:rsidR="00B35A6E" w:rsidRPr="00E863EA" w:rsidRDefault="00F726AD"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w:t>
      </w:r>
      <w:r w:rsidR="00EF3C75">
        <w:t>.</w:t>
      </w:r>
    </w:p>
    <w:p w14:paraId="40C0DAA3" w14:textId="77777777" w:rsidR="00B35A6E" w:rsidRPr="00E863EA" w:rsidRDefault="00B35A6E" w:rsidP="00B35A6E">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E863EA">
        <w:rPr>
          <w:b/>
          <w:sz w:val="28"/>
        </w:rPr>
        <w:tab/>
        <w:t>II.</w:t>
      </w:r>
      <w:r w:rsidRPr="00E863EA">
        <w:rPr>
          <w:b/>
          <w:sz w:val="28"/>
        </w:rPr>
        <w:tab/>
        <w:t>Ersuchen an den ADN-Sicherheitsausschuss</w:t>
      </w:r>
    </w:p>
    <w:bookmarkEnd w:id="1"/>
    <w:p w14:paraId="419081AC"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12.</w:t>
      </w:r>
      <w:r w:rsidRPr="00E863EA">
        <w:tab/>
        <w:t xml:space="preserve">In diesem Dokument liegt der Fokus speziell auf Gasspürgeräten. Grundsätzlich betrifft das Problem jedoch auch andere Geräte, sobald diese einer im ADN genannten konkreten Norm entsprechen müssen. </w:t>
      </w:r>
    </w:p>
    <w:p w14:paraId="5FCB70E2"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13.</w:t>
      </w:r>
      <w:r w:rsidRPr="00E863EA">
        <w:tab/>
        <w:t>Der Ausschuss wird gebeten, die Feststellung zu erwägen, dass Geräte, die bei ihrer Markteinführung nach einer bestimmten Norm zugelassen sind, für den Rest ihrer technischen Lebensdauer zugelassen bleiben. Dies soll auch dann gelten, wenn neue Normen eingeführt werden, die keine zusätzlichen (Prüf-)Anforderungen vorsehen.</w:t>
      </w:r>
    </w:p>
    <w:p w14:paraId="1AB6804B" w14:textId="1B1F60A9"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14.</w:t>
      </w:r>
      <w:r w:rsidRPr="00E863EA">
        <w:tab/>
        <w:t>In der zweiundvierzigsten Sitzung des ADN-Sicherheitsausschusses wies die belgische Regierung bei der Diskussion über das von EBU/ESO eingereichte informelle Dokument INF.21 darauf hin, dass bei Verweisen auf eine Europäische oder Internationale Norm im Europäischen Standard der technischen Vorschriften für Binnenschiffe (ES-TRIN) die entsprechenden Ausrüstungsgegenstände nach einer Neufassung oder Überarbeitung dieser Norm noch längstens 20 Jahre nach Neufassung oder Überarbeitung der Norm weiter verwendet werden dürfen.</w:t>
      </w:r>
    </w:p>
    <w:p w14:paraId="66649031"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15.</w:t>
      </w:r>
      <w:r w:rsidRPr="00E863EA">
        <w:tab/>
        <w:t>Die belgische Regierung würde einen Vorschlag für die dreiundvierzigste Sitzung dahin gehend unterbreiten, dass im ADN für bestimmte Ausrüstungsgegenstände diese Übergangsfrist ebenfalls gelten könnte.</w:t>
      </w:r>
    </w:p>
    <w:p w14:paraId="3AFC8490"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16.</w:t>
      </w:r>
      <w:r w:rsidRPr="00E863EA">
        <w:tab/>
        <w:t>Bei einer Annahme dieses Vorschlags erfüllen die betreffenden Gasspürgeräte die zum Zeitpunkt ihrer Anschaffung geltende Norm noch längstens 20 Jahre nach Neufassung oder Überarbeitung der Norm.</w:t>
      </w:r>
    </w:p>
    <w:p w14:paraId="04765D36" w14:textId="34B15A5E"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17.</w:t>
      </w:r>
      <w:r w:rsidRPr="00E863EA">
        <w:tab/>
        <w:t xml:space="preserve">Eine andere mögliche Lösung bestünde darin, eine Verlängerung der derzeitigen Übergangsvorschrift in Erwägung zu ziehen, wie im Falle anderer Vorschriften, die bei der Überarbeitung des ADN im Jahr 2019 in Bezug auf den Explosionsschutz angepasst wurden. Viele Übergangsvorschriften laufen mit der </w:t>
      </w:r>
      <w:r w:rsidR="00B0242F">
        <w:t>„</w:t>
      </w:r>
      <w:r w:rsidRPr="00E863EA">
        <w:t>Erneuerung des Zulassungszeugnisses nach dem 31. Dezember 2034</w:t>
      </w:r>
      <w:r w:rsidR="00B0242F">
        <w:t>“</w:t>
      </w:r>
      <w:r w:rsidRPr="00E863EA">
        <w:t xml:space="preserve"> aus.</w:t>
      </w:r>
    </w:p>
    <w:p w14:paraId="4BE28C60" w14:textId="6D1B6429" w:rsidR="00B35A6E" w:rsidRPr="00E863EA" w:rsidRDefault="00B35A6E" w:rsidP="00B35A6E">
      <w:pPr>
        <w:keepNext/>
        <w:keepLines/>
        <w:widowControl/>
        <w:tabs>
          <w:tab w:val="right" w:pos="851"/>
        </w:tabs>
        <w:overflowPunct/>
        <w:autoSpaceDE/>
        <w:autoSpaceDN/>
        <w:adjustRightInd/>
        <w:spacing w:before="360" w:after="240" w:line="300" w:lineRule="exact"/>
        <w:ind w:right="1134" w:hanging="708"/>
        <w:jc w:val="left"/>
        <w:textAlignment w:val="auto"/>
        <w:outlineLvl w:val="1"/>
        <w:rPr>
          <w:b/>
          <w:sz w:val="28"/>
        </w:rPr>
      </w:pPr>
      <w:r w:rsidRPr="00B0242F">
        <w:rPr>
          <w:b/>
          <w:sz w:val="28"/>
        </w:rPr>
        <w:tab/>
      </w:r>
      <w:r w:rsidRPr="00E863EA">
        <w:rPr>
          <w:b/>
          <w:sz w:val="28"/>
        </w:rPr>
        <w:t>III.</w:t>
      </w:r>
      <w:r w:rsidRPr="00E863EA">
        <w:rPr>
          <w:b/>
          <w:sz w:val="28"/>
        </w:rPr>
        <w:tab/>
        <w:t>Vorschlag I</w:t>
      </w:r>
    </w:p>
    <w:p w14:paraId="4D301BB6"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18.</w:t>
      </w:r>
      <w:r w:rsidRPr="00E863EA">
        <w:tab/>
        <w:t xml:space="preserve">Der ADN-Sicherheitsausschuss wird gebeten, über eine generelle Vorgehensweise in Bezug auf Geräte zu beraten, die von der Überarbeitung von Standards/Normen betroffen sind. Eine mögliche Vorgehensweise wird in Abschnitt II Absätze 14 bis 16 dieses Dokuments erwähnt. Würde unser in Abschnitt II genannter Vorschlag angenommen, würde dies automatisch bedeuten, dass die betreffenden </w:t>
      </w:r>
      <w:proofErr w:type="gramStart"/>
      <w:r w:rsidRPr="00E863EA">
        <w:t>Geräte</w:t>
      </w:r>
      <w:proofErr w:type="gramEnd"/>
      <w:r w:rsidRPr="00E863EA">
        <w:t xml:space="preserve"> die zum Zeitpunkt ihrer Anschaffung geltende Norm noch längstens 20 Jahre nach Neufassung oder Überarbeitung der Norm erfüllen würden.</w:t>
      </w:r>
    </w:p>
    <w:p w14:paraId="49A3F0FB" w14:textId="4A87A41E" w:rsidR="00B35A6E" w:rsidRPr="00E863EA" w:rsidRDefault="00B35A6E" w:rsidP="00B35A6E">
      <w:pPr>
        <w:keepNext/>
        <w:keepLines/>
        <w:widowControl/>
        <w:tabs>
          <w:tab w:val="right" w:pos="851"/>
        </w:tabs>
        <w:overflowPunct/>
        <w:autoSpaceDE/>
        <w:autoSpaceDN/>
        <w:adjustRightInd/>
        <w:spacing w:before="360" w:after="240" w:line="300" w:lineRule="exact"/>
        <w:ind w:right="1134" w:hanging="708"/>
        <w:jc w:val="left"/>
        <w:textAlignment w:val="auto"/>
        <w:outlineLvl w:val="1"/>
        <w:rPr>
          <w:b/>
          <w:sz w:val="28"/>
        </w:rPr>
      </w:pPr>
      <w:r w:rsidRPr="00E863EA">
        <w:rPr>
          <w:b/>
          <w:sz w:val="28"/>
        </w:rPr>
        <w:lastRenderedPageBreak/>
        <w:tab/>
        <w:t>IV.</w:t>
      </w:r>
      <w:r w:rsidRPr="00E863EA">
        <w:rPr>
          <w:b/>
          <w:sz w:val="28"/>
        </w:rPr>
        <w:tab/>
        <w:t xml:space="preserve">Vorschlag II </w:t>
      </w:r>
    </w:p>
    <w:p w14:paraId="31609B2F" w14:textId="7777777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19.</w:t>
      </w:r>
      <w:r w:rsidRPr="00E863EA">
        <w:tab/>
        <w:t>Wird in der Folge keine generelle Vorgehensweise für Geräte, die von der Überarbeitung von Standards/Normen betroffen sind, festgelegt, wird der ADN-Sicherheitsausschuss gebeten, eine Änderung der Anforderungen bezüglich der speziellen Norm für Gasspürgeräte gemäß Abschnitt II Absatz 17 dieses Dokuments zu erörtern.</w:t>
      </w:r>
    </w:p>
    <w:p w14:paraId="622E3749" w14:textId="77777777" w:rsidR="00B35A6E" w:rsidRPr="00E863EA" w:rsidRDefault="00B35A6E" w:rsidP="005206B1">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20.</w:t>
      </w:r>
      <w:r w:rsidRPr="00E863EA">
        <w:tab/>
        <w:t>Um unnötige Investitionen und die Entstehung von Abfall zu vermeiden, schlagen EBU/ESO vor, die Übergangsvorschrift des Absatzes 1.6.7.2.2.2 zur Begriffsbestimmung für Gasspürgerät wie folgt zu ändern (neuer Text ist fett gedruckt, gestrichener Text durchgestrichen):</w:t>
      </w:r>
    </w:p>
    <w:p w14:paraId="197B367C" w14:textId="74AA6534" w:rsidR="005206B1" w:rsidRPr="00E863EA" w:rsidRDefault="005206B1" w:rsidP="005206B1">
      <w:pPr>
        <w:widowControl/>
        <w:overflowPunct/>
        <w:autoSpaceDE/>
        <w:autoSpaceDN/>
        <w:adjustRightInd/>
        <w:ind w:left="567" w:firstLine="567"/>
        <w:jc w:val="left"/>
        <w:textAlignment w:val="auto"/>
        <w:rPr>
          <w:b/>
          <w:bCs/>
        </w:rPr>
      </w:pPr>
      <w:r w:rsidRPr="00E863EA">
        <w:rPr>
          <w:b/>
        </w:rPr>
        <w:t>„1.6.7.2.2.2 Tabelle der allgemeinen Übergangsvorschriften für Tankschiffe</w:t>
      </w:r>
    </w:p>
    <w:p w14:paraId="26E5E540" w14:textId="77777777" w:rsidR="005206B1" w:rsidRPr="00E863EA" w:rsidRDefault="005206B1" w:rsidP="005206B1">
      <w:pPr>
        <w:widowControl/>
        <w:overflowPunct/>
        <w:autoSpaceDE/>
        <w:autoSpaceDN/>
        <w:adjustRightInd/>
        <w:ind w:left="0" w:firstLine="0"/>
        <w:jc w:val="left"/>
        <w:textAlignment w:val="auto"/>
        <w:rPr>
          <w:b/>
          <w:bCs/>
          <w:u w:val="single"/>
        </w:rPr>
      </w:pPr>
    </w:p>
    <w:tbl>
      <w:tblPr>
        <w:tblW w:w="7508" w:type="dxa"/>
        <w:tblInd w:w="1131" w:type="dxa"/>
        <w:tblLayout w:type="fixed"/>
        <w:tblCellMar>
          <w:left w:w="70" w:type="dxa"/>
          <w:right w:w="70" w:type="dxa"/>
        </w:tblCellMar>
        <w:tblLook w:val="0000" w:firstRow="0" w:lastRow="0" w:firstColumn="0" w:lastColumn="0" w:noHBand="0" w:noVBand="0"/>
      </w:tblPr>
      <w:tblGrid>
        <w:gridCol w:w="1207"/>
        <w:gridCol w:w="2552"/>
        <w:gridCol w:w="3749"/>
      </w:tblGrid>
      <w:tr w:rsidR="005206B1" w:rsidRPr="00E863EA" w14:paraId="4A7B9EBE" w14:textId="77777777" w:rsidTr="00824A4A">
        <w:trPr>
          <w:cantSplit/>
        </w:trPr>
        <w:tc>
          <w:tcPr>
            <w:tcW w:w="1207" w:type="dxa"/>
            <w:tcBorders>
              <w:top w:val="single" w:sz="6" w:space="0" w:color="auto"/>
              <w:left w:val="single" w:sz="6" w:space="0" w:color="auto"/>
              <w:bottom w:val="single" w:sz="6" w:space="0" w:color="auto"/>
              <w:right w:val="single" w:sz="6" w:space="0" w:color="auto"/>
            </w:tcBorders>
          </w:tcPr>
          <w:p w14:paraId="5C98A20D" w14:textId="77777777" w:rsidR="005206B1" w:rsidRPr="00E863EA" w:rsidRDefault="005206B1" w:rsidP="00824A4A">
            <w:pPr>
              <w:spacing w:before="60" w:after="60" w:line="240" w:lineRule="atLeast"/>
              <w:ind w:left="0" w:firstLine="0"/>
              <w:jc w:val="center"/>
            </w:pPr>
            <w:r w:rsidRPr="00E863EA">
              <w:t>1.2.1</w:t>
            </w:r>
          </w:p>
        </w:tc>
        <w:tc>
          <w:tcPr>
            <w:tcW w:w="2552" w:type="dxa"/>
            <w:tcBorders>
              <w:top w:val="single" w:sz="6" w:space="0" w:color="auto"/>
              <w:left w:val="single" w:sz="6" w:space="0" w:color="auto"/>
              <w:bottom w:val="single" w:sz="6" w:space="0" w:color="auto"/>
              <w:right w:val="single" w:sz="6" w:space="0" w:color="auto"/>
            </w:tcBorders>
          </w:tcPr>
          <w:p w14:paraId="668DAE17" w14:textId="77777777" w:rsidR="005206B1" w:rsidRPr="00E863EA" w:rsidRDefault="005206B1" w:rsidP="00824A4A">
            <w:pPr>
              <w:spacing w:before="60" w:after="60" w:line="240" w:lineRule="atLeast"/>
              <w:ind w:left="0" w:firstLine="0"/>
            </w:pPr>
            <w:r w:rsidRPr="00E863EA">
              <w:t>Gasspürgerät</w:t>
            </w:r>
          </w:p>
          <w:p w14:paraId="645C96F3" w14:textId="77777777" w:rsidR="005206B1" w:rsidRPr="00E863EA" w:rsidRDefault="005206B1" w:rsidP="00824A4A">
            <w:pPr>
              <w:spacing w:before="60" w:after="60" w:line="240" w:lineRule="atLeast"/>
              <w:ind w:left="0" w:firstLine="0"/>
            </w:pPr>
            <w:r w:rsidRPr="00E863EA">
              <w:t>Prüfung nach der Norm IEC 60079-29-1:2016</w:t>
            </w:r>
          </w:p>
        </w:tc>
        <w:tc>
          <w:tcPr>
            <w:tcW w:w="3749" w:type="dxa"/>
            <w:tcBorders>
              <w:top w:val="single" w:sz="6" w:space="0" w:color="auto"/>
              <w:left w:val="single" w:sz="6" w:space="0" w:color="auto"/>
              <w:bottom w:val="single" w:sz="6" w:space="0" w:color="auto"/>
              <w:right w:val="single" w:sz="6" w:space="0" w:color="auto"/>
            </w:tcBorders>
          </w:tcPr>
          <w:p w14:paraId="4F17C603" w14:textId="77777777" w:rsidR="005206B1" w:rsidRPr="00E863EA" w:rsidRDefault="005206B1" w:rsidP="00824A4A">
            <w:pPr>
              <w:spacing w:before="60" w:after="60" w:line="240" w:lineRule="atLeast"/>
              <w:ind w:left="0" w:firstLine="0"/>
              <w:jc w:val="left"/>
            </w:pPr>
            <w:r w:rsidRPr="00E863EA">
              <w:t>N.E.U. ab 1. Januar 2019</w:t>
            </w:r>
          </w:p>
          <w:p w14:paraId="5E1443D8" w14:textId="05E4C150" w:rsidR="005206B1" w:rsidRPr="00E863EA" w:rsidRDefault="005206B1" w:rsidP="00824A4A">
            <w:pPr>
              <w:spacing w:before="60" w:after="60" w:line="240" w:lineRule="atLeast"/>
              <w:ind w:left="0" w:firstLine="0"/>
            </w:pPr>
            <w:r w:rsidRPr="00E863EA">
              <w:t>Erneuerung des Zulassungszeugnisses nach dem 31. Dezember </w:t>
            </w:r>
            <w:r w:rsidRPr="00E863EA">
              <w:rPr>
                <w:strike/>
              </w:rPr>
              <w:t xml:space="preserve">2020 </w:t>
            </w:r>
            <w:r w:rsidRPr="00E863EA">
              <w:rPr>
                <w:b/>
                <w:u w:val="single"/>
              </w:rPr>
              <w:t>2034</w:t>
            </w:r>
          </w:p>
        </w:tc>
      </w:tr>
    </w:tbl>
    <w:p w14:paraId="0385C0BC" w14:textId="45524D55" w:rsidR="005206B1" w:rsidRPr="00E863EA" w:rsidRDefault="005206B1" w:rsidP="005206B1">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w:t>
      </w:r>
      <w:r w:rsidR="00E863EA" w:rsidRPr="00E863EA">
        <w:t>.</w:t>
      </w:r>
    </w:p>
    <w:p w14:paraId="2A3BD376" w14:textId="6094DD65" w:rsidR="00B35A6E" w:rsidRPr="00E863EA" w:rsidRDefault="00B35A6E" w:rsidP="00E863EA">
      <w:pPr>
        <w:keepNext/>
        <w:keepLines/>
        <w:widowControl/>
        <w:tabs>
          <w:tab w:val="left" w:pos="1134"/>
        </w:tabs>
        <w:overflowPunct/>
        <w:autoSpaceDE/>
        <w:autoSpaceDN/>
        <w:adjustRightInd/>
        <w:spacing w:before="360" w:after="240" w:line="300" w:lineRule="exact"/>
        <w:ind w:left="0" w:right="1134" w:firstLine="0"/>
        <w:jc w:val="left"/>
        <w:textAlignment w:val="auto"/>
        <w:outlineLvl w:val="1"/>
        <w:rPr>
          <w:b/>
          <w:sz w:val="28"/>
        </w:rPr>
      </w:pPr>
      <w:r w:rsidRPr="00E863EA">
        <w:rPr>
          <w:b/>
          <w:sz w:val="28"/>
        </w:rPr>
        <w:t>V.</w:t>
      </w:r>
      <w:r w:rsidR="00612D5F" w:rsidRPr="00E863EA">
        <w:rPr>
          <w:b/>
          <w:sz w:val="28"/>
        </w:rPr>
        <w:tab/>
      </w:r>
      <w:r w:rsidRPr="00E863EA">
        <w:rPr>
          <w:b/>
          <w:sz w:val="28"/>
        </w:rPr>
        <w:t>Ziele für nachhaltige Entwicklung (SDGs)</w:t>
      </w:r>
    </w:p>
    <w:p w14:paraId="542C1106" w14:textId="629BBAD7" w:rsidR="00B35A6E" w:rsidRPr="00E863EA" w:rsidRDefault="00B35A6E" w:rsidP="00B35A6E">
      <w:pPr>
        <w:widowControl/>
        <w:tabs>
          <w:tab w:val="left" w:pos="1701"/>
          <w:tab w:val="left" w:pos="2268"/>
          <w:tab w:val="left" w:pos="2835"/>
        </w:tabs>
        <w:overflowPunct/>
        <w:autoSpaceDE/>
        <w:autoSpaceDN/>
        <w:adjustRightInd/>
        <w:spacing w:after="120" w:line="240" w:lineRule="atLeast"/>
        <w:ind w:right="1134" w:firstLine="0"/>
        <w:textAlignment w:val="auto"/>
      </w:pPr>
      <w:r w:rsidRPr="00E863EA">
        <w:t>21.</w:t>
      </w:r>
      <w:r w:rsidRPr="00E863EA">
        <w:tab/>
        <w:t>Durch eine Änderung der genannten Übergangsvorschrift würde das folgende Ziel für nachhaltige Entwicklung erfüllt: Ziel 12 – Nachhaltige Konsum- und Produktionsmuster.</w:t>
      </w:r>
    </w:p>
    <w:p w14:paraId="472740CC" w14:textId="77777777" w:rsidR="00B35A6E" w:rsidRPr="00E863EA" w:rsidRDefault="00B35A6E" w:rsidP="00B35A6E">
      <w:pPr>
        <w:widowControl/>
        <w:overflowPunct/>
        <w:autoSpaceDE/>
        <w:autoSpaceDN/>
        <w:adjustRightInd/>
        <w:spacing w:line="240" w:lineRule="atLeast"/>
        <w:ind w:left="0" w:firstLine="0"/>
        <w:jc w:val="left"/>
        <w:textAlignment w:val="auto"/>
      </w:pPr>
    </w:p>
    <w:p w14:paraId="554CE08E" w14:textId="023DBEDF" w:rsidR="006C6CA7" w:rsidRPr="00612D5F" w:rsidRDefault="006C6CA7" w:rsidP="006C6CA7">
      <w:pPr>
        <w:widowControl/>
        <w:tabs>
          <w:tab w:val="left" w:pos="1701"/>
          <w:tab w:val="left" w:pos="2268"/>
          <w:tab w:val="left" w:pos="2835"/>
        </w:tabs>
        <w:overflowPunct/>
        <w:autoSpaceDE/>
        <w:autoSpaceDN/>
        <w:adjustRightInd/>
        <w:spacing w:after="120" w:line="240" w:lineRule="atLeast"/>
        <w:ind w:right="1134" w:firstLine="0"/>
        <w:jc w:val="center"/>
        <w:textAlignment w:val="auto"/>
      </w:pPr>
      <w:r w:rsidRPr="00E863EA">
        <w:t>***</w:t>
      </w:r>
    </w:p>
    <w:sectPr w:rsidR="006C6CA7" w:rsidRPr="00612D5F" w:rsidSect="00E06CF7">
      <w:headerReference w:type="even" r:id="rId12"/>
      <w:headerReference w:type="default" r:id="rId13"/>
      <w:footerReference w:type="even" r:id="rId14"/>
      <w:footerReference w:type="default" r:id="rId15"/>
      <w:pgSz w:w="11906" w:h="16838"/>
      <w:pgMar w:top="1701" w:right="198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6A7C" w14:textId="77777777" w:rsidR="00C164B7" w:rsidRDefault="00C164B7" w:rsidP="0011702A">
      <w:r>
        <w:separator/>
      </w:r>
    </w:p>
  </w:endnote>
  <w:endnote w:type="continuationSeparator" w:id="0">
    <w:p w14:paraId="591954EF" w14:textId="77777777" w:rsidR="00C164B7" w:rsidRDefault="00C164B7"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3E5EC48B" w:rsidR="00915307" w:rsidRPr="008C5C89" w:rsidRDefault="00AF1227" w:rsidP="008D3DAE">
    <w:pPr>
      <w:suppressAutoHyphens/>
      <w:jc w:val="right"/>
      <w:rPr>
        <w:lang w:val="nl-NL"/>
      </w:rPr>
    </w:pPr>
    <w:proofErr w:type="spellStart"/>
    <w:r w:rsidRPr="00612D5F">
      <w:rPr>
        <w:rFonts w:ascii="Arial" w:hAnsi="Arial"/>
        <w:snapToGrid w:val="0"/>
        <w:sz w:val="12"/>
        <w:lang w:val="nl-NL"/>
      </w:rPr>
      <w:t>Extern_mm_uh</w:t>
    </w:r>
    <w:proofErr w:type="spellEnd"/>
    <w:r w:rsidRPr="00612D5F">
      <w:rPr>
        <w:rFonts w:ascii="Arial" w:hAnsi="Arial"/>
        <w:snapToGrid w:val="0"/>
        <w:sz w:val="12"/>
        <w:lang w:val="nl-NL"/>
      </w:rPr>
      <w:t>/adn_wp15_ac2_2024_25de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73F8E6AE" w:rsidR="00455E11" w:rsidRPr="008C5C89" w:rsidRDefault="006B59D6" w:rsidP="00B60659">
    <w:pPr>
      <w:suppressAutoHyphens/>
      <w:jc w:val="right"/>
      <w:rPr>
        <w:rFonts w:ascii="Arial" w:hAnsi="Arial" w:cs="Arial"/>
        <w:noProof/>
        <w:snapToGrid w:val="0"/>
        <w:sz w:val="12"/>
        <w:lang w:val="nl-NL"/>
      </w:rPr>
    </w:pPr>
    <w:proofErr w:type="spellStart"/>
    <w:r w:rsidRPr="00612D5F">
      <w:rPr>
        <w:rFonts w:ascii="Arial" w:hAnsi="Arial"/>
        <w:snapToGrid w:val="0"/>
        <w:sz w:val="12"/>
        <w:lang w:val="nl-NL"/>
      </w:rPr>
      <w:t>Extern_mm_uh</w:t>
    </w:r>
    <w:proofErr w:type="spellEnd"/>
    <w:r w:rsidRPr="00612D5F">
      <w:rPr>
        <w:rFonts w:ascii="Arial" w:hAnsi="Arial"/>
        <w:snapToGrid w:val="0"/>
        <w:sz w:val="12"/>
        <w:lang w:val="nl-NL"/>
      </w:rPr>
      <w:t>/adn_wp15_ac2_2024_25de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F9E7" w14:textId="77777777" w:rsidR="00C164B7" w:rsidRDefault="00C164B7" w:rsidP="0011702A">
      <w:r>
        <w:separator/>
      </w:r>
    </w:p>
  </w:footnote>
  <w:footnote w:type="continuationSeparator" w:id="0">
    <w:p w14:paraId="1476B3C1" w14:textId="77777777" w:rsidR="00C164B7" w:rsidRDefault="00C164B7" w:rsidP="0011702A">
      <w:r>
        <w:continuationSeparator/>
      </w:r>
    </w:p>
  </w:footnote>
  <w:footnote w:id="1">
    <w:p w14:paraId="4A90418F" w14:textId="6AC21B5C" w:rsidR="008D3DAE" w:rsidRPr="00612D5F" w:rsidRDefault="008D3DAE" w:rsidP="008D3DAE">
      <w:pPr>
        <w:pStyle w:val="Notedebasdepage"/>
        <w:rPr>
          <w:sz w:val="16"/>
          <w:szCs w:val="16"/>
        </w:rPr>
      </w:pPr>
      <w:r w:rsidRPr="00612D5F">
        <w:rPr>
          <w:rStyle w:val="Appelnotedebasdep"/>
        </w:rPr>
        <w:tab/>
        <w:t>*</w:t>
      </w:r>
      <w:r w:rsidRPr="00612D5F">
        <w:rPr>
          <w:rStyle w:val="Appelnotedebasdep"/>
        </w:rPr>
        <w:tab/>
      </w:r>
      <w:r w:rsidRPr="00612D5F">
        <w:rPr>
          <w:sz w:val="16"/>
        </w:rPr>
        <w:t>Von der UNECE in Englisch, Französisch und Russisch unter dem Aktenzeichen ECE/TRANS/WP.15/AC.2/2023/25</w:t>
      </w:r>
      <w:r w:rsidR="008C5C89">
        <w:rPr>
          <w:sz w:val="16"/>
        </w:rPr>
        <w:t xml:space="preserve"> verteilt</w:t>
      </w:r>
      <w:r w:rsidRPr="00612D5F">
        <w:rPr>
          <w:sz w:val="16"/>
        </w:rPr>
        <w:t>.</w:t>
      </w:r>
    </w:p>
  </w:footnote>
  <w:footnote w:id="2">
    <w:p w14:paraId="1B2FF234" w14:textId="33A0916F" w:rsidR="008D3DAE" w:rsidRPr="00612D5F" w:rsidRDefault="008D3DAE" w:rsidP="008D3DAE">
      <w:pPr>
        <w:pStyle w:val="Notedebasdepage"/>
        <w:rPr>
          <w:sz w:val="16"/>
          <w:szCs w:val="16"/>
        </w:rPr>
      </w:pPr>
      <w:r w:rsidRPr="00612D5F">
        <w:rPr>
          <w:rStyle w:val="Appelnotedebasdep"/>
        </w:rPr>
        <w:tab/>
      </w:r>
      <w:r w:rsidRPr="00612D5F">
        <w:rPr>
          <w:rStyle w:val="Appelnotedebasdep"/>
          <w:lang w:val="en-US"/>
        </w:rPr>
        <w:t>**</w:t>
      </w:r>
      <w:r w:rsidRPr="00612D5F">
        <w:rPr>
          <w:rStyle w:val="Appelnotedebasdep"/>
          <w:lang w:val="en-US"/>
        </w:rPr>
        <w:tab/>
      </w:r>
      <w:r w:rsidRPr="00612D5F">
        <w:rPr>
          <w:sz w:val="16"/>
          <w:lang w:val="en-US"/>
        </w:rPr>
        <w:t xml:space="preserve">A/78/6 (Kap. 20) </w:t>
      </w:r>
      <w:proofErr w:type="spellStart"/>
      <w:r w:rsidRPr="00612D5F">
        <w:rPr>
          <w:sz w:val="16"/>
          <w:lang w:val="en-US"/>
        </w:rPr>
        <w:t>Tabelle</w:t>
      </w:r>
      <w:proofErr w:type="spellEnd"/>
      <w:r w:rsidRPr="00612D5F">
        <w:rPr>
          <w:sz w:val="16"/>
          <w:lang w:val="en-US"/>
        </w:rPr>
        <w:t xml:space="preserv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1C435FF1" w:rsidR="00DA541A" w:rsidRPr="00612D5F"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612D5F">
      <w:rPr>
        <w:rFonts w:ascii="Arial" w:hAnsi="Arial"/>
        <w:snapToGrid w:val="0"/>
        <w:sz w:val="16"/>
        <w:lang w:val="fr-FR"/>
      </w:rPr>
      <w:t>CCNR-ZKR/ADN/WP.15/AC.2/2024/25</w:t>
    </w:r>
  </w:p>
  <w:p w14:paraId="532A701C" w14:textId="77777777" w:rsidR="00DA541A" w:rsidRPr="00612D5F"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612D5F">
      <w:rPr>
        <w:rFonts w:ascii="Arial" w:hAnsi="Arial"/>
        <w:snapToGrid w:val="0"/>
        <w:sz w:val="16"/>
      </w:rPr>
      <w:t xml:space="preserve">Seite </w:t>
    </w:r>
    <w:r w:rsidRPr="00612D5F">
      <w:rPr>
        <w:rFonts w:ascii="Arial" w:hAnsi="Arial"/>
        <w:snapToGrid w:val="0"/>
        <w:sz w:val="16"/>
      </w:rPr>
      <w:fldChar w:fldCharType="begin"/>
    </w:r>
    <w:r w:rsidRPr="00612D5F">
      <w:rPr>
        <w:rFonts w:ascii="Arial" w:hAnsi="Arial"/>
        <w:snapToGrid w:val="0"/>
        <w:sz w:val="16"/>
      </w:rPr>
      <w:instrText xml:space="preserve"> PAGE  \* MERGEFORMAT </w:instrText>
    </w:r>
    <w:r w:rsidRPr="00612D5F">
      <w:rPr>
        <w:rFonts w:ascii="Arial" w:hAnsi="Arial"/>
        <w:snapToGrid w:val="0"/>
        <w:sz w:val="16"/>
      </w:rPr>
      <w:fldChar w:fldCharType="separate"/>
    </w:r>
    <w:r w:rsidR="009767E1" w:rsidRPr="00612D5F">
      <w:rPr>
        <w:rFonts w:ascii="Arial" w:hAnsi="Arial"/>
        <w:snapToGrid w:val="0"/>
        <w:sz w:val="16"/>
      </w:rPr>
      <w:t>2</w:t>
    </w:r>
    <w:r w:rsidRPr="00612D5F">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67340648" w:rsidR="00DA541A" w:rsidRPr="00612D5F"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612D5F">
      <w:rPr>
        <w:rFonts w:ascii="Arial" w:hAnsi="Arial"/>
        <w:snapToGrid w:val="0"/>
        <w:sz w:val="16"/>
        <w:lang w:val="fr-FR"/>
      </w:rPr>
      <w:t>CCNR-ZKR/ADN/WP.15/AC.2/2024/25</w:t>
    </w:r>
  </w:p>
  <w:p w14:paraId="526710C3" w14:textId="77777777" w:rsidR="00DA541A" w:rsidRPr="00612D5F"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612D5F">
      <w:rPr>
        <w:rFonts w:ascii="Arial" w:hAnsi="Arial"/>
        <w:snapToGrid w:val="0"/>
        <w:sz w:val="16"/>
      </w:rPr>
      <w:t xml:space="preserve">Seite </w:t>
    </w:r>
    <w:r w:rsidRPr="00612D5F">
      <w:rPr>
        <w:rFonts w:ascii="Arial" w:hAnsi="Arial"/>
        <w:snapToGrid w:val="0"/>
        <w:sz w:val="16"/>
      </w:rPr>
      <w:fldChar w:fldCharType="begin"/>
    </w:r>
    <w:r w:rsidRPr="00612D5F">
      <w:rPr>
        <w:rFonts w:ascii="Arial" w:hAnsi="Arial"/>
        <w:snapToGrid w:val="0"/>
        <w:sz w:val="16"/>
      </w:rPr>
      <w:instrText xml:space="preserve"> PAGE  \* MERGEFORMAT </w:instrText>
    </w:r>
    <w:r w:rsidRPr="00612D5F">
      <w:rPr>
        <w:rFonts w:ascii="Arial" w:hAnsi="Arial"/>
        <w:snapToGrid w:val="0"/>
        <w:sz w:val="16"/>
      </w:rPr>
      <w:fldChar w:fldCharType="separate"/>
    </w:r>
    <w:r w:rsidR="00C96029" w:rsidRPr="00612D5F">
      <w:rPr>
        <w:rFonts w:ascii="Arial" w:hAnsi="Arial"/>
        <w:snapToGrid w:val="0"/>
        <w:sz w:val="16"/>
      </w:rPr>
      <w:t>3</w:t>
    </w:r>
    <w:r w:rsidRPr="00612D5F">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32641F6"/>
    <w:multiLevelType w:val="hybridMultilevel"/>
    <w:tmpl w:val="58FACBB8"/>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3"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8"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3"/>
  </w:num>
  <w:num w:numId="3" w16cid:durableId="887492727">
    <w:abstractNumId w:val="8"/>
  </w:num>
  <w:num w:numId="4" w16cid:durableId="58795070">
    <w:abstractNumId w:val="9"/>
  </w:num>
  <w:num w:numId="5" w16cid:durableId="2117282849">
    <w:abstractNumId w:val="5"/>
  </w:num>
  <w:num w:numId="6" w16cid:durableId="64181020">
    <w:abstractNumId w:val="4"/>
  </w:num>
  <w:num w:numId="7" w16cid:durableId="447357181">
    <w:abstractNumId w:val="7"/>
  </w:num>
  <w:num w:numId="8" w16cid:durableId="222369782">
    <w:abstractNumId w:val="1"/>
  </w:num>
  <w:num w:numId="9" w16cid:durableId="1770274270">
    <w:abstractNumId w:val="6"/>
  </w:num>
  <w:num w:numId="10" w16cid:durableId="1025011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39F1"/>
    <w:rsid w:val="00043FEC"/>
    <w:rsid w:val="00047E84"/>
    <w:rsid w:val="00052E7E"/>
    <w:rsid w:val="000543C2"/>
    <w:rsid w:val="000563D5"/>
    <w:rsid w:val="00056B10"/>
    <w:rsid w:val="00057DC8"/>
    <w:rsid w:val="00061428"/>
    <w:rsid w:val="0006299C"/>
    <w:rsid w:val="000662AD"/>
    <w:rsid w:val="00071E8B"/>
    <w:rsid w:val="0007311B"/>
    <w:rsid w:val="00073438"/>
    <w:rsid w:val="00076F9A"/>
    <w:rsid w:val="00080275"/>
    <w:rsid w:val="00080F60"/>
    <w:rsid w:val="00084B40"/>
    <w:rsid w:val="00090A58"/>
    <w:rsid w:val="0009215A"/>
    <w:rsid w:val="00097410"/>
    <w:rsid w:val="0009790D"/>
    <w:rsid w:val="000A1A85"/>
    <w:rsid w:val="000A324C"/>
    <w:rsid w:val="000B3573"/>
    <w:rsid w:val="000C0CD6"/>
    <w:rsid w:val="000C108A"/>
    <w:rsid w:val="000C323C"/>
    <w:rsid w:val="000C3DD0"/>
    <w:rsid w:val="000C4ACA"/>
    <w:rsid w:val="000C6E63"/>
    <w:rsid w:val="000C72ED"/>
    <w:rsid w:val="000C754F"/>
    <w:rsid w:val="000C795B"/>
    <w:rsid w:val="000D3D4C"/>
    <w:rsid w:val="000D4406"/>
    <w:rsid w:val="000D5D27"/>
    <w:rsid w:val="000D73C6"/>
    <w:rsid w:val="000D7FD6"/>
    <w:rsid w:val="000E3D90"/>
    <w:rsid w:val="000E4620"/>
    <w:rsid w:val="000E6786"/>
    <w:rsid w:val="000F17DE"/>
    <w:rsid w:val="000F6242"/>
    <w:rsid w:val="000F79E4"/>
    <w:rsid w:val="001013D7"/>
    <w:rsid w:val="001015D4"/>
    <w:rsid w:val="00103513"/>
    <w:rsid w:val="00105AE1"/>
    <w:rsid w:val="00106650"/>
    <w:rsid w:val="00106FC3"/>
    <w:rsid w:val="00113A60"/>
    <w:rsid w:val="00114102"/>
    <w:rsid w:val="0011545F"/>
    <w:rsid w:val="0011702A"/>
    <w:rsid w:val="0012236C"/>
    <w:rsid w:val="00126AA9"/>
    <w:rsid w:val="00131CD7"/>
    <w:rsid w:val="00132CD8"/>
    <w:rsid w:val="00141063"/>
    <w:rsid w:val="00143354"/>
    <w:rsid w:val="00144209"/>
    <w:rsid w:val="0014655C"/>
    <w:rsid w:val="001515D6"/>
    <w:rsid w:val="0015578B"/>
    <w:rsid w:val="00156782"/>
    <w:rsid w:val="001568F4"/>
    <w:rsid w:val="00156903"/>
    <w:rsid w:val="00156ACE"/>
    <w:rsid w:val="00157E97"/>
    <w:rsid w:val="0016040C"/>
    <w:rsid w:val="00162DEA"/>
    <w:rsid w:val="0016468C"/>
    <w:rsid w:val="00165DD4"/>
    <w:rsid w:val="0016790C"/>
    <w:rsid w:val="001729A2"/>
    <w:rsid w:val="001735B9"/>
    <w:rsid w:val="001739E9"/>
    <w:rsid w:val="00176072"/>
    <w:rsid w:val="0017767A"/>
    <w:rsid w:val="001878DE"/>
    <w:rsid w:val="00190390"/>
    <w:rsid w:val="0019117A"/>
    <w:rsid w:val="00196757"/>
    <w:rsid w:val="00197CF4"/>
    <w:rsid w:val="001A078E"/>
    <w:rsid w:val="001A4008"/>
    <w:rsid w:val="001A5460"/>
    <w:rsid w:val="001A791F"/>
    <w:rsid w:val="001B47EC"/>
    <w:rsid w:val="001B4F22"/>
    <w:rsid w:val="001B7B3E"/>
    <w:rsid w:val="001C0E5C"/>
    <w:rsid w:val="001C1D1B"/>
    <w:rsid w:val="001C303B"/>
    <w:rsid w:val="001C4ED8"/>
    <w:rsid w:val="001D1B0A"/>
    <w:rsid w:val="001D34F6"/>
    <w:rsid w:val="001D4239"/>
    <w:rsid w:val="001D7319"/>
    <w:rsid w:val="001E4D07"/>
    <w:rsid w:val="001E515F"/>
    <w:rsid w:val="0020240A"/>
    <w:rsid w:val="00202E6D"/>
    <w:rsid w:val="0020337F"/>
    <w:rsid w:val="00205465"/>
    <w:rsid w:val="002132D2"/>
    <w:rsid w:val="0021469F"/>
    <w:rsid w:val="00221D05"/>
    <w:rsid w:val="00223DF9"/>
    <w:rsid w:val="00231D22"/>
    <w:rsid w:val="00235297"/>
    <w:rsid w:val="00235B56"/>
    <w:rsid w:val="00240203"/>
    <w:rsid w:val="002406C8"/>
    <w:rsid w:val="0024118A"/>
    <w:rsid w:val="002421A1"/>
    <w:rsid w:val="002431F2"/>
    <w:rsid w:val="002460C4"/>
    <w:rsid w:val="00250FDB"/>
    <w:rsid w:val="00253DB1"/>
    <w:rsid w:val="002546D9"/>
    <w:rsid w:val="00255192"/>
    <w:rsid w:val="00260E99"/>
    <w:rsid w:val="0027414F"/>
    <w:rsid w:val="002748A2"/>
    <w:rsid w:val="00280779"/>
    <w:rsid w:val="00283323"/>
    <w:rsid w:val="00284FEA"/>
    <w:rsid w:val="00290B95"/>
    <w:rsid w:val="00291CB3"/>
    <w:rsid w:val="00291CFA"/>
    <w:rsid w:val="00293696"/>
    <w:rsid w:val="002945CA"/>
    <w:rsid w:val="002A337E"/>
    <w:rsid w:val="002A53A6"/>
    <w:rsid w:val="002B0567"/>
    <w:rsid w:val="002B0630"/>
    <w:rsid w:val="002B3FEF"/>
    <w:rsid w:val="002B4C67"/>
    <w:rsid w:val="002B5AED"/>
    <w:rsid w:val="002B5AFB"/>
    <w:rsid w:val="002C0469"/>
    <w:rsid w:val="002C2878"/>
    <w:rsid w:val="002C382E"/>
    <w:rsid w:val="002C5F66"/>
    <w:rsid w:val="002C67F4"/>
    <w:rsid w:val="002C742A"/>
    <w:rsid w:val="002D1BFB"/>
    <w:rsid w:val="002D4720"/>
    <w:rsid w:val="002D7C79"/>
    <w:rsid w:val="002E05AA"/>
    <w:rsid w:val="002E0D39"/>
    <w:rsid w:val="002E2DAD"/>
    <w:rsid w:val="002E3745"/>
    <w:rsid w:val="002E3FE8"/>
    <w:rsid w:val="002E6A16"/>
    <w:rsid w:val="002E7227"/>
    <w:rsid w:val="002F4FC6"/>
    <w:rsid w:val="00303233"/>
    <w:rsid w:val="003033DD"/>
    <w:rsid w:val="00306481"/>
    <w:rsid w:val="00316D5A"/>
    <w:rsid w:val="0032045B"/>
    <w:rsid w:val="00320C5F"/>
    <w:rsid w:val="00322953"/>
    <w:rsid w:val="003233C8"/>
    <w:rsid w:val="00325D76"/>
    <w:rsid w:val="003263B1"/>
    <w:rsid w:val="00326B14"/>
    <w:rsid w:val="00337027"/>
    <w:rsid w:val="00337284"/>
    <w:rsid w:val="00342BA1"/>
    <w:rsid w:val="00342F90"/>
    <w:rsid w:val="003439FC"/>
    <w:rsid w:val="00344C19"/>
    <w:rsid w:val="00344C79"/>
    <w:rsid w:val="00351F70"/>
    <w:rsid w:val="00357412"/>
    <w:rsid w:val="00361725"/>
    <w:rsid w:val="00363525"/>
    <w:rsid w:val="0036362E"/>
    <w:rsid w:val="00363DDB"/>
    <w:rsid w:val="00364E68"/>
    <w:rsid w:val="003702C7"/>
    <w:rsid w:val="00372561"/>
    <w:rsid w:val="0037328B"/>
    <w:rsid w:val="00374B30"/>
    <w:rsid w:val="0038428F"/>
    <w:rsid w:val="003866B8"/>
    <w:rsid w:val="00386A42"/>
    <w:rsid w:val="00387545"/>
    <w:rsid w:val="00394763"/>
    <w:rsid w:val="00395742"/>
    <w:rsid w:val="00395748"/>
    <w:rsid w:val="00397E52"/>
    <w:rsid w:val="003A2337"/>
    <w:rsid w:val="003B23DA"/>
    <w:rsid w:val="003C0CEA"/>
    <w:rsid w:val="003C5AFD"/>
    <w:rsid w:val="003C61C4"/>
    <w:rsid w:val="003D3605"/>
    <w:rsid w:val="003D5B9B"/>
    <w:rsid w:val="003D7BD0"/>
    <w:rsid w:val="003E1B4C"/>
    <w:rsid w:val="003E328C"/>
    <w:rsid w:val="003E6E61"/>
    <w:rsid w:val="003F334D"/>
    <w:rsid w:val="00400ADD"/>
    <w:rsid w:val="00401179"/>
    <w:rsid w:val="0040118C"/>
    <w:rsid w:val="004027F5"/>
    <w:rsid w:val="0040293E"/>
    <w:rsid w:val="00405327"/>
    <w:rsid w:val="00406965"/>
    <w:rsid w:val="00410285"/>
    <w:rsid w:val="00415794"/>
    <w:rsid w:val="004176F9"/>
    <w:rsid w:val="00427609"/>
    <w:rsid w:val="00427804"/>
    <w:rsid w:val="00430CD0"/>
    <w:rsid w:val="00432779"/>
    <w:rsid w:val="00432C11"/>
    <w:rsid w:val="0043373F"/>
    <w:rsid w:val="0043787C"/>
    <w:rsid w:val="00442166"/>
    <w:rsid w:val="00446085"/>
    <w:rsid w:val="0045323C"/>
    <w:rsid w:val="0045350F"/>
    <w:rsid w:val="00454151"/>
    <w:rsid w:val="0045596C"/>
    <w:rsid w:val="00455E11"/>
    <w:rsid w:val="004621A8"/>
    <w:rsid w:val="00464867"/>
    <w:rsid w:val="00466FB5"/>
    <w:rsid w:val="00472198"/>
    <w:rsid w:val="004819A4"/>
    <w:rsid w:val="0048292C"/>
    <w:rsid w:val="00483272"/>
    <w:rsid w:val="004847DC"/>
    <w:rsid w:val="00492FA6"/>
    <w:rsid w:val="004957ED"/>
    <w:rsid w:val="004965DA"/>
    <w:rsid w:val="0049785E"/>
    <w:rsid w:val="004A0752"/>
    <w:rsid w:val="004A3A19"/>
    <w:rsid w:val="004A3FE7"/>
    <w:rsid w:val="004A46B8"/>
    <w:rsid w:val="004B0D93"/>
    <w:rsid w:val="004B25CA"/>
    <w:rsid w:val="004B7EA6"/>
    <w:rsid w:val="004C18DE"/>
    <w:rsid w:val="004D23FB"/>
    <w:rsid w:val="004D323E"/>
    <w:rsid w:val="004E41F6"/>
    <w:rsid w:val="004E622A"/>
    <w:rsid w:val="004F2E32"/>
    <w:rsid w:val="004F3B7F"/>
    <w:rsid w:val="004F4DE3"/>
    <w:rsid w:val="004F5608"/>
    <w:rsid w:val="004F7A39"/>
    <w:rsid w:val="005030D3"/>
    <w:rsid w:val="005100B6"/>
    <w:rsid w:val="005100DF"/>
    <w:rsid w:val="0051114B"/>
    <w:rsid w:val="0051476B"/>
    <w:rsid w:val="00514AB7"/>
    <w:rsid w:val="0051535A"/>
    <w:rsid w:val="005206B1"/>
    <w:rsid w:val="00527B1B"/>
    <w:rsid w:val="00534340"/>
    <w:rsid w:val="00536AB1"/>
    <w:rsid w:val="00540161"/>
    <w:rsid w:val="00540683"/>
    <w:rsid w:val="005533B4"/>
    <w:rsid w:val="00561447"/>
    <w:rsid w:val="0056152E"/>
    <w:rsid w:val="005641A5"/>
    <w:rsid w:val="0056605A"/>
    <w:rsid w:val="0056608B"/>
    <w:rsid w:val="005718EF"/>
    <w:rsid w:val="00573D3E"/>
    <w:rsid w:val="005754C0"/>
    <w:rsid w:val="0057712E"/>
    <w:rsid w:val="0057786D"/>
    <w:rsid w:val="0058025F"/>
    <w:rsid w:val="00582B60"/>
    <w:rsid w:val="00583496"/>
    <w:rsid w:val="00584069"/>
    <w:rsid w:val="00585746"/>
    <w:rsid w:val="00585999"/>
    <w:rsid w:val="00586819"/>
    <w:rsid w:val="00591A7D"/>
    <w:rsid w:val="00591B41"/>
    <w:rsid w:val="005920BB"/>
    <w:rsid w:val="005936EA"/>
    <w:rsid w:val="00593E26"/>
    <w:rsid w:val="00595C5C"/>
    <w:rsid w:val="00596953"/>
    <w:rsid w:val="005A1A44"/>
    <w:rsid w:val="005A20E4"/>
    <w:rsid w:val="005A5B6A"/>
    <w:rsid w:val="005B6280"/>
    <w:rsid w:val="005C2ECA"/>
    <w:rsid w:val="005C558D"/>
    <w:rsid w:val="005C7246"/>
    <w:rsid w:val="005E1804"/>
    <w:rsid w:val="005E1CEF"/>
    <w:rsid w:val="005E4738"/>
    <w:rsid w:val="005E5A86"/>
    <w:rsid w:val="005E5EF7"/>
    <w:rsid w:val="005F26AD"/>
    <w:rsid w:val="005F2AEB"/>
    <w:rsid w:val="005F3476"/>
    <w:rsid w:val="005F58DF"/>
    <w:rsid w:val="0060269E"/>
    <w:rsid w:val="00602860"/>
    <w:rsid w:val="006047AC"/>
    <w:rsid w:val="00605041"/>
    <w:rsid w:val="00607B11"/>
    <w:rsid w:val="006105FE"/>
    <w:rsid w:val="00611C20"/>
    <w:rsid w:val="00612D5F"/>
    <w:rsid w:val="006157A9"/>
    <w:rsid w:val="00616CDB"/>
    <w:rsid w:val="00620049"/>
    <w:rsid w:val="00620982"/>
    <w:rsid w:val="00622293"/>
    <w:rsid w:val="006256AF"/>
    <w:rsid w:val="006268C2"/>
    <w:rsid w:val="00626C86"/>
    <w:rsid w:val="00630422"/>
    <w:rsid w:val="00635463"/>
    <w:rsid w:val="00635F4A"/>
    <w:rsid w:val="00642215"/>
    <w:rsid w:val="00643AEA"/>
    <w:rsid w:val="00651386"/>
    <w:rsid w:val="00651558"/>
    <w:rsid w:val="00660D40"/>
    <w:rsid w:val="0066312D"/>
    <w:rsid w:val="00663395"/>
    <w:rsid w:val="006639F3"/>
    <w:rsid w:val="00666284"/>
    <w:rsid w:val="00670028"/>
    <w:rsid w:val="006702A6"/>
    <w:rsid w:val="00672E12"/>
    <w:rsid w:val="006739C8"/>
    <w:rsid w:val="00687752"/>
    <w:rsid w:val="006904D9"/>
    <w:rsid w:val="0069164E"/>
    <w:rsid w:val="006920A8"/>
    <w:rsid w:val="006924C5"/>
    <w:rsid w:val="00693A58"/>
    <w:rsid w:val="006970A1"/>
    <w:rsid w:val="006A0959"/>
    <w:rsid w:val="006A1337"/>
    <w:rsid w:val="006A1747"/>
    <w:rsid w:val="006A507B"/>
    <w:rsid w:val="006A73AD"/>
    <w:rsid w:val="006A7F94"/>
    <w:rsid w:val="006B109E"/>
    <w:rsid w:val="006B1AA4"/>
    <w:rsid w:val="006B2A78"/>
    <w:rsid w:val="006B51FD"/>
    <w:rsid w:val="006B57B7"/>
    <w:rsid w:val="006B59D6"/>
    <w:rsid w:val="006B5F03"/>
    <w:rsid w:val="006B63B1"/>
    <w:rsid w:val="006B7C55"/>
    <w:rsid w:val="006C6354"/>
    <w:rsid w:val="006C6A7F"/>
    <w:rsid w:val="006C6CA7"/>
    <w:rsid w:val="006D594B"/>
    <w:rsid w:val="006D6D01"/>
    <w:rsid w:val="006E10F5"/>
    <w:rsid w:val="006E1BDE"/>
    <w:rsid w:val="006F3126"/>
    <w:rsid w:val="006F3C42"/>
    <w:rsid w:val="006F4A9E"/>
    <w:rsid w:val="006F61F7"/>
    <w:rsid w:val="0070287D"/>
    <w:rsid w:val="00702BE6"/>
    <w:rsid w:val="00706883"/>
    <w:rsid w:val="00707253"/>
    <w:rsid w:val="007147BF"/>
    <w:rsid w:val="007225A1"/>
    <w:rsid w:val="00741D8D"/>
    <w:rsid w:val="00742BD3"/>
    <w:rsid w:val="00742E01"/>
    <w:rsid w:val="00751575"/>
    <w:rsid w:val="00754516"/>
    <w:rsid w:val="00760FB2"/>
    <w:rsid w:val="007705CB"/>
    <w:rsid w:val="0077210B"/>
    <w:rsid w:val="00773B7E"/>
    <w:rsid w:val="0079124E"/>
    <w:rsid w:val="00792E94"/>
    <w:rsid w:val="00794CE8"/>
    <w:rsid w:val="007A19A7"/>
    <w:rsid w:val="007A3544"/>
    <w:rsid w:val="007A584D"/>
    <w:rsid w:val="007B200A"/>
    <w:rsid w:val="007B35E7"/>
    <w:rsid w:val="007B5D5A"/>
    <w:rsid w:val="007C1775"/>
    <w:rsid w:val="007C1AA7"/>
    <w:rsid w:val="007C26B4"/>
    <w:rsid w:val="007D1EF9"/>
    <w:rsid w:val="007D2FA0"/>
    <w:rsid w:val="007D6265"/>
    <w:rsid w:val="007E4902"/>
    <w:rsid w:val="007E7F2A"/>
    <w:rsid w:val="007F1EF0"/>
    <w:rsid w:val="00801478"/>
    <w:rsid w:val="00802F0A"/>
    <w:rsid w:val="00803440"/>
    <w:rsid w:val="0080478C"/>
    <w:rsid w:val="00805AEB"/>
    <w:rsid w:val="00810504"/>
    <w:rsid w:val="008140B4"/>
    <w:rsid w:val="0081450F"/>
    <w:rsid w:val="008149EA"/>
    <w:rsid w:val="00820289"/>
    <w:rsid w:val="008221C0"/>
    <w:rsid w:val="00825B1B"/>
    <w:rsid w:val="00826787"/>
    <w:rsid w:val="00830A6D"/>
    <w:rsid w:val="00830EC1"/>
    <w:rsid w:val="00834438"/>
    <w:rsid w:val="00835551"/>
    <w:rsid w:val="00836749"/>
    <w:rsid w:val="00837FB8"/>
    <w:rsid w:val="00841328"/>
    <w:rsid w:val="008476F9"/>
    <w:rsid w:val="0085077E"/>
    <w:rsid w:val="00854209"/>
    <w:rsid w:val="0086266B"/>
    <w:rsid w:val="0086477D"/>
    <w:rsid w:val="008650FC"/>
    <w:rsid w:val="008677BA"/>
    <w:rsid w:val="0087179D"/>
    <w:rsid w:val="00873972"/>
    <w:rsid w:val="0087551D"/>
    <w:rsid w:val="00876F50"/>
    <w:rsid w:val="00893B16"/>
    <w:rsid w:val="00894221"/>
    <w:rsid w:val="00896081"/>
    <w:rsid w:val="008967B7"/>
    <w:rsid w:val="008A13A6"/>
    <w:rsid w:val="008A42A5"/>
    <w:rsid w:val="008A6928"/>
    <w:rsid w:val="008A6D40"/>
    <w:rsid w:val="008B3106"/>
    <w:rsid w:val="008B56D1"/>
    <w:rsid w:val="008B6668"/>
    <w:rsid w:val="008B7C4B"/>
    <w:rsid w:val="008C42D5"/>
    <w:rsid w:val="008C5274"/>
    <w:rsid w:val="008C5C89"/>
    <w:rsid w:val="008D3CEC"/>
    <w:rsid w:val="008D3DAE"/>
    <w:rsid w:val="008F2601"/>
    <w:rsid w:val="008F283A"/>
    <w:rsid w:val="008F326E"/>
    <w:rsid w:val="008F4B57"/>
    <w:rsid w:val="00901FC4"/>
    <w:rsid w:val="00903D48"/>
    <w:rsid w:val="0090748A"/>
    <w:rsid w:val="00912A46"/>
    <w:rsid w:val="009136F6"/>
    <w:rsid w:val="00915307"/>
    <w:rsid w:val="009158CC"/>
    <w:rsid w:val="009411AB"/>
    <w:rsid w:val="009422FA"/>
    <w:rsid w:val="0094594F"/>
    <w:rsid w:val="00946D8A"/>
    <w:rsid w:val="0094752C"/>
    <w:rsid w:val="00953866"/>
    <w:rsid w:val="009629E6"/>
    <w:rsid w:val="00962E31"/>
    <w:rsid w:val="00965DC5"/>
    <w:rsid w:val="00966CE6"/>
    <w:rsid w:val="00975B09"/>
    <w:rsid w:val="009767E1"/>
    <w:rsid w:val="009771C0"/>
    <w:rsid w:val="009777E8"/>
    <w:rsid w:val="00981397"/>
    <w:rsid w:val="0098158C"/>
    <w:rsid w:val="00987D27"/>
    <w:rsid w:val="0099031A"/>
    <w:rsid w:val="00991BA0"/>
    <w:rsid w:val="00992A56"/>
    <w:rsid w:val="00995B0C"/>
    <w:rsid w:val="009A330E"/>
    <w:rsid w:val="009A34CB"/>
    <w:rsid w:val="009A4FC8"/>
    <w:rsid w:val="009B0BB9"/>
    <w:rsid w:val="009B3B1B"/>
    <w:rsid w:val="009C228D"/>
    <w:rsid w:val="009C79C4"/>
    <w:rsid w:val="009E0ED9"/>
    <w:rsid w:val="009E281C"/>
    <w:rsid w:val="009E2F53"/>
    <w:rsid w:val="009E3EBD"/>
    <w:rsid w:val="009E6799"/>
    <w:rsid w:val="009E795B"/>
    <w:rsid w:val="009F2629"/>
    <w:rsid w:val="009F2DD9"/>
    <w:rsid w:val="009F3B72"/>
    <w:rsid w:val="009F53D9"/>
    <w:rsid w:val="00A0030F"/>
    <w:rsid w:val="00A005D6"/>
    <w:rsid w:val="00A0311E"/>
    <w:rsid w:val="00A05AB3"/>
    <w:rsid w:val="00A05C9B"/>
    <w:rsid w:val="00A0723D"/>
    <w:rsid w:val="00A1154E"/>
    <w:rsid w:val="00A12E60"/>
    <w:rsid w:val="00A1389E"/>
    <w:rsid w:val="00A20E79"/>
    <w:rsid w:val="00A21A7D"/>
    <w:rsid w:val="00A249EB"/>
    <w:rsid w:val="00A25483"/>
    <w:rsid w:val="00A2645D"/>
    <w:rsid w:val="00A27409"/>
    <w:rsid w:val="00A3038F"/>
    <w:rsid w:val="00A312EE"/>
    <w:rsid w:val="00A34A45"/>
    <w:rsid w:val="00A43936"/>
    <w:rsid w:val="00A45EB3"/>
    <w:rsid w:val="00A53208"/>
    <w:rsid w:val="00A57CE8"/>
    <w:rsid w:val="00A62126"/>
    <w:rsid w:val="00A71FAE"/>
    <w:rsid w:val="00A73F86"/>
    <w:rsid w:val="00A77993"/>
    <w:rsid w:val="00A77C4E"/>
    <w:rsid w:val="00A81D2D"/>
    <w:rsid w:val="00A820E3"/>
    <w:rsid w:val="00A843A3"/>
    <w:rsid w:val="00A917C1"/>
    <w:rsid w:val="00A94B80"/>
    <w:rsid w:val="00A952F9"/>
    <w:rsid w:val="00A95A25"/>
    <w:rsid w:val="00AA26CB"/>
    <w:rsid w:val="00AA4EE7"/>
    <w:rsid w:val="00AB0162"/>
    <w:rsid w:val="00AB0AB0"/>
    <w:rsid w:val="00AB23F2"/>
    <w:rsid w:val="00AB6055"/>
    <w:rsid w:val="00AB6A1E"/>
    <w:rsid w:val="00AB6CAD"/>
    <w:rsid w:val="00AC1577"/>
    <w:rsid w:val="00AC3059"/>
    <w:rsid w:val="00AC76C4"/>
    <w:rsid w:val="00AC79AA"/>
    <w:rsid w:val="00AD1D10"/>
    <w:rsid w:val="00AD68F2"/>
    <w:rsid w:val="00AD69C2"/>
    <w:rsid w:val="00AE50D2"/>
    <w:rsid w:val="00AE73A7"/>
    <w:rsid w:val="00AE7E9E"/>
    <w:rsid w:val="00AF1227"/>
    <w:rsid w:val="00AF6E21"/>
    <w:rsid w:val="00B02145"/>
    <w:rsid w:val="00B021DC"/>
    <w:rsid w:val="00B0242F"/>
    <w:rsid w:val="00B041A6"/>
    <w:rsid w:val="00B05CB3"/>
    <w:rsid w:val="00B11AE6"/>
    <w:rsid w:val="00B1225A"/>
    <w:rsid w:val="00B152A7"/>
    <w:rsid w:val="00B17A75"/>
    <w:rsid w:val="00B2269A"/>
    <w:rsid w:val="00B26810"/>
    <w:rsid w:val="00B30626"/>
    <w:rsid w:val="00B34544"/>
    <w:rsid w:val="00B35A6E"/>
    <w:rsid w:val="00B40836"/>
    <w:rsid w:val="00B41BB5"/>
    <w:rsid w:val="00B45122"/>
    <w:rsid w:val="00B4533C"/>
    <w:rsid w:val="00B47F6F"/>
    <w:rsid w:val="00B55F41"/>
    <w:rsid w:val="00B60659"/>
    <w:rsid w:val="00B705DC"/>
    <w:rsid w:val="00B71545"/>
    <w:rsid w:val="00B737F6"/>
    <w:rsid w:val="00B7461E"/>
    <w:rsid w:val="00B76631"/>
    <w:rsid w:val="00B80DBC"/>
    <w:rsid w:val="00B8120C"/>
    <w:rsid w:val="00B81581"/>
    <w:rsid w:val="00B81860"/>
    <w:rsid w:val="00B827ED"/>
    <w:rsid w:val="00B87AB9"/>
    <w:rsid w:val="00B91D33"/>
    <w:rsid w:val="00B92BF7"/>
    <w:rsid w:val="00B9368D"/>
    <w:rsid w:val="00B940F8"/>
    <w:rsid w:val="00BA198E"/>
    <w:rsid w:val="00BA2F7E"/>
    <w:rsid w:val="00BA358B"/>
    <w:rsid w:val="00BA3F1F"/>
    <w:rsid w:val="00BA6693"/>
    <w:rsid w:val="00BB165F"/>
    <w:rsid w:val="00BB2346"/>
    <w:rsid w:val="00BC00D3"/>
    <w:rsid w:val="00BC0C56"/>
    <w:rsid w:val="00BC224B"/>
    <w:rsid w:val="00BC453B"/>
    <w:rsid w:val="00BC4EC9"/>
    <w:rsid w:val="00BD6076"/>
    <w:rsid w:val="00BD77CE"/>
    <w:rsid w:val="00BF10E1"/>
    <w:rsid w:val="00BF2066"/>
    <w:rsid w:val="00BF414C"/>
    <w:rsid w:val="00BF6A72"/>
    <w:rsid w:val="00BF7D16"/>
    <w:rsid w:val="00C01D3D"/>
    <w:rsid w:val="00C05BE8"/>
    <w:rsid w:val="00C05CED"/>
    <w:rsid w:val="00C1252B"/>
    <w:rsid w:val="00C161A1"/>
    <w:rsid w:val="00C16233"/>
    <w:rsid w:val="00C164B7"/>
    <w:rsid w:val="00C24FA8"/>
    <w:rsid w:val="00C27690"/>
    <w:rsid w:val="00C3512B"/>
    <w:rsid w:val="00C40388"/>
    <w:rsid w:val="00C42401"/>
    <w:rsid w:val="00C42900"/>
    <w:rsid w:val="00C4703A"/>
    <w:rsid w:val="00C47665"/>
    <w:rsid w:val="00C47775"/>
    <w:rsid w:val="00C509C1"/>
    <w:rsid w:val="00C532C5"/>
    <w:rsid w:val="00C64A71"/>
    <w:rsid w:val="00C7003A"/>
    <w:rsid w:val="00C70236"/>
    <w:rsid w:val="00C7159B"/>
    <w:rsid w:val="00C7193B"/>
    <w:rsid w:val="00C72A39"/>
    <w:rsid w:val="00C75520"/>
    <w:rsid w:val="00C763E4"/>
    <w:rsid w:val="00C801B5"/>
    <w:rsid w:val="00C82985"/>
    <w:rsid w:val="00C90787"/>
    <w:rsid w:val="00C93A09"/>
    <w:rsid w:val="00C942C1"/>
    <w:rsid w:val="00C945EC"/>
    <w:rsid w:val="00C95218"/>
    <w:rsid w:val="00C96029"/>
    <w:rsid w:val="00CA2B03"/>
    <w:rsid w:val="00CA71CC"/>
    <w:rsid w:val="00CB17EE"/>
    <w:rsid w:val="00CB257D"/>
    <w:rsid w:val="00CB7194"/>
    <w:rsid w:val="00CC62F9"/>
    <w:rsid w:val="00CD1141"/>
    <w:rsid w:val="00CD1C39"/>
    <w:rsid w:val="00CD7A4F"/>
    <w:rsid w:val="00CE1F32"/>
    <w:rsid w:val="00CE293A"/>
    <w:rsid w:val="00CE77BC"/>
    <w:rsid w:val="00CF2359"/>
    <w:rsid w:val="00CF2790"/>
    <w:rsid w:val="00CF378E"/>
    <w:rsid w:val="00CF3E33"/>
    <w:rsid w:val="00CF645B"/>
    <w:rsid w:val="00D03FC5"/>
    <w:rsid w:val="00D04647"/>
    <w:rsid w:val="00D048ED"/>
    <w:rsid w:val="00D064E0"/>
    <w:rsid w:val="00D078DB"/>
    <w:rsid w:val="00D12EA3"/>
    <w:rsid w:val="00D14A73"/>
    <w:rsid w:val="00D16A29"/>
    <w:rsid w:val="00D20ACE"/>
    <w:rsid w:val="00D2115D"/>
    <w:rsid w:val="00D218BF"/>
    <w:rsid w:val="00D2514D"/>
    <w:rsid w:val="00D32C3C"/>
    <w:rsid w:val="00D33B77"/>
    <w:rsid w:val="00D35074"/>
    <w:rsid w:val="00D362FF"/>
    <w:rsid w:val="00D37D09"/>
    <w:rsid w:val="00D4056A"/>
    <w:rsid w:val="00D44E7A"/>
    <w:rsid w:val="00D46495"/>
    <w:rsid w:val="00D474F4"/>
    <w:rsid w:val="00D510D9"/>
    <w:rsid w:val="00D52AF0"/>
    <w:rsid w:val="00D52F95"/>
    <w:rsid w:val="00D53E0F"/>
    <w:rsid w:val="00D55720"/>
    <w:rsid w:val="00D566C8"/>
    <w:rsid w:val="00D6320C"/>
    <w:rsid w:val="00D6557E"/>
    <w:rsid w:val="00D65991"/>
    <w:rsid w:val="00D70FE0"/>
    <w:rsid w:val="00D7150D"/>
    <w:rsid w:val="00D72351"/>
    <w:rsid w:val="00D80CB1"/>
    <w:rsid w:val="00D8467E"/>
    <w:rsid w:val="00D85731"/>
    <w:rsid w:val="00D9039B"/>
    <w:rsid w:val="00D92E0F"/>
    <w:rsid w:val="00D97C9F"/>
    <w:rsid w:val="00D97D03"/>
    <w:rsid w:val="00DA0AF9"/>
    <w:rsid w:val="00DA1F54"/>
    <w:rsid w:val="00DA28E2"/>
    <w:rsid w:val="00DA312C"/>
    <w:rsid w:val="00DA3AF6"/>
    <w:rsid w:val="00DA541A"/>
    <w:rsid w:val="00DB2F25"/>
    <w:rsid w:val="00DB57E7"/>
    <w:rsid w:val="00DC4590"/>
    <w:rsid w:val="00DC66D9"/>
    <w:rsid w:val="00DD2797"/>
    <w:rsid w:val="00DD2ED1"/>
    <w:rsid w:val="00DD3BFC"/>
    <w:rsid w:val="00DE103A"/>
    <w:rsid w:val="00DE554A"/>
    <w:rsid w:val="00DF0113"/>
    <w:rsid w:val="00DF426C"/>
    <w:rsid w:val="00DF7632"/>
    <w:rsid w:val="00E0097F"/>
    <w:rsid w:val="00E040C4"/>
    <w:rsid w:val="00E06CF7"/>
    <w:rsid w:val="00E1103A"/>
    <w:rsid w:val="00E13946"/>
    <w:rsid w:val="00E14568"/>
    <w:rsid w:val="00E15BFC"/>
    <w:rsid w:val="00E16720"/>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4D8"/>
    <w:rsid w:val="00E73800"/>
    <w:rsid w:val="00E82CF7"/>
    <w:rsid w:val="00E863EA"/>
    <w:rsid w:val="00E86945"/>
    <w:rsid w:val="00E86C83"/>
    <w:rsid w:val="00E8770E"/>
    <w:rsid w:val="00E93819"/>
    <w:rsid w:val="00EA0422"/>
    <w:rsid w:val="00EA2C25"/>
    <w:rsid w:val="00EA7A70"/>
    <w:rsid w:val="00EB4479"/>
    <w:rsid w:val="00EB4ADF"/>
    <w:rsid w:val="00EB4D3D"/>
    <w:rsid w:val="00EB5EF1"/>
    <w:rsid w:val="00EC05BE"/>
    <w:rsid w:val="00EC2C52"/>
    <w:rsid w:val="00ED1827"/>
    <w:rsid w:val="00ED49D7"/>
    <w:rsid w:val="00ED557F"/>
    <w:rsid w:val="00ED7FD2"/>
    <w:rsid w:val="00EE4226"/>
    <w:rsid w:val="00EE457F"/>
    <w:rsid w:val="00EE5CAB"/>
    <w:rsid w:val="00EE703C"/>
    <w:rsid w:val="00EF00ED"/>
    <w:rsid w:val="00EF022A"/>
    <w:rsid w:val="00EF3C75"/>
    <w:rsid w:val="00EF6C77"/>
    <w:rsid w:val="00EF7231"/>
    <w:rsid w:val="00F0449A"/>
    <w:rsid w:val="00F07812"/>
    <w:rsid w:val="00F1023C"/>
    <w:rsid w:val="00F10D47"/>
    <w:rsid w:val="00F12E99"/>
    <w:rsid w:val="00F203BC"/>
    <w:rsid w:val="00F24CA4"/>
    <w:rsid w:val="00F26C2C"/>
    <w:rsid w:val="00F31FEF"/>
    <w:rsid w:val="00F330E1"/>
    <w:rsid w:val="00F35912"/>
    <w:rsid w:val="00F37E1D"/>
    <w:rsid w:val="00F42DC0"/>
    <w:rsid w:val="00F4792F"/>
    <w:rsid w:val="00F52363"/>
    <w:rsid w:val="00F524CA"/>
    <w:rsid w:val="00F52E19"/>
    <w:rsid w:val="00F54B55"/>
    <w:rsid w:val="00F54B5E"/>
    <w:rsid w:val="00F55DD3"/>
    <w:rsid w:val="00F607DC"/>
    <w:rsid w:val="00F632C8"/>
    <w:rsid w:val="00F63BC2"/>
    <w:rsid w:val="00F70B1D"/>
    <w:rsid w:val="00F70D98"/>
    <w:rsid w:val="00F726AD"/>
    <w:rsid w:val="00F736DE"/>
    <w:rsid w:val="00F74646"/>
    <w:rsid w:val="00F75328"/>
    <w:rsid w:val="00F778C8"/>
    <w:rsid w:val="00F801E0"/>
    <w:rsid w:val="00F812E0"/>
    <w:rsid w:val="00F81C5B"/>
    <w:rsid w:val="00F820DA"/>
    <w:rsid w:val="00F8575A"/>
    <w:rsid w:val="00F8608C"/>
    <w:rsid w:val="00F87B83"/>
    <w:rsid w:val="00F926AC"/>
    <w:rsid w:val="00F92BF9"/>
    <w:rsid w:val="00F93402"/>
    <w:rsid w:val="00FA2262"/>
    <w:rsid w:val="00FA5DB6"/>
    <w:rsid w:val="00FA6782"/>
    <w:rsid w:val="00FA6888"/>
    <w:rsid w:val="00FA712F"/>
    <w:rsid w:val="00FB0778"/>
    <w:rsid w:val="00FB305A"/>
    <w:rsid w:val="00FB3CFC"/>
    <w:rsid w:val="00FB48D2"/>
    <w:rsid w:val="00FC032F"/>
    <w:rsid w:val="00FC2D7D"/>
    <w:rsid w:val="00FC5E77"/>
    <w:rsid w:val="00FC7393"/>
    <w:rsid w:val="00FC7DE1"/>
    <w:rsid w:val="00FC7FC4"/>
    <w:rsid w:val="00FD17D7"/>
    <w:rsid w:val="00FD4BC8"/>
    <w:rsid w:val="00FE2E51"/>
    <w:rsid w:val="00FE2EF4"/>
    <w:rsid w:val="00FE4488"/>
    <w:rsid w:val="00FE78E8"/>
    <w:rsid w:val="00FE7C92"/>
    <w:rsid w:val="00FF521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de-DE" w:eastAsia="en-US"/>
    </w:rPr>
  </w:style>
  <w:style w:type="paragraph" w:customStyle="1" w:styleId="HChG">
    <w:name w:val="_ H _Ch_G"/>
    <w:basedOn w:val="Normal"/>
    <w:next w:val="Normal"/>
    <w:link w:val="HChGChar"/>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uiPriority w:val="39"/>
    <w:rsid w:val="008D3DAE"/>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24118A"/>
    <w:pPr>
      <w:widowControl/>
      <w:suppressAutoHyphens/>
      <w:overflowPunct/>
      <w:autoSpaceDE/>
      <w:autoSpaceDN/>
      <w:adjustRightInd/>
      <w:spacing w:after="120" w:line="240" w:lineRule="atLeast"/>
      <w:ind w:right="1134" w:firstLine="0"/>
      <w:textAlignment w:val="auto"/>
    </w:pPr>
  </w:style>
  <w:style w:type="character" w:customStyle="1" w:styleId="HChGChar">
    <w:name w:val="_ H _Ch_G Char"/>
    <w:link w:val="HChG"/>
    <w:rsid w:val="00D14A73"/>
    <w:rPr>
      <w:b/>
      <w:sz w:val="28"/>
      <w:lang w:val="de-DE" w:eastAsia="fr-FR"/>
    </w:rPr>
  </w:style>
  <w:style w:type="character" w:customStyle="1" w:styleId="SingleTxtGChar">
    <w:name w:val="_ Single Txt_G Char"/>
    <w:link w:val="SingleTxtG"/>
    <w:qFormat/>
    <w:locked/>
    <w:rsid w:val="008221C0"/>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88682-7E9A-44E1-8B29-773A5BB2DA7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97ECA96-7044-49BE-950D-0BBC2F4C2FB2}"/>
</file>

<file path=customXml/itemProps3.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4.xml><?xml version="1.0" encoding="utf-8"?>
<ds:datastoreItem xmlns:ds="http://schemas.openxmlformats.org/officeDocument/2006/customXml" ds:itemID="{6E282A5C-841C-4DD8-884E-AB5F0F948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7353</Characters>
  <Application>Microsoft Office Word</Application>
  <DocSecurity>0</DocSecurity>
  <Lines>61</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bezüglich Übergangsvorschriften für Gasspürgeräte</dc:title>
  <dc:creator>Martine Moench</dc:creator>
  <cp:lastModifiedBy>Martine Moench</cp:lastModifiedBy>
  <cp:revision>2</cp:revision>
  <cp:lastPrinted>2017-06-06T08:16:00Z</cp:lastPrinted>
  <dcterms:created xsi:type="dcterms:W3CDTF">2023-12-18T10:19:00Z</dcterms:created>
  <dcterms:modified xsi:type="dcterms:W3CDTF">2023-12-18T10:19:00Z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