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0A351AF8" w:rsidR="00B60659" w:rsidRPr="003316F8"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rPr>
      </w:pPr>
      <w:r w:rsidRPr="003316F8">
        <w:rPr>
          <w:rFonts w:ascii="Arial" w:hAnsi="Arial"/>
          <w:noProof/>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3316F8">
        <w:rPr>
          <w:rFonts w:ascii="Arial" w:hAnsi="Arial"/>
          <w:lang w:eastAsia="de-DE"/>
        </w:rPr>
        <w:t>CCNR-ZKR/ADN/WP.15/AC.2/2024/20</w:t>
      </w:r>
    </w:p>
    <w:p w14:paraId="7C27E3DD" w14:textId="77777777" w:rsidR="00B60659" w:rsidRPr="003316F8"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rPr>
      </w:pPr>
      <w:r w:rsidRPr="003316F8">
        <w:rPr>
          <w:rFonts w:ascii="Arial" w:hAnsi="Arial"/>
          <w:sz w:val="16"/>
          <w:lang w:eastAsia="de-DE"/>
        </w:rPr>
        <w:t>Allgemeine Verteilung</w:t>
      </w:r>
    </w:p>
    <w:p w14:paraId="215D853B" w14:textId="1219FBC2" w:rsidR="00B60659" w:rsidRPr="003316F8" w:rsidRDefault="002149E0"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3316F8">
        <w:rPr>
          <w:rFonts w:ascii="Arial" w:hAnsi="Arial"/>
          <w:lang w:eastAsia="de-DE"/>
        </w:rPr>
        <w:t>10. November 2023</w:t>
      </w:r>
    </w:p>
    <w:p w14:paraId="1BCCEA4C" w14:textId="5C2151E9" w:rsidR="00B60659" w:rsidRPr="003316F8"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proofErr w:type="spellStart"/>
      <w:r w:rsidRPr="003316F8">
        <w:rPr>
          <w:rFonts w:ascii="Arial" w:hAnsi="Arial"/>
          <w:sz w:val="16"/>
          <w:lang w:eastAsia="de-DE"/>
        </w:rPr>
        <w:t>Or</w:t>
      </w:r>
      <w:proofErr w:type="spellEnd"/>
      <w:r w:rsidRPr="003316F8">
        <w:rPr>
          <w:rFonts w:ascii="Arial" w:hAnsi="Arial"/>
          <w:sz w:val="16"/>
          <w:lang w:eastAsia="de-DE"/>
        </w:rPr>
        <w:t>. ENGLI</w:t>
      </w:r>
      <w:r w:rsidRPr="003316F8">
        <w:rPr>
          <w:rFonts w:ascii="Arial" w:hAnsi="Arial"/>
          <w:sz w:val="16"/>
        </w:rPr>
        <w:t>SCH</w:t>
      </w:r>
    </w:p>
    <w:p w14:paraId="1F45327D" w14:textId="77777777" w:rsidR="00B60659" w:rsidRPr="003316F8"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3316F8"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3316F8">
        <w:rPr>
          <w:rFonts w:ascii="Arial" w:hAnsi="Arial"/>
          <w:sz w:val="16"/>
        </w:rPr>
        <w:t>GEMEINSAME EXPERTENTAGUNG FÜR DIE DEM ÜBEREINKOMMEN ÜBER DIE INTERNATIONALE BEFÖRDERUNG VON GEFÄHRLICHEN GÜTERN AUF BINNENWASSERSTRAẞEN (ADN) BEIGEFÜGTE VERORDNUNG (SICHERHEITSAUSSCHUSS)</w:t>
      </w:r>
    </w:p>
    <w:p w14:paraId="1342B616" w14:textId="0832CDE9" w:rsidR="00B60659" w:rsidRPr="003316F8"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3316F8">
        <w:rPr>
          <w:rFonts w:ascii="Arial" w:hAnsi="Arial"/>
          <w:sz w:val="16"/>
        </w:rPr>
        <w:t>(43. Tagung, Genf, 22. – 26. Januar 2024)</w:t>
      </w:r>
    </w:p>
    <w:p w14:paraId="01501DC6" w14:textId="7304DB4C" w:rsidR="00B60659" w:rsidRPr="003316F8"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3316F8">
        <w:rPr>
          <w:rFonts w:ascii="Arial" w:hAnsi="Arial"/>
          <w:sz w:val="16"/>
          <w:lang w:eastAsia="en-US"/>
        </w:rPr>
        <w:t>Punkt 5 b) der vorläufigen Tagesordnung</w:t>
      </w:r>
    </w:p>
    <w:p w14:paraId="7992D5BF" w14:textId="77777777" w:rsidR="00B60659" w:rsidRPr="003316F8" w:rsidRDefault="00B60659" w:rsidP="00B60659">
      <w:pPr>
        <w:widowControl/>
        <w:overflowPunct/>
        <w:autoSpaceDE/>
        <w:autoSpaceDN/>
        <w:adjustRightInd/>
        <w:spacing w:after="120"/>
        <w:ind w:left="3958" w:firstLine="11"/>
        <w:jc w:val="left"/>
        <w:textAlignment w:val="auto"/>
        <w:rPr>
          <w:rFonts w:ascii="Arial" w:hAnsi="Arial" w:cs="Arial"/>
          <w:b/>
          <w:sz w:val="14"/>
          <w:szCs w:val="16"/>
        </w:rPr>
      </w:pPr>
      <w:r w:rsidRPr="003316F8">
        <w:rPr>
          <w:rFonts w:ascii="Arial" w:hAnsi="Arial"/>
          <w:b/>
          <w:sz w:val="14"/>
          <w:lang w:eastAsia="en-US"/>
        </w:rPr>
        <w:t>Vorschläge für Änderungen der dem ADN beigefügten Verordnung: Weitere Änderungsvorschläge</w:t>
      </w:r>
    </w:p>
    <w:p w14:paraId="0A5E2EE6" w14:textId="71407A1A" w:rsidR="00352E31" w:rsidRPr="003316F8" w:rsidRDefault="00352E31" w:rsidP="004265C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3316F8">
        <w:rPr>
          <w:b/>
          <w:sz w:val="28"/>
        </w:rPr>
        <w:tab/>
      </w:r>
      <w:r w:rsidRPr="003316F8">
        <w:rPr>
          <w:b/>
          <w:sz w:val="28"/>
        </w:rPr>
        <w:tab/>
        <w:t>7.2.4.22 Öffnen von Öffnungen und Zudosierung zusätzlicher Additive</w:t>
      </w:r>
    </w:p>
    <w:p w14:paraId="4BFD03E2" w14:textId="663F434B" w:rsidR="008D3DAE" w:rsidRPr="003316F8" w:rsidRDefault="0079361A" w:rsidP="008D3DAE">
      <w:pPr>
        <w:spacing w:after="120"/>
        <w:ind w:firstLine="0"/>
        <w:jc w:val="left"/>
        <w:rPr>
          <w:b/>
          <w:sz w:val="24"/>
        </w:rPr>
      </w:pPr>
      <w:r w:rsidRPr="003316F8">
        <w:rPr>
          <w:b/>
          <w:sz w:val="24"/>
        </w:rPr>
        <w:t xml:space="preserve">Eingereicht von </w:t>
      </w:r>
      <w:proofErr w:type="spellStart"/>
      <w:r w:rsidRPr="003316F8">
        <w:rPr>
          <w:b/>
          <w:sz w:val="24"/>
        </w:rPr>
        <w:t>FuelsEurope</w:t>
      </w:r>
      <w:proofErr w:type="spellEnd"/>
      <w:r w:rsidRPr="003316F8">
        <w:rPr>
          <w:b/>
          <w:sz w:val="24"/>
        </w:rPr>
        <w:t xml:space="preserve"> </w:t>
      </w:r>
      <w:r w:rsidR="008D3DAE" w:rsidRPr="003316F8">
        <w:rPr>
          <w:b/>
          <w:sz w:val="24"/>
        </w:rPr>
        <w:footnoteReference w:customMarkFollows="1" w:id="1"/>
        <w:t xml:space="preserve">*, </w:t>
      </w:r>
      <w:r w:rsidR="008D3DAE" w:rsidRPr="003316F8">
        <w:rPr>
          <w:b/>
          <w:sz w:val="24"/>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060"/>
      </w:tblGrid>
      <w:tr w:rsidR="002149E0" w:rsidRPr="003316F8" w14:paraId="5E5E8D05" w14:textId="77777777" w:rsidTr="002149E0">
        <w:trPr>
          <w:jc w:val="center"/>
        </w:trPr>
        <w:tc>
          <w:tcPr>
            <w:tcW w:w="9060" w:type="dxa"/>
            <w:shd w:val="clear" w:color="auto" w:fill="auto"/>
          </w:tcPr>
          <w:p w14:paraId="74B1A6F2" w14:textId="35DA7AE5" w:rsidR="002149E0" w:rsidRPr="003316F8" w:rsidRDefault="002149E0" w:rsidP="002149E0">
            <w:pPr>
              <w:widowControl/>
              <w:overflowPunct/>
              <w:autoSpaceDE/>
              <w:autoSpaceDN/>
              <w:adjustRightInd/>
              <w:spacing w:before="240" w:after="120"/>
              <w:ind w:left="255" w:firstLine="0"/>
              <w:jc w:val="left"/>
              <w:textAlignment w:val="auto"/>
              <w:rPr>
                <w:i/>
                <w:sz w:val="24"/>
              </w:rPr>
            </w:pPr>
            <w:proofErr w:type="spellStart"/>
            <w:r w:rsidRPr="003316F8">
              <w:rPr>
                <w:i/>
                <w:sz w:val="24"/>
                <w:lang w:val="en-GB"/>
              </w:rPr>
              <w:t>Zusammenfassung</w:t>
            </w:r>
            <w:proofErr w:type="spellEnd"/>
          </w:p>
        </w:tc>
      </w:tr>
      <w:tr w:rsidR="002149E0" w:rsidRPr="003316F8" w14:paraId="0A3D41D8" w14:textId="77777777" w:rsidTr="002149E0">
        <w:trPr>
          <w:jc w:val="center"/>
        </w:trPr>
        <w:tc>
          <w:tcPr>
            <w:tcW w:w="9060" w:type="dxa"/>
            <w:shd w:val="clear" w:color="auto" w:fill="auto"/>
          </w:tcPr>
          <w:p w14:paraId="6C54E370" w14:textId="62D54EFE" w:rsidR="002149E0" w:rsidRPr="003316F8" w:rsidRDefault="002149E0" w:rsidP="002149E0">
            <w:pPr>
              <w:widowControl/>
              <w:tabs>
                <w:tab w:val="left" w:pos="3402"/>
              </w:tabs>
              <w:overflowPunct/>
              <w:autoSpaceDE/>
              <w:autoSpaceDN/>
              <w:adjustRightInd/>
              <w:ind w:left="284" w:firstLine="0"/>
              <w:contextualSpacing/>
              <w:jc w:val="left"/>
              <w:textAlignment w:val="auto"/>
              <w:rPr>
                <w:b/>
                <w:bCs/>
              </w:rPr>
            </w:pPr>
            <w:r w:rsidRPr="003316F8">
              <w:rPr>
                <w:b/>
              </w:rPr>
              <w:t>Verbundene Dokumente:</w:t>
            </w:r>
            <w:r w:rsidRPr="003316F8">
              <w:t xml:space="preserve"> </w:t>
            </w:r>
            <w:r w:rsidRPr="003316F8">
              <w:tab/>
              <w:t>Informelles Dokument INF.19 der 41. Sitzung</w:t>
            </w:r>
          </w:p>
          <w:p w14:paraId="0FA62BBD" w14:textId="18191B55" w:rsidR="002149E0" w:rsidRPr="003316F8" w:rsidRDefault="002149E0" w:rsidP="002149E0">
            <w:pPr>
              <w:widowControl/>
              <w:tabs>
                <w:tab w:val="left" w:pos="3402"/>
              </w:tabs>
              <w:overflowPunct/>
              <w:autoSpaceDE/>
              <w:autoSpaceDN/>
              <w:adjustRightInd/>
              <w:ind w:left="2160" w:firstLine="0"/>
              <w:contextualSpacing/>
              <w:jc w:val="left"/>
              <w:textAlignment w:val="auto"/>
            </w:pPr>
            <w:r w:rsidRPr="003316F8">
              <w:tab/>
              <w:t>ECE/TRANS/WP.15/AC.2/84; Abs. 37 (Protokoll der 41. Sitzung)</w:t>
            </w:r>
          </w:p>
          <w:p w14:paraId="74E8A270" w14:textId="54F440D2" w:rsidR="002149E0" w:rsidRPr="003316F8" w:rsidRDefault="002149E0" w:rsidP="002149E0">
            <w:pPr>
              <w:widowControl/>
              <w:tabs>
                <w:tab w:val="left" w:pos="3402"/>
              </w:tabs>
              <w:overflowPunct/>
              <w:autoSpaceDE/>
              <w:autoSpaceDN/>
              <w:adjustRightInd/>
              <w:ind w:left="2160" w:firstLine="0"/>
              <w:contextualSpacing/>
              <w:jc w:val="left"/>
              <w:textAlignment w:val="auto"/>
            </w:pPr>
            <w:r w:rsidRPr="003316F8">
              <w:tab/>
              <w:t>ECE/TRANS/WP.15/AC.2/2023/47</w:t>
            </w:r>
          </w:p>
          <w:p w14:paraId="1BAC860C" w14:textId="3219C8D8" w:rsidR="002149E0" w:rsidRPr="003316F8" w:rsidRDefault="002149E0" w:rsidP="002149E0">
            <w:pPr>
              <w:widowControl/>
              <w:tabs>
                <w:tab w:val="left" w:pos="3402"/>
              </w:tabs>
              <w:overflowPunct/>
              <w:autoSpaceDE/>
              <w:autoSpaceDN/>
              <w:adjustRightInd/>
              <w:ind w:left="2160" w:firstLine="0"/>
              <w:contextualSpacing/>
              <w:jc w:val="left"/>
              <w:textAlignment w:val="auto"/>
            </w:pPr>
            <w:r w:rsidRPr="003316F8">
              <w:tab/>
              <w:t xml:space="preserve">Informelles Dokument INF. 32 der 42. Sitzung </w:t>
            </w:r>
          </w:p>
          <w:p w14:paraId="449F2871" w14:textId="2B0BF61A" w:rsidR="002149E0" w:rsidRPr="003316F8" w:rsidRDefault="002149E0" w:rsidP="002149E0">
            <w:pPr>
              <w:widowControl/>
              <w:tabs>
                <w:tab w:val="left" w:pos="3402"/>
              </w:tabs>
              <w:overflowPunct/>
              <w:autoSpaceDE/>
              <w:autoSpaceDN/>
              <w:adjustRightInd/>
              <w:ind w:left="2160" w:firstLine="0"/>
              <w:contextualSpacing/>
              <w:jc w:val="left"/>
              <w:textAlignment w:val="auto"/>
            </w:pPr>
            <w:r w:rsidRPr="003316F8">
              <w:tab/>
              <w:t xml:space="preserve">ECE/TRANS/WP.15/AC.2/86; Abs. 24 (Protokoll der 42. </w:t>
            </w:r>
            <w:r w:rsidRPr="000E4691">
              <w:t xml:space="preserve">Sitzung) </w:t>
            </w:r>
          </w:p>
          <w:p w14:paraId="28DF45BA" w14:textId="77777777" w:rsidR="002149E0" w:rsidRPr="000E4691" w:rsidRDefault="002149E0" w:rsidP="002149E0">
            <w:pPr>
              <w:widowControl/>
              <w:tabs>
                <w:tab w:val="left" w:pos="3402"/>
              </w:tabs>
              <w:overflowPunct/>
              <w:autoSpaceDE/>
              <w:autoSpaceDN/>
              <w:adjustRightInd/>
              <w:ind w:left="2160" w:firstLine="0"/>
              <w:contextualSpacing/>
              <w:jc w:val="left"/>
              <w:textAlignment w:val="auto"/>
            </w:pPr>
          </w:p>
          <w:p w14:paraId="1882BFC6" w14:textId="508A9A38" w:rsidR="002149E0" w:rsidRPr="003316F8" w:rsidRDefault="002149E0" w:rsidP="002149E0">
            <w:pPr>
              <w:widowControl/>
              <w:tabs>
                <w:tab w:val="right" w:pos="851"/>
                <w:tab w:val="left" w:pos="3402"/>
              </w:tabs>
              <w:overflowPunct/>
              <w:autoSpaceDE/>
              <w:autoSpaceDN/>
              <w:adjustRightInd/>
              <w:spacing w:after="120"/>
              <w:ind w:left="3402" w:right="267" w:hanging="3118"/>
              <w:textAlignment w:val="auto"/>
              <w:outlineLvl w:val="1"/>
              <w:rPr>
                <w:bCs/>
              </w:rPr>
            </w:pPr>
            <w:r w:rsidRPr="000E4691">
              <w:rPr>
                <w:b/>
                <w:sz w:val="22"/>
              </w:rPr>
              <w:tab/>
            </w:r>
            <w:r w:rsidRPr="003316F8">
              <w:rPr>
                <w:b/>
              </w:rPr>
              <w:t>Analytische Zusammenfassung:</w:t>
            </w:r>
            <w:r w:rsidRPr="003316F8">
              <w:rPr>
                <w:sz w:val="28"/>
              </w:rPr>
              <w:tab/>
            </w:r>
            <w:r w:rsidRPr="003316F8">
              <w:t xml:space="preserve">Dieses Dokument enthält eine Reihe von Vorschlägen, mit denen dem Bedarf der Industrie, die Zudosierung zusätzlicher Additive an Bord von Binnentankschiffen unter bestimmten Bedingungen durchführen zu dürfen, Rechnung getragen werden soll. Eine solche Zudosierung kann erforderlich sein, wenn die Konzentration des Additivs im Produkt an Bord als zu gering befunden wird. In den Vorschlägen für eine vollständige Überarbeitung von Unterabschnitt 7.2.4.22 besteht diese Möglichkeit nur für Stabilisatoren, obgleich die Industrie nach den Anforderungen anderer Vorschriften gezwungen ist, den Ladungen andere vorgeschriebene Additive in ausreichendem Maße zuzudosieren. Bestünde diese Möglichkeit, würden die Risiken infolge eines zusätzlichen Entlade-/Ladevorgangs sowie einer zusätzlichen Beförderung, da die Ladung für eine Korrektur der Additivmenge an Land zur Ladeeinrichtung zurückgebracht werden müsste, angemessen begrenzt. </w:t>
            </w:r>
          </w:p>
          <w:p w14:paraId="6B03C22E" w14:textId="2683BF0B" w:rsidR="002149E0" w:rsidRPr="003316F8" w:rsidRDefault="002149E0" w:rsidP="002149E0">
            <w:pPr>
              <w:widowControl/>
              <w:overflowPunct/>
              <w:autoSpaceDE/>
              <w:autoSpaceDN/>
              <w:adjustRightInd/>
              <w:spacing w:after="120"/>
              <w:ind w:left="3402" w:right="267" w:hanging="3118"/>
              <w:contextualSpacing/>
              <w:textAlignment w:val="auto"/>
            </w:pPr>
            <w:r w:rsidRPr="003316F8">
              <w:rPr>
                <w:b/>
              </w:rPr>
              <w:t>Zu ergreifende Maßnahme:</w:t>
            </w:r>
            <w:r w:rsidRPr="003316F8">
              <w:rPr>
                <w:b/>
              </w:rPr>
              <w:tab/>
            </w:r>
            <w:r w:rsidRPr="003316F8">
              <w:t>Aufnahme der Möglichkeit, unter genau beschriebenen Umständen im Einklang mit den aktuellen Vorschlägen weitere Additive an Bord des Schiffes beizufügen und die sichere Nutzung der mobilen Dosieranlagen an Bord der Schiffe fortsetzen zu können.</w:t>
            </w:r>
          </w:p>
        </w:tc>
      </w:tr>
      <w:tr w:rsidR="002149E0" w:rsidRPr="003316F8" w14:paraId="6EF736E4" w14:textId="77777777" w:rsidTr="002149E0">
        <w:trPr>
          <w:jc w:val="center"/>
        </w:trPr>
        <w:tc>
          <w:tcPr>
            <w:tcW w:w="9060" w:type="dxa"/>
            <w:shd w:val="clear" w:color="auto" w:fill="auto"/>
          </w:tcPr>
          <w:p w14:paraId="6B13BAEE" w14:textId="77777777" w:rsidR="002149E0" w:rsidRPr="003316F8" w:rsidRDefault="002149E0" w:rsidP="002149E0">
            <w:pPr>
              <w:widowControl/>
              <w:overflowPunct/>
              <w:autoSpaceDE/>
              <w:autoSpaceDN/>
              <w:adjustRightInd/>
              <w:ind w:left="0" w:firstLine="0"/>
              <w:jc w:val="left"/>
              <w:textAlignment w:val="auto"/>
            </w:pPr>
          </w:p>
        </w:tc>
      </w:tr>
    </w:tbl>
    <w:p w14:paraId="70E4DFD7" w14:textId="77777777" w:rsidR="003316F8" w:rsidRDefault="003316F8" w:rsidP="002149E0">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p>
    <w:p w14:paraId="2E88134F" w14:textId="77777777" w:rsidR="003316F8" w:rsidRDefault="003316F8">
      <w:pPr>
        <w:widowControl/>
        <w:overflowPunct/>
        <w:autoSpaceDE/>
        <w:autoSpaceDN/>
        <w:adjustRightInd/>
        <w:ind w:left="0" w:firstLine="0"/>
        <w:jc w:val="left"/>
        <w:textAlignment w:val="auto"/>
        <w:rPr>
          <w:b/>
          <w:sz w:val="28"/>
        </w:rPr>
      </w:pPr>
      <w:r>
        <w:rPr>
          <w:b/>
          <w:sz w:val="28"/>
        </w:rPr>
        <w:br w:type="page"/>
      </w:r>
    </w:p>
    <w:p w14:paraId="1D01C18A" w14:textId="176C3DB5" w:rsidR="002149E0" w:rsidRPr="003316F8" w:rsidRDefault="002149E0" w:rsidP="002149E0">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3316F8">
        <w:rPr>
          <w:b/>
          <w:sz w:val="28"/>
        </w:rPr>
        <w:lastRenderedPageBreak/>
        <w:tab/>
      </w:r>
      <w:r w:rsidRPr="003316F8">
        <w:rPr>
          <w:b/>
          <w:sz w:val="28"/>
        </w:rPr>
        <w:tab/>
        <w:t>Einleitung</w:t>
      </w:r>
    </w:p>
    <w:p w14:paraId="676A9695" w14:textId="3D1AE99E"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1.</w:t>
      </w:r>
      <w:r w:rsidRPr="003316F8">
        <w:tab/>
        <w:t xml:space="preserve">In der Sitzung des ADN-Sicherheitsausschusses vom August 2023 bot der Vertreter Deutschlands an, zusätzlich eingegangene Kommentare zum Thema Öffnen von Öffnungen mit Blick auf eine Diskussion in der Sitzung im Januar 2024 zu prüfen. Die konkreten zu prüfenden Unterabschnitte wurden im Protokoll </w:t>
      </w:r>
      <w:hyperlink r:id="rId9" w:history="1">
        <w:r w:rsidRPr="003316F8">
          <w:t>ECE/TRANS/WP.15/AC.2/86 genannt</w:t>
        </w:r>
      </w:hyperlink>
      <w:r w:rsidRPr="003316F8">
        <w:t>.</w:t>
      </w:r>
    </w:p>
    <w:p w14:paraId="7F1FCEF5" w14:textId="163A4E91"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2.</w:t>
      </w:r>
      <w:r w:rsidRPr="003316F8">
        <w:tab/>
      </w:r>
      <w:proofErr w:type="spellStart"/>
      <w:r w:rsidRPr="003316F8">
        <w:t>FuelsEurope</w:t>
      </w:r>
      <w:proofErr w:type="spellEnd"/>
      <w:r w:rsidRPr="003316F8">
        <w:t xml:space="preserve"> begrüßt die in Dokument ECE/TRANS/WP.15/AC.2/2023/47 enthaltenen Vorschläge. Es wurde jedoch vonseiten der Industrie festgestellt, dass diese den aktuellen Bedürfnissen der </w:t>
      </w:r>
      <w:proofErr w:type="spellStart"/>
      <w:r w:rsidRPr="003316F8">
        <w:t>Befüller</w:t>
      </w:r>
      <w:proofErr w:type="spellEnd"/>
      <w:r w:rsidRPr="003316F8">
        <w:t xml:space="preserve"> im operativen Prozess der Beförderung flüssiger gefährlicher Güter nicht in vollem Umfang Rechnung tragen. </w:t>
      </w:r>
    </w:p>
    <w:p w14:paraId="02537E60"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3.</w:t>
      </w:r>
      <w:r w:rsidRPr="003316F8">
        <w:tab/>
        <w:t xml:space="preserve">Diese Bedürfnisse betreffen die Zudosierung zusätzlicher Additive an Bord von Binnentankschiffen, und </w:t>
      </w:r>
      <w:proofErr w:type="spellStart"/>
      <w:r w:rsidRPr="003316F8">
        <w:t>FuelsEurope</w:t>
      </w:r>
      <w:proofErr w:type="spellEnd"/>
      <w:r w:rsidRPr="003316F8">
        <w:t xml:space="preserve"> legt hiermit Vorschläge im Format des Dokuments ECE/TRANS/WP.15/AC.2/2023/47 vor, um die Erörterung und den Vergleich der Bestimmungen zu erleichtern.</w:t>
      </w:r>
    </w:p>
    <w:p w14:paraId="5823D59B"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4.</w:t>
      </w:r>
      <w:r w:rsidRPr="003316F8">
        <w:tab/>
        <w:t xml:space="preserve">Genau wie die Zudosierung zusätzlicher Stabilisatoren, wie in den Vorschlägen Deutschlands beschrieben, kann auch die Zudosierung sonstiger Additive an Bord auf sichere Weise erfolgen. </w:t>
      </w:r>
    </w:p>
    <w:p w14:paraId="71C68602"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5.</w:t>
      </w:r>
      <w:r w:rsidRPr="003316F8">
        <w:tab/>
        <w:t xml:space="preserve">Die Vorschläge stimmen in jeder Hinsicht mit den zwischen den Vertragsparteien vereinbarten </w:t>
      </w:r>
      <w:proofErr w:type="gramStart"/>
      <w:r w:rsidRPr="003316F8">
        <w:t>unten stehenden</w:t>
      </w:r>
      <w:proofErr w:type="gramEnd"/>
      <w:r w:rsidRPr="003316F8">
        <w:t xml:space="preserve"> Grundsätzen des ADN überein:</w:t>
      </w:r>
    </w:p>
    <w:p w14:paraId="680FDE61" w14:textId="77777777" w:rsidR="002149E0" w:rsidRPr="003316F8" w:rsidRDefault="002149E0" w:rsidP="002149E0">
      <w:pPr>
        <w:widowControl/>
        <w:overflowPunct/>
        <w:autoSpaceDE/>
        <w:autoSpaceDN/>
        <w:adjustRightInd/>
        <w:spacing w:line="240" w:lineRule="atLeast"/>
        <w:ind w:left="0" w:firstLine="0"/>
        <w:jc w:val="left"/>
        <w:textAlignment w:val="auto"/>
        <w:rPr>
          <w:b/>
          <w:sz w:val="22"/>
        </w:rPr>
      </w:pPr>
    </w:p>
    <w:p w14:paraId="1D0686F6" w14:textId="7918AF54" w:rsidR="00942F34" w:rsidRPr="003316F8" w:rsidRDefault="00942F34" w:rsidP="00DD6C3C">
      <w:pPr>
        <w:widowControl/>
        <w:overflowPunct/>
        <w:spacing w:line="240" w:lineRule="atLeast"/>
        <w:ind w:right="990" w:firstLine="0"/>
        <w:jc w:val="center"/>
        <w:textAlignment w:val="auto"/>
        <w:rPr>
          <w:b/>
          <w:sz w:val="22"/>
        </w:rPr>
      </w:pPr>
      <w:r w:rsidRPr="003316F8">
        <w:rPr>
          <w:b/>
          <w:sz w:val="22"/>
        </w:rPr>
        <w:t xml:space="preserve">„EUROPÄISCHES ÜBEREINKOMMEN </w:t>
      </w:r>
      <w:r w:rsidRPr="003316F8">
        <w:rPr>
          <w:b/>
          <w:sz w:val="22"/>
        </w:rPr>
        <w:br/>
        <w:t>ÜBER DIE INTERNATIONALE BEFÖRDERUNG VON GEFÄHRLICHEN GÜTERN</w:t>
      </w:r>
    </w:p>
    <w:p w14:paraId="1E744045" w14:textId="77777777" w:rsidR="00942F34" w:rsidRPr="003316F8" w:rsidRDefault="00942F34" w:rsidP="00942F34">
      <w:pPr>
        <w:widowControl/>
        <w:overflowPunct/>
        <w:spacing w:line="240" w:lineRule="atLeast"/>
        <w:ind w:left="0" w:firstLine="0"/>
        <w:jc w:val="center"/>
        <w:textAlignment w:val="auto"/>
        <w:rPr>
          <w:b/>
          <w:sz w:val="22"/>
        </w:rPr>
      </w:pPr>
      <w:r w:rsidRPr="003316F8">
        <w:rPr>
          <w:b/>
          <w:sz w:val="22"/>
        </w:rPr>
        <w:t>AUF BINNENWASSERSTRASSEN</w:t>
      </w:r>
    </w:p>
    <w:p w14:paraId="6CD253AE" w14:textId="77777777" w:rsidR="00942F34" w:rsidRPr="003316F8" w:rsidRDefault="00942F34" w:rsidP="00942F34">
      <w:pPr>
        <w:widowControl/>
        <w:overflowPunct/>
        <w:spacing w:line="240" w:lineRule="atLeast"/>
        <w:ind w:left="0" w:firstLine="0"/>
        <w:jc w:val="center"/>
        <w:textAlignment w:val="auto"/>
        <w:rPr>
          <w:b/>
          <w:sz w:val="22"/>
        </w:rPr>
      </w:pPr>
      <w:r w:rsidRPr="003316F8">
        <w:rPr>
          <w:b/>
          <w:sz w:val="22"/>
        </w:rPr>
        <w:t>(ADN)</w:t>
      </w:r>
    </w:p>
    <w:p w14:paraId="5B87BA32" w14:textId="77777777" w:rsidR="00942F34" w:rsidRPr="003316F8" w:rsidRDefault="00942F34" w:rsidP="00942F34">
      <w:pPr>
        <w:widowControl/>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verflowPunct/>
        <w:autoSpaceDE/>
        <w:autoSpaceDN/>
        <w:adjustRightInd/>
        <w:spacing w:after="240" w:line="240" w:lineRule="atLeast"/>
        <w:ind w:right="1134" w:firstLine="0"/>
        <w:textAlignment w:val="auto"/>
        <w:rPr>
          <w:b/>
          <w:sz w:val="22"/>
        </w:rPr>
      </w:pPr>
      <w:r w:rsidRPr="003316F8">
        <w:rPr>
          <w:b/>
          <w:sz w:val="22"/>
        </w:rPr>
        <w:t>DIE VERTRAGSPARTEIEN,</w:t>
      </w:r>
    </w:p>
    <w:p w14:paraId="4F07D2AA" w14:textId="77777777" w:rsidR="00942F34" w:rsidRPr="003316F8" w:rsidRDefault="00942F34" w:rsidP="00942F34">
      <w:pPr>
        <w:widowControl/>
        <w:tabs>
          <w:tab w:val="left" w:pos="0"/>
          <w:tab w:val="left" w:pos="566"/>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verflowPunct/>
        <w:autoSpaceDE/>
        <w:autoSpaceDN/>
        <w:adjustRightInd/>
        <w:spacing w:after="240"/>
        <w:ind w:right="1134" w:firstLine="0"/>
        <w:textAlignment w:val="auto"/>
        <w:outlineLvl w:val="0"/>
        <w:rPr>
          <w:snapToGrid w:val="0"/>
        </w:rPr>
      </w:pPr>
      <w:r w:rsidRPr="003316F8">
        <w:rPr>
          <w:b/>
          <w:sz w:val="22"/>
        </w:rPr>
        <w:t>IN DEM WUNSCHE</w:t>
      </w:r>
      <w:r w:rsidRPr="003316F8">
        <w:rPr>
          <w:rFonts w:ascii="Arial" w:hAnsi="Arial"/>
          <w:lang w:eastAsia="ja-JP"/>
        </w:rPr>
        <w:t xml:space="preserve">, </w:t>
      </w:r>
      <w:r w:rsidRPr="003316F8">
        <w:rPr>
          <w:snapToGrid w:val="0"/>
          <w:lang w:eastAsia="en-US"/>
        </w:rPr>
        <w:t>gemeinsam einheitliche Prinzipien und Regeln aufzustellen mit dem Ziel:</w:t>
      </w:r>
    </w:p>
    <w:p w14:paraId="7A29986D" w14:textId="77777777" w:rsidR="00942F34" w:rsidRPr="003316F8" w:rsidRDefault="00942F34" w:rsidP="00942F34">
      <w:pPr>
        <w:widowControl/>
        <w:tabs>
          <w:tab w:val="left" w:pos="0"/>
          <w:tab w:val="left" w:pos="566"/>
          <w:tab w:val="left" w:pos="1701"/>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verflowPunct/>
        <w:autoSpaceDE/>
        <w:autoSpaceDN/>
        <w:adjustRightInd/>
        <w:spacing w:after="240"/>
        <w:ind w:left="1701" w:right="1134" w:hanging="567"/>
        <w:textAlignment w:val="auto"/>
        <w:outlineLvl w:val="0"/>
        <w:rPr>
          <w:snapToGrid w:val="0"/>
        </w:rPr>
      </w:pPr>
      <w:r w:rsidRPr="003316F8">
        <w:rPr>
          <w:rFonts w:ascii="Arial" w:hAnsi="Arial"/>
          <w:lang w:eastAsia="ja-JP"/>
        </w:rPr>
        <w:t>a)</w:t>
      </w:r>
      <w:r w:rsidRPr="003316F8">
        <w:rPr>
          <w:rFonts w:ascii="Arial" w:hAnsi="Arial"/>
          <w:lang w:eastAsia="ja-JP"/>
        </w:rPr>
        <w:tab/>
      </w:r>
      <w:r w:rsidRPr="003316F8">
        <w:rPr>
          <w:snapToGrid w:val="0"/>
          <w:lang w:eastAsia="en-US"/>
        </w:rPr>
        <w:t>die Sicherheit der internationalen Beförderung von gefährlichen Gütern auf Binnenwasserstraßen zu verstärken</w:t>
      </w:r>
    </w:p>
    <w:p w14:paraId="28C97CA5" w14:textId="77777777" w:rsidR="00942F34" w:rsidRPr="003316F8" w:rsidRDefault="00942F34" w:rsidP="00942F34">
      <w:pPr>
        <w:widowControl/>
        <w:tabs>
          <w:tab w:val="left" w:pos="0"/>
          <w:tab w:val="left" w:pos="566"/>
          <w:tab w:val="left" w:pos="1701"/>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verflowPunct/>
        <w:autoSpaceDE/>
        <w:autoSpaceDN/>
        <w:adjustRightInd/>
        <w:spacing w:after="240"/>
        <w:ind w:left="1701" w:right="1134" w:hanging="567"/>
        <w:textAlignment w:val="auto"/>
        <w:outlineLvl w:val="0"/>
        <w:rPr>
          <w:snapToGrid w:val="0"/>
        </w:rPr>
      </w:pPr>
      <w:r w:rsidRPr="003316F8">
        <w:rPr>
          <w:snapToGrid w:val="0"/>
          <w:lang w:eastAsia="en-US"/>
        </w:rPr>
        <w:t>b)</w:t>
      </w:r>
      <w:r w:rsidRPr="003316F8">
        <w:rPr>
          <w:snapToGrid w:val="0"/>
          <w:lang w:eastAsia="en-US"/>
        </w:rPr>
        <w:tab/>
        <w:t>durch Vermeidung von Verschmutzungen, die bei Unfällen und Zwischenfällen bei solchen Beförderungen entstehen könnten, wirksam zum Umweltschutz beizutragen und</w:t>
      </w:r>
    </w:p>
    <w:p w14:paraId="54BF80E9" w14:textId="20EE76A2" w:rsidR="00942F34" w:rsidRPr="003316F8" w:rsidRDefault="00942F34" w:rsidP="00942F34">
      <w:pPr>
        <w:widowControl/>
        <w:tabs>
          <w:tab w:val="left" w:pos="0"/>
          <w:tab w:val="left" w:pos="566"/>
          <w:tab w:val="left" w:pos="1701"/>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verflowPunct/>
        <w:autoSpaceDE/>
        <w:autoSpaceDN/>
        <w:adjustRightInd/>
        <w:spacing w:after="240"/>
        <w:ind w:left="1701" w:right="1134" w:hanging="567"/>
        <w:textAlignment w:val="auto"/>
        <w:outlineLvl w:val="0"/>
        <w:rPr>
          <w:snapToGrid w:val="0"/>
        </w:rPr>
      </w:pPr>
      <w:r w:rsidRPr="003316F8">
        <w:rPr>
          <w:snapToGrid w:val="0"/>
          <w:lang w:eastAsia="en-US"/>
        </w:rPr>
        <w:t>c)</w:t>
      </w:r>
      <w:r w:rsidRPr="003316F8">
        <w:rPr>
          <w:snapToGrid w:val="0"/>
          <w:lang w:eastAsia="en-US"/>
        </w:rPr>
        <w:tab/>
        <w:t>die Beförderungsabläufe zu erleichtern und den internationalen Handel zu fördern,“</w:t>
      </w:r>
    </w:p>
    <w:p w14:paraId="45FD4211" w14:textId="77777777" w:rsidR="002149E0" w:rsidRPr="003316F8" w:rsidRDefault="002149E0" w:rsidP="002149E0">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3316F8">
        <w:rPr>
          <w:sz w:val="28"/>
        </w:rPr>
        <w:tab/>
      </w:r>
      <w:r w:rsidRPr="003316F8">
        <w:rPr>
          <w:b/>
          <w:sz w:val="28"/>
        </w:rPr>
        <w:t>I.</w:t>
      </w:r>
      <w:r w:rsidRPr="003316F8">
        <w:rPr>
          <w:b/>
          <w:sz w:val="28"/>
        </w:rPr>
        <w:tab/>
        <w:t>Vorschläge für die Gestattung einer Zudosierung zusätzlicher Additive</w:t>
      </w:r>
    </w:p>
    <w:p w14:paraId="1FDC4DE2" w14:textId="6530CD2B" w:rsidR="002149E0" w:rsidRPr="003316F8" w:rsidRDefault="002149E0" w:rsidP="00942F34">
      <w:pPr>
        <w:tabs>
          <w:tab w:val="left" w:pos="1701"/>
          <w:tab w:val="left" w:pos="2268"/>
          <w:tab w:val="left" w:pos="2835"/>
        </w:tabs>
        <w:spacing w:after="120"/>
        <w:ind w:right="1134" w:firstLine="0"/>
      </w:pPr>
      <w:r w:rsidRPr="003316F8">
        <w:t>6.</w:t>
      </w:r>
      <w:r w:rsidRPr="003316F8">
        <w:tab/>
      </w:r>
      <w:proofErr w:type="spellStart"/>
      <w:r w:rsidRPr="003316F8">
        <w:t>FuelsEurope</w:t>
      </w:r>
      <w:proofErr w:type="spellEnd"/>
      <w:r w:rsidRPr="003316F8">
        <w:t xml:space="preserve"> schlägt eine Änderung für Absatz 7.2.4.22.1 vor. Da diese Änderung Auswirkungen auf weitere Bestimmungen hat, müssen diese ebenfalls berücksichtigt werden. Daher wird vorgeschlagen, Unterabschnitt 7.2.4.22 wie folgt zu ändern (</w:t>
      </w:r>
      <w:r w:rsidRPr="003316F8">
        <w:rPr>
          <w:strike/>
        </w:rPr>
        <w:t>gestrichener</w:t>
      </w:r>
      <w:r w:rsidRPr="003316F8">
        <w:t xml:space="preserve"> Text ist durchgestrichen, </w:t>
      </w:r>
      <w:r w:rsidRPr="003316F8">
        <w:rPr>
          <w:b/>
          <w:u w:val="single"/>
        </w:rPr>
        <w:t>neuer Text</w:t>
      </w:r>
      <w:r w:rsidRPr="003316F8">
        <w:t xml:space="preserve"> ist fett markiert und unterstrichen)</w:t>
      </w:r>
    </w:p>
    <w:p w14:paraId="525550ED" w14:textId="77777777" w:rsidR="003316F8" w:rsidRDefault="003316F8">
      <w:pPr>
        <w:widowControl/>
        <w:overflowPunct/>
        <w:autoSpaceDE/>
        <w:autoSpaceDN/>
        <w:adjustRightInd/>
        <w:ind w:left="0" w:firstLine="0"/>
        <w:jc w:val="left"/>
        <w:textAlignment w:val="auto"/>
      </w:pPr>
      <w:r>
        <w:br w:type="page"/>
      </w:r>
    </w:p>
    <w:p w14:paraId="61A4AA6C" w14:textId="2B896E32"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lastRenderedPageBreak/>
        <w:t>7.</w:t>
      </w:r>
      <w:r w:rsidRPr="003316F8">
        <w:tab/>
        <w:t>7.2.4.22, Öffnen von Öffnungen der Ladetanks (Allgemein):</w:t>
      </w:r>
    </w:p>
    <w:p w14:paraId="052ACA7A" w14:textId="254BF5BF" w:rsidR="002149E0" w:rsidRPr="003316F8" w:rsidRDefault="002149E0" w:rsidP="00DD6C3C">
      <w:pPr>
        <w:pStyle w:val="Paragraphedeliste"/>
        <w:widowControl/>
        <w:numPr>
          <w:ilvl w:val="0"/>
          <w:numId w:val="14"/>
        </w:numPr>
        <w:tabs>
          <w:tab w:val="num" w:pos="1701"/>
        </w:tabs>
        <w:overflowPunct/>
        <w:autoSpaceDE/>
        <w:autoSpaceDN/>
        <w:adjustRightInd/>
        <w:spacing w:after="120" w:line="240" w:lineRule="atLeast"/>
        <w:ind w:right="1134"/>
        <w:textAlignment w:val="auto"/>
      </w:pPr>
      <w:r w:rsidRPr="003316F8">
        <w:t>In Unterabsatz 7.2.4.22.1 wird ein neuer Spiegelstrich mit folgendem Wortlaut aufgenommen:</w:t>
      </w:r>
    </w:p>
    <w:p w14:paraId="55A66A9C" w14:textId="303283AE" w:rsidR="002149E0" w:rsidRPr="003316F8" w:rsidRDefault="000E4691" w:rsidP="000E4691">
      <w:pPr>
        <w:widowControl/>
        <w:tabs>
          <w:tab w:val="left" w:pos="2268"/>
          <w:tab w:val="left" w:pos="2835"/>
        </w:tabs>
        <w:overflowPunct/>
        <w:autoSpaceDE/>
        <w:autoSpaceDN/>
        <w:adjustRightInd/>
        <w:spacing w:after="120" w:line="240" w:lineRule="atLeast"/>
        <w:ind w:left="2268" w:right="1134" w:firstLine="0"/>
        <w:textAlignment w:val="auto"/>
        <w:rPr>
          <w:b/>
          <w:bCs/>
          <w:u w:val="single"/>
        </w:rPr>
      </w:pPr>
      <w:r>
        <w:rPr>
          <w:b/>
          <w:u w:val="single"/>
        </w:rPr>
        <w:t>„</w:t>
      </w:r>
      <w:r w:rsidR="002149E0" w:rsidRPr="003316F8">
        <w:rPr>
          <w:b/>
          <w:u w:val="single"/>
        </w:rPr>
        <w:t>zur nachträglichen Zugabe sonstiger Additive im Ausnahmefall nach dem Beladen, aber vor Fahrtbeginn oder nach Fahrtende, aber vor dem Entladen.</w:t>
      </w:r>
      <w:r>
        <w:rPr>
          <w:b/>
          <w:u w:val="single"/>
        </w:rPr>
        <w:t>“.</w:t>
      </w:r>
    </w:p>
    <w:p w14:paraId="6C54B6AA" w14:textId="1D16ADCF" w:rsidR="002149E0" w:rsidRPr="003316F8" w:rsidRDefault="002149E0" w:rsidP="003316F8">
      <w:pPr>
        <w:pStyle w:val="Paragraphedeliste"/>
        <w:widowControl/>
        <w:numPr>
          <w:ilvl w:val="0"/>
          <w:numId w:val="14"/>
        </w:numPr>
        <w:tabs>
          <w:tab w:val="num" w:pos="1701"/>
        </w:tabs>
        <w:overflowPunct/>
        <w:autoSpaceDE/>
        <w:autoSpaceDN/>
        <w:adjustRightInd/>
        <w:spacing w:after="120" w:line="240" w:lineRule="atLeast"/>
        <w:ind w:right="1134" w:hanging="357"/>
        <w:contextualSpacing w:val="0"/>
        <w:textAlignment w:val="auto"/>
        <w:rPr>
          <w:u w:val="single"/>
        </w:rPr>
      </w:pPr>
      <w:r w:rsidRPr="003316F8">
        <w:t>7.2.4.22.6</w:t>
      </w:r>
      <w:r w:rsidR="005A1413">
        <w:t xml:space="preserve"> </w:t>
      </w:r>
      <w:bookmarkStart w:id="0" w:name="_Hlk153525960"/>
      <w:r w:rsidR="005A1413">
        <w:t xml:space="preserve">Erhält folgenden Wortlaut: </w:t>
      </w:r>
      <w:bookmarkEnd w:id="0"/>
      <w:r w:rsidR="005A1413">
        <w:t>„</w:t>
      </w:r>
      <w:r w:rsidRPr="003316F8">
        <w:t xml:space="preserve">Wenn die Einführung der Gasabfuhrleitung in den Ladetank mit einer Flammendurchschlagsicherung gemäß ADN 9.3.2.22.4 b) / 9.3.3.22.4 d) ausgerüstet ist, darf dieses Gehäuse für die Probeentnahme, eine Sichtkontrolle der Ladetanks, die Ermittlung der Füllmenge im Ladetank oder die nachträgliche Zugabe von Stabilisator </w:t>
      </w:r>
      <w:r w:rsidR="00EC1DCF" w:rsidRPr="003316F8">
        <w:rPr>
          <w:b/>
          <w:u w:val="single"/>
        </w:rPr>
        <w:t xml:space="preserve">oder sonstigen Additiven </w:t>
      </w:r>
      <w:r w:rsidRPr="003316F8">
        <w:t>geöffnet werden.</w:t>
      </w:r>
      <w:r w:rsidR="005A1413">
        <w:t>“.</w:t>
      </w:r>
    </w:p>
    <w:p w14:paraId="08F0895A" w14:textId="29508CA9" w:rsidR="002149E0" w:rsidRPr="003316F8" w:rsidRDefault="002149E0" w:rsidP="003316F8">
      <w:pPr>
        <w:pStyle w:val="Paragraphedeliste"/>
        <w:widowControl/>
        <w:numPr>
          <w:ilvl w:val="0"/>
          <w:numId w:val="14"/>
        </w:numPr>
        <w:tabs>
          <w:tab w:val="num" w:pos="1701"/>
        </w:tabs>
        <w:overflowPunct/>
        <w:autoSpaceDE/>
        <w:autoSpaceDN/>
        <w:adjustRightInd/>
        <w:spacing w:before="120" w:after="120" w:line="240" w:lineRule="atLeast"/>
        <w:ind w:right="1134" w:hanging="357"/>
        <w:contextualSpacing w:val="0"/>
        <w:textAlignment w:val="auto"/>
      </w:pPr>
      <w:r w:rsidRPr="003316F8">
        <w:t>7.2.4.22.11</w:t>
      </w:r>
      <w:r w:rsidR="005A1413" w:rsidRPr="005A1413">
        <w:t xml:space="preserve"> </w:t>
      </w:r>
      <w:proofErr w:type="gramStart"/>
      <w:r w:rsidR="005A1413">
        <w:t>Erhält</w:t>
      </w:r>
      <w:proofErr w:type="gramEnd"/>
      <w:r w:rsidR="005A1413">
        <w:t xml:space="preserve"> folgenden Wortlaut:</w:t>
      </w:r>
      <w:r w:rsidRPr="003316F8">
        <w:tab/>
      </w:r>
      <w:r w:rsidR="005A1413">
        <w:t>„</w:t>
      </w:r>
      <w:r w:rsidRPr="003316F8">
        <w:t xml:space="preserve">Bei einer Sichtkontrolle, Ermittlung der Füllmenge, Gasmessung oder der Zugabe von Stabilisator </w:t>
      </w:r>
      <w:r w:rsidRPr="003316F8">
        <w:rPr>
          <w:b/>
          <w:u w:val="single"/>
        </w:rPr>
        <w:t>oder sonstigen Additiven</w:t>
      </w:r>
      <w:r w:rsidRPr="003316F8">
        <w:t xml:space="preserve"> gilt Absatz 7.2.4.16.8 entsprechend.</w:t>
      </w:r>
      <w:r w:rsidR="005A1413">
        <w:t>“.</w:t>
      </w:r>
    </w:p>
    <w:p w14:paraId="0ED20343"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8.</w:t>
      </w:r>
      <w:r w:rsidRPr="003316F8">
        <w:tab/>
        <w:t xml:space="preserve">7.2.4.23: </w:t>
      </w:r>
    </w:p>
    <w:p w14:paraId="29D3D258" w14:textId="0A269EA0" w:rsidR="002149E0" w:rsidRPr="003316F8" w:rsidRDefault="002149E0" w:rsidP="00DD6C3C">
      <w:pPr>
        <w:pStyle w:val="Paragraphedeliste"/>
        <w:widowControl/>
        <w:numPr>
          <w:ilvl w:val="0"/>
          <w:numId w:val="15"/>
        </w:numPr>
        <w:tabs>
          <w:tab w:val="num" w:pos="1701"/>
        </w:tabs>
        <w:overflowPunct/>
        <w:autoSpaceDE/>
        <w:autoSpaceDN/>
        <w:adjustRightInd/>
        <w:spacing w:before="120" w:after="120" w:line="240" w:lineRule="atLeast"/>
        <w:ind w:right="1134" w:hanging="357"/>
        <w:contextualSpacing w:val="0"/>
        <w:textAlignment w:val="auto"/>
      </w:pPr>
      <w:r w:rsidRPr="003316F8">
        <w:t>7.2.4.23.1.1</w:t>
      </w:r>
      <w:r w:rsidR="005A1413" w:rsidRPr="005A1413">
        <w:t xml:space="preserve"> </w:t>
      </w:r>
      <w:r w:rsidR="005A1413">
        <w:t>Erhält folgenden Wortlaut:</w:t>
      </w:r>
      <w:r w:rsidRPr="003316F8">
        <w:tab/>
      </w:r>
      <w:r w:rsidR="005A1413">
        <w:t>„</w:t>
      </w:r>
      <w:r w:rsidRPr="003316F8">
        <w:rPr>
          <w:snapToGrid w:val="0"/>
        </w:rPr>
        <w:t xml:space="preserve">Das Öffnen der entladenen Ladetanks zur Sichtkontrolle, ob die Ladetanks leer und/oder sauber sind, darf nur durchgeführt werden, wenn das Schiff nicht an die Landanlage angeschlossen ist </w:t>
      </w:r>
      <w:r w:rsidRPr="003316F8">
        <w:rPr>
          <w:b/>
          <w:u w:val="single"/>
        </w:rPr>
        <w:t>oder wenn die Absperrarmaturen des Schiffes und der Landanlage geschlossen sind</w:t>
      </w:r>
      <w:r w:rsidRPr="003316F8">
        <w:t>.</w:t>
      </w:r>
      <w:r w:rsidR="005A1413">
        <w:t>“.</w:t>
      </w:r>
    </w:p>
    <w:p w14:paraId="3E394BDE" w14:textId="556B9EA1" w:rsidR="002149E0" w:rsidRPr="003316F8" w:rsidRDefault="002149E0" w:rsidP="00DD6C3C">
      <w:pPr>
        <w:pStyle w:val="Paragraphedeliste"/>
        <w:widowControl/>
        <w:numPr>
          <w:ilvl w:val="0"/>
          <w:numId w:val="15"/>
        </w:numPr>
        <w:tabs>
          <w:tab w:val="num" w:pos="1701"/>
        </w:tabs>
        <w:overflowPunct/>
        <w:autoSpaceDE/>
        <w:autoSpaceDN/>
        <w:adjustRightInd/>
        <w:spacing w:before="120" w:after="120" w:line="240" w:lineRule="atLeast"/>
        <w:ind w:right="1134" w:hanging="357"/>
        <w:contextualSpacing w:val="0"/>
        <w:textAlignment w:val="auto"/>
        <w:rPr>
          <w:rFonts w:eastAsia="SimSun"/>
        </w:rPr>
      </w:pPr>
      <w:r w:rsidRPr="00A20FE4">
        <w:rPr>
          <w:bCs/>
          <w:lang w:eastAsia="zh-CN"/>
        </w:rPr>
        <w:t>7.2.4.23.2</w:t>
      </w:r>
      <w:r w:rsidR="005A1413" w:rsidRPr="005A1413">
        <w:t xml:space="preserve"> </w:t>
      </w:r>
      <w:r w:rsidR="005A1413">
        <w:t>Erhält folgenden Wortlaut:</w:t>
      </w:r>
      <w:r w:rsidR="005A1413">
        <w:t xml:space="preserve"> </w:t>
      </w:r>
      <w:r w:rsidR="005A1413">
        <w:rPr>
          <w:lang w:eastAsia="zh-CN"/>
        </w:rPr>
        <w:t>„</w:t>
      </w:r>
      <w:r w:rsidRPr="003316F8">
        <w:rPr>
          <w:snapToGrid w:val="0"/>
        </w:rPr>
        <w:t xml:space="preserve">Probeentnahme, Ermittlung der Füllmenge, Zugabe von Stabilisator </w:t>
      </w:r>
      <w:r w:rsidRPr="003316F8">
        <w:rPr>
          <w:b/>
          <w:u w:val="single"/>
        </w:rPr>
        <w:t>oder sonstigen Additiven</w:t>
      </w:r>
      <w:r w:rsidRPr="003316F8">
        <w:rPr>
          <w:lang w:eastAsia="zh-CN"/>
        </w:rPr>
        <w:t xml:space="preserve"> </w:t>
      </w:r>
      <w:r w:rsidRPr="003316F8">
        <w:rPr>
          <w:snapToGrid w:val="0"/>
        </w:rPr>
        <w:t>und Gasmessung</w:t>
      </w:r>
      <w:r w:rsidRPr="003316F8">
        <w:rPr>
          <w:lang w:eastAsia="zh-CN"/>
        </w:rPr>
        <w:t>.</w:t>
      </w:r>
      <w:r w:rsidR="005A1413">
        <w:rPr>
          <w:lang w:eastAsia="zh-CN"/>
        </w:rPr>
        <w:t>“.</w:t>
      </w:r>
    </w:p>
    <w:p w14:paraId="3C13AEDC" w14:textId="541A25BD" w:rsidR="001D5D68" w:rsidRPr="003316F8" w:rsidRDefault="002149E0" w:rsidP="00DD6C3C">
      <w:pPr>
        <w:pStyle w:val="Paragraphedeliste"/>
        <w:widowControl/>
        <w:numPr>
          <w:ilvl w:val="0"/>
          <w:numId w:val="15"/>
        </w:numPr>
        <w:tabs>
          <w:tab w:val="num" w:pos="1701"/>
        </w:tabs>
        <w:overflowPunct/>
        <w:autoSpaceDE/>
        <w:autoSpaceDN/>
        <w:adjustRightInd/>
        <w:spacing w:before="120" w:after="120" w:line="240" w:lineRule="atLeast"/>
        <w:ind w:right="1134" w:hanging="357"/>
        <w:contextualSpacing w:val="0"/>
        <w:textAlignment w:val="auto"/>
        <w:rPr>
          <w:rFonts w:eastAsia="SimSun"/>
        </w:rPr>
      </w:pPr>
      <w:r w:rsidRPr="003316F8">
        <w:rPr>
          <w:lang w:eastAsia="zh-CN"/>
        </w:rPr>
        <w:t>7.2.4.23.2.4</w:t>
      </w:r>
      <w:r w:rsidR="005A1413" w:rsidRPr="005A1413">
        <w:t xml:space="preserve"> </w:t>
      </w:r>
      <w:r w:rsidR="005A1413">
        <w:t>Erhält folgenden Wortlaut:</w:t>
      </w:r>
      <w:r w:rsidR="005A1413">
        <w:t xml:space="preserve"> </w:t>
      </w:r>
      <w:r w:rsidR="005A1413">
        <w:rPr>
          <w:lang w:eastAsia="zh-CN"/>
        </w:rPr>
        <w:t>„</w:t>
      </w:r>
      <w:r w:rsidRPr="003316F8">
        <w:rPr>
          <w:lang w:eastAsia="zh-CN"/>
        </w:rPr>
        <w:t>Das Öffnen der Ladetanks zur offenen Probenahme soll nur im abgekoppelten Zustand von der Landanlage erfolgen</w:t>
      </w:r>
      <w:r w:rsidRPr="003316F8">
        <w:rPr>
          <w:b/>
          <w:u w:val="single"/>
        </w:rPr>
        <w:t xml:space="preserve"> oder, wenn die Absperrarmaturen des Schiffes und der Landanlage geschlossen sind</w:t>
      </w:r>
      <w:r w:rsidRPr="003316F8">
        <w:t>.</w:t>
      </w:r>
      <w:r w:rsidRPr="003316F8">
        <w:rPr>
          <w:lang w:eastAsia="zh-CN"/>
        </w:rPr>
        <w:t xml:space="preserve"> Fußproben beim Beladen dürfen auch im nicht abgekoppelten Zustand genommen werden, wenn die Absperrarmaturen auf dem Schiff und an der Landanlage geschlossen sind.</w:t>
      </w:r>
      <w:r w:rsidR="005A1413">
        <w:rPr>
          <w:lang w:eastAsia="zh-CN"/>
        </w:rPr>
        <w:t>“.</w:t>
      </w:r>
    </w:p>
    <w:p w14:paraId="573636D9" w14:textId="157CCC63" w:rsidR="00334532" w:rsidRPr="003316F8" w:rsidRDefault="007C49B5" w:rsidP="00DD6C3C">
      <w:pPr>
        <w:pStyle w:val="Paragraphedeliste"/>
        <w:widowControl/>
        <w:numPr>
          <w:ilvl w:val="0"/>
          <w:numId w:val="15"/>
        </w:numPr>
        <w:tabs>
          <w:tab w:val="num" w:pos="1701"/>
        </w:tabs>
        <w:overflowPunct/>
        <w:autoSpaceDE/>
        <w:autoSpaceDN/>
        <w:adjustRightInd/>
        <w:spacing w:before="120" w:after="120" w:line="240" w:lineRule="atLeast"/>
        <w:ind w:right="1134" w:hanging="357"/>
        <w:contextualSpacing w:val="0"/>
        <w:textAlignment w:val="auto"/>
        <w:rPr>
          <w:rFonts w:eastAsia="SimSun"/>
        </w:rPr>
      </w:pPr>
      <w:r w:rsidRPr="003316F8">
        <w:rPr>
          <w:lang w:eastAsia="zh-CN"/>
        </w:rPr>
        <w:t>Eine neue Überschrift 7.2.4.23.2.6 und einen neuen Absatz 7.2.4.23.2.6.2 einfügen und „7.2.4.23.2.6“ in „7.2.4.23.2.6.1“ umbenennen:</w:t>
      </w:r>
    </w:p>
    <w:p w14:paraId="40C96126" w14:textId="333D52E0" w:rsidR="002149E0" w:rsidRPr="003316F8" w:rsidRDefault="005A1413" w:rsidP="00DD6C3C">
      <w:pPr>
        <w:widowControl/>
        <w:tabs>
          <w:tab w:val="left" w:pos="2268"/>
          <w:tab w:val="left" w:pos="2835"/>
        </w:tabs>
        <w:overflowPunct/>
        <w:autoSpaceDE/>
        <w:autoSpaceDN/>
        <w:adjustRightInd/>
        <w:spacing w:after="120" w:line="240" w:lineRule="atLeast"/>
        <w:ind w:left="2268" w:right="1134" w:firstLine="0"/>
        <w:textAlignment w:val="auto"/>
        <w:rPr>
          <w:rFonts w:eastAsia="SimSun"/>
          <w:b/>
          <w:bCs/>
          <w:u w:val="single"/>
        </w:rPr>
      </w:pPr>
      <w:r>
        <w:rPr>
          <w:b/>
          <w:u w:val="single"/>
        </w:rPr>
        <w:t>„</w:t>
      </w:r>
      <w:r w:rsidR="002149E0" w:rsidRPr="003316F8">
        <w:rPr>
          <w:b/>
          <w:u w:val="single"/>
        </w:rPr>
        <w:t>7.2.4.23.2.6</w:t>
      </w:r>
      <w:r w:rsidR="002149E0" w:rsidRPr="003316F8">
        <w:rPr>
          <w:u w:val="single"/>
        </w:rPr>
        <w:t xml:space="preserve"> </w:t>
      </w:r>
      <w:r w:rsidR="002149E0" w:rsidRPr="003316F8">
        <w:rPr>
          <w:u w:val="single"/>
        </w:rPr>
        <w:tab/>
      </w:r>
      <w:r w:rsidR="002149E0" w:rsidRPr="003316F8">
        <w:rPr>
          <w:b/>
          <w:u w:val="single"/>
        </w:rPr>
        <w:t>Zugabe von Stabilisator oder sonstigen Additiven im Ausnahmefall</w:t>
      </w:r>
    </w:p>
    <w:p w14:paraId="533BE48F" w14:textId="77777777" w:rsidR="00334532" w:rsidRPr="003316F8" w:rsidRDefault="002149E0" w:rsidP="00DD6C3C">
      <w:pPr>
        <w:widowControl/>
        <w:tabs>
          <w:tab w:val="left" w:pos="2268"/>
          <w:tab w:val="left" w:pos="2835"/>
        </w:tabs>
        <w:overflowPunct/>
        <w:autoSpaceDE/>
        <w:autoSpaceDN/>
        <w:adjustRightInd/>
        <w:spacing w:after="120" w:line="240" w:lineRule="atLeast"/>
        <w:ind w:left="2268" w:right="1134" w:firstLine="0"/>
        <w:textAlignment w:val="auto"/>
        <w:rPr>
          <w:rFonts w:eastAsia="SimSun"/>
        </w:rPr>
      </w:pPr>
      <w:bookmarkStart w:id="1" w:name="_Hlk148623908"/>
      <w:r w:rsidRPr="003316F8">
        <w:rPr>
          <w:lang w:eastAsia="zh-CN"/>
        </w:rPr>
        <w:t>7.2.4.23.2.6.</w:t>
      </w:r>
      <w:r w:rsidRPr="003316F8">
        <w:rPr>
          <w:b/>
          <w:u w:val="single"/>
          <w:lang w:eastAsia="zh-CN"/>
        </w:rPr>
        <w:t>1</w:t>
      </w:r>
      <w:r w:rsidRPr="003316F8">
        <w:rPr>
          <w:lang w:eastAsia="zh-CN"/>
        </w:rPr>
        <w:tab/>
        <w:t>Wenn aufgrund einer unerwarteten Verlängerung der Fahrtzeit während der Beförderung in einem oder mehreren Ladetanks zusätzlicher Stabilisator beigefügt werden muss, darf das ausschließlich über die Probeentnahmeöffnung erfolgen. Eine statische Aufladung muss verhindert werden.</w:t>
      </w:r>
    </w:p>
    <w:bookmarkEnd w:id="1"/>
    <w:p w14:paraId="1D5A9B4D" w14:textId="3F90B4BC" w:rsidR="002149E0" w:rsidRPr="003316F8" w:rsidRDefault="002149E0" w:rsidP="00DD6C3C">
      <w:pPr>
        <w:widowControl/>
        <w:tabs>
          <w:tab w:val="left" w:pos="2268"/>
          <w:tab w:val="left" w:pos="2835"/>
        </w:tabs>
        <w:overflowPunct/>
        <w:autoSpaceDE/>
        <w:autoSpaceDN/>
        <w:adjustRightInd/>
        <w:spacing w:after="120" w:line="240" w:lineRule="atLeast"/>
        <w:ind w:left="2268" w:right="1134" w:firstLine="0"/>
        <w:textAlignment w:val="auto"/>
        <w:rPr>
          <w:rFonts w:eastAsia="SimSun"/>
        </w:rPr>
      </w:pPr>
      <w:r w:rsidRPr="003316F8">
        <w:rPr>
          <w:b/>
          <w:u w:val="single"/>
        </w:rPr>
        <w:t>7.2.4.23.2.6.2</w:t>
      </w:r>
      <w:r w:rsidRPr="003316F8">
        <w:tab/>
      </w:r>
      <w:r w:rsidRPr="003316F8">
        <w:rPr>
          <w:b/>
          <w:u w:val="single"/>
        </w:rPr>
        <w:t>Wenn die Messdaten eine niedrigere als die gesetzlich vorgeschriebene Dosierrate in der Ladung ergeben und wenn deshalb während der Beförderung in einem oder mehreren Ladetanks zusätzliches Additiv beigefügt werden muss, darf das ausschließlich über die Probeentnahmeöffnung erfolgen. Eine statische Aufladung muss verhindert werden</w:t>
      </w:r>
      <w:r w:rsidRPr="003316F8">
        <w:t>.</w:t>
      </w:r>
      <w:r w:rsidR="005A1413">
        <w:t>“.</w:t>
      </w:r>
    </w:p>
    <w:p w14:paraId="48E5ED01" w14:textId="77777777" w:rsidR="003316F8" w:rsidRDefault="003316F8">
      <w:pPr>
        <w:widowControl/>
        <w:overflowPunct/>
        <w:autoSpaceDE/>
        <w:autoSpaceDN/>
        <w:adjustRightInd/>
        <w:ind w:left="0" w:firstLine="0"/>
        <w:jc w:val="left"/>
        <w:textAlignment w:val="auto"/>
      </w:pPr>
      <w:r>
        <w:br w:type="page"/>
      </w:r>
    </w:p>
    <w:p w14:paraId="3804AADF" w14:textId="394FE3E0"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lastRenderedPageBreak/>
        <w:t>9.</w:t>
      </w:r>
      <w:r w:rsidRPr="003316F8">
        <w:tab/>
        <w:t>Aufgrund der für 7.2.4.22.11 vorgeschlagenen Änderung wird auch eine Änderung für 7.2.4.16.8 zweiter Absatz vorgeschlagen:</w:t>
      </w:r>
    </w:p>
    <w:p w14:paraId="7BFA8DD7" w14:textId="77777777" w:rsidR="005D1B06" w:rsidRPr="005D1B06" w:rsidRDefault="005A1413" w:rsidP="002149E0">
      <w:pPr>
        <w:widowControl/>
        <w:tabs>
          <w:tab w:val="left" w:pos="1701"/>
          <w:tab w:val="left" w:pos="2268"/>
          <w:tab w:val="left" w:pos="2835"/>
        </w:tabs>
        <w:overflowPunct/>
        <w:autoSpaceDE/>
        <w:autoSpaceDN/>
        <w:adjustRightInd/>
        <w:spacing w:after="120" w:line="240" w:lineRule="atLeast"/>
        <w:ind w:left="1701" w:right="1134" w:firstLine="0"/>
        <w:textAlignment w:val="auto"/>
        <w:rPr>
          <w:rFonts w:eastAsia="Calibri"/>
          <w:lang w:eastAsia="en-US"/>
        </w:rPr>
      </w:pPr>
      <w:r>
        <w:t>„</w:t>
      </w:r>
      <w:r w:rsidR="002149E0" w:rsidRPr="003316F8">
        <w:t xml:space="preserve">7.2.4.16.8 </w:t>
      </w:r>
      <w:r w:rsidR="005D1B06" w:rsidRPr="005D1B06">
        <w:rPr>
          <w:rFonts w:eastAsia="Calibri"/>
          <w:lang w:eastAsia="en-US"/>
        </w:rPr>
        <w:t>[…]</w:t>
      </w:r>
    </w:p>
    <w:p w14:paraId="6B22ECAF" w14:textId="2E513211" w:rsidR="00334532" w:rsidRPr="003316F8" w:rsidRDefault="00334532" w:rsidP="002149E0">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3316F8">
        <w:t xml:space="preserve">Personen, welche die Lade-, Lösch- oder Gasabfuhrleitungen an- und </w:t>
      </w:r>
      <w:proofErr w:type="spellStart"/>
      <w:r w:rsidRPr="003316F8">
        <w:t>abflanschen</w:t>
      </w:r>
      <w:proofErr w:type="spellEnd"/>
      <w:r w:rsidRPr="003316F8">
        <w:t>, die Ladetanks entspannen, eine Probeentnahme</w:t>
      </w:r>
      <w:r w:rsidR="00F83CF6" w:rsidRPr="003316F8">
        <w:t xml:space="preserve"> vornehmen,</w:t>
      </w:r>
      <w:r w:rsidRPr="003316F8">
        <w:t xml:space="preserve"> </w:t>
      </w:r>
      <w:r w:rsidRPr="003316F8">
        <w:rPr>
          <w:b/>
          <w:u w:val="single"/>
        </w:rPr>
        <w:t>Additive beifügen (siehe Unterabschnitt 7.2.4.22)</w:t>
      </w:r>
      <w:r w:rsidRPr="003316F8">
        <w:t xml:space="preserve"> oder eine Peilung durchführen oder die Flammensperre reinigen oder austauschen (siehe Unterabschnitt 7.2.4.22), </w:t>
      </w:r>
      <w:r w:rsidR="00A20FE4" w:rsidRPr="00A20FE4">
        <w:rPr>
          <w:rFonts w:eastAsia="Calibri"/>
          <w:lang w:eastAsia="en-US"/>
        </w:rPr>
        <w:t>[...].</w:t>
      </w:r>
      <w:r w:rsidR="005A1413">
        <w:rPr>
          <w:rFonts w:eastAsia="Calibri"/>
          <w:lang w:eastAsia="en-US"/>
        </w:rPr>
        <w:t>“.</w:t>
      </w:r>
    </w:p>
    <w:p w14:paraId="5DCE042B" w14:textId="7926E582"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10.</w:t>
      </w:r>
      <w:r w:rsidRPr="003316F8">
        <w:tab/>
        <w:t xml:space="preserve">Angesichts der Tatsache, dass die zusätzliche </w:t>
      </w:r>
      <w:proofErr w:type="spellStart"/>
      <w:r w:rsidRPr="003316F8">
        <w:t>Additivierung</w:t>
      </w:r>
      <w:proofErr w:type="spellEnd"/>
      <w:r w:rsidRPr="003316F8">
        <w:t xml:space="preserve"> an Bord die kurzfristige Unterbringung von Versandstücken im Ladungsbereich erfordert, wird des Weiteren die Aufnahme eines neuen Absatzes 7.2.4.1.5 mit den zu einzuhaltenden Bedingungen vorgeschlagen:</w:t>
      </w:r>
    </w:p>
    <w:p w14:paraId="4382CD66" w14:textId="1FEFB053" w:rsidR="002149E0" w:rsidRPr="003316F8" w:rsidRDefault="00A20FE4" w:rsidP="002149E0">
      <w:pPr>
        <w:widowControl/>
        <w:tabs>
          <w:tab w:val="left" w:pos="1701"/>
          <w:tab w:val="left" w:pos="2268"/>
          <w:tab w:val="left" w:pos="2835"/>
        </w:tabs>
        <w:overflowPunct/>
        <w:autoSpaceDE/>
        <w:autoSpaceDN/>
        <w:adjustRightInd/>
        <w:spacing w:after="120" w:line="240" w:lineRule="atLeast"/>
        <w:ind w:left="1701" w:right="1134" w:firstLine="0"/>
        <w:textAlignment w:val="auto"/>
        <w:rPr>
          <w:b/>
          <w:bCs/>
          <w:u w:val="single"/>
        </w:rPr>
      </w:pPr>
      <w:r>
        <w:rPr>
          <w:b/>
          <w:u w:val="single"/>
        </w:rPr>
        <w:t>„</w:t>
      </w:r>
      <w:r w:rsidR="002149E0" w:rsidRPr="003316F8">
        <w:rPr>
          <w:b/>
          <w:u w:val="single"/>
        </w:rPr>
        <w:t>7.2.4.1.5</w:t>
      </w:r>
      <w:r w:rsidR="002149E0" w:rsidRPr="003316F8">
        <w:rPr>
          <w:b/>
          <w:u w:val="single"/>
        </w:rPr>
        <w:tab/>
        <w:t xml:space="preserve">An Bord von Schiffen ist es allein zum Zwecke der </w:t>
      </w:r>
      <w:proofErr w:type="spellStart"/>
      <w:r w:rsidR="002149E0" w:rsidRPr="003316F8">
        <w:rPr>
          <w:b/>
          <w:u w:val="single"/>
        </w:rPr>
        <w:t>Additivierung</w:t>
      </w:r>
      <w:proofErr w:type="spellEnd"/>
      <w:r w:rsidR="002149E0" w:rsidRPr="003316F8">
        <w:rPr>
          <w:b/>
          <w:u w:val="single"/>
        </w:rPr>
        <w:t xml:space="preserve"> (siehe 7.2.4.22) für die ausschließliche Dauer des </w:t>
      </w:r>
      <w:proofErr w:type="spellStart"/>
      <w:r w:rsidR="002149E0" w:rsidRPr="003316F8">
        <w:rPr>
          <w:b/>
          <w:u w:val="single"/>
        </w:rPr>
        <w:t>Additivierungsvorgangs</w:t>
      </w:r>
      <w:proofErr w:type="spellEnd"/>
      <w:r w:rsidR="002149E0" w:rsidRPr="003316F8">
        <w:rPr>
          <w:b/>
          <w:u w:val="single"/>
        </w:rPr>
        <w:t xml:space="preserve"> gestattet, Versandstücke mit Additiven im Ladungsbereich unterzubringen. Die </w:t>
      </w:r>
      <w:proofErr w:type="spellStart"/>
      <w:r w:rsidR="002149E0" w:rsidRPr="003316F8">
        <w:rPr>
          <w:b/>
          <w:u w:val="single"/>
        </w:rPr>
        <w:t>Additivierung</w:t>
      </w:r>
      <w:proofErr w:type="spellEnd"/>
      <w:r w:rsidR="002149E0" w:rsidRPr="003316F8">
        <w:rPr>
          <w:b/>
          <w:u w:val="single"/>
        </w:rPr>
        <w:t xml:space="preserve"> hat nach dem Ende des Beladevorgangs und vor Fahrtbeginn oder nach Fahrtende und vor Beginn des Entladevorgangs zu erfolgen. Die Einzelheiten von Absatz 7.2.4.22 sind zu berücksichtigen. Die Gesamtmenge der Versandstücke darf ... nicht überschreiten und das Gesamtgewicht der vollen Versandstücke darf ... kg nicht überschreiten. Das Gewicht eines einzelnen Versandstücks ist auf ... kg zu begrenzen.</w:t>
      </w:r>
      <w:r>
        <w:rPr>
          <w:b/>
          <w:u w:val="single"/>
        </w:rPr>
        <w:t>“.</w:t>
      </w:r>
    </w:p>
    <w:p w14:paraId="0C0E8B7D" w14:textId="350B4756" w:rsidR="002149E0" w:rsidRPr="003316F8" w:rsidRDefault="002149E0" w:rsidP="002149E0">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3316F8">
        <w:rPr>
          <w:b/>
          <w:sz w:val="28"/>
        </w:rPr>
        <w:tab/>
        <w:t>II.</w:t>
      </w:r>
      <w:r w:rsidRPr="003316F8">
        <w:rPr>
          <w:b/>
          <w:sz w:val="28"/>
        </w:rPr>
        <w:tab/>
        <w:t>Begründung</w:t>
      </w:r>
    </w:p>
    <w:p w14:paraId="2509EE30"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11.</w:t>
      </w:r>
      <w:r w:rsidRPr="003316F8">
        <w:tab/>
        <w:t>Additive sind in der Regel sehr teuer und müssen im Einklang mit verschiedenen anderen Vorschriften, darunter Steuervorschriften, militärische Normen usw., dosiert werden. Häufig gilt eine minimale und eine maximale Dosierrate, und die anwendbare Dosierrate hängt vom Produkt ab.</w:t>
      </w:r>
    </w:p>
    <w:p w14:paraId="09036EA0"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12.</w:t>
      </w:r>
      <w:r w:rsidRPr="003316F8">
        <w:tab/>
        <w:t xml:space="preserve">Gelegentlich kann die der Ladung beigefügte Menge an Additiven als zu gering befunden werden. Die Vorschläge zielen darauf ab, dieses Defizit zu beheben, und zwar stets auf sichere Weise. </w:t>
      </w:r>
    </w:p>
    <w:p w14:paraId="63B792AA" w14:textId="5B03D251"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rPr>
          <w:b/>
          <w:bCs/>
        </w:rPr>
      </w:pPr>
      <w:r w:rsidRPr="003316F8">
        <w:t>13.</w:t>
      </w:r>
      <w:r w:rsidRPr="003316F8">
        <w:tab/>
        <w:t>Im Folgenden</w:t>
      </w:r>
      <w:r w:rsidR="00356D9E" w:rsidRPr="003316F8">
        <w:t xml:space="preserve"> werden</w:t>
      </w:r>
      <w:r w:rsidRPr="003316F8">
        <w:t xml:space="preserve"> einige Beispiele für Dosierungsanforderungen, die sich aus Vorschriften für die Beförderungssicherheit oder anderen Vorschriften und Regelungen ergeben</w:t>
      </w:r>
      <w:r w:rsidR="00356D9E" w:rsidRPr="003316F8">
        <w:t>, aufgeführt</w:t>
      </w:r>
      <w:r w:rsidRPr="003316F8">
        <w:t>:</w:t>
      </w:r>
    </w:p>
    <w:p w14:paraId="1F4C205E" w14:textId="77777777" w:rsidR="002149E0" w:rsidRPr="003316F8" w:rsidRDefault="002149E0" w:rsidP="002149E0">
      <w:pPr>
        <w:pStyle w:val="Paragraphedeliste"/>
        <w:widowControl/>
        <w:numPr>
          <w:ilvl w:val="0"/>
          <w:numId w:val="13"/>
        </w:numPr>
        <w:tabs>
          <w:tab w:val="num" w:pos="1701"/>
        </w:tabs>
        <w:overflowPunct/>
        <w:autoSpaceDE/>
        <w:autoSpaceDN/>
        <w:adjustRightInd/>
        <w:spacing w:after="120" w:line="240" w:lineRule="atLeast"/>
        <w:ind w:right="1134"/>
        <w:textAlignment w:val="auto"/>
      </w:pPr>
      <w:r w:rsidRPr="003316F8">
        <w:t>Steuern:</w:t>
      </w:r>
    </w:p>
    <w:p w14:paraId="46827803" w14:textId="77777777" w:rsidR="002149E0" w:rsidRPr="003316F8" w:rsidRDefault="002149E0" w:rsidP="002149E0">
      <w:pPr>
        <w:pStyle w:val="Paragraphedeliste"/>
        <w:widowControl/>
        <w:numPr>
          <w:ilvl w:val="0"/>
          <w:numId w:val="13"/>
        </w:numPr>
        <w:tabs>
          <w:tab w:val="num" w:pos="2410"/>
        </w:tabs>
        <w:overflowPunct/>
        <w:autoSpaceDE/>
        <w:autoSpaceDN/>
        <w:adjustRightInd/>
        <w:spacing w:after="120" w:line="240" w:lineRule="atLeast"/>
        <w:ind w:left="2694" w:right="1134"/>
        <w:textAlignment w:val="auto"/>
      </w:pPr>
      <w:r w:rsidRPr="003316F8">
        <w:t xml:space="preserve">Marker gemäß Steuervorschriften, aufgrund derer die Produkte, die diese Marker enthalten, von Verbrauchssteuern und Abgaben befreit sind. </w:t>
      </w:r>
    </w:p>
    <w:p w14:paraId="1642D7F8" w14:textId="77777777" w:rsidR="002149E0" w:rsidRPr="003316F8" w:rsidRDefault="002149E0" w:rsidP="002149E0">
      <w:pPr>
        <w:pStyle w:val="Paragraphedeliste"/>
        <w:widowControl/>
        <w:numPr>
          <w:ilvl w:val="0"/>
          <w:numId w:val="13"/>
        </w:numPr>
        <w:tabs>
          <w:tab w:val="num" w:pos="1701"/>
        </w:tabs>
        <w:overflowPunct/>
        <w:autoSpaceDE/>
        <w:autoSpaceDN/>
        <w:adjustRightInd/>
        <w:spacing w:after="120" w:line="240" w:lineRule="atLeast"/>
        <w:ind w:right="1134"/>
        <w:textAlignment w:val="auto"/>
      </w:pPr>
      <w:r w:rsidRPr="003316F8">
        <w:t>Sichere Verwendung von Produkten:</w:t>
      </w:r>
    </w:p>
    <w:p w14:paraId="1D640682" w14:textId="77777777" w:rsidR="002149E0" w:rsidRPr="003316F8" w:rsidRDefault="002149E0" w:rsidP="002149E0">
      <w:pPr>
        <w:pStyle w:val="Paragraphedeliste"/>
        <w:widowControl/>
        <w:numPr>
          <w:ilvl w:val="0"/>
          <w:numId w:val="13"/>
        </w:numPr>
        <w:tabs>
          <w:tab w:val="num" w:pos="2410"/>
        </w:tabs>
        <w:overflowPunct/>
        <w:autoSpaceDE/>
        <w:autoSpaceDN/>
        <w:adjustRightInd/>
        <w:spacing w:after="120" w:line="240" w:lineRule="atLeast"/>
        <w:ind w:left="2694" w:right="1134"/>
        <w:textAlignment w:val="auto"/>
      </w:pPr>
      <w:r w:rsidRPr="003316F8">
        <w:t>Gesetzlich vorgeschriebene Additive zur Verbesserung der Produktleitfähigkeit (bei Turbinenkraftstoff für Triebwerke handelt es sich um einen statischen Akkumulator, der in einem aufnehmenden Tank eine Gefahr darstellen kann);</w:t>
      </w:r>
    </w:p>
    <w:p w14:paraId="215A72A9" w14:textId="77777777" w:rsidR="002149E0" w:rsidRPr="003316F8" w:rsidRDefault="002149E0" w:rsidP="002149E0">
      <w:pPr>
        <w:pStyle w:val="Paragraphedeliste"/>
        <w:widowControl/>
        <w:numPr>
          <w:ilvl w:val="0"/>
          <w:numId w:val="13"/>
        </w:numPr>
        <w:tabs>
          <w:tab w:val="num" w:pos="2410"/>
        </w:tabs>
        <w:overflowPunct/>
        <w:autoSpaceDE/>
        <w:autoSpaceDN/>
        <w:adjustRightInd/>
        <w:spacing w:after="120" w:line="240" w:lineRule="atLeast"/>
        <w:ind w:left="2694" w:right="1134"/>
        <w:textAlignment w:val="auto"/>
      </w:pPr>
      <w:r w:rsidRPr="003316F8">
        <w:t>Kraftstoffadditive zur Leistungssteigerung gemäß Anforderungen des Militärs, Stabilisatoren (Turbinenkraftstoff für Kampfflugzeuge).</w:t>
      </w:r>
    </w:p>
    <w:p w14:paraId="25ED712C" w14:textId="77777777" w:rsidR="002149E0" w:rsidRPr="003316F8" w:rsidRDefault="002149E0" w:rsidP="002149E0">
      <w:pPr>
        <w:pStyle w:val="Paragraphedeliste"/>
        <w:widowControl/>
        <w:numPr>
          <w:ilvl w:val="0"/>
          <w:numId w:val="13"/>
        </w:numPr>
        <w:tabs>
          <w:tab w:val="num" w:pos="1701"/>
        </w:tabs>
        <w:overflowPunct/>
        <w:autoSpaceDE/>
        <w:autoSpaceDN/>
        <w:adjustRightInd/>
        <w:spacing w:after="120" w:line="240" w:lineRule="atLeast"/>
        <w:ind w:right="1134"/>
        <w:textAlignment w:val="auto"/>
      </w:pPr>
      <w:r w:rsidRPr="003316F8">
        <w:t>Sichere Beförderung von Produkten:</w:t>
      </w:r>
    </w:p>
    <w:p w14:paraId="211B6C2B" w14:textId="77777777" w:rsidR="002149E0" w:rsidRPr="003316F8" w:rsidRDefault="002149E0" w:rsidP="002149E0">
      <w:pPr>
        <w:pStyle w:val="Paragraphedeliste"/>
        <w:widowControl/>
        <w:numPr>
          <w:ilvl w:val="0"/>
          <w:numId w:val="13"/>
        </w:numPr>
        <w:tabs>
          <w:tab w:val="num" w:pos="2410"/>
        </w:tabs>
        <w:overflowPunct/>
        <w:autoSpaceDE/>
        <w:autoSpaceDN/>
        <w:adjustRightInd/>
        <w:spacing w:after="120" w:line="240" w:lineRule="atLeast"/>
        <w:ind w:left="2694" w:right="1134"/>
        <w:textAlignment w:val="auto"/>
      </w:pPr>
      <w:r w:rsidRPr="003316F8">
        <w:t>Additive, die verhindern, dass Schwefelwasserstoff (H</w:t>
      </w:r>
      <w:r w:rsidRPr="003316F8">
        <w:rPr>
          <w:vertAlign w:val="subscript"/>
        </w:rPr>
        <w:t>2</w:t>
      </w:r>
      <w:r w:rsidRPr="003316F8">
        <w:t>S) aus der Flüssigphase eines Produkts in die Dampfphase gelangt, was eine Gesundheitsgefahr für die Beschäftigten darstellen kann.</w:t>
      </w:r>
    </w:p>
    <w:p w14:paraId="3DA7BBE0" w14:textId="77777777" w:rsidR="003316F8" w:rsidRDefault="003316F8">
      <w:pPr>
        <w:widowControl/>
        <w:overflowPunct/>
        <w:autoSpaceDE/>
        <w:autoSpaceDN/>
        <w:adjustRightInd/>
        <w:ind w:left="0" w:firstLine="0"/>
        <w:jc w:val="left"/>
        <w:textAlignment w:val="auto"/>
      </w:pPr>
      <w:r>
        <w:br w:type="page"/>
      </w:r>
    </w:p>
    <w:p w14:paraId="285E4894" w14:textId="2BFA5551"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lastRenderedPageBreak/>
        <w:t>14.</w:t>
      </w:r>
      <w:r w:rsidRPr="003316F8">
        <w:tab/>
        <w:t xml:space="preserve">Es sind heute mobile Systeme, die eine sichere Handhabung an Bord von Binnentankschiffen ermöglichen, auf dem Markt verfügbar und im Einsatz. Erfahrenes Personal von Dienstleistungsanbietern, wie Inspektoren oder Lieferanten von Additiven, arbeitet auf sichere Weise mit diesen Systemen. </w:t>
      </w:r>
    </w:p>
    <w:p w14:paraId="44131322"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15.</w:t>
      </w:r>
      <w:r w:rsidRPr="003316F8">
        <w:tab/>
        <w:t xml:space="preserve">Keine Beimischung an Bord: Die </w:t>
      </w:r>
      <w:proofErr w:type="spellStart"/>
      <w:r w:rsidRPr="003316F8">
        <w:t>Additivierung</w:t>
      </w:r>
      <w:proofErr w:type="spellEnd"/>
      <w:r w:rsidRPr="003316F8">
        <w:t xml:space="preserve"> ist nicht mit der Beimischung an Bord oder dem </w:t>
      </w:r>
      <w:proofErr w:type="spellStart"/>
      <w:r w:rsidRPr="003316F8">
        <w:t>Loading</w:t>
      </w:r>
      <w:proofErr w:type="spellEnd"/>
      <w:r w:rsidRPr="003316F8">
        <w:t xml:space="preserve">-on-Top zu verwechseln, da relativ geringe Mengen an Additiven verglichen mit der Ladungsmenge zum Einsatz kommen. Ebenso ist das Laden eines Produktes mit der UN-Nummer X in einen Ladetank, der nach einer Ladung mit der UN-Nummer Y leer ungereinigt ist, gestattet, sofern diese Produkte nicht gefährlich miteinander reagieren. Additive sind stets mit der Ladung kompatibel und ändern nichts an der Klassifizierung des Produkts, dem sie beigefügt werden. </w:t>
      </w:r>
    </w:p>
    <w:p w14:paraId="2AD1D020"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16.</w:t>
      </w:r>
      <w:r w:rsidRPr="003316F8">
        <w:tab/>
        <w:t xml:space="preserve">Ist kein integriertes Beimischungs-/Dosiersystem vorhanden, sollte es gestattet sein, Additive der Ladung auf sichere Weise, d. h. über ein mobiles Dosiersystem, das mit den Verteilern des Schiffes verbunden ist, beizufügen. Das Öffnen dieser Dosiersysteme wird als sicherer erachtet als das Öffnen der Ladetanköffnungen. Dasselbe gilt für die Zugabe von Stabilisator. </w:t>
      </w:r>
    </w:p>
    <w:p w14:paraId="4E2A2E1F" w14:textId="77777777" w:rsidR="002149E0" w:rsidRPr="003316F8" w:rsidRDefault="002149E0" w:rsidP="002149E0">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3316F8">
        <w:rPr>
          <w:b/>
          <w:sz w:val="28"/>
        </w:rPr>
        <w:tab/>
        <w:t>III.</w:t>
      </w:r>
      <w:r w:rsidRPr="003316F8">
        <w:rPr>
          <w:b/>
          <w:sz w:val="28"/>
        </w:rPr>
        <w:tab/>
        <w:t>Schlussfolgerung</w:t>
      </w:r>
    </w:p>
    <w:p w14:paraId="43383494"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17.</w:t>
      </w:r>
      <w:r w:rsidRPr="003316F8">
        <w:tab/>
        <w:t xml:space="preserve">Bei Umsetzung der Vorschläge könnte die Dosierrate der Ladung an Bord des Schiffes auf sichere Weise korrigiert werden. </w:t>
      </w:r>
      <w:proofErr w:type="spellStart"/>
      <w:r w:rsidRPr="003316F8">
        <w:t>FuelsEurope</w:t>
      </w:r>
      <w:proofErr w:type="spellEnd"/>
      <w:r w:rsidRPr="003316F8">
        <w:t xml:space="preserve"> sorgt für Klarheit hinsichtlich des Beimischens an Bord (Abs. 15), Versandstücken im Ladungsbereich (Abs. 10) und der sicheren Nutzung mobiler Systeme (Abs. 14 und 16).  </w:t>
      </w:r>
    </w:p>
    <w:p w14:paraId="5E45D905"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18.</w:t>
      </w:r>
      <w:r w:rsidRPr="003316F8">
        <w:tab/>
        <w:t xml:space="preserve">Durch die beschriebenen Lösungen erübrigt sich ein vollständiger zusätzlicher Versandvorgang (Rückfahrt zur Anlage, vollständiges Entladen, Zudosierung, vollständiges Beladen und erneute Fahrt zur Entladeanlage). Unserer Ansicht nach ist eine Reduzierung des Umschlags stets sicherer.   </w:t>
      </w:r>
    </w:p>
    <w:p w14:paraId="61E64333" w14:textId="77777777" w:rsidR="00DC5BD8" w:rsidRPr="003316F8" w:rsidRDefault="002149E0" w:rsidP="00DC5BD8">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3316F8">
        <w:rPr>
          <w:b/>
          <w:sz w:val="28"/>
        </w:rPr>
        <w:tab/>
        <w:t>IV.</w:t>
      </w:r>
      <w:r w:rsidRPr="003316F8">
        <w:rPr>
          <w:b/>
          <w:sz w:val="28"/>
        </w:rPr>
        <w:tab/>
      </w:r>
      <w:r w:rsidRPr="003316F8">
        <w:rPr>
          <w:b/>
          <w:sz w:val="28"/>
        </w:rPr>
        <w:tab/>
        <w:t>Bezug zu den Zielen der nachhaltigen Entwicklung</w:t>
      </w:r>
    </w:p>
    <w:p w14:paraId="59ACE4F3" w14:textId="4C9B24C9" w:rsidR="00DC5BD8" w:rsidRPr="003316F8" w:rsidRDefault="00DC5BD8" w:rsidP="00DC5BD8">
      <w:pPr>
        <w:widowControl/>
        <w:tabs>
          <w:tab w:val="left" w:pos="1701"/>
        </w:tabs>
        <w:suppressAutoHyphens/>
        <w:overflowPunct/>
        <w:autoSpaceDE/>
        <w:autoSpaceDN/>
        <w:adjustRightInd/>
        <w:spacing w:after="120" w:line="240" w:lineRule="atLeast"/>
        <w:ind w:right="1134" w:firstLine="0"/>
        <w:textAlignment w:val="auto"/>
      </w:pPr>
      <w:r w:rsidRPr="003316F8">
        <w:t>19.</w:t>
      </w:r>
      <w:r w:rsidRPr="003316F8">
        <w:tab/>
        <w:t>Neue Erkenntnisse über den Umgang mit (Gefahr)</w:t>
      </w:r>
      <w:proofErr w:type="spellStart"/>
      <w:r w:rsidRPr="003316F8">
        <w:t>stoffen</w:t>
      </w:r>
      <w:proofErr w:type="spellEnd"/>
      <w:r w:rsidRPr="003316F8">
        <w:t xml:space="preserve"> und die Berücksichtigung ihrer Folgen für die weitere sichere Handhabung, Lagerung und Beförderung dieser gefährlichen Stoffe können mit dem Ziel für nachhaltige Entwicklung 3: Gute Gesundheit und Wohlbefinden – Verringerung der Gesundheitsrisiken von Gefahrstoffen verknüpft werden.</w:t>
      </w:r>
    </w:p>
    <w:p w14:paraId="58D82DEB" w14:textId="111C9758" w:rsidR="00DC5BD8" w:rsidRPr="003316F8" w:rsidRDefault="00DC5BD8" w:rsidP="00DC5BD8">
      <w:pPr>
        <w:widowControl/>
        <w:tabs>
          <w:tab w:val="left" w:pos="1701"/>
        </w:tabs>
        <w:suppressAutoHyphens/>
        <w:overflowPunct/>
        <w:autoSpaceDE/>
        <w:autoSpaceDN/>
        <w:adjustRightInd/>
        <w:spacing w:after="120" w:line="240" w:lineRule="atLeast"/>
        <w:ind w:right="1134" w:firstLine="0"/>
        <w:textAlignment w:val="auto"/>
      </w:pPr>
      <w:r w:rsidRPr="003316F8">
        <w:t>20.</w:t>
      </w:r>
      <w:r w:rsidRPr="003316F8">
        <w:tab/>
        <w:t>Da dies mit einer nachhaltigen Beförderung verbunden ist, kann auch auf das Ziel 11 der nachhaltigen Entwicklung verwiesen werden.</w:t>
      </w:r>
    </w:p>
    <w:p w14:paraId="164461BC" w14:textId="7547EA72" w:rsidR="002149E0" w:rsidRPr="003316F8" w:rsidRDefault="002149E0" w:rsidP="002149E0">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3316F8">
        <w:rPr>
          <w:b/>
          <w:sz w:val="28"/>
        </w:rPr>
        <w:tab/>
        <w:t>V.</w:t>
      </w:r>
      <w:r w:rsidRPr="003316F8">
        <w:rPr>
          <w:b/>
          <w:sz w:val="28"/>
        </w:rPr>
        <w:tab/>
        <w:t>Zu ergreifende Maßnahme</w:t>
      </w:r>
    </w:p>
    <w:p w14:paraId="586616B4"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21.</w:t>
      </w:r>
      <w:r w:rsidRPr="003316F8">
        <w:tab/>
      </w:r>
      <w:proofErr w:type="spellStart"/>
      <w:r w:rsidRPr="003316F8">
        <w:t>FuelsEurope</w:t>
      </w:r>
      <w:proofErr w:type="spellEnd"/>
      <w:r w:rsidRPr="003316F8">
        <w:t xml:space="preserve"> bittet den ADN-Sicherheitsausschuss daher, die in den Absätzen 7, 8, 9 und 10 aufgeführten Vorschläge unter Berücksichtigung der Begründung zu prüfen und die aus seiner Sicht notwendigen Maßnahmen mit Blick auf ein Inkrafttreten am 1. Januar 2025 zu ergreifen.</w:t>
      </w:r>
    </w:p>
    <w:p w14:paraId="5F81D413" w14:textId="77777777" w:rsidR="002149E0" w:rsidRPr="003316F8" w:rsidRDefault="002149E0" w:rsidP="002149E0">
      <w:pPr>
        <w:widowControl/>
        <w:tabs>
          <w:tab w:val="left" w:pos="1701"/>
          <w:tab w:val="left" w:pos="2268"/>
          <w:tab w:val="left" w:pos="2835"/>
        </w:tabs>
        <w:overflowPunct/>
        <w:autoSpaceDE/>
        <w:autoSpaceDN/>
        <w:adjustRightInd/>
        <w:spacing w:after="120" w:line="240" w:lineRule="atLeast"/>
        <w:ind w:right="1134" w:firstLine="0"/>
        <w:textAlignment w:val="auto"/>
      </w:pPr>
      <w:r w:rsidRPr="003316F8">
        <w:t>22.</w:t>
      </w:r>
      <w:r w:rsidRPr="003316F8">
        <w:tab/>
        <w:t>Der Sicherheitsausschuss wird des Weiteren gebeten, sich eine Meinung zu den Aussagen in den Absätzen 14, 15 und 16 zu bilden und eine diesbezügliche Entscheidung zu treffen.</w:t>
      </w:r>
    </w:p>
    <w:p w14:paraId="0D79533A" w14:textId="5C923007" w:rsidR="00352E31" w:rsidRPr="00EC1DCF" w:rsidRDefault="00044A1E" w:rsidP="00150AD4">
      <w:pPr>
        <w:widowControl/>
        <w:overflowPunct/>
        <w:autoSpaceDE/>
        <w:autoSpaceDN/>
        <w:adjustRightInd/>
        <w:ind w:left="0" w:firstLine="0"/>
        <w:jc w:val="center"/>
        <w:textAlignment w:val="auto"/>
      </w:pPr>
      <w:r w:rsidRPr="003316F8">
        <w:t>***</w:t>
      </w:r>
    </w:p>
    <w:sectPr w:rsidR="00352E31" w:rsidRPr="00EC1DCF" w:rsidSect="00596953">
      <w:headerReference w:type="even" r:id="rId10"/>
      <w:headerReference w:type="default" r:id="rId11"/>
      <w:footerReference w:type="even" r:id="rId12"/>
      <w:footerReference w:type="default" r:id="rId13"/>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03BC" w14:textId="77777777" w:rsidR="006130FF" w:rsidRDefault="006130FF" w:rsidP="0011702A">
      <w:r>
        <w:separator/>
      </w:r>
    </w:p>
  </w:endnote>
  <w:endnote w:type="continuationSeparator" w:id="0">
    <w:p w14:paraId="36790528" w14:textId="77777777" w:rsidR="006130FF" w:rsidRDefault="006130FF"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29381322" w:rsidR="00915307" w:rsidRPr="003316F8" w:rsidRDefault="00FD6EBD" w:rsidP="00FD6EBD">
    <w:pPr>
      <w:suppressAutoHyphens/>
      <w:jc w:val="right"/>
      <w:rPr>
        <w:lang w:val="nl-NL"/>
      </w:rPr>
    </w:pPr>
    <w:proofErr w:type="spellStart"/>
    <w:r w:rsidRPr="00EC1DCF">
      <w:rPr>
        <w:rFonts w:ascii="Arial" w:hAnsi="Arial"/>
        <w:snapToGrid w:val="0"/>
        <w:sz w:val="12"/>
        <w:lang w:val="nl-NL"/>
      </w:rPr>
      <w:t>Extern_uh_mm</w:t>
    </w:r>
    <w:proofErr w:type="spellEnd"/>
    <w:r w:rsidRPr="00EC1DCF">
      <w:rPr>
        <w:rFonts w:ascii="Arial" w:hAnsi="Arial"/>
        <w:snapToGrid w:val="0"/>
        <w:sz w:val="12"/>
        <w:lang w:val="nl-NL"/>
      </w:rPr>
      <w:t>/adn_wp15_ac2_2024_20de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2F6DF365" w:rsidR="00455E11" w:rsidRPr="003316F8" w:rsidRDefault="00FD6EBD" w:rsidP="00FD6EBD">
    <w:pPr>
      <w:suppressAutoHyphens/>
      <w:jc w:val="right"/>
      <w:rPr>
        <w:lang w:val="nl-NL"/>
      </w:rPr>
    </w:pPr>
    <w:proofErr w:type="spellStart"/>
    <w:r w:rsidRPr="00EC1DCF">
      <w:rPr>
        <w:rFonts w:ascii="Arial" w:hAnsi="Arial"/>
        <w:snapToGrid w:val="0"/>
        <w:sz w:val="12"/>
        <w:lang w:val="nl-NL"/>
      </w:rPr>
      <w:t>Extern_uh_mm</w:t>
    </w:r>
    <w:proofErr w:type="spellEnd"/>
    <w:r w:rsidRPr="00EC1DCF">
      <w:rPr>
        <w:rFonts w:ascii="Arial" w:hAnsi="Arial"/>
        <w:snapToGrid w:val="0"/>
        <w:sz w:val="12"/>
        <w:lang w:val="nl-NL"/>
      </w:rPr>
      <w:t>/adn_wp15_ac2_2024_20de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39C2" w14:textId="77777777" w:rsidR="006130FF" w:rsidRDefault="006130FF" w:rsidP="0011702A">
      <w:r>
        <w:separator/>
      </w:r>
    </w:p>
  </w:footnote>
  <w:footnote w:type="continuationSeparator" w:id="0">
    <w:p w14:paraId="13415B8C" w14:textId="77777777" w:rsidR="006130FF" w:rsidRDefault="006130FF" w:rsidP="0011702A">
      <w:r>
        <w:continuationSeparator/>
      </w:r>
    </w:p>
  </w:footnote>
  <w:footnote w:id="1">
    <w:p w14:paraId="4A90418F" w14:textId="44098AB4" w:rsidR="008D3DAE" w:rsidRPr="00EC1DCF" w:rsidRDefault="008D3DAE" w:rsidP="008D3DAE">
      <w:pPr>
        <w:pStyle w:val="Notedebasdepage"/>
        <w:rPr>
          <w:sz w:val="16"/>
          <w:szCs w:val="16"/>
        </w:rPr>
      </w:pPr>
      <w:r w:rsidRPr="00EC1DCF">
        <w:rPr>
          <w:rStyle w:val="Appelnotedebasdep"/>
        </w:rPr>
        <w:tab/>
        <w:t>*</w:t>
      </w:r>
      <w:r w:rsidRPr="00EC1DCF">
        <w:rPr>
          <w:rStyle w:val="Appelnotedebasdep"/>
        </w:rPr>
        <w:tab/>
      </w:r>
      <w:r w:rsidRPr="00EC1DCF">
        <w:rPr>
          <w:sz w:val="16"/>
        </w:rPr>
        <w:t>Von der UNECE in Englisch, Französisch und Russisch unter dem Aktenzeichen ECE/TRANS/WP.15/AC.2/2024/20.</w:t>
      </w:r>
    </w:p>
  </w:footnote>
  <w:footnote w:id="2">
    <w:p w14:paraId="1B2FF234" w14:textId="4BD98A00" w:rsidR="008D3DAE" w:rsidRPr="00EC1DCF" w:rsidRDefault="008D3DAE" w:rsidP="008D3DAE">
      <w:pPr>
        <w:pStyle w:val="Notedebasdepage"/>
        <w:rPr>
          <w:sz w:val="16"/>
          <w:szCs w:val="16"/>
        </w:rPr>
      </w:pPr>
      <w:r w:rsidRPr="00EC1DCF">
        <w:rPr>
          <w:rStyle w:val="Appelnotedebasdep"/>
        </w:rPr>
        <w:tab/>
        <w:t>**</w:t>
      </w:r>
      <w:r w:rsidRPr="00EC1DCF">
        <w:rPr>
          <w:rStyle w:val="Appelnotedebasdep"/>
        </w:rPr>
        <w:tab/>
      </w:r>
      <w:r w:rsidRPr="00EC1DCF">
        <w:rPr>
          <w:sz w:val="16"/>
        </w:rPr>
        <w:t>A/78/6 (Kap. 20) Tabelle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7F20463B" w:rsidR="00DA541A" w:rsidRPr="00EC1DCF"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EC1DCF">
      <w:rPr>
        <w:rFonts w:ascii="Arial" w:hAnsi="Arial"/>
        <w:snapToGrid w:val="0"/>
        <w:sz w:val="16"/>
        <w:lang w:val="fr-FR"/>
      </w:rPr>
      <w:t>CCNR-ZKR/ADN/WP.15/AC.2/2024/20</w:t>
    </w:r>
  </w:p>
  <w:p w14:paraId="532A701C" w14:textId="77777777" w:rsidR="00DA541A" w:rsidRPr="00EC1DCF"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EC1DCF">
      <w:rPr>
        <w:rFonts w:ascii="Arial" w:hAnsi="Arial"/>
        <w:snapToGrid w:val="0"/>
        <w:sz w:val="16"/>
      </w:rPr>
      <w:t xml:space="preserve">Seite </w:t>
    </w:r>
    <w:r w:rsidRPr="00EC1DCF">
      <w:rPr>
        <w:rFonts w:ascii="Arial" w:hAnsi="Arial"/>
        <w:snapToGrid w:val="0"/>
        <w:sz w:val="16"/>
      </w:rPr>
      <w:fldChar w:fldCharType="begin"/>
    </w:r>
    <w:r w:rsidRPr="00EC1DCF">
      <w:rPr>
        <w:rFonts w:ascii="Arial" w:hAnsi="Arial"/>
        <w:snapToGrid w:val="0"/>
        <w:sz w:val="16"/>
      </w:rPr>
      <w:instrText xml:space="preserve"> PAGE  \* MERGEFORMAT </w:instrText>
    </w:r>
    <w:r w:rsidRPr="00EC1DCF">
      <w:rPr>
        <w:rFonts w:ascii="Arial" w:hAnsi="Arial"/>
        <w:snapToGrid w:val="0"/>
        <w:sz w:val="16"/>
      </w:rPr>
      <w:fldChar w:fldCharType="separate"/>
    </w:r>
    <w:r w:rsidR="009767E1" w:rsidRPr="00EC1DCF">
      <w:rPr>
        <w:rFonts w:ascii="Arial" w:hAnsi="Arial"/>
        <w:snapToGrid w:val="0"/>
        <w:sz w:val="16"/>
      </w:rPr>
      <w:t>2</w:t>
    </w:r>
    <w:r w:rsidRPr="00EC1DCF">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26937DAC" w:rsidR="00DA541A" w:rsidRPr="00EC1DCF"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EC1DCF">
      <w:rPr>
        <w:rFonts w:ascii="Arial" w:hAnsi="Arial"/>
        <w:snapToGrid w:val="0"/>
        <w:sz w:val="16"/>
        <w:lang w:val="fr-FR"/>
      </w:rPr>
      <w:t>CCNR-ZKR/ADN/WP.15/AC.2/2024/20</w:t>
    </w:r>
  </w:p>
  <w:p w14:paraId="526710C3" w14:textId="77777777" w:rsidR="00DA541A" w:rsidRPr="00EC1DCF"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EC1DCF">
      <w:rPr>
        <w:rFonts w:ascii="Arial" w:hAnsi="Arial"/>
        <w:snapToGrid w:val="0"/>
        <w:sz w:val="16"/>
      </w:rPr>
      <w:t xml:space="preserve">Seite </w:t>
    </w:r>
    <w:r w:rsidRPr="00EC1DCF">
      <w:rPr>
        <w:rFonts w:ascii="Arial" w:hAnsi="Arial"/>
        <w:snapToGrid w:val="0"/>
        <w:sz w:val="16"/>
      </w:rPr>
      <w:fldChar w:fldCharType="begin"/>
    </w:r>
    <w:r w:rsidRPr="00EC1DCF">
      <w:rPr>
        <w:rFonts w:ascii="Arial" w:hAnsi="Arial"/>
        <w:snapToGrid w:val="0"/>
        <w:sz w:val="16"/>
      </w:rPr>
      <w:instrText xml:space="preserve"> PAGE  \* MERGEFORMAT </w:instrText>
    </w:r>
    <w:r w:rsidRPr="00EC1DCF">
      <w:rPr>
        <w:rFonts w:ascii="Arial" w:hAnsi="Arial"/>
        <w:snapToGrid w:val="0"/>
        <w:sz w:val="16"/>
      </w:rPr>
      <w:fldChar w:fldCharType="separate"/>
    </w:r>
    <w:r w:rsidR="00C96029" w:rsidRPr="00EC1DCF">
      <w:rPr>
        <w:rFonts w:ascii="Arial" w:hAnsi="Arial"/>
        <w:snapToGrid w:val="0"/>
        <w:sz w:val="16"/>
      </w:rPr>
      <w:t>3</w:t>
    </w:r>
    <w:r w:rsidRPr="00EC1DCF">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0FF71D24"/>
    <w:multiLevelType w:val="hybridMultilevel"/>
    <w:tmpl w:val="4420F2D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3"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1BD20DD1"/>
    <w:multiLevelType w:val="hybridMultilevel"/>
    <w:tmpl w:val="A1FCA880"/>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8" w15:restartNumberingAfterBreak="0">
    <w:nsid w:val="25F27CE2"/>
    <w:multiLevelType w:val="hybridMultilevel"/>
    <w:tmpl w:val="08F616BA"/>
    <w:lvl w:ilvl="0" w:tplc="21AE83B0">
      <w:start w:val="6"/>
      <w:numFmt w:val="decimal"/>
      <w:lvlText w:val="%1."/>
      <w:lvlJc w:val="left"/>
      <w:pPr>
        <w:ind w:left="1494" w:hanging="360"/>
      </w:pPr>
      <w:rPr>
        <w:rFonts w:hint="default"/>
        <w:b w:val="0"/>
        <w:bCs/>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9"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0" w15:restartNumberingAfterBreak="0">
    <w:nsid w:val="3AB206A9"/>
    <w:multiLevelType w:val="hybridMultilevel"/>
    <w:tmpl w:val="3CFA934A"/>
    <w:lvl w:ilvl="0" w:tplc="040C000F">
      <w:start w:val="1"/>
      <w:numFmt w:val="decimal"/>
      <w:lvlText w:val="%1."/>
      <w:lvlJc w:val="left"/>
      <w:pPr>
        <w:ind w:left="2251" w:hanging="360"/>
      </w:pPr>
    </w:lvl>
    <w:lvl w:ilvl="1" w:tplc="040C0019" w:tentative="1">
      <w:start w:val="1"/>
      <w:numFmt w:val="lowerLetter"/>
      <w:lvlText w:val="%2."/>
      <w:lvlJc w:val="left"/>
      <w:pPr>
        <w:ind w:left="2971" w:hanging="360"/>
      </w:pPr>
    </w:lvl>
    <w:lvl w:ilvl="2" w:tplc="040C001B" w:tentative="1">
      <w:start w:val="1"/>
      <w:numFmt w:val="lowerRoman"/>
      <w:lvlText w:val="%3."/>
      <w:lvlJc w:val="right"/>
      <w:pPr>
        <w:ind w:left="3691" w:hanging="180"/>
      </w:pPr>
    </w:lvl>
    <w:lvl w:ilvl="3" w:tplc="040C000F" w:tentative="1">
      <w:start w:val="1"/>
      <w:numFmt w:val="decimal"/>
      <w:lvlText w:val="%4."/>
      <w:lvlJc w:val="left"/>
      <w:pPr>
        <w:ind w:left="4411" w:hanging="360"/>
      </w:pPr>
    </w:lvl>
    <w:lvl w:ilvl="4" w:tplc="040C0019" w:tentative="1">
      <w:start w:val="1"/>
      <w:numFmt w:val="lowerLetter"/>
      <w:lvlText w:val="%5."/>
      <w:lvlJc w:val="left"/>
      <w:pPr>
        <w:ind w:left="5131" w:hanging="360"/>
      </w:pPr>
    </w:lvl>
    <w:lvl w:ilvl="5" w:tplc="040C001B" w:tentative="1">
      <w:start w:val="1"/>
      <w:numFmt w:val="lowerRoman"/>
      <w:lvlText w:val="%6."/>
      <w:lvlJc w:val="right"/>
      <w:pPr>
        <w:ind w:left="5851" w:hanging="180"/>
      </w:pPr>
    </w:lvl>
    <w:lvl w:ilvl="6" w:tplc="040C000F" w:tentative="1">
      <w:start w:val="1"/>
      <w:numFmt w:val="decimal"/>
      <w:lvlText w:val="%7."/>
      <w:lvlJc w:val="left"/>
      <w:pPr>
        <w:ind w:left="6571" w:hanging="360"/>
      </w:pPr>
    </w:lvl>
    <w:lvl w:ilvl="7" w:tplc="040C0019" w:tentative="1">
      <w:start w:val="1"/>
      <w:numFmt w:val="lowerLetter"/>
      <w:lvlText w:val="%8."/>
      <w:lvlJc w:val="left"/>
      <w:pPr>
        <w:ind w:left="7291" w:hanging="360"/>
      </w:pPr>
    </w:lvl>
    <w:lvl w:ilvl="8" w:tplc="040C001B" w:tentative="1">
      <w:start w:val="1"/>
      <w:numFmt w:val="lowerRoman"/>
      <w:lvlText w:val="%9."/>
      <w:lvlJc w:val="right"/>
      <w:pPr>
        <w:ind w:left="8011" w:hanging="180"/>
      </w:pPr>
    </w:lvl>
  </w:abstractNum>
  <w:abstractNum w:abstractNumId="11" w15:restartNumberingAfterBreak="0">
    <w:nsid w:val="45272D61"/>
    <w:multiLevelType w:val="hybridMultilevel"/>
    <w:tmpl w:val="1EBC6620"/>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2"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13"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CA01C0"/>
    <w:multiLevelType w:val="hybridMultilevel"/>
    <w:tmpl w:val="2BF0FDF2"/>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5"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3"/>
  </w:num>
  <w:num w:numId="3" w16cid:durableId="887492727">
    <w:abstractNumId w:val="15"/>
  </w:num>
  <w:num w:numId="4" w16cid:durableId="58795070">
    <w:abstractNumId w:val="16"/>
  </w:num>
  <w:num w:numId="5" w16cid:durableId="2117282849">
    <w:abstractNumId w:val="6"/>
  </w:num>
  <w:num w:numId="6" w16cid:durableId="64181020">
    <w:abstractNumId w:val="4"/>
  </w:num>
  <w:num w:numId="7" w16cid:durableId="447357181">
    <w:abstractNumId w:val="9"/>
  </w:num>
  <w:num w:numId="8" w16cid:durableId="222369782">
    <w:abstractNumId w:val="1"/>
  </w:num>
  <w:num w:numId="9" w16cid:durableId="1770274270">
    <w:abstractNumId w:val="7"/>
  </w:num>
  <w:num w:numId="10" w16cid:durableId="2094469005">
    <w:abstractNumId w:val="13"/>
  </w:num>
  <w:num w:numId="11" w16cid:durableId="848760972">
    <w:abstractNumId w:val="12"/>
  </w:num>
  <w:num w:numId="12" w16cid:durableId="1780486923">
    <w:abstractNumId w:val="8"/>
  </w:num>
  <w:num w:numId="13" w16cid:durableId="1298532762">
    <w:abstractNumId w:val="5"/>
  </w:num>
  <w:num w:numId="14" w16cid:durableId="1488008701">
    <w:abstractNumId w:val="14"/>
  </w:num>
  <w:num w:numId="15" w16cid:durableId="777719953">
    <w:abstractNumId w:val="11"/>
  </w:num>
  <w:num w:numId="16" w16cid:durableId="757678275">
    <w:abstractNumId w:val="10"/>
  </w:num>
  <w:num w:numId="17" w16cid:durableId="1472090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0C23"/>
    <w:rsid w:val="0003284B"/>
    <w:rsid w:val="00034828"/>
    <w:rsid w:val="00036FD5"/>
    <w:rsid w:val="000402D6"/>
    <w:rsid w:val="00041328"/>
    <w:rsid w:val="0004134B"/>
    <w:rsid w:val="000415F3"/>
    <w:rsid w:val="000432E3"/>
    <w:rsid w:val="00044A1E"/>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2D01"/>
    <w:rsid w:val="00097410"/>
    <w:rsid w:val="0009790D"/>
    <w:rsid w:val="000A1A85"/>
    <w:rsid w:val="000A304C"/>
    <w:rsid w:val="000A324C"/>
    <w:rsid w:val="000A52B0"/>
    <w:rsid w:val="000B3573"/>
    <w:rsid w:val="000B5196"/>
    <w:rsid w:val="000C0CD6"/>
    <w:rsid w:val="000C108A"/>
    <w:rsid w:val="000C3DD0"/>
    <w:rsid w:val="000C4ACA"/>
    <w:rsid w:val="000C6E63"/>
    <w:rsid w:val="000C72ED"/>
    <w:rsid w:val="000C754F"/>
    <w:rsid w:val="000C795B"/>
    <w:rsid w:val="000D3D4C"/>
    <w:rsid w:val="000D4406"/>
    <w:rsid w:val="000D5D27"/>
    <w:rsid w:val="000D7FD6"/>
    <w:rsid w:val="000E4620"/>
    <w:rsid w:val="000E4691"/>
    <w:rsid w:val="000E6786"/>
    <w:rsid w:val="000F17DE"/>
    <w:rsid w:val="000F6242"/>
    <w:rsid w:val="000F79E4"/>
    <w:rsid w:val="001013D7"/>
    <w:rsid w:val="001015D4"/>
    <w:rsid w:val="00103513"/>
    <w:rsid w:val="00104818"/>
    <w:rsid w:val="00106650"/>
    <w:rsid w:val="00106FC3"/>
    <w:rsid w:val="00113A60"/>
    <w:rsid w:val="00114102"/>
    <w:rsid w:val="0011545F"/>
    <w:rsid w:val="0011702A"/>
    <w:rsid w:val="0012236C"/>
    <w:rsid w:val="00126AA9"/>
    <w:rsid w:val="00131CD7"/>
    <w:rsid w:val="00132CD8"/>
    <w:rsid w:val="00143354"/>
    <w:rsid w:val="00144209"/>
    <w:rsid w:val="0014655C"/>
    <w:rsid w:val="00150AD4"/>
    <w:rsid w:val="001515D6"/>
    <w:rsid w:val="0015578B"/>
    <w:rsid w:val="00156782"/>
    <w:rsid w:val="001568F4"/>
    <w:rsid w:val="00156903"/>
    <w:rsid w:val="00156ACE"/>
    <w:rsid w:val="0015780B"/>
    <w:rsid w:val="0016040C"/>
    <w:rsid w:val="0016468C"/>
    <w:rsid w:val="0016790C"/>
    <w:rsid w:val="001729A2"/>
    <w:rsid w:val="001735B9"/>
    <w:rsid w:val="001739E9"/>
    <w:rsid w:val="00176072"/>
    <w:rsid w:val="00176106"/>
    <w:rsid w:val="0017767A"/>
    <w:rsid w:val="001878DE"/>
    <w:rsid w:val="00190390"/>
    <w:rsid w:val="00197CF4"/>
    <w:rsid w:val="001A078E"/>
    <w:rsid w:val="001A791F"/>
    <w:rsid w:val="001B0964"/>
    <w:rsid w:val="001B26EA"/>
    <w:rsid w:val="001B4F22"/>
    <w:rsid w:val="001B7B3E"/>
    <w:rsid w:val="001C0E5C"/>
    <w:rsid w:val="001C1D1B"/>
    <w:rsid w:val="001C303B"/>
    <w:rsid w:val="001C4ED8"/>
    <w:rsid w:val="001C555C"/>
    <w:rsid w:val="001D1B0A"/>
    <w:rsid w:val="001D34F6"/>
    <w:rsid w:val="001D5D68"/>
    <w:rsid w:val="001E4D07"/>
    <w:rsid w:val="001E515F"/>
    <w:rsid w:val="002013AF"/>
    <w:rsid w:val="0020240A"/>
    <w:rsid w:val="00202E6D"/>
    <w:rsid w:val="0020337F"/>
    <w:rsid w:val="00205465"/>
    <w:rsid w:val="002132D2"/>
    <w:rsid w:val="002149E0"/>
    <w:rsid w:val="00221D05"/>
    <w:rsid w:val="00223DF9"/>
    <w:rsid w:val="00231D22"/>
    <w:rsid w:val="00235B56"/>
    <w:rsid w:val="00240203"/>
    <w:rsid w:val="002406C8"/>
    <w:rsid w:val="0024118A"/>
    <w:rsid w:val="002421A1"/>
    <w:rsid w:val="0024233A"/>
    <w:rsid w:val="002431F2"/>
    <w:rsid w:val="002460C4"/>
    <w:rsid w:val="00246C94"/>
    <w:rsid w:val="00250FDB"/>
    <w:rsid w:val="00253DB1"/>
    <w:rsid w:val="002546D9"/>
    <w:rsid w:val="00255192"/>
    <w:rsid w:val="00256B18"/>
    <w:rsid w:val="0027414F"/>
    <w:rsid w:val="002748A2"/>
    <w:rsid w:val="00280779"/>
    <w:rsid w:val="00281E1C"/>
    <w:rsid w:val="00283323"/>
    <w:rsid w:val="00290B95"/>
    <w:rsid w:val="00291CB3"/>
    <w:rsid w:val="002945CA"/>
    <w:rsid w:val="002A337E"/>
    <w:rsid w:val="002A53A6"/>
    <w:rsid w:val="002B0567"/>
    <w:rsid w:val="002B0630"/>
    <w:rsid w:val="002B22AA"/>
    <w:rsid w:val="002B365C"/>
    <w:rsid w:val="002B3FEF"/>
    <w:rsid w:val="002B4C67"/>
    <w:rsid w:val="002B5AED"/>
    <w:rsid w:val="002B5AFB"/>
    <w:rsid w:val="002B6A69"/>
    <w:rsid w:val="002C0469"/>
    <w:rsid w:val="002C17BB"/>
    <w:rsid w:val="002C2326"/>
    <w:rsid w:val="002C382E"/>
    <w:rsid w:val="002C47FF"/>
    <w:rsid w:val="002C742A"/>
    <w:rsid w:val="002D1BFB"/>
    <w:rsid w:val="002D4720"/>
    <w:rsid w:val="002D7C79"/>
    <w:rsid w:val="002E0D39"/>
    <w:rsid w:val="002E2DAD"/>
    <w:rsid w:val="002E3745"/>
    <w:rsid w:val="002E3FE8"/>
    <w:rsid w:val="002E60B6"/>
    <w:rsid w:val="002E6A16"/>
    <w:rsid w:val="002E7227"/>
    <w:rsid w:val="002E7F8C"/>
    <w:rsid w:val="002F4FC6"/>
    <w:rsid w:val="00303233"/>
    <w:rsid w:val="003033DD"/>
    <w:rsid w:val="00316D5A"/>
    <w:rsid w:val="0032045B"/>
    <w:rsid w:val="00320C5F"/>
    <w:rsid w:val="003233C8"/>
    <w:rsid w:val="00324B20"/>
    <w:rsid w:val="00325D76"/>
    <w:rsid w:val="00326B14"/>
    <w:rsid w:val="00327204"/>
    <w:rsid w:val="003316F8"/>
    <w:rsid w:val="00334532"/>
    <w:rsid w:val="00335F6B"/>
    <w:rsid w:val="00337284"/>
    <w:rsid w:val="00342BA1"/>
    <w:rsid w:val="003439FC"/>
    <w:rsid w:val="00344C19"/>
    <w:rsid w:val="00351F70"/>
    <w:rsid w:val="00352E31"/>
    <w:rsid w:val="00356D9E"/>
    <w:rsid w:val="00357412"/>
    <w:rsid w:val="00357505"/>
    <w:rsid w:val="00361725"/>
    <w:rsid w:val="00363525"/>
    <w:rsid w:val="0036362E"/>
    <w:rsid w:val="00364E68"/>
    <w:rsid w:val="003702C7"/>
    <w:rsid w:val="00372561"/>
    <w:rsid w:val="0037328B"/>
    <w:rsid w:val="00374990"/>
    <w:rsid w:val="00377558"/>
    <w:rsid w:val="003838C7"/>
    <w:rsid w:val="0038428F"/>
    <w:rsid w:val="003866B8"/>
    <w:rsid w:val="00386A42"/>
    <w:rsid w:val="00387545"/>
    <w:rsid w:val="00394763"/>
    <w:rsid w:val="00395742"/>
    <w:rsid w:val="00397E52"/>
    <w:rsid w:val="003A2337"/>
    <w:rsid w:val="003B23DA"/>
    <w:rsid w:val="003B5639"/>
    <w:rsid w:val="003B7D02"/>
    <w:rsid w:val="003C0CEA"/>
    <w:rsid w:val="003C61C4"/>
    <w:rsid w:val="003D3605"/>
    <w:rsid w:val="003D5B9B"/>
    <w:rsid w:val="003D7BD0"/>
    <w:rsid w:val="003E328C"/>
    <w:rsid w:val="003E6E61"/>
    <w:rsid w:val="003F3205"/>
    <w:rsid w:val="003F334D"/>
    <w:rsid w:val="00400ADD"/>
    <w:rsid w:val="00401179"/>
    <w:rsid w:val="0040118C"/>
    <w:rsid w:val="0040293E"/>
    <w:rsid w:val="00405327"/>
    <w:rsid w:val="00406965"/>
    <w:rsid w:val="00410285"/>
    <w:rsid w:val="00411B22"/>
    <w:rsid w:val="00415794"/>
    <w:rsid w:val="004176F9"/>
    <w:rsid w:val="004265CE"/>
    <w:rsid w:val="00427609"/>
    <w:rsid w:val="00427804"/>
    <w:rsid w:val="00430CD0"/>
    <w:rsid w:val="00432779"/>
    <w:rsid w:val="00432C11"/>
    <w:rsid w:val="0043787C"/>
    <w:rsid w:val="00442166"/>
    <w:rsid w:val="00446085"/>
    <w:rsid w:val="004478AE"/>
    <w:rsid w:val="0045323C"/>
    <w:rsid w:val="0045350F"/>
    <w:rsid w:val="00454151"/>
    <w:rsid w:val="0045596C"/>
    <w:rsid w:val="00455E11"/>
    <w:rsid w:val="00464867"/>
    <w:rsid w:val="00466FB5"/>
    <w:rsid w:val="00472198"/>
    <w:rsid w:val="004819A4"/>
    <w:rsid w:val="0048292C"/>
    <w:rsid w:val="00483272"/>
    <w:rsid w:val="004847DC"/>
    <w:rsid w:val="00487722"/>
    <w:rsid w:val="00492FA6"/>
    <w:rsid w:val="00494624"/>
    <w:rsid w:val="0049785E"/>
    <w:rsid w:val="004A0752"/>
    <w:rsid w:val="004A3FE7"/>
    <w:rsid w:val="004A46B8"/>
    <w:rsid w:val="004A4944"/>
    <w:rsid w:val="004B0D93"/>
    <w:rsid w:val="004B25CA"/>
    <w:rsid w:val="004B7EA6"/>
    <w:rsid w:val="004C18DE"/>
    <w:rsid w:val="004D23FB"/>
    <w:rsid w:val="004D323E"/>
    <w:rsid w:val="004E622A"/>
    <w:rsid w:val="004F2E32"/>
    <w:rsid w:val="004F3B7F"/>
    <w:rsid w:val="004F4DE3"/>
    <w:rsid w:val="004F5608"/>
    <w:rsid w:val="004F7A39"/>
    <w:rsid w:val="005009E5"/>
    <w:rsid w:val="005030D3"/>
    <w:rsid w:val="00505200"/>
    <w:rsid w:val="00507603"/>
    <w:rsid w:val="0051114B"/>
    <w:rsid w:val="0051476B"/>
    <w:rsid w:val="00514AB7"/>
    <w:rsid w:val="0051535A"/>
    <w:rsid w:val="00534340"/>
    <w:rsid w:val="00540161"/>
    <w:rsid w:val="00540683"/>
    <w:rsid w:val="005465E0"/>
    <w:rsid w:val="005533B4"/>
    <w:rsid w:val="00561447"/>
    <w:rsid w:val="0056152E"/>
    <w:rsid w:val="0056605A"/>
    <w:rsid w:val="005718EF"/>
    <w:rsid w:val="00573D3E"/>
    <w:rsid w:val="0057786D"/>
    <w:rsid w:val="0058025F"/>
    <w:rsid w:val="00582B60"/>
    <w:rsid w:val="00583496"/>
    <w:rsid w:val="00584069"/>
    <w:rsid w:val="00585999"/>
    <w:rsid w:val="00586819"/>
    <w:rsid w:val="00591A7D"/>
    <w:rsid w:val="00593E26"/>
    <w:rsid w:val="00595C5C"/>
    <w:rsid w:val="00596953"/>
    <w:rsid w:val="005A1413"/>
    <w:rsid w:val="005A1A44"/>
    <w:rsid w:val="005A20E4"/>
    <w:rsid w:val="005A5B6A"/>
    <w:rsid w:val="005B6280"/>
    <w:rsid w:val="005C2ECA"/>
    <w:rsid w:val="005C558D"/>
    <w:rsid w:val="005C7246"/>
    <w:rsid w:val="005D1B06"/>
    <w:rsid w:val="005E1804"/>
    <w:rsid w:val="005E2196"/>
    <w:rsid w:val="005E5EF7"/>
    <w:rsid w:val="005F26AD"/>
    <w:rsid w:val="005F314B"/>
    <w:rsid w:val="005F3476"/>
    <w:rsid w:val="005F58DF"/>
    <w:rsid w:val="0060269E"/>
    <w:rsid w:val="00602860"/>
    <w:rsid w:val="006047AC"/>
    <w:rsid w:val="00607B11"/>
    <w:rsid w:val="006105FE"/>
    <w:rsid w:val="00611C20"/>
    <w:rsid w:val="006130FF"/>
    <w:rsid w:val="006157A9"/>
    <w:rsid w:val="00616CDB"/>
    <w:rsid w:val="00617A1E"/>
    <w:rsid w:val="00620049"/>
    <w:rsid w:val="00620982"/>
    <w:rsid w:val="00622293"/>
    <w:rsid w:val="006256AF"/>
    <w:rsid w:val="00626C86"/>
    <w:rsid w:val="006275F9"/>
    <w:rsid w:val="00630422"/>
    <w:rsid w:val="00630CC5"/>
    <w:rsid w:val="00635C84"/>
    <w:rsid w:val="00635F4A"/>
    <w:rsid w:val="00642215"/>
    <w:rsid w:val="006437B5"/>
    <w:rsid w:val="00643AEA"/>
    <w:rsid w:val="00651386"/>
    <w:rsid w:val="00651558"/>
    <w:rsid w:val="0066312D"/>
    <w:rsid w:val="00663395"/>
    <w:rsid w:val="006639F3"/>
    <w:rsid w:val="00665954"/>
    <w:rsid w:val="00666284"/>
    <w:rsid w:val="00670028"/>
    <w:rsid w:val="006702A6"/>
    <w:rsid w:val="00671963"/>
    <w:rsid w:val="00672E12"/>
    <w:rsid w:val="006739C8"/>
    <w:rsid w:val="00687752"/>
    <w:rsid w:val="0069164E"/>
    <w:rsid w:val="006920A8"/>
    <w:rsid w:val="00692386"/>
    <w:rsid w:val="006924C5"/>
    <w:rsid w:val="00693737"/>
    <w:rsid w:val="00693A58"/>
    <w:rsid w:val="006970A1"/>
    <w:rsid w:val="006A0959"/>
    <w:rsid w:val="006A1747"/>
    <w:rsid w:val="006A507B"/>
    <w:rsid w:val="006A73AD"/>
    <w:rsid w:val="006A7F94"/>
    <w:rsid w:val="006B2A78"/>
    <w:rsid w:val="006B51FD"/>
    <w:rsid w:val="006B57B7"/>
    <w:rsid w:val="006B5F03"/>
    <w:rsid w:val="006B6D75"/>
    <w:rsid w:val="006B7C55"/>
    <w:rsid w:val="006C202C"/>
    <w:rsid w:val="006C6A7F"/>
    <w:rsid w:val="006D594B"/>
    <w:rsid w:val="006E10F5"/>
    <w:rsid w:val="006F3126"/>
    <w:rsid w:val="006F3C42"/>
    <w:rsid w:val="006F4A9E"/>
    <w:rsid w:val="0070287D"/>
    <w:rsid w:val="00702BE6"/>
    <w:rsid w:val="00706883"/>
    <w:rsid w:val="00707BDA"/>
    <w:rsid w:val="007147BF"/>
    <w:rsid w:val="007225A1"/>
    <w:rsid w:val="00727A4A"/>
    <w:rsid w:val="007326C6"/>
    <w:rsid w:val="00741D8D"/>
    <w:rsid w:val="00742BD3"/>
    <w:rsid w:val="00742E01"/>
    <w:rsid w:val="00751575"/>
    <w:rsid w:val="00754516"/>
    <w:rsid w:val="0075559B"/>
    <w:rsid w:val="00760FB2"/>
    <w:rsid w:val="007705CB"/>
    <w:rsid w:val="00773B7E"/>
    <w:rsid w:val="00785867"/>
    <w:rsid w:val="0079124E"/>
    <w:rsid w:val="00792E94"/>
    <w:rsid w:val="0079361A"/>
    <w:rsid w:val="00794CE8"/>
    <w:rsid w:val="007A19A7"/>
    <w:rsid w:val="007A3544"/>
    <w:rsid w:val="007A584D"/>
    <w:rsid w:val="007B200A"/>
    <w:rsid w:val="007B35E7"/>
    <w:rsid w:val="007B5D5A"/>
    <w:rsid w:val="007C1775"/>
    <w:rsid w:val="007C1AA7"/>
    <w:rsid w:val="007C49B5"/>
    <w:rsid w:val="007D1EF9"/>
    <w:rsid w:val="007D2FA0"/>
    <w:rsid w:val="007D6265"/>
    <w:rsid w:val="007E4902"/>
    <w:rsid w:val="007E7F2A"/>
    <w:rsid w:val="00805AEB"/>
    <w:rsid w:val="00810504"/>
    <w:rsid w:val="0081450F"/>
    <w:rsid w:val="008149EA"/>
    <w:rsid w:val="00820289"/>
    <w:rsid w:val="0082077C"/>
    <w:rsid w:val="008220D9"/>
    <w:rsid w:val="00826787"/>
    <w:rsid w:val="008269FA"/>
    <w:rsid w:val="00830EC1"/>
    <w:rsid w:val="008325CC"/>
    <w:rsid w:val="00834438"/>
    <w:rsid w:val="00835551"/>
    <w:rsid w:val="00836749"/>
    <w:rsid w:val="00837FB8"/>
    <w:rsid w:val="00841328"/>
    <w:rsid w:val="00846931"/>
    <w:rsid w:val="00854209"/>
    <w:rsid w:val="008564F7"/>
    <w:rsid w:val="0086266B"/>
    <w:rsid w:val="0086477D"/>
    <w:rsid w:val="008650FC"/>
    <w:rsid w:val="008677BA"/>
    <w:rsid w:val="0087179D"/>
    <w:rsid w:val="0087551D"/>
    <w:rsid w:val="00876F50"/>
    <w:rsid w:val="00882EBF"/>
    <w:rsid w:val="008934DB"/>
    <w:rsid w:val="00894221"/>
    <w:rsid w:val="008954EE"/>
    <w:rsid w:val="00896081"/>
    <w:rsid w:val="008967B7"/>
    <w:rsid w:val="008A42A5"/>
    <w:rsid w:val="008A6928"/>
    <w:rsid w:val="008A6D40"/>
    <w:rsid w:val="008B1007"/>
    <w:rsid w:val="008B3106"/>
    <w:rsid w:val="008B56D1"/>
    <w:rsid w:val="008B6668"/>
    <w:rsid w:val="008B7C4B"/>
    <w:rsid w:val="008C42D5"/>
    <w:rsid w:val="008C5274"/>
    <w:rsid w:val="008D3CEC"/>
    <w:rsid w:val="008D3DAE"/>
    <w:rsid w:val="008F283A"/>
    <w:rsid w:val="008F4B57"/>
    <w:rsid w:val="00901FC4"/>
    <w:rsid w:val="00902668"/>
    <w:rsid w:val="00903D48"/>
    <w:rsid w:val="0090748A"/>
    <w:rsid w:val="00912A46"/>
    <w:rsid w:val="00915307"/>
    <w:rsid w:val="009411AB"/>
    <w:rsid w:val="009422FA"/>
    <w:rsid w:val="00942F34"/>
    <w:rsid w:val="00944AFB"/>
    <w:rsid w:val="0094594F"/>
    <w:rsid w:val="00946D8A"/>
    <w:rsid w:val="00953866"/>
    <w:rsid w:val="00954975"/>
    <w:rsid w:val="009629E6"/>
    <w:rsid w:val="00962E31"/>
    <w:rsid w:val="00964112"/>
    <w:rsid w:val="00965DC5"/>
    <w:rsid w:val="00966CE6"/>
    <w:rsid w:val="009719C0"/>
    <w:rsid w:val="00975B09"/>
    <w:rsid w:val="009767E1"/>
    <w:rsid w:val="009771C0"/>
    <w:rsid w:val="009777E8"/>
    <w:rsid w:val="00981397"/>
    <w:rsid w:val="0098158C"/>
    <w:rsid w:val="00985BE6"/>
    <w:rsid w:val="00987D27"/>
    <w:rsid w:val="0099031A"/>
    <w:rsid w:val="00991BA0"/>
    <w:rsid w:val="00992A56"/>
    <w:rsid w:val="009A4FC8"/>
    <w:rsid w:val="009B3982"/>
    <w:rsid w:val="009B3B1B"/>
    <w:rsid w:val="009C228D"/>
    <w:rsid w:val="009C79C4"/>
    <w:rsid w:val="009E0ED9"/>
    <w:rsid w:val="009E281C"/>
    <w:rsid w:val="009E3EBD"/>
    <w:rsid w:val="009E638E"/>
    <w:rsid w:val="009E795B"/>
    <w:rsid w:val="009F2186"/>
    <w:rsid w:val="009F2DD9"/>
    <w:rsid w:val="009F3B72"/>
    <w:rsid w:val="009F53D9"/>
    <w:rsid w:val="00A0030F"/>
    <w:rsid w:val="00A005D6"/>
    <w:rsid w:val="00A0311E"/>
    <w:rsid w:val="00A05AB3"/>
    <w:rsid w:val="00A05C9B"/>
    <w:rsid w:val="00A0644E"/>
    <w:rsid w:val="00A0723D"/>
    <w:rsid w:val="00A1154E"/>
    <w:rsid w:val="00A12E60"/>
    <w:rsid w:val="00A1389E"/>
    <w:rsid w:val="00A20E79"/>
    <w:rsid w:val="00A20FE4"/>
    <w:rsid w:val="00A21A7D"/>
    <w:rsid w:val="00A21AF7"/>
    <w:rsid w:val="00A23572"/>
    <w:rsid w:val="00A249EB"/>
    <w:rsid w:val="00A25483"/>
    <w:rsid w:val="00A2645D"/>
    <w:rsid w:val="00A27409"/>
    <w:rsid w:val="00A3038F"/>
    <w:rsid w:val="00A34A45"/>
    <w:rsid w:val="00A435A3"/>
    <w:rsid w:val="00A43936"/>
    <w:rsid w:val="00A53208"/>
    <w:rsid w:val="00A57CE8"/>
    <w:rsid w:val="00A62126"/>
    <w:rsid w:val="00A71FAE"/>
    <w:rsid w:val="00A73F86"/>
    <w:rsid w:val="00A77993"/>
    <w:rsid w:val="00A77C4E"/>
    <w:rsid w:val="00A81D2D"/>
    <w:rsid w:val="00A917C1"/>
    <w:rsid w:val="00A94B80"/>
    <w:rsid w:val="00A952F9"/>
    <w:rsid w:val="00AA6712"/>
    <w:rsid w:val="00AB0162"/>
    <w:rsid w:val="00AB23F2"/>
    <w:rsid w:val="00AB4C7C"/>
    <w:rsid w:val="00AB6055"/>
    <w:rsid w:val="00AB6CAD"/>
    <w:rsid w:val="00AC1577"/>
    <w:rsid w:val="00AC3059"/>
    <w:rsid w:val="00AC5CE3"/>
    <w:rsid w:val="00AC79AA"/>
    <w:rsid w:val="00AD1D10"/>
    <w:rsid w:val="00AD68F2"/>
    <w:rsid w:val="00AD69C2"/>
    <w:rsid w:val="00AD6ABA"/>
    <w:rsid w:val="00AE4908"/>
    <w:rsid w:val="00AE50D2"/>
    <w:rsid w:val="00AE73A7"/>
    <w:rsid w:val="00AE7E9E"/>
    <w:rsid w:val="00AF6E21"/>
    <w:rsid w:val="00B02145"/>
    <w:rsid w:val="00B041A6"/>
    <w:rsid w:val="00B11AE6"/>
    <w:rsid w:val="00B152A7"/>
    <w:rsid w:val="00B17A75"/>
    <w:rsid w:val="00B2269A"/>
    <w:rsid w:val="00B26810"/>
    <w:rsid w:val="00B30626"/>
    <w:rsid w:val="00B308FF"/>
    <w:rsid w:val="00B40836"/>
    <w:rsid w:val="00B40CFC"/>
    <w:rsid w:val="00B41BB5"/>
    <w:rsid w:val="00B45122"/>
    <w:rsid w:val="00B4533C"/>
    <w:rsid w:val="00B47F6F"/>
    <w:rsid w:val="00B51966"/>
    <w:rsid w:val="00B60659"/>
    <w:rsid w:val="00B665FE"/>
    <w:rsid w:val="00B71545"/>
    <w:rsid w:val="00B737F6"/>
    <w:rsid w:val="00B7461E"/>
    <w:rsid w:val="00B76631"/>
    <w:rsid w:val="00B800CC"/>
    <w:rsid w:val="00B80DBC"/>
    <w:rsid w:val="00B81581"/>
    <w:rsid w:val="00B81860"/>
    <w:rsid w:val="00B827ED"/>
    <w:rsid w:val="00B87AB9"/>
    <w:rsid w:val="00B91D33"/>
    <w:rsid w:val="00B92BF7"/>
    <w:rsid w:val="00B93232"/>
    <w:rsid w:val="00B9368D"/>
    <w:rsid w:val="00B940F8"/>
    <w:rsid w:val="00BA2F7E"/>
    <w:rsid w:val="00BA358B"/>
    <w:rsid w:val="00BA3F1F"/>
    <w:rsid w:val="00BA6693"/>
    <w:rsid w:val="00BA6E0D"/>
    <w:rsid w:val="00BB165F"/>
    <w:rsid w:val="00BB2346"/>
    <w:rsid w:val="00BC00D3"/>
    <w:rsid w:val="00BC0C56"/>
    <w:rsid w:val="00BC224B"/>
    <w:rsid w:val="00BC453B"/>
    <w:rsid w:val="00BC4EC9"/>
    <w:rsid w:val="00BD6076"/>
    <w:rsid w:val="00BD77CE"/>
    <w:rsid w:val="00BE5C4D"/>
    <w:rsid w:val="00BE6EB5"/>
    <w:rsid w:val="00BF2066"/>
    <w:rsid w:val="00BF414C"/>
    <w:rsid w:val="00BF6A72"/>
    <w:rsid w:val="00BF7D16"/>
    <w:rsid w:val="00C01D3D"/>
    <w:rsid w:val="00C05BE8"/>
    <w:rsid w:val="00C05CED"/>
    <w:rsid w:val="00C1252B"/>
    <w:rsid w:val="00C161A1"/>
    <w:rsid w:val="00C16233"/>
    <w:rsid w:val="00C24FA8"/>
    <w:rsid w:val="00C27690"/>
    <w:rsid w:val="00C321B7"/>
    <w:rsid w:val="00C3413B"/>
    <w:rsid w:val="00C3512B"/>
    <w:rsid w:val="00C35D25"/>
    <w:rsid w:val="00C42401"/>
    <w:rsid w:val="00C4703A"/>
    <w:rsid w:val="00C47775"/>
    <w:rsid w:val="00C47C41"/>
    <w:rsid w:val="00C509C1"/>
    <w:rsid w:val="00C532C5"/>
    <w:rsid w:val="00C64A71"/>
    <w:rsid w:val="00C7003A"/>
    <w:rsid w:val="00C7159B"/>
    <w:rsid w:val="00C7193B"/>
    <w:rsid w:val="00C72A39"/>
    <w:rsid w:val="00C74BAA"/>
    <w:rsid w:val="00C75520"/>
    <w:rsid w:val="00C801B5"/>
    <w:rsid w:val="00C82985"/>
    <w:rsid w:val="00C90787"/>
    <w:rsid w:val="00C93A09"/>
    <w:rsid w:val="00C942C1"/>
    <w:rsid w:val="00C945EC"/>
    <w:rsid w:val="00C95218"/>
    <w:rsid w:val="00C96029"/>
    <w:rsid w:val="00C96A7D"/>
    <w:rsid w:val="00CA2B03"/>
    <w:rsid w:val="00CA3E92"/>
    <w:rsid w:val="00CA71CC"/>
    <w:rsid w:val="00CB17EE"/>
    <w:rsid w:val="00CB257D"/>
    <w:rsid w:val="00CC62F9"/>
    <w:rsid w:val="00CC6718"/>
    <w:rsid w:val="00CC7E35"/>
    <w:rsid w:val="00CD1C39"/>
    <w:rsid w:val="00CD7A4F"/>
    <w:rsid w:val="00CE1F32"/>
    <w:rsid w:val="00CE293A"/>
    <w:rsid w:val="00CE77BC"/>
    <w:rsid w:val="00CF2359"/>
    <w:rsid w:val="00CF3B37"/>
    <w:rsid w:val="00CF3E33"/>
    <w:rsid w:val="00CF645B"/>
    <w:rsid w:val="00D030AA"/>
    <w:rsid w:val="00D03FC5"/>
    <w:rsid w:val="00D04647"/>
    <w:rsid w:val="00D048ED"/>
    <w:rsid w:val="00D064E0"/>
    <w:rsid w:val="00D12EA3"/>
    <w:rsid w:val="00D16A29"/>
    <w:rsid w:val="00D20ACE"/>
    <w:rsid w:val="00D218BF"/>
    <w:rsid w:val="00D2514D"/>
    <w:rsid w:val="00D32C3C"/>
    <w:rsid w:val="00D33B77"/>
    <w:rsid w:val="00D35074"/>
    <w:rsid w:val="00D362FF"/>
    <w:rsid w:val="00D37C72"/>
    <w:rsid w:val="00D4056A"/>
    <w:rsid w:val="00D46495"/>
    <w:rsid w:val="00D474F4"/>
    <w:rsid w:val="00D510D9"/>
    <w:rsid w:val="00D52AF0"/>
    <w:rsid w:val="00D52F95"/>
    <w:rsid w:val="00D53E0F"/>
    <w:rsid w:val="00D566C8"/>
    <w:rsid w:val="00D6320C"/>
    <w:rsid w:val="00D65991"/>
    <w:rsid w:val="00D7150D"/>
    <w:rsid w:val="00D729A3"/>
    <w:rsid w:val="00D80CB1"/>
    <w:rsid w:val="00D8467E"/>
    <w:rsid w:val="00D85731"/>
    <w:rsid w:val="00D9039B"/>
    <w:rsid w:val="00D92E0F"/>
    <w:rsid w:val="00D97C9F"/>
    <w:rsid w:val="00DA0AF9"/>
    <w:rsid w:val="00DA1F54"/>
    <w:rsid w:val="00DA28E2"/>
    <w:rsid w:val="00DA312C"/>
    <w:rsid w:val="00DA3AF6"/>
    <w:rsid w:val="00DA541A"/>
    <w:rsid w:val="00DB2F25"/>
    <w:rsid w:val="00DB3154"/>
    <w:rsid w:val="00DB57E7"/>
    <w:rsid w:val="00DC5BD8"/>
    <w:rsid w:val="00DC66D9"/>
    <w:rsid w:val="00DD2ED1"/>
    <w:rsid w:val="00DD6C3C"/>
    <w:rsid w:val="00DE103A"/>
    <w:rsid w:val="00DE554A"/>
    <w:rsid w:val="00DF18E6"/>
    <w:rsid w:val="00DF426C"/>
    <w:rsid w:val="00DF7632"/>
    <w:rsid w:val="00E0097F"/>
    <w:rsid w:val="00E040C4"/>
    <w:rsid w:val="00E1103A"/>
    <w:rsid w:val="00E13946"/>
    <w:rsid w:val="00E14568"/>
    <w:rsid w:val="00E14631"/>
    <w:rsid w:val="00E15BFC"/>
    <w:rsid w:val="00E15F87"/>
    <w:rsid w:val="00E17E95"/>
    <w:rsid w:val="00E22556"/>
    <w:rsid w:val="00E22CBB"/>
    <w:rsid w:val="00E236E5"/>
    <w:rsid w:val="00E23FA8"/>
    <w:rsid w:val="00E240AE"/>
    <w:rsid w:val="00E240C7"/>
    <w:rsid w:val="00E2599A"/>
    <w:rsid w:val="00E25ED5"/>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9445D"/>
    <w:rsid w:val="00EA0422"/>
    <w:rsid w:val="00EA1929"/>
    <w:rsid w:val="00EA2C25"/>
    <w:rsid w:val="00EA7A70"/>
    <w:rsid w:val="00EB3FDC"/>
    <w:rsid w:val="00EB4ADF"/>
    <w:rsid w:val="00EB4D3D"/>
    <w:rsid w:val="00EB5EF1"/>
    <w:rsid w:val="00EB7232"/>
    <w:rsid w:val="00EC05BE"/>
    <w:rsid w:val="00EC1DCF"/>
    <w:rsid w:val="00EC2C52"/>
    <w:rsid w:val="00ED1827"/>
    <w:rsid w:val="00ED49D7"/>
    <w:rsid w:val="00ED557F"/>
    <w:rsid w:val="00EE4226"/>
    <w:rsid w:val="00EE457F"/>
    <w:rsid w:val="00EE5CAB"/>
    <w:rsid w:val="00EE5D15"/>
    <w:rsid w:val="00EF00ED"/>
    <w:rsid w:val="00EF022A"/>
    <w:rsid w:val="00EF6C77"/>
    <w:rsid w:val="00EF7231"/>
    <w:rsid w:val="00F07812"/>
    <w:rsid w:val="00F10D47"/>
    <w:rsid w:val="00F12E99"/>
    <w:rsid w:val="00F205EE"/>
    <w:rsid w:val="00F24CA4"/>
    <w:rsid w:val="00F26C2C"/>
    <w:rsid w:val="00F31FEF"/>
    <w:rsid w:val="00F330E1"/>
    <w:rsid w:val="00F42DC0"/>
    <w:rsid w:val="00F43BF4"/>
    <w:rsid w:val="00F448A7"/>
    <w:rsid w:val="00F4792F"/>
    <w:rsid w:val="00F52363"/>
    <w:rsid w:val="00F524CA"/>
    <w:rsid w:val="00F52E19"/>
    <w:rsid w:val="00F54B55"/>
    <w:rsid w:val="00F54B5E"/>
    <w:rsid w:val="00F55DD3"/>
    <w:rsid w:val="00F607DC"/>
    <w:rsid w:val="00F632C8"/>
    <w:rsid w:val="00F63BC2"/>
    <w:rsid w:val="00F70B1D"/>
    <w:rsid w:val="00F70D98"/>
    <w:rsid w:val="00F734A9"/>
    <w:rsid w:val="00F736DE"/>
    <w:rsid w:val="00F74646"/>
    <w:rsid w:val="00F75328"/>
    <w:rsid w:val="00F778C8"/>
    <w:rsid w:val="00F801E0"/>
    <w:rsid w:val="00F812E0"/>
    <w:rsid w:val="00F81C5B"/>
    <w:rsid w:val="00F820DA"/>
    <w:rsid w:val="00F83CF6"/>
    <w:rsid w:val="00F8608C"/>
    <w:rsid w:val="00F87B83"/>
    <w:rsid w:val="00F92BF9"/>
    <w:rsid w:val="00F93402"/>
    <w:rsid w:val="00FA2262"/>
    <w:rsid w:val="00FA5DB6"/>
    <w:rsid w:val="00FA6782"/>
    <w:rsid w:val="00FA6888"/>
    <w:rsid w:val="00FA712F"/>
    <w:rsid w:val="00FB0778"/>
    <w:rsid w:val="00FB305A"/>
    <w:rsid w:val="00FB48D2"/>
    <w:rsid w:val="00FB6B37"/>
    <w:rsid w:val="00FC032F"/>
    <w:rsid w:val="00FC2D7D"/>
    <w:rsid w:val="00FC5E77"/>
    <w:rsid w:val="00FC7393"/>
    <w:rsid w:val="00FC7DE1"/>
    <w:rsid w:val="00FD17D7"/>
    <w:rsid w:val="00FD4BC8"/>
    <w:rsid w:val="00FD6EBD"/>
    <w:rsid w:val="00FE2E51"/>
    <w:rsid w:val="00FE2EF4"/>
    <w:rsid w:val="00FE78E8"/>
    <w:rsid w:val="00FE7C92"/>
    <w:rsid w:val="00FF02E4"/>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de-DE"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24118A"/>
    <w:pPr>
      <w:widowControl/>
      <w:suppressAutoHyphens/>
      <w:overflowPunct/>
      <w:autoSpaceDE/>
      <w:autoSpaceDN/>
      <w:adjustRightInd/>
      <w:spacing w:after="120" w:line="240" w:lineRule="atLeast"/>
      <w:ind w:right="1134" w:firstLine="0"/>
      <w:textAlignment w:val="auto"/>
    </w:pPr>
  </w:style>
  <w:style w:type="character" w:customStyle="1" w:styleId="SingleTxtGChar">
    <w:name w:val="_ Single Txt_G Char"/>
    <w:link w:val="SingleTxtG"/>
    <w:qFormat/>
    <w:locked/>
    <w:rsid w:val="00785867"/>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94334027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ce.org/sites/default/files/2023-09/ECE_TRANS_WP.15_AC.2_86e.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8B56252E-0BEC-42EE-AB01-1FC798F8D2F5}"/>
</file>

<file path=customXml/itemProps3.xml><?xml version="1.0" encoding="utf-8"?>
<ds:datastoreItem xmlns:ds="http://schemas.openxmlformats.org/officeDocument/2006/customXml" ds:itemID="{71F9607B-1361-4C19-965F-D8593452486B}"/>
</file>

<file path=customXml/itemProps4.xml><?xml version="1.0" encoding="utf-8"?>
<ds:datastoreItem xmlns:ds="http://schemas.openxmlformats.org/officeDocument/2006/customXml" ds:itemID="{1153612B-2219-43AC-8751-ECDA5E989A1B}"/>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10759</Characters>
  <Application>Microsoft Office Word</Application>
  <DocSecurity>0</DocSecurity>
  <Lines>89</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7.2.4.22 Öffnen von Öffnungen und Zudosierung zusätzlicher Additive</vt:lpstr>
      <vt: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7.2.4.22 Öffnen von Öffnungen und Zudosierung zusätzlicher Additive</dc:title>
  <dc:creator>Martine Moench</dc:creator>
  <cp:lastModifiedBy>Martine Moench</cp:lastModifiedBy>
  <cp:revision>2</cp:revision>
  <cp:lastPrinted>2017-06-06T08:16:00Z</cp:lastPrinted>
  <dcterms:created xsi:type="dcterms:W3CDTF">2023-12-15T09:04:00Z</dcterms:created>
  <dcterms:modified xsi:type="dcterms:W3CDTF">2023-12-15T09:04:00Z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